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13E0C4">
      <w:pPr>
        <w:spacing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66A271B4">
      <w:pPr>
        <w:spacing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00F0F091">
      <w:pPr>
        <w:adjustRightInd/>
        <w:spacing w:line="360" w:lineRule="auto"/>
        <w:jc w:val="center"/>
        <w:rPr>
          <w:rFonts w:hint="eastAsia" w:ascii="宋体" w:hAnsi="宋体" w:cs="宋体"/>
          <w:b/>
          <w:color w:val="0D0D0D" w:themeColor="text1" w:themeTint="F2"/>
          <w:sz w:val="44"/>
          <w:szCs w:val="44"/>
          <w14:textFill>
            <w14:solidFill>
              <w14:schemeClr w14:val="tx1">
                <w14:lumMod w14:val="95000"/>
                <w14:lumOff w14:val="5000"/>
              </w14:schemeClr>
            </w14:solidFill>
          </w14:textFill>
        </w:rPr>
      </w:pPr>
    </w:p>
    <w:p w14:paraId="3649ACEA">
      <w:pPr>
        <w:spacing w:line="360" w:lineRule="auto"/>
        <w:jc w:val="center"/>
        <w:rPr>
          <w:rFonts w:hint="eastAsia" w:ascii="宋体" w:hAnsi="宋体"/>
          <w:b/>
          <w:color w:val="0D0D0D" w:themeColor="text1" w:themeTint="F2"/>
          <w:spacing w:val="-6"/>
          <w:sz w:val="52"/>
          <w:szCs w:val="72"/>
          <w14:textFill>
            <w14:solidFill>
              <w14:schemeClr w14:val="tx1">
                <w14:lumMod w14:val="95000"/>
                <w14:lumOff w14:val="5000"/>
              </w14:schemeClr>
            </w14:solidFill>
          </w14:textFill>
        </w:rPr>
      </w:pPr>
      <w:r>
        <w:rPr>
          <w:rFonts w:hint="eastAsia" w:ascii="宋体" w:hAnsi="宋体"/>
          <w:b/>
          <w:color w:val="0D0D0D" w:themeColor="text1" w:themeTint="F2"/>
          <w:spacing w:val="-6"/>
          <w:sz w:val="52"/>
          <w:szCs w:val="72"/>
          <w14:textFill>
            <w14:solidFill>
              <w14:schemeClr w14:val="tx1">
                <w14:lumMod w14:val="95000"/>
                <w14:lumOff w14:val="5000"/>
              </w14:schemeClr>
            </w14:solidFill>
          </w14:textFill>
        </w:rPr>
        <w:t>浙江工商职业技术学院</w:t>
      </w:r>
    </w:p>
    <w:p w14:paraId="437B565D">
      <w:pPr>
        <w:pStyle w:val="82"/>
        <w:rPr>
          <w:rFonts w:hint="eastAsia" w:ascii="宋体" w:hAnsi="宋体" w:eastAsia="宋体" w:cs="宋体"/>
          <w:color w:val="0D0D0D" w:themeColor="text1" w:themeTint="F2"/>
          <w14:textFill>
            <w14:solidFill>
              <w14:schemeClr w14:val="tx1">
                <w14:lumMod w14:val="95000"/>
                <w14:lumOff w14:val="5000"/>
              </w14:schemeClr>
            </w14:solidFill>
          </w14:textFill>
        </w:rPr>
      </w:pPr>
    </w:p>
    <w:p w14:paraId="6DAD0C6B">
      <w:pPr>
        <w:pStyle w:val="39"/>
        <w:rPr>
          <w:color w:val="0D0D0D" w:themeColor="text1" w:themeTint="F2"/>
          <w14:textFill>
            <w14:solidFill>
              <w14:schemeClr w14:val="tx1">
                <w14:lumMod w14:val="95000"/>
                <w14:lumOff w14:val="5000"/>
              </w14:schemeClr>
            </w14:solidFill>
          </w14:textFill>
        </w:rPr>
      </w:pPr>
    </w:p>
    <w:p w14:paraId="22C24E86">
      <w:pPr>
        <w:spacing w:line="360" w:lineRule="auto"/>
        <w:jc w:val="center"/>
        <w:rPr>
          <w:rFonts w:hint="eastAsia" w:ascii="宋体" w:hAnsi="宋体"/>
          <w:b/>
          <w:color w:val="0D0D0D" w:themeColor="text1" w:themeTint="F2"/>
          <w:spacing w:val="-6"/>
          <w:sz w:val="72"/>
          <w:szCs w:val="72"/>
          <w14:textFill>
            <w14:solidFill>
              <w14:schemeClr w14:val="tx1">
                <w14:lumMod w14:val="95000"/>
                <w14:lumOff w14:val="5000"/>
              </w14:schemeClr>
            </w14:solidFill>
          </w14:textFill>
        </w:rPr>
      </w:pPr>
      <w:r>
        <w:rPr>
          <w:rFonts w:hint="eastAsia" w:ascii="宋体" w:hAnsi="宋体"/>
          <w:b/>
          <w:color w:val="0D0D0D" w:themeColor="text1" w:themeTint="F2"/>
          <w:spacing w:val="-6"/>
          <w:sz w:val="72"/>
          <w:szCs w:val="72"/>
          <w14:textFill>
            <w14:solidFill>
              <w14:schemeClr w14:val="tx1">
                <w14:lumMod w14:val="95000"/>
                <w14:lumOff w14:val="5000"/>
              </w14:schemeClr>
            </w14:solidFill>
          </w14:textFill>
        </w:rPr>
        <w:t>公开招标文件</w:t>
      </w:r>
    </w:p>
    <w:p w14:paraId="134B22A7">
      <w:pPr>
        <w:spacing w:line="360" w:lineRule="auto"/>
        <w:jc w:val="center"/>
        <w:rPr>
          <w:rFonts w:hint="eastAsia" w:ascii="宋体" w:hAnsi="宋体"/>
          <w:color w:val="0D0D0D" w:themeColor="text1" w:themeTint="F2"/>
          <w:sz w:val="44"/>
          <w:szCs w:val="44"/>
          <w14:textFill>
            <w14:solidFill>
              <w14:schemeClr w14:val="tx1">
                <w14:lumMod w14:val="95000"/>
                <w14:lumOff w14:val="5000"/>
              </w14:schemeClr>
            </w14:solidFill>
          </w14:textFill>
        </w:rPr>
      </w:pPr>
      <w:r>
        <w:rPr>
          <w:rFonts w:hint="eastAsia" w:ascii="宋体" w:hAnsi="宋体"/>
          <w:color w:val="0D0D0D" w:themeColor="text1" w:themeTint="F2"/>
          <w:sz w:val="44"/>
          <w:szCs w:val="44"/>
          <w14:textFill>
            <w14:solidFill>
              <w14:schemeClr w14:val="tx1">
                <w14:lumMod w14:val="95000"/>
                <w14:lumOff w14:val="5000"/>
              </w14:schemeClr>
            </w14:solidFill>
          </w14:textFill>
        </w:rPr>
        <w:t>(电子交易)</w:t>
      </w:r>
    </w:p>
    <w:p w14:paraId="447D2E72">
      <w:pPr>
        <w:pStyle w:val="82"/>
        <w:rPr>
          <w:rFonts w:hint="eastAsia" w:ascii="宋体" w:hAnsi="宋体" w:eastAsia="宋体" w:cs="宋体"/>
          <w:color w:val="0D0D0D" w:themeColor="text1" w:themeTint="F2"/>
          <w:sz w:val="44"/>
          <w:szCs w:val="44"/>
          <w14:textFill>
            <w14:solidFill>
              <w14:schemeClr w14:val="tx1">
                <w14:lumMod w14:val="95000"/>
                <w14:lumOff w14:val="5000"/>
              </w14:schemeClr>
            </w14:solidFill>
          </w14:textFill>
        </w:rPr>
      </w:pPr>
    </w:p>
    <w:p w14:paraId="116B93B9">
      <w:pPr>
        <w:snapToGrid w:val="0"/>
        <w:spacing w:line="360" w:lineRule="auto"/>
        <w:ind w:left="1901" w:leftChars="200" w:right="250" w:rightChars="119" w:hanging="1481" w:hangingChars="461"/>
        <w:rPr>
          <w:rFonts w:hint="eastAsia" w:ascii="宋体" w:hAnsi="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b/>
          <w:bCs/>
          <w:color w:val="0D0D0D" w:themeColor="text1" w:themeTint="F2"/>
          <w:sz w:val="32"/>
          <w:szCs w:val="32"/>
          <w14:textFill>
            <w14:solidFill>
              <w14:schemeClr w14:val="tx1">
                <w14:lumMod w14:val="95000"/>
                <w14:lumOff w14:val="5000"/>
              </w14:schemeClr>
            </w14:solidFill>
          </w14:textFill>
        </w:rPr>
        <w:t>项目名称：</w:t>
      </w:r>
      <w:bookmarkStart w:id="0" w:name="OLE_LINK1"/>
      <w:r>
        <w:rPr>
          <w:rFonts w:hint="eastAsia" w:ascii="宋体" w:hAnsi="宋体"/>
          <w:b/>
          <w:bCs/>
          <w:color w:val="0D0D0D" w:themeColor="text1" w:themeTint="F2"/>
          <w:sz w:val="32"/>
          <w:szCs w:val="32"/>
          <w14:textFill>
            <w14:solidFill>
              <w14:schemeClr w14:val="tx1">
                <w14:lumMod w14:val="95000"/>
                <w14:lumOff w14:val="5000"/>
              </w14:schemeClr>
            </w14:solidFill>
          </w14:textFill>
        </w:rPr>
        <w:t>浙江工商职业技术学院</w:t>
      </w:r>
      <w:bookmarkEnd w:id="0"/>
      <w:r>
        <w:rPr>
          <w:rFonts w:hint="eastAsia" w:ascii="宋体" w:hAnsi="宋体"/>
          <w:b/>
          <w:bCs/>
          <w:color w:val="0D0D0D" w:themeColor="text1" w:themeTint="F2"/>
          <w:sz w:val="32"/>
          <w:szCs w:val="32"/>
          <w14:textFill>
            <w14:solidFill>
              <w14:schemeClr w14:val="tx1">
                <w14:lumMod w14:val="95000"/>
                <w14:lumOff w14:val="5000"/>
              </w14:schemeClr>
            </w14:solidFill>
          </w14:textFill>
        </w:rPr>
        <w:t>工业设计区域特色产业学生创新实训室</w:t>
      </w:r>
    </w:p>
    <w:p w14:paraId="670EDE8C">
      <w:pPr>
        <w:snapToGrid w:val="0"/>
        <w:spacing w:line="360" w:lineRule="auto"/>
        <w:ind w:firstLine="421" w:firstLineChars="131"/>
        <w:rPr>
          <w:rFonts w:hint="eastAsia" w:ascii="宋体" w:hAnsi="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b/>
          <w:bCs/>
          <w:color w:val="0D0D0D" w:themeColor="text1" w:themeTint="F2"/>
          <w:sz w:val="32"/>
          <w:szCs w:val="32"/>
          <w14:textFill>
            <w14:solidFill>
              <w14:schemeClr w14:val="tx1">
                <w14:lumMod w14:val="95000"/>
                <w14:lumOff w14:val="5000"/>
              </w14:schemeClr>
            </w14:solidFill>
          </w14:textFill>
        </w:rPr>
        <w:t>项目编号：330000263030420000034-ZJZX-ZJGS202603G</w:t>
      </w:r>
    </w:p>
    <w:p w14:paraId="407C7F7E">
      <w:pPr>
        <w:snapToGrid w:val="0"/>
        <w:spacing w:line="360" w:lineRule="auto"/>
        <w:ind w:firstLine="421" w:firstLineChars="131"/>
        <w:rPr>
          <w:rFonts w:hint="eastAsia" w:ascii="宋体" w:hAnsi="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b/>
          <w:bCs/>
          <w:color w:val="0D0D0D" w:themeColor="text1" w:themeTint="F2"/>
          <w:sz w:val="32"/>
          <w:szCs w:val="32"/>
          <w14:textFill>
            <w14:solidFill>
              <w14:schemeClr w14:val="tx1">
                <w14:lumMod w14:val="95000"/>
                <w14:lumOff w14:val="5000"/>
              </w14:schemeClr>
            </w14:solidFill>
          </w14:textFill>
        </w:rPr>
        <w:t>采 购 人：浙江工商职业技术学院</w:t>
      </w:r>
    </w:p>
    <w:p w14:paraId="0333EE6D">
      <w:pPr>
        <w:snapToGrid w:val="0"/>
        <w:spacing w:line="360" w:lineRule="auto"/>
        <w:ind w:firstLine="421" w:firstLineChars="131"/>
        <w:rPr>
          <w:rFonts w:hint="eastAsia" w:ascii="宋体" w:hAnsi="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b/>
          <w:bCs/>
          <w:color w:val="0D0D0D" w:themeColor="text1" w:themeTint="F2"/>
          <w:sz w:val="32"/>
          <w:szCs w:val="32"/>
          <w14:textFill>
            <w14:solidFill>
              <w14:schemeClr w14:val="tx1">
                <w14:lumMod w14:val="95000"/>
                <w14:lumOff w14:val="5000"/>
              </w14:schemeClr>
            </w14:solidFill>
          </w14:textFill>
        </w:rPr>
        <w:t>采购代理机构：浙江致信招标代理有限公司</w:t>
      </w:r>
    </w:p>
    <w:p w14:paraId="7A4E836A">
      <w:pPr>
        <w:snapToGrid w:val="0"/>
        <w:spacing w:line="360" w:lineRule="auto"/>
        <w:ind w:firstLine="421" w:firstLineChars="131"/>
        <w:rPr>
          <w:rFonts w:hint="eastAsia" w:ascii="宋体" w:hAnsi="宋体"/>
          <w:b/>
          <w:bCs/>
          <w:color w:val="0D0D0D" w:themeColor="text1" w:themeTint="F2"/>
          <w:sz w:val="32"/>
          <w:szCs w:val="32"/>
          <w14:textFill>
            <w14:solidFill>
              <w14:schemeClr w14:val="tx1">
                <w14:lumMod w14:val="95000"/>
                <w14:lumOff w14:val="5000"/>
              </w14:schemeClr>
            </w14:solidFill>
          </w14:textFill>
        </w:rPr>
      </w:pPr>
      <w:r>
        <w:rPr>
          <w:rFonts w:hint="eastAsia" w:ascii="宋体" w:hAnsi="宋体"/>
          <w:b/>
          <w:bCs/>
          <w:color w:val="0D0D0D" w:themeColor="text1" w:themeTint="F2"/>
          <w:sz w:val="32"/>
          <w:szCs w:val="32"/>
          <w14:textFill>
            <w14:solidFill>
              <w14:schemeClr w14:val="tx1">
                <w14:lumMod w14:val="95000"/>
                <w14:lumOff w14:val="5000"/>
              </w14:schemeClr>
            </w14:solidFill>
          </w14:textFill>
        </w:rPr>
        <w:t>时    间：二〇二六年</w:t>
      </w:r>
      <w:r>
        <w:rPr>
          <w:rFonts w:hint="eastAsia" w:ascii="宋体" w:hAnsi="宋体"/>
          <w:b/>
          <w:bCs/>
          <w:color w:val="0D0D0D" w:themeColor="text1" w:themeTint="F2"/>
          <w:sz w:val="32"/>
          <w:szCs w:val="32"/>
          <w:lang w:eastAsia="zh-CN"/>
          <w14:textFill>
            <w14:solidFill>
              <w14:schemeClr w14:val="tx1">
                <w14:lumMod w14:val="95000"/>
                <w14:lumOff w14:val="5000"/>
              </w14:schemeClr>
            </w14:solidFill>
          </w14:textFill>
        </w:rPr>
        <w:t>五</w:t>
      </w:r>
      <w:r>
        <w:rPr>
          <w:rFonts w:hint="eastAsia" w:ascii="宋体" w:hAnsi="宋体"/>
          <w:b/>
          <w:bCs/>
          <w:color w:val="0D0D0D" w:themeColor="text1" w:themeTint="F2"/>
          <w:sz w:val="32"/>
          <w:szCs w:val="32"/>
          <w14:textFill>
            <w14:solidFill>
              <w14:schemeClr w14:val="tx1">
                <w14:lumMod w14:val="95000"/>
                <w14:lumOff w14:val="5000"/>
              </w14:schemeClr>
            </w14:solidFill>
          </w14:textFill>
        </w:rPr>
        <w:t>月</w:t>
      </w:r>
    </w:p>
    <w:p w14:paraId="31148614">
      <w:pPr>
        <w:spacing w:line="360" w:lineRule="auto"/>
        <w:jc w:val="center"/>
        <w:rPr>
          <w:rFonts w:hint="eastAsia" w:ascii="宋体" w:hAnsi="宋体" w:cs="宋体"/>
          <w:b/>
          <w:color w:val="0D0D0D" w:themeColor="text1" w:themeTint="F2"/>
          <w:sz w:val="44"/>
          <w:szCs w:val="44"/>
          <w14:textFill>
            <w14:solidFill>
              <w14:schemeClr w14:val="tx1">
                <w14:lumMod w14:val="95000"/>
                <w14:lumOff w14:val="5000"/>
              </w14:schemeClr>
            </w14:solidFill>
          </w14:textFill>
        </w:rPr>
      </w:pPr>
    </w:p>
    <w:p w14:paraId="7B686E86">
      <w:pPr>
        <w:adjustRightInd/>
        <w:spacing w:line="360" w:lineRule="auto"/>
        <w:jc w:val="center"/>
        <w:rPr>
          <w:rFonts w:hint="eastAsia" w:ascii="宋体" w:hAnsi="宋体" w:cs="宋体"/>
          <w:b/>
          <w:color w:val="0D0D0D" w:themeColor="text1" w:themeTint="F2"/>
          <w:sz w:val="48"/>
          <w:szCs w:val="48"/>
          <w14:textFill>
            <w14:solidFill>
              <w14:schemeClr w14:val="tx1">
                <w14:lumMod w14:val="95000"/>
                <w14:lumOff w14:val="5000"/>
              </w14:schemeClr>
            </w14:solidFill>
          </w14:textFill>
        </w:rPr>
      </w:pPr>
    </w:p>
    <w:p w14:paraId="706512E6">
      <w:pPr>
        <w:spacing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bookmarkStart w:id="1" w:name="_Hlt67893495"/>
      <w:bookmarkEnd w:id="1"/>
    </w:p>
    <w:p w14:paraId="7092E415">
      <w:pPr>
        <w:spacing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p w14:paraId="4E44F470">
      <w:pPr>
        <w:spacing w:line="360" w:lineRule="auto"/>
        <w:jc w:val="center"/>
        <w:rPr>
          <w:rFonts w:hint="eastAsia" w:ascii="宋体" w:hAnsi="宋体" w:cs="宋体"/>
          <w:b/>
          <w:color w:val="0D0D0D" w:themeColor="text1" w:themeTint="F2"/>
          <w:sz w:val="48"/>
          <w:szCs w:val="48"/>
          <w14:textFill>
            <w14:solidFill>
              <w14:schemeClr w14:val="tx1">
                <w14:lumMod w14:val="95000"/>
                <w14:lumOff w14:val="5000"/>
              </w14:schemeClr>
            </w14:solidFill>
          </w14:textFill>
        </w:rPr>
      </w:pPr>
      <w:r>
        <w:rPr>
          <w:rFonts w:hint="eastAsia" w:ascii="宋体" w:hAnsi="宋体" w:cs="宋体"/>
          <w:b/>
          <w:color w:val="0D0D0D" w:themeColor="text1" w:themeTint="F2"/>
          <w:sz w:val="48"/>
          <w:szCs w:val="48"/>
          <w14:textFill>
            <w14:solidFill>
              <w14:schemeClr w14:val="tx1">
                <w14:lumMod w14:val="95000"/>
                <w14:lumOff w14:val="5000"/>
              </w14:schemeClr>
            </w14:solidFill>
          </w14:textFill>
        </w:rPr>
        <w:t>目  录</w:t>
      </w:r>
    </w:p>
    <w:p w14:paraId="46623B70">
      <w:pPr>
        <w:spacing w:line="360" w:lineRule="auto"/>
        <w:rPr>
          <w:rFonts w:hint="eastAsia" w:ascii="宋体" w:hAnsi="宋体" w:cs="宋体"/>
          <w:color w:val="0D0D0D" w:themeColor="text1" w:themeTint="F2"/>
          <w:sz w:val="32"/>
          <w:szCs w:val="32"/>
          <w14:textFill>
            <w14:solidFill>
              <w14:schemeClr w14:val="tx1">
                <w14:lumMod w14:val="95000"/>
                <w14:lumOff w14:val="5000"/>
              </w14:schemeClr>
            </w14:solidFill>
          </w14:textFill>
        </w:rPr>
      </w:pPr>
    </w:p>
    <w:p w14:paraId="418F0DDB">
      <w:pPr>
        <w:pStyle w:val="42"/>
        <w:tabs>
          <w:tab w:val="right" w:leader="dot" w:pos="9070"/>
        </w:tabs>
        <w:spacing w:line="360" w:lineRule="auto"/>
        <w:rPr>
          <w:rFonts w:hint="eastAsia" w:ascii="宋体" w:hAns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begin"/>
      </w:r>
      <w:r>
        <w:rPr>
          <w:rFonts w:hint="eastAsia" w:ascii="宋体" w:hAnsi="宋体" w:cs="宋体"/>
          <w:color w:val="0D0D0D" w:themeColor="text1" w:themeTint="F2"/>
          <w:sz w:val="28"/>
          <w:szCs w:val="28"/>
          <w14:textFill>
            <w14:solidFill>
              <w14:schemeClr w14:val="tx1">
                <w14:lumMod w14:val="95000"/>
                <w14:lumOff w14:val="5000"/>
              </w14:schemeClr>
            </w14:solidFill>
          </w14:textFill>
        </w:rPr>
        <w:instrText xml:space="preserve">TOC \o "1-1" \h \u </w:instrTex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separate"/>
      </w:r>
      <w:r>
        <w:fldChar w:fldCharType="begin"/>
      </w:r>
      <w:r>
        <w:instrText xml:space="preserve"> HYPERLINK \l "_Toc1090" </w:instrText>
      </w:r>
      <w: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第一部分   招标公告</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ab/>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begin"/>
      </w:r>
      <w:r>
        <w:rPr>
          <w:rFonts w:hint="eastAsia" w:ascii="宋体" w:hAnsi="宋体" w:cs="宋体"/>
          <w:color w:val="0D0D0D" w:themeColor="text1" w:themeTint="F2"/>
          <w:sz w:val="28"/>
          <w:szCs w:val="28"/>
          <w14:textFill>
            <w14:solidFill>
              <w14:schemeClr w14:val="tx1">
                <w14:lumMod w14:val="95000"/>
                <w14:lumOff w14:val="5000"/>
              </w14:schemeClr>
            </w14:solidFill>
          </w14:textFill>
        </w:rPr>
        <w:instrText xml:space="preserve"> PAGEREF _Toc1090 </w:instrTex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3</w: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p>
    <w:p w14:paraId="2813600E">
      <w:pPr>
        <w:pStyle w:val="42"/>
        <w:tabs>
          <w:tab w:val="right" w:leader="dot" w:pos="9070"/>
        </w:tabs>
        <w:spacing w:line="360" w:lineRule="auto"/>
        <w:rPr>
          <w:rFonts w:hint="eastAsia" w:ascii="宋体" w:hAnsi="宋体" w:cs="宋体"/>
          <w:color w:val="0D0D0D" w:themeColor="text1" w:themeTint="F2"/>
          <w:sz w:val="28"/>
          <w:szCs w:val="28"/>
          <w14:textFill>
            <w14:solidFill>
              <w14:schemeClr w14:val="tx1">
                <w14:lumMod w14:val="95000"/>
                <w14:lumOff w14:val="5000"/>
              </w14:schemeClr>
            </w14:solidFill>
          </w14:textFill>
        </w:rPr>
      </w:pPr>
      <w:r>
        <w:fldChar w:fldCharType="begin"/>
      </w:r>
      <w:r>
        <w:instrText xml:space="preserve"> HYPERLINK \l "_Toc4678" </w:instrText>
      </w:r>
      <w: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第二部分   投标人须知</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ab/>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begin"/>
      </w:r>
      <w:r>
        <w:rPr>
          <w:rFonts w:hint="eastAsia" w:ascii="宋体" w:hAnsi="宋体" w:cs="宋体"/>
          <w:color w:val="0D0D0D" w:themeColor="text1" w:themeTint="F2"/>
          <w:sz w:val="28"/>
          <w:szCs w:val="28"/>
          <w14:textFill>
            <w14:solidFill>
              <w14:schemeClr w14:val="tx1">
                <w14:lumMod w14:val="95000"/>
                <w14:lumOff w14:val="5000"/>
              </w14:schemeClr>
            </w14:solidFill>
          </w14:textFill>
        </w:rPr>
        <w:instrText xml:space="preserve"> PAGEREF _Toc4678 </w:instrTex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7</w: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p>
    <w:p w14:paraId="0A58B63B">
      <w:pPr>
        <w:pStyle w:val="42"/>
        <w:tabs>
          <w:tab w:val="right" w:leader="dot" w:pos="9070"/>
        </w:tabs>
        <w:spacing w:line="360" w:lineRule="auto"/>
        <w:rPr>
          <w:rFonts w:hint="eastAsia" w:ascii="宋体" w:hAnsi="宋体" w:cs="宋体"/>
          <w:color w:val="0D0D0D" w:themeColor="text1" w:themeTint="F2"/>
          <w:sz w:val="28"/>
          <w:szCs w:val="28"/>
          <w14:textFill>
            <w14:solidFill>
              <w14:schemeClr w14:val="tx1">
                <w14:lumMod w14:val="95000"/>
                <w14:lumOff w14:val="5000"/>
              </w14:schemeClr>
            </w14:solidFill>
          </w14:textFill>
        </w:rPr>
      </w:pPr>
      <w:r>
        <w:fldChar w:fldCharType="begin"/>
      </w:r>
      <w:r>
        <w:instrText xml:space="preserve"> HYPERLINK \l "_Toc16032" </w:instrText>
      </w:r>
      <w: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第三部分   采购需求</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ab/>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begin"/>
      </w:r>
      <w:r>
        <w:rPr>
          <w:rFonts w:hint="eastAsia" w:ascii="宋体" w:hAnsi="宋体" w:cs="宋体"/>
          <w:color w:val="0D0D0D" w:themeColor="text1" w:themeTint="F2"/>
          <w:sz w:val="28"/>
          <w:szCs w:val="28"/>
          <w14:textFill>
            <w14:solidFill>
              <w14:schemeClr w14:val="tx1">
                <w14:lumMod w14:val="95000"/>
                <w14:lumOff w14:val="5000"/>
              </w14:schemeClr>
            </w14:solidFill>
          </w14:textFill>
        </w:rPr>
        <w:instrText xml:space="preserve"> PAGEREF _Toc16032 </w:instrTex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24</w: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p>
    <w:p w14:paraId="0853B14E">
      <w:pPr>
        <w:pStyle w:val="42"/>
        <w:tabs>
          <w:tab w:val="right" w:leader="dot" w:pos="9070"/>
        </w:tabs>
        <w:spacing w:line="360" w:lineRule="auto"/>
        <w:rPr>
          <w:rFonts w:hint="eastAsia" w:ascii="宋体" w:hAnsi="宋体" w:cs="宋体"/>
          <w:color w:val="0D0D0D" w:themeColor="text1" w:themeTint="F2"/>
          <w:sz w:val="28"/>
          <w:szCs w:val="28"/>
          <w14:textFill>
            <w14:solidFill>
              <w14:schemeClr w14:val="tx1">
                <w14:lumMod w14:val="95000"/>
                <w14:lumOff w14:val="5000"/>
              </w14:schemeClr>
            </w14:solidFill>
          </w14:textFill>
        </w:rPr>
      </w:pPr>
      <w:r>
        <w:fldChar w:fldCharType="begin"/>
      </w:r>
      <w:r>
        <w:instrText xml:space="preserve"> HYPERLINK \l "_Toc20244" </w:instrText>
      </w:r>
      <w: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第四部分   评标办法</w:t>
      </w:r>
      <w:bookmarkStart w:id="420" w:name="_GoBack"/>
      <w:bookmarkEnd w:id="420"/>
      <w:r>
        <w:rPr>
          <w:rFonts w:hint="eastAsia" w:ascii="宋体" w:hAnsi="宋体" w:cs="宋体"/>
          <w:color w:val="0D0D0D" w:themeColor="text1" w:themeTint="F2"/>
          <w:sz w:val="28"/>
          <w:szCs w:val="28"/>
          <w14:textFill>
            <w14:solidFill>
              <w14:schemeClr w14:val="tx1">
                <w14:lumMod w14:val="95000"/>
                <w14:lumOff w14:val="5000"/>
              </w14:schemeClr>
            </w14:solidFill>
          </w14:textFill>
        </w:rPr>
        <w:tab/>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begin"/>
      </w:r>
      <w:r>
        <w:rPr>
          <w:rFonts w:hint="eastAsia" w:ascii="宋体" w:hAnsi="宋体" w:cs="宋体"/>
          <w:color w:val="0D0D0D" w:themeColor="text1" w:themeTint="F2"/>
          <w:sz w:val="28"/>
          <w:szCs w:val="28"/>
          <w14:textFill>
            <w14:solidFill>
              <w14:schemeClr w14:val="tx1">
                <w14:lumMod w14:val="95000"/>
                <w14:lumOff w14:val="5000"/>
              </w14:schemeClr>
            </w14:solidFill>
          </w14:textFill>
        </w:rPr>
        <w:instrText xml:space="preserve"> PAGEREF _Toc20244 </w:instrTex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35</w: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p>
    <w:p w14:paraId="0DC5B5D6">
      <w:pPr>
        <w:pStyle w:val="42"/>
        <w:tabs>
          <w:tab w:val="right" w:leader="dot" w:pos="9070"/>
        </w:tabs>
        <w:spacing w:line="360" w:lineRule="auto"/>
        <w:rPr>
          <w:rFonts w:hint="eastAsia" w:ascii="宋体" w:hAnsi="宋体" w:cs="宋体"/>
          <w:color w:val="0D0D0D" w:themeColor="text1" w:themeTint="F2"/>
          <w:sz w:val="28"/>
          <w:szCs w:val="28"/>
          <w14:textFill>
            <w14:solidFill>
              <w14:schemeClr w14:val="tx1">
                <w14:lumMod w14:val="95000"/>
                <w14:lumOff w14:val="5000"/>
              </w14:schemeClr>
            </w14:solidFill>
          </w14:textFill>
        </w:rPr>
      </w:pPr>
      <w:r>
        <w:fldChar w:fldCharType="begin"/>
      </w:r>
      <w:r>
        <w:instrText xml:space="preserve"> HYPERLINK \l "_Toc8900" </w:instrText>
      </w:r>
      <w: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第五部分   拟签订的参考合同文本</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ab/>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begin"/>
      </w:r>
      <w:r>
        <w:rPr>
          <w:rFonts w:hint="eastAsia" w:ascii="宋体" w:hAnsi="宋体" w:cs="宋体"/>
          <w:color w:val="0D0D0D" w:themeColor="text1" w:themeTint="F2"/>
          <w:sz w:val="28"/>
          <w:szCs w:val="28"/>
          <w14:textFill>
            <w14:solidFill>
              <w14:schemeClr w14:val="tx1">
                <w14:lumMod w14:val="95000"/>
                <w14:lumOff w14:val="5000"/>
              </w14:schemeClr>
            </w14:solidFill>
          </w14:textFill>
        </w:rPr>
        <w:instrText xml:space="preserve"> PAGEREF _Toc8900 </w:instrTex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46</w: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p>
    <w:p w14:paraId="74DD8491">
      <w:pPr>
        <w:pStyle w:val="42"/>
        <w:tabs>
          <w:tab w:val="right" w:leader="dot" w:pos="9070"/>
        </w:tabs>
        <w:spacing w:line="360" w:lineRule="auto"/>
        <w:rPr>
          <w:rFonts w:hint="eastAsia" w:ascii="宋体" w:hAnsi="宋体" w:cs="宋体"/>
          <w:color w:val="0D0D0D" w:themeColor="text1" w:themeTint="F2"/>
          <w:sz w:val="28"/>
          <w:szCs w:val="28"/>
          <w14:textFill>
            <w14:solidFill>
              <w14:schemeClr w14:val="tx1">
                <w14:lumMod w14:val="95000"/>
                <w14:lumOff w14:val="5000"/>
              </w14:schemeClr>
            </w14:solidFill>
          </w14:textFill>
        </w:rPr>
      </w:pPr>
      <w:r>
        <w:fldChar w:fldCharType="begin"/>
      </w:r>
      <w:r>
        <w:instrText xml:space="preserve"> HYPERLINK \l "_Toc10980" </w:instrText>
      </w:r>
      <w: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第六部分   应提交的有关格式范例</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ab/>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begin"/>
      </w:r>
      <w:r>
        <w:rPr>
          <w:rFonts w:hint="eastAsia" w:ascii="宋体" w:hAnsi="宋体" w:cs="宋体"/>
          <w:color w:val="0D0D0D" w:themeColor="text1" w:themeTint="F2"/>
          <w:sz w:val="28"/>
          <w:szCs w:val="28"/>
          <w14:textFill>
            <w14:solidFill>
              <w14:schemeClr w14:val="tx1">
                <w14:lumMod w14:val="95000"/>
                <w14:lumOff w14:val="5000"/>
              </w14:schemeClr>
            </w14:solidFill>
          </w14:textFill>
        </w:rPr>
        <w:instrText xml:space="preserve"> PAGEREF _Toc10980 </w:instrTex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separate"/>
      </w:r>
      <w:r>
        <w:rPr>
          <w:rFonts w:hint="eastAsia" w:ascii="宋体" w:hAnsi="宋体" w:cs="宋体"/>
          <w:color w:val="0D0D0D" w:themeColor="text1" w:themeTint="F2"/>
          <w:sz w:val="28"/>
          <w:szCs w:val="28"/>
          <w14:textFill>
            <w14:solidFill>
              <w14:schemeClr w14:val="tx1">
                <w14:lumMod w14:val="95000"/>
                <w14:lumOff w14:val="5000"/>
              </w14:schemeClr>
            </w14:solidFill>
          </w14:textFill>
        </w:rPr>
        <w:t>55</w:t>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p>
    <w:p w14:paraId="7133A6DC">
      <w:pPr>
        <w:spacing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fldChar w:fldCharType="end"/>
      </w:r>
      <w:bookmarkStart w:id="2" w:name="_Hlt91233176"/>
      <w:bookmarkEnd w:id="2"/>
      <w:bookmarkStart w:id="3" w:name="_Toc91899869"/>
    </w:p>
    <w:p w14:paraId="65952D3F">
      <w:pPr>
        <w:spacing w:line="360" w:lineRule="auto"/>
        <w:ind w:firstLine="549" w:firstLineChars="229"/>
        <w:rPr>
          <w:rFonts w:hint="eastAsia" w:ascii="宋体" w:hAnsi="宋体" w:cs="宋体"/>
          <w:color w:val="0D0D0D" w:themeColor="text1" w:themeTint="F2"/>
          <w:sz w:val="24"/>
          <w14:textFill>
            <w14:solidFill>
              <w14:schemeClr w14:val="tx1">
                <w14:lumMod w14:val="95000"/>
                <w14:lumOff w14:val="5000"/>
              </w14:schemeClr>
            </w14:solidFill>
          </w14:textFill>
        </w:rPr>
      </w:pPr>
    </w:p>
    <w:p w14:paraId="26F5B64F">
      <w:pPr>
        <w:spacing w:line="360" w:lineRule="auto"/>
        <w:ind w:firstLine="549" w:firstLineChars="229"/>
        <w:rPr>
          <w:rFonts w:hint="eastAsia" w:ascii="宋体" w:hAnsi="宋体" w:cs="宋体"/>
          <w:color w:val="0D0D0D" w:themeColor="text1" w:themeTint="F2"/>
          <w:sz w:val="24"/>
          <w14:textFill>
            <w14:solidFill>
              <w14:schemeClr w14:val="tx1">
                <w14:lumMod w14:val="95000"/>
                <w14:lumOff w14:val="5000"/>
              </w14:schemeClr>
            </w14:solidFill>
          </w14:textFill>
        </w:rPr>
      </w:pPr>
    </w:p>
    <w:p w14:paraId="3B5FC82C">
      <w:pPr>
        <w:spacing w:line="360" w:lineRule="auto"/>
        <w:ind w:firstLine="549" w:firstLineChars="229"/>
        <w:rPr>
          <w:rFonts w:hint="eastAsia" w:ascii="宋体" w:hAnsi="宋体" w:cs="宋体"/>
          <w:color w:val="0D0D0D" w:themeColor="text1" w:themeTint="F2"/>
          <w:sz w:val="24"/>
          <w14:textFill>
            <w14:solidFill>
              <w14:schemeClr w14:val="tx1">
                <w14:lumMod w14:val="95000"/>
                <w14:lumOff w14:val="5000"/>
              </w14:schemeClr>
            </w14:solidFill>
          </w14:textFill>
        </w:rPr>
      </w:pPr>
    </w:p>
    <w:p w14:paraId="648F00CC">
      <w:pPr>
        <w:spacing w:line="360" w:lineRule="auto"/>
        <w:ind w:firstLine="549" w:firstLineChars="229"/>
        <w:rPr>
          <w:rFonts w:hint="eastAsia" w:ascii="宋体" w:hAnsi="宋体" w:cs="宋体"/>
          <w:color w:val="0D0D0D" w:themeColor="text1" w:themeTint="F2"/>
          <w:sz w:val="24"/>
          <w14:textFill>
            <w14:solidFill>
              <w14:schemeClr w14:val="tx1">
                <w14:lumMod w14:val="95000"/>
                <w14:lumOff w14:val="5000"/>
              </w14:schemeClr>
            </w14:solidFill>
          </w14:textFill>
        </w:rPr>
      </w:pPr>
    </w:p>
    <w:p w14:paraId="5D1E7084">
      <w:pPr>
        <w:spacing w:line="360" w:lineRule="auto"/>
        <w:ind w:firstLine="549" w:firstLineChars="229"/>
        <w:rPr>
          <w:rFonts w:hint="eastAsia" w:ascii="宋体" w:hAnsi="宋体" w:cs="宋体"/>
          <w:color w:val="0D0D0D" w:themeColor="text1" w:themeTint="F2"/>
          <w:sz w:val="24"/>
          <w14:textFill>
            <w14:solidFill>
              <w14:schemeClr w14:val="tx1">
                <w14:lumMod w14:val="95000"/>
                <w14:lumOff w14:val="5000"/>
              </w14:schemeClr>
            </w14:solidFill>
          </w14:textFill>
        </w:rPr>
      </w:pPr>
    </w:p>
    <w:p w14:paraId="73CF730F">
      <w:pPr>
        <w:spacing w:line="360" w:lineRule="auto"/>
        <w:ind w:firstLine="549" w:firstLineChars="229"/>
        <w:rPr>
          <w:rFonts w:hint="eastAsia" w:ascii="宋体" w:hAnsi="宋体" w:cs="宋体"/>
          <w:color w:val="0D0D0D" w:themeColor="text1" w:themeTint="F2"/>
          <w:sz w:val="24"/>
          <w14:textFill>
            <w14:solidFill>
              <w14:schemeClr w14:val="tx1">
                <w14:lumMod w14:val="95000"/>
                <w14:lumOff w14:val="5000"/>
              </w14:schemeClr>
            </w14:solidFill>
          </w14:textFill>
        </w:rPr>
      </w:pPr>
    </w:p>
    <w:p w14:paraId="787DF0FF">
      <w:pPr>
        <w:spacing w:line="360" w:lineRule="auto"/>
        <w:ind w:firstLine="549" w:firstLineChars="229"/>
        <w:rPr>
          <w:rFonts w:hint="eastAsia" w:ascii="宋体" w:hAnsi="宋体" w:cs="宋体"/>
          <w:color w:val="0D0D0D" w:themeColor="text1" w:themeTint="F2"/>
          <w:sz w:val="24"/>
          <w14:textFill>
            <w14:solidFill>
              <w14:schemeClr w14:val="tx1">
                <w14:lumMod w14:val="95000"/>
                <w14:lumOff w14:val="5000"/>
              </w14:schemeClr>
            </w14:solidFill>
          </w14:textFill>
        </w:rPr>
      </w:pPr>
    </w:p>
    <w:bookmarkEnd w:id="3"/>
    <w:p w14:paraId="12934BDE">
      <w:pPr>
        <w:adjustRightInd/>
        <w:spacing w:line="360" w:lineRule="auto"/>
        <w:jc w:val="center"/>
        <w:outlineLvl w:val="0"/>
        <w:rPr>
          <w:rFonts w:hint="eastAsia" w:ascii="宋体" w:hAnsi="宋体" w:cs="宋体"/>
          <w:b/>
          <w:color w:val="0D0D0D" w:themeColor="text1" w:themeTint="F2"/>
          <w:sz w:val="36"/>
          <w:szCs w:val="20"/>
          <w14:textFill>
            <w14:solidFill>
              <w14:schemeClr w14:val="tx1">
                <w14:lumMod w14:val="95000"/>
                <w14:lumOff w14:val="5000"/>
              </w14:schemeClr>
            </w14:solidFill>
          </w14:textFill>
        </w:rPr>
      </w:pPr>
      <w:bookmarkStart w:id="4" w:name="_Hlt74729822"/>
      <w:bookmarkEnd w:id="4"/>
      <w:bookmarkStart w:id="5" w:name="_Hlt74728647"/>
      <w:bookmarkEnd w:id="5"/>
      <w:bookmarkStart w:id="6" w:name="_Hlt74649545"/>
      <w:bookmarkEnd w:id="6"/>
      <w:bookmarkStart w:id="7" w:name="_Hlt74707423"/>
      <w:bookmarkEnd w:id="7"/>
      <w:bookmarkStart w:id="8" w:name="_Toc1090"/>
      <w:bookmarkStart w:id="9" w:name="第二部分"/>
      <w:bookmarkStart w:id="10" w:name="_Toc91899870"/>
      <w:bookmarkStart w:id="11" w:name="_Toc91899871"/>
      <w:r>
        <w:rPr>
          <w:rFonts w:hint="eastAsia" w:ascii="宋体" w:hAnsi="宋体" w:cs="宋体"/>
          <w:b/>
          <w:color w:val="0D0D0D" w:themeColor="text1" w:themeTint="F2"/>
          <w:sz w:val="36"/>
          <w:szCs w:val="20"/>
          <w14:textFill>
            <w14:solidFill>
              <w14:schemeClr w14:val="tx1">
                <w14:lumMod w14:val="95000"/>
                <w14:lumOff w14:val="5000"/>
              </w14:schemeClr>
            </w14:solidFill>
          </w14:textFill>
        </w:rPr>
        <w:br w:type="page"/>
      </w:r>
    </w:p>
    <w:p w14:paraId="37D24669">
      <w:pPr>
        <w:adjustRightInd/>
        <w:spacing w:line="360" w:lineRule="auto"/>
        <w:jc w:val="center"/>
        <w:outlineLvl w:val="0"/>
        <w:rPr>
          <w:rFonts w:hint="eastAsia" w:ascii="宋体" w:hAnsi="宋体" w:cs="宋体"/>
          <w:b/>
          <w:color w:val="0D0D0D" w:themeColor="text1" w:themeTint="F2"/>
          <w:sz w:val="36"/>
          <w:szCs w:val="20"/>
          <w14:textFill>
            <w14:solidFill>
              <w14:schemeClr w14:val="tx1">
                <w14:lumMod w14:val="95000"/>
                <w14:lumOff w14:val="5000"/>
              </w14:schemeClr>
            </w14:solidFill>
          </w14:textFill>
        </w:rPr>
      </w:pPr>
      <w:r>
        <w:rPr>
          <w:rFonts w:hint="eastAsia" w:ascii="宋体" w:hAnsi="宋体" w:cs="宋体"/>
          <w:b/>
          <w:color w:val="0D0D0D" w:themeColor="text1" w:themeTint="F2"/>
          <w:sz w:val="36"/>
          <w:szCs w:val="20"/>
          <w14:textFill>
            <w14:solidFill>
              <w14:schemeClr w14:val="tx1">
                <w14:lumMod w14:val="95000"/>
                <w14:lumOff w14:val="5000"/>
              </w14:schemeClr>
            </w14:solidFill>
          </w14:textFill>
        </w:rPr>
        <w:t>第一部分 招标公告</w:t>
      </w:r>
      <w:bookmarkEnd w:id="8"/>
    </w:p>
    <w:p w14:paraId="18E3FDEB">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项目概况</w:t>
      </w:r>
    </w:p>
    <w:p w14:paraId="7D90D6B1">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浙江工商职业技术学院工业设计区域特色产业学生创新实训室</w:t>
      </w:r>
      <w:r>
        <w:rPr>
          <w:rFonts w:hint="eastAsia" w:ascii="宋体" w:hAnsi="宋体" w:cs="宋体"/>
          <w:color w:val="0D0D0D" w:themeColor="text1" w:themeTint="F2"/>
          <w:sz w:val="24"/>
          <w14:textFill>
            <w14:solidFill>
              <w14:schemeClr w14:val="tx1">
                <w14:lumMod w14:val="95000"/>
                <w14:lumOff w14:val="5000"/>
              </w14:schemeClr>
            </w14:solidFill>
          </w14:textFill>
        </w:rPr>
        <w:t>招标项目的潜在投标人应在政采云平</w:t>
      </w:r>
      <w:r>
        <w:rPr>
          <w:rFonts w:hint="eastAsia" w:ascii="宋体" w:hAnsi="宋体" w:cs="宋体"/>
          <w:bCs/>
          <w:color w:val="0D0D0D" w:themeColor="text1" w:themeTint="F2"/>
          <w:sz w:val="24"/>
          <w14:textFill>
            <w14:solidFill>
              <w14:schemeClr w14:val="tx1">
                <w14:lumMod w14:val="95000"/>
                <w14:lumOff w14:val="5000"/>
              </w14:schemeClr>
            </w14:solidFill>
          </w14:textFill>
        </w:rPr>
        <w:t>台（</w:t>
      </w:r>
      <w:r>
        <w:fldChar w:fldCharType="begin"/>
      </w:r>
      <w:r>
        <w:instrText xml:space="preserve"> HYPERLINK "https://www.zcygov.cn/）获取（下载）招标文件，并于202%20年%20月%20日%20点%20分00秒" </w:instrText>
      </w:r>
      <w:r>
        <w:fldChar w:fldCharType="separate"/>
      </w:r>
      <w:r>
        <w:rPr>
          <w:rFonts w:hint="eastAsia" w:ascii="宋体" w:hAnsi="宋体" w:cs="宋体"/>
          <w:bCs/>
          <w:color w:val="0D0D0D" w:themeColor="text1" w:themeTint="F2"/>
          <w:sz w:val="24"/>
          <w14:textFill>
            <w14:solidFill>
              <w14:schemeClr w14:val="tx1">
                <w14:lumMod w14:val="95000"/>
                <w14:lumOff w14:val="5000"/>
              </w14:schemeClr>
            </w14:solidFill>
          </w14:textFill>
        </w:rPr>
        <w:t>https://www.zcygov.cn/）获取（下载）招标文件，并于2026年</w:t>
      </w:r>
      <w:r>
        <w:rPr>
          <w:rFonts w:hint="eastAsia" w:ascii="宋体" w:hAnsi="宋体" w:cs="宋体"/>
          <w:bCs/>
          <w:color w:val="0D0D0D" w:themeColor="text1" w:themeTint="F2"/>
          <w:sz w:val="24"/>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14:textFill>
            <w14:solidFill>
              <w14:schemeClr w14:val="tx1">
                <w14:lumMod w14:val="95000"/>
                <w14:lumOff w14:val="5000"/>
              </w14:schemeClr>
            </w14:solidFill>
          </w14:textFill>
        </w:rPr>
        <w:t>月</w:t>
      </w:r>
      <w:r>
        <w:rPr>
          <w:rFonts w:hint="eastAsia" w:ascii="宋体" w:hAnsi="宋体" w:cs="宋体"/>
          <w:bCs/>
          <w:color w:val="0D0D0D" w:themeColor="text1" w:themeTint="F2"/>
          <w:sz w:val="24"/>
          <w:lang w:val="en-US" w:eastAsia="zh-CN"/>
          <w14:textFill>
            <w14:solidFill>
              <w14:schemeClr w14:val="tx1">
                <w14:lumMod w14:val="95000"/>
                <w14:lumOff w14:val="5000"/>
              </w14:schemeClr>
            </w14:solidFill>
          </w14:textFill>
        </w:rPr>
        <w:t>3</w:t>
      </w:r>
      <w:r>
        <w:rPr>
          <w:rFonts w:hint="eastAsia" w:ascii="宋体" w:hAnsi="宋体" w:cs="宋体"/>
          <w:bCs/>
          <w:color w:val="0D0D0D" w:themeColor="text1" w:themeTint="F2"/>
          <w:sz w:val="24"/>
          <w14:textFill>
            <w14:solidFill>
              <w14:schemeClr w14:val="tx1">
                <w14:lumMod w14:val="95000"/>
                <w14:lumOff w14:val="5000"/>
              </w14:schemeClr>
            </w14:solidFill>
          </w14:textFill>
        </w:rPr>
        <w:t>日09时</w:t>
      </w:r>
      <w:r>
        <w:rPr>
          <w:rFonts w:hint="eastAsia" w:ascii="宋体" w:hAnsi="宋体" w:cs="宋体"/>
          <w:bCs/>
          <w:color w:val="0D0D0D" w:themeColor="text1" w:themeTint="F2"/>
          <w:sz w:val="24"/>
          <w:lang w:val="en-US" w:eastAsia="zh-CN"/>
          <w14:textFill>
            <w14:solidFill>
              <w14:schemeClr w14:val="tx1">
                <w14:lumMod w14:val="95000"/>
                <w14:lumOff w14:val="5000"/>
              </w14:schemeClr>
            </w14:solidFill>
          </w14:textFill>
        </w:rPr>
        <w:t>15</w:t>
      </w:r>
      <w:r>
        <w:rPr>
          <w:rFonts w:hint="eastAsia" w:ascii="宋体" w:hAnsi="宋体" w:cs="宋体"/>
          <w:bCs/>
          <w:color w:val="0D0D0D" w:themeColor="text1" w:themeTint="F2"/>
          <w:sz w:val="24"/>
          <w14:textFill>
            <w14:solidFill>
              <w14:schemeClr w14:val="tx1">
                <w14:lumMod w14:val="95000"/>
                <w14:lumOff w14:val="5000"/>
              </w14:schemeClr>
            </w14:solidFill>
          </w14:textFill>
        </w:rPr>
        <w:t>分</w:t>
      </w:r>
      <w:r>
        <w:rPr>
          <w:rFonts w:hint="eastAsia" w:ascii="宋体" w:hAnsi="宋体" w:cs="宋体"/>
          <w:bCs/>
          <w:color w:val="0D0D0D" w:themeColor="text1" w:themeTint="F2"/>
          <w:sz w:val="24"/>
          <w14:textFill>
            <w14:solidFill>
              <w14:schemeClr w14:val="tx1">
                <w14:lumMod w14:val="95000"/>
                <w14:lumOff w14:val="5000"/>
              </w14:schemeClr>
            </w14:solidFill>
          </w14:textFill>
        </w:rPr>
        <w:fldChar w:fldCharType="end"/>
      </w:r>
      <w:r>
        <w:rPr>
          <w:rFonts w:hint="eastAsia" w:ascii="宋体" w:hAnsi="宋体" w:cs="宋体"/>
          <w:bCs/>
          <w:color w:val="0D0D0D" w:themeColor="text1" w:themeTint="F2"/>
          <w:sz w:val="24"/>
          <w14:textFill>
            <w14:solidFill>
              <w14:schemeClr w14:val="tx1">
                <w14:lumMod w14:val="95000"/>
                <w14:lumOff w14:val="5000"/>
              </w14:schemeClr>
            </w14:solidFill>
          </w14:textFill>
        </w:rPr>
        <w:t>（北京时间）前</w:t>
      </w:r>
      <w:r>
        <w:rPr>
          <w:rFonts w:hint="eastAsia" w:ascii="宋体" w:hAnsi="宋体" w:cs="宋体"/>
          <w:color w:val="0D0D0D" w:themeColor="text1" w:themeTint="F2"/>
          <w:sz w:val="24"/>
          <w14:textFill>
            <w14:solidFill>
              <w14:schemeClr w14:val="tx1">
                <w14:lumMod w14:val="95000"/>
                <w14:lumOff w14:val="5000"/>
              </w14:schemeClr>
            </w14:solidFill>
          </w14:textFill>
        </w:rPr>
        <w:t>递交（上传）投标文件。</w:t>
      </w:r>
    </w:p>
    <w:p w14:paraId="38893897">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 xml:space="preserve">一、项目基本情况                                            </w:t>
      </w:r>
    </w:p>
    <w:p w14:paraId="034CCF1A">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项目编号：</w:t>
      </w:r>
      <w:r>
        <w:rPr>
          <w:rFonts w:hint="eastAsia" w:ascii="宋体" w:hAnsi="宋体" w:cs="宋体"/>
          <w:bCs/>
          <w:color w:val="0D0D0D" w:themeColor="text1" w:themeTint="F2"/>
          <w:sz w:val="24"/>
          <w14:textFill>
            <w14:solidFill>
              <w14:schemeClr w14:val="tx1">
                <w14:lumMod w14:val="95000"/>
                <w14:lumOff w14:val="5000"/>
              </w14:schemeClr>
            </w14:solidFill>
          </w14:textFill>
        </w:rPr>
        <w:t>330000263030420000034-ZJZX-ZJGS202603G</w:t>
      </w:r>
    </w:p>
    <w:p w14:paraId="34B1CE8B">
      <w:pPr>
        <w:spacing w:after="0" w:line="360" w:lineRule="auto"/>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项目名称：</w:t>
      </w:r>
      <w:r>
        <w:rPr>
          <w:rFonts w:hint="eastAsia" w:ascii="宋体" w:hAnsi="宋体" w:cs="宋体"/>
          <w:bCs/>
          <w:color w:val="0D0D0D" w:themeColor="text1" w:themeTint="F2"/>
          <w:sz w:val="24"/>
          <w14:textFill>
            <w14:solidFill>
              <w14:schemeClr w14:val="tx1">
                <w14:lumMod w14:val="95000"/>
                <w14:lumOff w14:val="5000"/>
              </w14:schemeClr>
            </w14:solidFill>
          </w14:textFill>
        </w:rPr>
        <w:t>浙江工商职业技术学院工业设计区域特色产业学生创新实训室</w:t>
      </w:r>
    </w:p>
    <w:p w14:paraId="244D89E2">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预算金额（元）：</w:t>
      </w:r>
      <w:r>
        <w:rPr>
          <w:rFonts w:hint="eastAsia" w:ascii="宋体" w:hAnsi="宋体" w:cs="宋体"/>
          <w:bCs/>
          <w:color w:val="0D0D0D" w:themeColor="text1" w:themeTint="F2"/>
          <w:sz w:val="24"/>
          <w14:textFill>
            <w14:solidFill>
              <w14:schemeClr w14:val="tx1">
                <w14:lumMod w14:val="95000"/>
                <w14:lumOff w14:val="5000"/>
              </w14:schemeClr>
            </w14:solidFill>
          </w14:textFill>
        </w:rPr>
        <w:t>348600</w:t>
      </w:r>
    </w:p>
    <w:p w14:paraId="4DAF7659">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最高限价（元）：</w:t>
      </w:r>
      <w:r>
        <w:rPr>
          <w:rFonts w:hint="eastAsia" w:ascii="宋体" w:hAnsi="宋体" w:cs="宋体"/>
          <w:bCs/>
          <w:color w:val="0D0D0D" w:themeColor="text1" w:themeTint="F2"/>
          <w:sz w:val="24"/>
          <w14:textFill>
            <w14:solidFill>
              <w14:schemeClr w14:val="tx1">
                <w14:lumMod w14:val="95000"/>
                <w14:lumOff w14:val="5000"/>
              </w14:schemeClr>
            </w14:solidFill>
          </w14:textFill>
        </w:rPr>
        <w:t>348600</w:t>
      </w:r>
    </w:p>
    <w:p w14:paraId="5F5C069A">
      <w:pPr>
        <w:spacing w:after="0" w:line="360" w:lineRule="auto"/>
        <w:ind w:firstLine="480"/>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采购需求：</w:t>
      </w:r>
    </w:p>
    <w:p w14:paraId="68762CB7">
      <w:pPr>
        <w:spacing w:after="0" w:line="360" w:lineRule="auto"/>
        <w:ind w:firstLine="720"/>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标项名称:工业设计区域特色产业学生创新实训室 </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数量: 1  </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预算金额（元）:348600</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简要规格描述或项目基本概况介绍、用途：详见“第三部分  采购需求”。 </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备注：/ </w:t>
      </w:r>
    </w:p>
    <w:p w14:paraId="189E6277">
      <w:pPr>
        <w:spacing w:after="0" w:line="360" w:lineRule="auto"/>
        <w:ind w:firstLine="720"/>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合同履约期限：标项1，合同签订后30个工作日内完成交付。</w:t>
      </w:r>
    </w:p>
    <w:p w14:paraId="0F343DFC">
      <w:pPr>
        <w:spacing w:after="0" w:line="360" w:lineRule="auto"/>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    本项目（否）接受联合体投标。</w:t>
      </w:r>
    </w:p>
    <w:p w14:paraId="623A9C59">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二、</w:t>
      </w:r>
      <w:bookmarkStart w:id="12" w:name="_Hlk101132948"/>
      <w:r>
        <w:rPr>
          <w:rFonts w:hint="eastAsia" w:ascii="宋体" w:hAnsi="宋体" w:cs="宋体"/>
          <w:b/>
          <w:color w:val="0D0D0D" w:themeColor="text1" w:themeTint="F2"/>
          <w:sz w:val="24"/>
          <w14:textFill>
            <w14:solidFill>
              <w14:schemeClr w14:val="tx1">
                <w14:lumMod w14:val="95000"/>
                <w14:lumOff w14:val="5000"/>
              </w14:schemeClr>
            </w14:solidFill>
          </w14:textFill>
        </w:rPr>
        <w:t>申请人的资格要求</w:t>
      </w:r>
      <w:bookmarkEnd w:id="12"/>
      <w:r>
        <w:rPr>
          <w:rFonts w:hint="eastAsia" w:ascii="宋体" w:hAnsi="宋体" w:cs="宋体"/>
          <w:b/>
          <w:color w:val="0D0D0D" w:themeColor="text1" w:themeTint="F2"/>
          <w:sz w:val="24"/>
          <w14:textFill>
            <w14:solidFill>
              <w14:schemeClr w14:val="tx1">
                <w14:lumMod w14:val="95000"/>
                <w14:lumOff w14:val="5000"/>
              </w14:schemeClr>
            </w14:solidFill>
          </w14:textFill>
        </w:rPr>
        <w:t>：</w:t>
      </w:r>
    </w:p>
    <w:p w14:paraId="7D8CFE2F">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满足《中华人民共和国政府采购法》第二十二条规定；未被“信用中国”（www.creditchina.gov.cn)、中国政府采购网（www.ccgp.gov.cn）列入失信被执行人、重大税收违法失信主体、政府采购严重违法失信行为记录名单。</w:t>
      </w:r>
    </w:p>
    <w:p w14:paraId="25005AF2">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2.落实政府采购政策需满足的资格要求：无。 </w:t>
      </w:r>
    </w:p>
    <w:p w14:paraId="19ADB1C9">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3.本项目的特定资格要求：无</w:t>
      </w:r>
    </w:p>
    <w:p w14:paraId="378A2484">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 xml:space="preserve">三、获取招标文件 </w:t>
      </w:r>
    </w:p>
    <w:p w14:paraId="49A7B425">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时间：</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至</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2026年</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月</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日</w:t>
      </w:r>
      <w:r>
        <w:rPr>
          <w:rFonts w:hint="eastAsia" w:ascii="宋体" w:hAnsi="宋体" w:cs="宋体"/>
          <w:color w:val="0D0D0D" w:themeColor="text1" w:themeTint="F2"/>
          <w:sz w:val="24"/>
          <w14:textFill>
            <w14:solidFill>
              <w14:schemeClr w14:val="tx1">
                <w14:lumMod w14:val="95000"/>
                <w14:lumOff w14:val="5000"/>
              </w14:schemeClr>
            </w14:solidFill>
          </w14:textFill>
        </w:rPr>
        <w:t>，每天上午00:00至12:00 ，下午12:00至23:59（北京时间，线上获取法定节假日均可，线下获取文件法定节假日除外）</w:t>
      </w:r>
    </w:p>
    <w:p w14:paraId="41B6C143">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地点（网址）：</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政采云平台（https://www.zcygov.cn/） </w:t>
      </w:r>
    </w:p>
    <w:p w14:paraId="1B210EAB">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方式：</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供应商登录政采云平台https://www.zcygov.cn/在线申请获取采购文件（进入“项目采购”应用，在获取采购文件菜单中选择项目，申请获取采购文件）。 </w:t>
      </w:r>
    </w:p>
    <w:p w14:paraId="5E3C7C1A">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售价（元）：</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0 </w:t>
      </w:r>
      <w:r>
        <w:rPr>
          <w:rFonts w:hint="eastAsia" w:ascii="宋体" w:hAnsi="宋体" w:cs="宋体"/>
          <w:color w:val="0D0D0D" w:themeColor="text1" w:themeTint="F2"/>
          <w:sz w:val="24"/>
          <w14:textFill>
            <w14:solidFill>
              <w14:schemeClr w14:val="tx1">
                <w14:lumMod w14:val="95000"/>
                <w14:lumOff w14:val="5000"/>
              </w14:schemeClr>
            </w14:solidFill>
          </w14:textFill>
        </w:rPr>
        <w:tab/>
      </w:r>
    </w:p>
    <w:p w14:paraId="5171E44F">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四、提交投标文件截止时间、开标时间和地点</w:t>
      </w:r>
    </w:p>
    <w:p w14:paraId="19509600">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提交投标文件截止时间：</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2026年</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月</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日09时</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15</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分</w:t>
      </w:r>
      <w:r>
        <w:rPr>
          <w:rFonts w:hint="eastAsia" w:ascii="宋体" w:hAnsi="宋体" w:cs="宋体"/>
          <w:color w:val="0D0D0D" w:themeColor="text1" w:themeTint="F2"/>
          <w:sz w:val="24"/>
          <w14:textFill>
            <w14:solidFill>
              <w14:schemeClr w14:val="tx1">
                <w14:lumMod w14:val="95000"/>
                <w14:lumOff w14:val="5000"/>
              </w14:schemeClr>
            </w14:solidFill>
          </w14:textFill>
        </w:rPr>
        <w:t>（北京时间）</w:t>
      </w:r>
    </w:p>
    <w:p w14:paraId="439735AC">
      <w:pPr>
        <w:spacing w:after="0" w:line="360" w:lineRule="auto"/>
        <w:ind w:firstLine="482" w:firstLineChars="200"/>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投标地点（网址）：</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政采云平台（https://www.zcygov.cn/） </w:t>
      </w:r>
    </w:p>
    <w:p w14:paraId="1AF2DFC1">
      <w:pPr>
        <w:spacing w:after="0" w:line="360" w:lineRule="auto"/>
        <w:ind w:firstLine="482" w:firstLineChars="200"/>
        <w:rPr>
          <w:rFonts w:hint="eastAsia" w:ascii="宋体" w:hAnsi="宋体" w:cs="宋体"/>
          <w:bCs/>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开标时间：</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2026年</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月</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日09时</w:t>
      </w:r>
      <w:r>
        <w:rPr>
          <w:rFonts w:hint="eastAsia" w:ascii="宋体" w:hAnsi="宋体" w:cs="宋体"/>
          <w:color w:val="0D0D0D" w:themeColor="text1" w:themeTint="F2"/>
          <w:sz w:val="24"/>
          <w:u w:val="single"/>
          <w:lang w:val="en-US" w:eastAsia="zh-CN"/>
          <w14:textFill>
            <w14:solidFill>
              <w14:schemeClr w14:val="tx1">
                <w14:lumMod w14:val="95000"/>
                <w14:lumOff w14:val="5000"/>
              </w14:schemeClr>
            </w14:solidFill>
          </w14:textFill>
        </w:rPr>
        <w:t>15</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分</w:t>
      </w:r>
    </w:p>
    <w:p w14:paraId="727EA18A">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开标地点（网址）：</w:t>
      </w:r>
      <w:r>
        <w:rPr>
          <w:rFonts w:hint="eastAsia" w:ascii="宋体" w:hAnsi="宋体" w:cs="宋体"/>
          <w:color w:val="0D0D0D" w:themeColor="text1" w:themeTint="F2"/>
          <w:sz w:val="24"/>
          <w14:textFill>
            <w14:solidFill>
              <w14:schemeClr w14:val="tx1">
                <w14:lumMod w14:val="95000"/>
                <w14:lumOff w14:val="5000"/>
              </w14:schemeClr>
            </w14:solidFill>
          </w14:textFill>
        </w:rPr>
        <w:t>政采云平台（https://www.zcygov.cn/）</w:t>
      </w:r>
    </w:p>
    <w:p w14:paraId="7F080E56">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 xml:space="preserve">五、公告期限 </w:t>
      </w:r>
    </w:p>
    <w:p w14:paraId="731AE5F6">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自本公告发布之日起5个工作日。</w:t>
      </w:r>
    </w:p>
    <w:p w14:paraId="69F4FDC9">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六、其他补充事宜</w:t>
      </w:r>
    </w:p>
    <w:p w14:paraId="76B8E5C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2E52FFDF">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12ED113">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    4.其他事项：</w:t>
      </w:r>
      <w:bookmarkStart w:id="13" w:name="OLE_LINK2"/>
      <w:r>
        <w:rPr>
          <w:rFonts w:hint="eastAsia" w:ascii="宋体" w:hAnsi="宋体" w:cs="宋体"/>
          <w:color w:val="0D0D0D" w:themeColor="text1" w:themeTint="F2"/>
          <w:sz w:val="24"/>
          <w14:textFill>
            <w14:solidFill>
              <w14:schemeClr w14:val="tx1">
                <w14:lumMod w14:val="95000"/>
                <w14:lumOff w14:val="5000"/>
              </w14:schemeClr>
            </w14:solidFill>
          </w14:textFill>
        </w:rPr>
        <w:t>（1）采购项目需要落实的政府采购政策：《政府采购促进中小企业发展管理办法》、《关于促进残疾人就业政府采购政策的通知》（财库〔2017〕141号）、《关于政府采购支持监狱企业发展有关问题的通知》（财库[2014]68号）、《关于调整优化节能产品环境标志产品政府采购执行机制的通知》（财库[2019]9号）。</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（2）本项目采取电子招投标，电子招投标有关事项说明：</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A.本项目通过“浙江政府采购网（http://zfcg.czt.zj.gov.cn）”实行电子投标，供应商须安装客户端软件，并按照招标文件和电子交易平台的要求制作投标文件。</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客户端软件下载方式：供应商可通过“浙江政府采购网-下载专区-电子交易客户端”进行下载。</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B.供应商须申领CA，并在浙江政府采购网完成绑定方可进行投标文件的编制，CA相关操作可参考“浙江政府采购网-下载专区-电子交易客户端-CA驱动和申领流程”。</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（3）单位负责人为同一人或者存在直接控股、管理关系的不同供应商，不得同时参加同一合同项下的投标。</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（4）为项目提供整体设计、规范编制或者项目管理、监理、检测等服务的供应商，不得参加该项目的投标</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color w:val="0D0D0D" w:themeColor="text1" w:themeTint="F2"/>
          <w:sz w:val="24"/>
          <w14:textFill>
            <w14:solidFill>
              <w14:schemeClr w14:val="tx1">
                <w14:lumMod w14:val="95000"/>
                <w14:lumOff w14:val="5000"/>
              </w14:schemeClr>
            </w14:solidFill>
          </w14:textFill>
        </w:rPr>
        <w:t>（5）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 </w:t>
      </w:r>
    </w:p>
    <w:bookmarkEnd w:id="13"/>
    <w:p w14:paraId="3C178F2F">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七、对本次采购提出询问、质疑、投诉，请按以下方式联系</w:t>
      </w:r>
    </w:p>
    <w:p w14:paraId="6EDCCA46">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1.采购人信息</w:t>
      </w:r>
    </w:p>
    <w:p w14:paraId="2748D538">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名    称：浙江工商职业技术学院 </w:t>
      </w:r>
    </w:p>
    <w:p w14:paraId="30288D8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地址：宁波市机场路1988号</w:t>
      </w:r>
    </w:p>
    <w:p w14:paraId="1EC93E4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项目联系人（询问）：尤倩子</w:t>
      </w:r>
    </w:p>
    <w:p w14:paraId="29669D9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联系方式（询问）：</w:t>
      </w:r>
      <w:bookmarkStart w:id="14" w:name="OLE_LINK10"/>
      <w:bookmarkEnd w:id="14"/>
      <w:r>
        <w:rPr>
          <w:rFonts w:hint="eastAsia" w:ascii="宋体" w:hAnsi="宋体" w:cs="宋体"/>
          <w:color w:val="0D0D0D" w:themeColor="text1" w:themeTint="F2"/>
          <w:sz w:val="24"/>
          <w14:textFill>
            <w14:solidFill>
              <w14:schemeClr w14:val="tx1">
                <w14:lumMod w14:val="95000"/>
                <w14:lumOff w14:val="5000"/>
              </w14:schemeClr>
            </w14:solidFill>
          </w14:textFill>
        </w:rPr>
        <w:t>13486020855</w:t>
      </w:r>
    </w:p>
    <w:p w14:paraId="60B81FA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项目质疑联系人：陈老师</w:t>
      </w:r>
    </w:p>
    <w:p w14:paraId="12A3A1F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联系电话：0574-87422200</w:t>
      </w:r>
    </w:p>
    <w:p w14:paraId="2A8A2999">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质疑邮箱：zcc@zjbti.net.cn</w:t>
      </w:r>
    </w:p>
    <w:p w14:paraId="116A9F63">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2.采购代理机构信息            </w:t>
      </w:r>
    </w:p>
    <w:p w14:paraId="42715369">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名    称：浙江致信招标代理有限公司</w:t>
      </w:r>
    </w:p>
    <w:p w14:paraId="1099B0B3">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    址：</w:t>
      </w:r>
      <w:r>
        <w:rPr>
          <w:rFonts w:hint="eastAsia" w:ascii="宋体" w:hAnsi="宋体" w:cs="宋体"/>
          <w:bCs/>
          <w:sz w:val="24"/>
        </w:rPr>
        <w:t>宁波市翠柏路89号宁波工程学院公共培训平台大楼A座1112室</w:t>
      </w:r>
    </w:p>
    <w:p w14:paraId="731C766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业务联系人：</w:t>
      </w:r>
      <w:bookmarkStart w:id="15" w:name="OLE_LINK3"/>
      <w:bookmarkStart w:id="16" w:name="OLE_LINK7"/>
      <w:r>
        <w:rPr>
          <w:rFonts w:hint="eastAsia" w:ascii="宋体" w:hAnsi="宋体" w:cs="宋体"/>
          <w:color w:val="0D0D0D" w:themeColor="text1" w:themeTint="F2"/>
          <w:sz w:val="24"/>
          <w14:textFill>
            <w14:solidFill>
              <w14:schemeClr w14:val="tx1">
                <w14:lumMod w14:val="95000"/>
                <w14:lumOff w14:val="5000"/>
              </w14:schemeClr>
            </w14:solidFill>
          </w14:textFill>
        </w:rPr>
        <w:t>毛建华、</w:t>
      </w:r>
      <w:bookmarkEnd w:id="15"/>
      <w:r>
        <w:rPr>
          <w:rFonts w:hint="eastAsia" w:ascii="宋体" w:hAnsi="宋体" w:cs="宋体"/>
          <w:color w:val="0D0D0D" w:themeColor="text1" w:themeTint="F2"/>
          <w:sz w:val="24"/>
          <w14:textFill>
            <w14:solidFill>
              <w14:schemeClr w14:val="tx1">
                <w14:lumMod w14:val="95000"/>
                <w14:lumOff w14:val="5000"/>
              </w14:schemeClr>
            </w14:solidFill>
          </w14:textFill>
        </w:rPr>
        <w:t>徐锦峰、俞磊、胡月月、朱梅</w:t>
      </w:r>
      <w:bookmarkStart w:id="17" w:name="OLE_LINK12"/>
      <w:r>
        <w:rPr>
          <w:rFonts w:hint="eastAsia" w:ascii="宋体" w:hAnsi="宋体" w:cs="宋体"/>
          <w:color w:val="0D0D0D" w:themeColor="text1" w:themeTint="F2"/>
          <w:sz w:val="24"/>
          <w14:textFill>
            <w14:solidFill>
              <w14:schemeClr w14:val="tx1">
                <w14:lumMod w14:val="95000"/>
                <w14:lumOff w14:val="5000"/>
              </w14:schemeClr>
            </w14:solidFill>
          </w14:textFill>
        </w:rPr>
        <w:t>黎、沈诗佳</w:t>
      </w:r>
      <w:bookmarkEnd w:id="16"/>
      <w:bookmarkEnd w:id="17"/>
    </w:p>
    <w:p w14:paraId="25F824AB">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联系电话：</w:t>
      </w:r>
      <w:bookmarkStart w:id="18" w:name="OLE_LINK4"/>
      <w:r>
        <w:rPr>
          <w:rFonts w:hint="eastAsia" w:ascii="宋体" w:hAnsi="宋体" w:cs="宋体"/>
          <w:color w:val="0D0D0D" w:themeColor="text1" w:themeTint="F2"/>
          <w:sz w:val="24"/>
          <w14:textFill>
            <w14:solidFill>
              <w14:schemeClr w14:val="tx1">
                <w14:lumMod w14:val="95000"/>
                <w14:lumOff w14:val="5000"/>
              </w14:schemeClr>
            </w14:solidFill>
          </w14:textFill>
        </w:rPr>
        <w:t xml:space="preserve">0574-82825199、15258368500 </w:t>
      </w:r>
      <w:bookmarkEnd w:id="18"/>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w:t>
      </w:r>
    </w:p>
    <w:p w14:paraId="3BA36B58">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传    真：</w:t>
      </w:r>
    </w:p>
    <w:p w14:paraId="0759E3CB">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质疑联系人：张小燕        </w:t>
      </w:r>
    </w:p>
    <w:p w14:paraId="1E84878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联系电话：0571-88026807</w:t>
      </w:r>
    </w:p>
    <w:p w14:paraId="5D5073B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网站系统问题咨询：注册、账号等，4008817190</w:t>
      </w:r>
    </w:p>
    <w:p w14:paraId="7274820E">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3.该项目由采购人处理采购争议。质疑环节，采购人委托采购代理机构处理的，可由采购代理机构答复。对质疑答复不满意的，向采购人内部设置的采购监督机构反映。 </w:t>
      </w:r>
    </w:p>
    <w:p w14:paraId="7AAE4AF8">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0B7EFDE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政策咨询：何一平、冯华，0571-87058424、87055741</w:t>
      </w:r>
    </w:p>
    <w:p w14:paraId="21DFAA30">
      <w:pPr>
        <w:spacing w:after="0" w:line="360" w:lineRule="auto"/>
        <w:ind w:firstLine="480" w:firstLineChars="200"/>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预算金额未达100万元的采购项目，由采购人处理采购争议。</w:t>
      </w:r>
      <w:r>
        <w:rPr>
          <w:rFonts w:hint="eastAsia" w:ascii="宋体" w:hAnsi="宋体" w:cs="宋体"/>
          <w:color w:val="0D0D0D" w:themeColor="text1" w:themeTint="F2"/>
          <w:sz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sz w:val="27"/>
          <w:szCs w:val="27"/>
          <w14:textFill>
            <w14:solidFill>
              <w14:schemeClr w14:val="tx1">
                <w14:lumMod w14:val="95000"/>
                <w14:lumOff w14:val="5000"/>
              </w14:schemeClr>
            </w14:solidFill>
          </w14:textFill>
        </w:rPr>
        <w:t>         </w:t>
      </w:r>
    </w:p>
    <w:p w14:paraId="1C90C569">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若对项目采购电子交易系统操作有疑问，可登录政采云（https://www.zcygov.cn/），点击右侧咨询小采，获取采小蜜智能服务管家帮助，或拨打政采云服务热线95763获取热线服务帮助。</w:t>
      </w:r>
    </w:p>
    <w:p w14:paraId="78F21C0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CA问题联系电话（人工）：汇信CA 400-888-4636；天谷CA 400-087-8198。</w:t>
      </w:r>
    </w:p>
    <w:p w14:paraId="7B2AB619">
      <w:pPr>
        <w:pStyle w:val="32"/>
        <w:spacing w:line="360" w:lineRule="auto"/>
        <w:rPr>
          <w:rFonts w:hint="eastAsia" w:hAnsi="宋体" w:cs="宋体"/>
          <w:b/>
          <w:color w:val="0D0D0D" w:themeColor="text1" w:themeTint="F2"/>
          <w:sz w:val="36"/>
          <w:szCs w:val="20"/>
          <w14:textFill>
            <w14:solidFill>
              <w14:schemeClr w14:val="tx1">
                <w14:lumMod w14:val="95000"/>
                <w14:lumOff w14:val="5000"/>
              </w14:schemeClr>
            </w14:solidFill>
          </w14:textFill>
        </w:rPr>
      </w:pPr>
    </w:p>
    <w:p w14:paraId="3098D0B3">
      <w:pPr>
        <w:pStyle w:val="3"/>
        <w:rPr>
          <w:rFonts w:hint="eastAsia" w:ascii="宋体" w:hAnsi="宋体" w:eastAsia="宋体" w:cs="宋体"/>
          <w:snapToGrid w:val="0"/>
          <w:color w:val="0D0D0D" w:themeColor="text1" w:themeTint="F2"/>
          <w14:textFill>
            <w14:solidFill>
              <w14:schemeClr w14:val="tx1">
                <w14:lumMod w14:val="95000"/>
                <w14:lumOff w14:val="5000"/>
              </w14:schemeClr>
            </w14:solidFill>
          </w14:textFill>
        </w:rPr>
      </w:pPr>
      <w:r>
        <w:rPr>
          <w:rFonts w:hint="eastAsia" w:ascii="宋体" w:hAnsi="宋体" w:eastAsia="宋体" w:cs="宋体"/>
          <w:color w:val="0D0D0D" w:themeColor="text1" w:themeTint="F2"/>
          <w14:textFill>
            <w14:solidFill>
              <w14:schemeClr w14:val="tx1">
                <w14:lumMod w14:val="95000"/>
                <w14:lumOff w14:val="5000"/>
              </w14:schemeClr>
            </w14:solidFill>
          </w14:textFill>
        </w:rPr>
        <w:br w:type="page"/>
      </w:r>
    </w:p>
    <w:p w14:paraId="718B20FE">
      <w:pPr>
        <w:adjustRightInd/>
        <w:spacing w:line="360" w:lineRule="auto"/>
        <w:jc w:val="center"/>
        <w:outlineLvl w:val="0"/>
        <w:rPr>
          <w:rFonts w:hint="eastAsia" w:ascii="宋体" w:hAnsi="宋体" w:cs="宋体"/>
          <w:b/>
          <w:color w:val="0D0D0D" w:themeColor="text1" w:themeTint="F2"/>
          <w:sz w:val="36"/>
          <w:szCs w:val="20"/>
          <w14:textFill>
            <w14:solidFill>
              <w14:schemeClr w14:val="tx1">
                <w14:lumMod w14:val="95000"/>
                <w14:lumOff w14:val="5000"/>
              </w14:schemeClr>
            </w14:solidFill>
          </w14:textFill>
        </w:rPr>
      </w:pPr>
      <w:bookmarkStart w:id="19" w:name="_Toc4678"/>
      <w:r>
        <w:rPr>
          <w:rFonts w:hint="eastAsia" w:ascii="宋体" w:hAnsi="宋体" w:cs="宋体"/>
          <w:b/>
          <w:color w:val="0D0D0D" w:themeColor="text1" w:themeTint="F2"/>
          <w:sz w:val="36"/>
          <w:szCs w:val="20"/>
          <w14:textFill>
            <w14:solidFill>
              <w14:schemeClr w14:val="tx1">
                <w14:lumMod w14:val="95000"/>
                <w14:lumOff w14:val="5000"/>
              </w14:schemeClr>
            </w14:solidFill>
          </w14:textFill>
        </w:rPr>
        <w:t>第二部分</w:t>
      </w:r>
      <w:bookmarkEnd w:id="9"/>
      <w:r>
        <w:rPr>
          <w:rFonts w:hint="eastAsia" w:ascii="宋体" w:hAnsi="宋体" w:cs="宋体"/>
          <w:b/>
          <w:color w:val="0D0D0D" w:themeColor="text1" w:themeTint="F2"/>
          <w:sz w:val="36"/>
          <w:szCs w:val="20"/>
          <w14:textFill>
            <w14:solidFill>
              <w14:schemeClr w14:val="tx1">
                <w14:lumMod w14:val="95000"/>
                <w14:lumOff w14:val="5000"/>
              </w14:schemeClr>
            </w14:solidFill>
          </w14:textFill>
        </w:rPr>
        <w:t xml:space="preserve"> 投标人须知</w:t>
      </w:r>
      <w:bookmarkEnd w:id="10"/>
      <w:bookmarkEnd w:id="19"/>
    </w:p>
    <w:p w14:paraId="49715F9B">
      <w:pPr>
        <w:adjustRightInd/>
        <w:spacing w:line="360" w:lineRule="auto"/>
        <w:ind w:firstLine="3845" w:firstLineChars="1197"/>
        <w:outlineLvl w:val="0"/>
        <w:rPr>
          <w:rFonts w:hint="eastAsia" w:ascii="宋体" w:hAnsi="宋体" w:cs="宋体"/>
          <w:b/>
          <w:color w:val="0D0D0D" w:themeColor="text1" w:themeTint="F2"/>
          <w:sz w:val="32"/>
          <w:szCs w:val="20"/>
          <w:vertAlign w:val="baseline"/>
          <w14:textFill>
            <w14:solidFill>
              <w14:schemeClr w14:val="tx1">
                <w14:lumMod w14:val="95000"/>
                <w14:lumOff w14:val="5000"/>
              </w14:schemeClr>
            </w14:solidFill>
          </w14:textFill>
        </w:rPr>
      </w:pPr>
      <w:bookmarkStart w:id="20" w:name="_Toc31047"/>
      <w:r>
        <w:rPr>
          <w:rFonts w:hint="eastAsia" w:ascii="宋体" w:hAnsi="宋体" w:cs="宋体"/>
          <w:b/>
          <w:color w:val="0D0D0D" w:themeColor="text1" w:themeTint="F2"/>
          <w:sz w:val="32"/>
          <w:szCs w:val="20"/>
          <w:lang w:eastAsia="zh-CN"/>
          <w14:textFill>
            <w14:solidFill>
              <w14:schemeClr w14:val="tx1">
                <w14:lumMod w14:val="95000"/>
                <w14:lumOff w14:val="5000"/>
              </w14:schemeClr>
            </w14:solidFill>
          </w14:textFill>
        </w:rPr>
        <w:t>前</w:t>
      </w:r>
      <w:r>
        <w:rPr>
          <w:rFonts w:hint="eastAsia" w:ascii="宋体" w:hAnsi="宋体" w:cs="宋体"/>
          <w:b/>
          <w:color w:val="0D0D0D" w:themeColor="text1" w:themeTint="F2"/>
          <w:sz w:val="32"/>
          <w:szCs w:val="20"/>
          <w14:textFill>
            <w14:solidFill>
              <w14:schemeClr w14:val="tx1">
                <w14:lumMod w14:val="95000"/>
                <w14:lumOff w14:val="5000"/>
              </w14:schemeClr>
            </w14:solidFill>
          </w14:textFill>
        </w:rPr>
        <w:t>附表</w:t>
      </w:r>
      <w:bookmarkEnd w:id="20"/>
    </w:p>
    <w:tbl>
      <w:tblPr>
        <w:tblStyle w:val="63"/>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843"/>
        <w:gridCol w:w="6823"/>
      </w:tblGrid>
      <w:tr w14:paraId="3DA5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top"/>
          </w:tcPr>
          <w:p w14:paraId="1DDD5364">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序号</w:t>
            </w:r>
          </w:p>
        </w:tc>
        <w:tc>
          <w:tcPr>
            <w:tcW w:w="1843" w:type="dxa"/>
            <w:shd w:val="clear" w:color="auto" w:fill="auto"/>
            <w:vAlign w:val="center"/>
          </w:tcPr>
          <w:p w14:paraId="41C00F0E">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事项</w:t>
            </w:r>
          </w:p>
        </w:tc>
        <w:tc>
          <w:tcPr>
            <w:tcW w:w="6823" w:type="dxa"/>
            <w:shd w:val="clear" w:color="auto" w:fill="auto"/>
            <w:vAlign w:val="center"/>
          </w:tcPr>
          <w:p w14:paraId="687CF26A">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本项目的特别规定</w:t>
            </w:r>
          </w:p>
        </w:tc>
      </w:tr>
      <w:tr w14:paraId="578F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top"/>
          </w:tcPr>
          <w:p w14:paraId="2363578C">
            <w:pPr>
              <w:snapToGrid w:val="0"/>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p w14:paraId="2FFF5CA7">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w:t>
            </w:r>
          </w:p>
        </w:tc>
        <w:tc>
          <w:tcPr>
            <w:tcW w:w="1843" w:type="dxa"/>
            <w:shd w:val="clear" w:color="auto" w:fill="auto"/>
            <w:vAlign w:val="center"/>
          </w:tcPr>
          <w:p w14:paraId="0A7162D5">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项目属性与核心产品</w:t>
            </w:r>
          </w:p>
        </w:tc>
        <w:tc>
          <w:tcPr>
            <w:tcW w:w="6823" w:type="dxa"/>
            <w:shd w:val="clear" w:color="auto" w:fill="auto"/>
            <w:vAlign w:val="center"/>
          </w:tcPr>
          <w:p w14:paraId="16C013C0">
            <w:pPr>
              <w:widowControl/>
              <w:spacing w:after="0" w:line="360" w:lineRule="auto"/>
              <w:jc w:val="left"/>
              <w:textAlignment w:val="center"/>
              <w:rPr>
                <w:rFonts w:hint="eastAsia" w:ascii="宋体" w:hAnsi="宋体" w:eastAsia="宋体" w:cs="宋体"/>
                <w:color w:val="0D0D0D" w:themeColor="text1" w:themeTint="F2"/>
                <w:kern w:val="0"/>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货物类，核心产品为：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高精度手持三维扫描仪、彩色FDM打印机、VR眼镜、手绘板</w:t>
            </w:r>
            <w:r>
              <w:rPr>
                <w:rFonts w:hint="eastAsia" w:ascii="宋体" w:hAnsi="宋体" w:cs="宋体"/>
                <w:color w:val="0D0D0D" w:themeColor="text1" w:themeTint="F2"/>
                <w:kern w:val="0"/>
                <w:sz w:val="24"/>
                <w:u w:val="single"/>
                <w14:textFill>
                  <w14:solidFill>
                    <w14:schemeClr w14:val="tx1">
                      <w14:lumMod w14:val="95000"/>
                      <w14:lumOff w14:val="5000"/>
                    </w14:schemeClr>
                  </w14:solidFill>
                </w14:textFill>
              </w:rPr>
              <w:t>。</w:t>
            </w:r>
          </w:p>
        </w:tc>
      </w:tr>
      <w:tr w14:paraId="42F5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6A1FFB0E">
            <w:pPr>
              <w:snapToGrid w:val="0"/>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p w14:paraId="0137C029">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w:t>
            </w:r>
          </w:p>
        </w:tc>
        <w:tc>
          <w:tcPr>
            <w:tcW w:w="1843" w:type="dxa"/>
            <w:shd w:val="clear" w:color="auto" w:fill="auto"/>
            <w:vAlign w:val="center"/>
          </w:tcPr>
          <w:p w14:paraId="7FCCAB48">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采购标的及其对应的中小企业划分标准所属行业</w:t>
            </w:r>
          </w:p>
        </w:tc>
        <w:tc>
          <w:tcPr>
            <w:tcW w:w="6823" w:type="dxa"/>
            <w:shd w:val="clear" w:color="auto" w:fill="auto"/>
            <w:vAlign w:val="center"/>
          </w:tcPr>
          <w:p w14:paraId="599D5293">
            <w:pPr>
              <w:spacing w:after="0" w:line="276" w:lineRule="auto"/>
              <w:jc w:val="left"/>
              <w:rPr>
                <w:rFonts w:hint="eastAsia" w:ascii="宋体" w:hAnsi="宋体" w:eastAsia="宋体" w:cs="宋体"/>
                <w:color w:val="0D0D0D" w:themeColor="text1" w:themeTint="F2"/>
                <w:kern w:val="2"/>
                <w:sz w:val="21"/>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标的名称：</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高精度手持三维扫描仪、VR眼镜、真空消泡桶（带泵）</w:t>
            </w:r>
            <w:r>
              <w:rPr>
                <w:rFonts w:hint="eastAsia" w:ascii="宋体" w:hAnsi="宋体" w:cs="宋体"/>
                <w:color w:val="0D0D0D" w:themeColor="text1" w:themeTint="F2"/>
                <w:sz w:val="24"/>
                <w:u w:val="singl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色卡、4K显示器、显示器移动支架、便携式无气二保焊、路由器、手绘板、手绘笔、360全景摄像机、彩色FDM打印机、UV卷平一体打印机、光纤机、存储器、水帘喷涂箱，</w:t>
            </w:r>
            <w:r>
              <w:rPr>
                <w:rFonts w:hint="eastAsia" w:ascii="宋体" w:hAnsi="宋体" w:cs="宋体"/>
                <w:color w:val="0D0D0D" w:themeColor="text1" w:themeTint="F2"/>
                <w:kern w:val="0"/>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kern w:val="0"/>
                <w:sz w:val="24"/>
                <w14:textFill>
                  <w14:solidFill>
                    <w14:schemeClr w14:val="tx1">
                      <w14:lumMod w14:val="95000"/>
                      <w14:lumOff w14:val="5000"/>
                    </w14:schemeClr>
                  </w14:solidFill>
                </w14:textFill>
              </w:rPr>
              <w:t>行业；</w:t>
            </w:r>
          </w:p>
        </w:tc>
      </w:tr>
      <w:tr w14:paraId="4D23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291C1570">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w:t>
            </w:r>
          </w:p>
        </w:tc>
        <w:tc>
          <w:tcPr>
            <w:tcW w:w="1843" w:type="dxa"/>
            <w:shd w:val="clear" w:color="auto" w:fill="auto"/>
            <w:vAlign w:val="center"/>
          </w:tcPr>
          <w:p w14:paraId="78129BC5">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是否允许采购进口产品</w:t>
            </w:r>
          </w:p>
        </w:tc>
        <w:tc>
          <w:tcPr>
            <w:tcW w:w="6823" w:type="dxa"/>
            <w:shd w:val="clear" w:color="auto" w:fill="auto"/>
            <w:vAlign w:val="center"/>
          </w:tcPr>
          <w:p w14:paraId="6EBE7352">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sym w:font="Wingdings" w:char="F0FE"/>
            </w:r>
            <w:r>
              <w:rPr>
                <w:rFonts w:hint="eastAsia" w:ascii="宋体" w:hAnsi="宋体" w:cs="宋体"/>
                <w:color w:val="0D0D0D" w:themeColor="text1" w:themeTint="F2"/>
                <w:kern w:val="0"/>
                <w:sz w:val="24"/>
                <w14:textFill>
                  <w14:solidFill>
                    <w14:schemeClr w14:val="tx1">
                      <w14:lumMod w14:val="95000"/>
                      <w14:lumOff w14:val="5000"/>
                    </w14:schemeClr>
                  </w14:solidFill>
                </w14:textFill>
              </w:rPr>
              <w:t>本项目不允许采购进口产品。</w:t>
            </w:r>
          </w:p>
          <w:p w14:paraId="371C375B">
            <w:pPr>
              <w:spacing w:after="0" w:line="360" w:lineRule="auto"/>
              <w:rPr>
                <w:rFonts w:hint="eastAsia" w:ascii="宋体" w:hAnsi="宋体" w:eastAsia="宋体" w:cs="宋体"/>
                <w:color w:val="0D0D0D" w:themeColor="text1" w:themeTint="F2"/>
                <w:kern w:val="2"/>
                <w:sz w:val="21"/>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☐可以就采购进口产品。</w:t>
            </w:r>
          </w:p>
        </w:tc>
      </w:tr>
      <w:tr w14:paraId="5493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333097CB">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w:t>
            </w:r>
          </w:p>
        </w:tc>
        <w:tc>
          <w:tcPr>
            <w:tcW w:w="1843" w:type="dxa"/>
            <w:shd w:val="clear" w:color="auto" w:fill="auto"/>
            <w:vAlign w:val="center"/>
          </w:tcPr>
          <w:p w14:paraId="2345723B">
            <w:pPr>
              <w:snapToGrid w:val="0"/>
              <w:spacing w:after="0" w:line="360" w:lineRule="auto"/>
              <w:ind w:firstLine="482" w:firstLineChars="200"/>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分包</w:t>
            </w:r>
          </w:p>
        </w:tc>
        <w:tc>
          <w:tcPr>
            <w:tcW w:w="6823" w:type="dxa"/>
            <w:shd w:val="clear" w:color="auto" w:fill="auto"/>
            <w:vAlign w:val="center"/>
          </w:tcPr>
          <w:p w14:paraId="7B27C565">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 A</w:t>
            </w:r>
            <w:r>
              <w:rPr>
                <w:rFonts w:hint="eastAsia" w:ascii="宋体" w:hAnsi="宋体" w:cs="宋体"/>
                <w:color w:val="0D0D0D" w:themeColor="text1" w:themeTint="F2"/>
                <w:sz w:val="24"/>
                <w14:textFill>
                  <w14:solidFill>
                    <w14:schemeClr w14:val="tx1">
                      <w14:lumMod w14:val="95000"/>
                      <w14:lumOff w14:val="5000"/>
                    </w14:schemeClr>
                  </w14:solidFill>
                </w14:textFill>
              </w:rPr>
              <w:t>同意将非主体、非关键性的工作分包。</w:t>
            </w:r>
          </w:p>
          <w:p w14:paraId="7B485BA0">
            <w:pPr>
              <w:spacing w:after="0" w:line="360" w:lineRule="auto"/>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ascii="Wingdings" w:hAnsi="Wingdings" w:cs="宋体"/>
                <w:color w:val="0D0D0D" w:themeColor="text1" w:themeTint="F2"/>
                <w:kern w:val="0"/>
                <w:sz w:val="24"/>
                <w14:textFill>
                  <w14:solidFill>
                    <w14:schemeClr w14:val="tx1">
                      <w14:lumMod w14:val="95000"/>
                      <w14:lumOff w14:val="5000"/>
                    </w14:schemeClr>
                  </w14:solidFill>
                </w14:textFill>
              </w:rPr>
              <w:t></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B</w:t>
            </w:r>
            <w:r>
              <w:rPr>
                <w:rFonts w:hint="eastAsia" w:ascii="宋体" w:hAnsi="宋体" w:cs="宋体"/>
                <w:color w:val="0D0D0D" w:themeColor="text1" w:themeTint="F2"/>
                <w:sz w:val="24"/>
                <w14:textFill>
                  <w14:solidFill>
                    <w14:schemeClr w14:val="tx1">
                      <w14:lumMod w14:val="95000"/>
                      <w14:lumOff w14:val="5000"/>
                    </w14:schemeClr>
                  </w14:solidFill>
                </w14:textFill>
              </w:rPr>
              <w:t>不同意分包。</w:t>
            </w:r>
          </w:p>
        </w:tc>
      </w:tr>
      <w:tr w14:paraId="24C9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3CC6213E">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w:t>
            </w:r>
          </w:p>
        </w:tc>
        <w:tc>
          <w:tcPr>
            <w:tcW w:w="1843" w:type="dxa"/>
            <w:shd w:val="clear" w:color="auto" w:fill="auto"/>
            <w:vAlign w:val="center"/>
          </w:tcPr>
          <w:p w14:paraId="4240CA9B">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开标前答疑会或现场考察</w:t>
            </w:r>
          </w:p>
        </w:tc>
        <w:tc>
          <w:tcPr>
            <w:tcW w:w="6823" w:type="dxa"/>
            <w:shd w:val="clear" w:color="auto" w:fill="auto"/>
            <w:vAlign w:val="center"/>
          </w:tcPr>
          <w:p w14:paraId="1F695430">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ascii="Wingdings" w:hAnsi="Wingdings" w:cs="宋体"/>
                <w:color w:val="0D0D0D" w:themeColor="text1" w:themeTint="F2"/>
                <w:kern w:val="0"/>
                <w:sz w:val="24"/>
                <w14:textFill>
                  <w14:solidFill>
                    <w14:schemeClr w14:val="tx1">
                      <w14:lumMod w14:val="95000"/>
                      <w14:lumOff w14:val="5000"/>
                    </w14:schemeClr>
                  </w14:solidFill>
                </w14:textFill>
              </w:rPr>
              <w:t></w:t>
            </w:r>
            <w:r>
              <w:rPr>
                <w:rFonts w:hint="eastAsia" w:ascii="宋体" w:hAnsi="宋体" w:cs="宋体"/>
                <w:color w:val="0D0D0D" w:themeColor="text1" w:themeTint="F2"/>
                <w:kern w:val="0"/>
                <w:sz w:val="24"/>
                <w14:textFill>
                  <w14:solidFill>
                    <w14:schemeClr w14:val="tx1">
                      <w14:lumMod w14:val="95000"/>
                      <w14:lumOff w14:val="5000"/>
                    </w14:schemeClr>
                  </w14:solidFill>
                </w14:textFill>
              </w:rPr>
              <w:t>A</w:t>
            </w:r>
            <w:r>
              <w:rPr>
                <w:rFonts w:hint="eastAsia" w:ascii="宋体" w:hAnsi="宋体" w:cs="宋体"/>
                <w:color w:val="0D0D0D" w:themeColor="text1" w:themeTint="F2"/>
                <w:sz w:val="24"/>
                <w14:textFill>
                  <w14:solidFill>
                    <w14:schemeClr w14:val="tx1">
                      <w14:lumMod w14:val="95000"/>
                      <w14:lumOff w14:val="5000"/>
                    </w14:schemeClr>
                  </w14:solidFill>
                </w14:textFill>
              </w:rPr>
              <w:t>不组织。</w:t>
            </w:r>
          </w:p>
          <w:p w14:paraId="4B462BF9">
            <w:pPr>
              <w:spacing w:after="0" w:line="360" w:lineRule="auto"/>
              <w:rPr>
                <w:rFonts w:hint="eastAsia" w:ascii="宋体" w:hAnsi="宋体" w:eastAsia="宋体" w:cs="宋体"/>
                <w:color w:val="0D0D0D" w:themeColor="text1" w:themeTint="F2"/>
                <w:kern w:val="2"/>
                <w:sz w:val="24"/>
                <w:szCs w:val="20"/>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☐B组织，</w:t>
            </w:r>
            <w:r>
              <w:rPr>
                <w:rFonts w:hint="eastAsia" w:ascii="宋体" w:hAnsi="宋体" w:cs="宋体"/>
                <w:color w:val="0D0D0D" w:themeColor="text1" w:themeTint="F2"/>
                <w:sz w:val="24"/>
                <w14:textFill>
                  <w14:solidFill>
                    <w14:schemeClr w14:val="tx1">
                      <w14:lumMod w14:val="95000"/>
                      <w14:lumOff w14:val="5000"/>
                    </w14:schemeClr>
                  </w14:solidFill>
                </w14:textFill>
              </w:rPr>
              <w:t>时间：,地点：，联系人：，联系方式：</w:t>
            </w:r>
            <w:r>
              <w:rPr>
                <w:rFonts w:hint="eastAsia" w:ascii="宋体" w:hAnsi="宋体" w:cs="宋体"/>
                <w:color w:val="0D0D0D" w:themeColor="text1" w:themeTint="F2"/>
                <w:sz w:val="24"/>
                <w:szCs w:val="20"/>
                <w14:textFill>
                  <w14:solidFill>
                    <w14:schemeClr w14:val="tx1">
                      <w14:lumMod w14:val="95000"/>
                      <w14:lumOff w14:val="5000"/>
                    </w14:schemeClr>
                  </w14:solidFill>
                </w14:textFill>
              </w:rPr>
              <w:t>。</w:t>
            </w:r>
          </w:p>
        </w:tc>
      </w:tr>
      <w:tr w14:paraId="2F31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5EC56322">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w:t>
            </w:r>
          </w:p>
        </w:tc>
        <w:tc>
          <w:tcPr>
            <w:tcW w:w="1843" w:type="dxa"/>
            <w:shd w:val="clear" w:color="auto" w:fill="auto"/>
            <w:vAlign w:val="center"/>
          </w:tcPr>
          <w:p w14:paraId="7190A4D1">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样品提供</w:t>
            </w:r>
          </w:p>
        </w:tc>
        <w:tc>
          <w:tcPr>
            <w:tcW w:w="6823" w:type="dxa"/>
            <w:shd w:val="clear" w:color="auto" w:fill="auto"/>
            <w:vAlign w:val="center"/>
          </w:tcPr>
          <w:p w14:paraId="190E679F">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ascii="Wingdings" w:hAnsi="Wingdings" w:cs="宋体"/>
                <w:color w:val="0D0D0D" w:themeColor="text1" w:themeTint="F2"/>
                <w:kern w:val="0"/>
                <w:sz w:val="24"/>
                <w14:textFill>
                  <w14:solidFill>
                    <w14:schemeClr w14:val="tx1">
                      <w14:lumMod w14:val="95000"/>
                      <w14:lumOff w14:val="5000"/>
                    </w14:schemeClr>
                  </w14:solidFill>
                </w14:textFill>
              </w:rPr>
              <w:t></w:t>
            </w:r>
            <w:r>
              <w:rPr>
                <w:rFonts w:hint="eastAsia" w:ascii="宋体" w:hAnsi="宋体" w:cs="宋体"/>
                <w:color w:val="0D0D0D" w:themeColor="text1" w:themeTint="F2"/>
                <w:kern w:val="0"/>
                <w:sz w:val="24"/>
                <w14:textFill>
                  <w14:solidFill>
                    <w14:schemeClr w14:val="tx1">
                      <w14:lumMod w14:val="95000"/>
                      <w14:lumOff w14:val="5000"/>
                    </w14:schemeClr>
                  </w14:solidFill>
                </w14:textFill>
              </w:rPr>
              <w:t>A</w:t>
            </w:r>
            <w:r>
              <w:rPr>
                <w:rFonts w:hint="eastAsia" w:ascii="宋体" w:hAnsi="宋体" w:cs="宋体"/>
                <w:color w:val="0D0D0D" w:themeColor="text1" w:themeTint="F2"/>
                <w:sz w:val="24"/>
                <w14:textFill>
                  <w14:solidFill>
                    <w14:schemeClr w14:val="tx1">
                      <w14:lumMod w14:val="95000"/>
                      <w14:lumOff w14:val="5000"/>
                    </w14:schemeClr>
                  </w14:solidFill>
                </w14:textFill>
              </w:rPr>
              <w:t>不要求提供,</w:t>
            </w:r>
          </w:p>
          <w:p w14:paraId="0D9281AF">
            <w:pPr>
              <w:spacing w:after="0" w:line="360" w:lineRule="auto"/>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ascii="Wingdings" w:hAnsi="Wingdings" w:cs="宋体"/>
                <w:color w:val="0D0D0D" w:themeColor="text1" w:themeTint="F2"/>
                <w:kern w:val="0"/>
                <w:sz w:val="24"/>
                <w14:textFill>
                  <w14:solidFill>
                    <w14:schemeClr w14:val="tx1">
                      <w14:lumMod w14:val="95000"/>
                      <w14:lumOff w14:val="5000"/>
                    </w14:schemeClr>
                  </w14:solidFill>
                </w14:textFill>
              </w:rPr>
              <w:sym w:font="Wingdings" w:char="00A8"/>
            </w:r>
            <w:r>
              <w:rPr>
                <w:rFonts w:hint="eastAsia" w:ascii="宋体" w:hAnsi="宋体" w:cs="宋体"/>
                <w:color w:val="0D0D0D" w:themeColor="text1" w:themeTint="F2"/>
                <w:kern w:val="0"/>
                <w:sz w:val="24"/>
                <w14:textFill>
                  <w14:solidFill>
                    <w14:schemeClr w14:val="tx1">
                      <w14:lumMod w14:val="95000"/>
                      <w14:lumOff w14:val="5000"/>
                    </w14:schemeClr>
                  </w14:solidFill>
                </w14:textFill>
              </w:rPr>
              <w:t>B要求提供。</w:t>
            </w:r>
          </w:p>
        </w:tc>
      </w:tr>
      <w:tr w14:paraId="328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73EAE933">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7</w:t>
            </w:r>
          </w:p>
        </w:tc>
        <w:tc>
          <w:tcPr>
            <w:tcW w:w="1843" w:type="dxa"/>
            <w:shd w:val="clear" w:color="auto" w:fill="auto"/>
            <w:vAlign w:val="center"/>
          </w:tcPr>
          <w:p w14:paraId="23BB5B15">
            <w:pPr>
              <w:snapToGrid w:val="0"/>
              <w:spacing w:after="0" w:line="360" w:lineRule="auto"/>
              <w:jc w:val="center"/>
              <w:rPr>
                <w:rFonts w:hint="eastAsia" w:ascii="宋体" w:hAnsi="宋体" w:eastAsia="宋体" w:cs="宋体"/>
                <w:bCs/>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方案讲解演示</w:t>
            </w:r>
          </w:p>
        </w:tc>
        <w:tc>
          <w:tcPr>
            <w:tcW w:w="6823" w:type="dxa"/>
            <w:shd w:val="clear" w:color="auto" w:fill="auto"/>
            <w:vAlign w:val="center"/>
          </w:tcPr>
          <w:p w14:paraId="7D8777D1">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sym w:font="Wingdings" w:char="00FE"/>
            </w:r>
            <w:r>
              <w:rPr>
                <w:rFonts w:hint="eastAsia" w:ascii="宋体" w:hAnsi="宋体" w:cs="宋体"/>
                <w:color w:val="0D0D0D" w:themeColor="text1" w:themeTint="F2"/>
                <w:kern w:val="0"/>
                <w:sz w:val="24"/>
                <w14:textFill>
                  <w14:solidFill>
                    <w14:schemeClr w14:val="tx1">
                      <w14:lumMod w14:val="95000"/>
                      <w14:lumOff w14:val="5000"/>
                    </w14:schemeClr>
                  </w14:solidFill>
                </w14:textFill>
              </w:rPr>
              <w:t>A</w:t>
            </w:r>
            <w:r>
              <w:rPr>
                <w:rFonts w:hint="eastAsia" w:ascii="宋体" w:hAnsi="宋体" w:cs="宋体"/>
                <w:color w:val="0D0D0D" w:themeColor="text1" w:themeTint="F2"/>
                <w:sz w:val="24"/>
                <w14:textFill>
                  <w14:solidFill>
                    <w14:schemeClr w14:val="tx1">
                      <w14:lumMod w14:val="95000"/>
                      <w14:lumOff w14:val="5000"/>
                    </w14:schemeClr>
                  </w14:solidFill>
                </w14:textFill>
              </w:rPr>
              <w:t>不组织。</w:t>
            </w:r>
          </w:p>
          <w:p w14:paraId="2B8B9A38">
            <w:pPr>
              <w:snapToGrid w:val="0"/>
              <w:spacing w:after="0" w:line="360" w:lineRule="auto"/>
              <w:rPr>
                <w:rFonts w:hint="eastAsia" w:ascii="宋体" w:hAnsi="宋体" w:eastAsia="宋体" w:cs="宋体"/>
                <w:b/>
                <w:color w:val="0D0D0D" w:themeColor="text1" w:themeTint="F2"/>
                <w:kern w:val="0"/>
                <w:sz w:val="24"/>
                <w:szCs w:val="24"/>
                <w:lang w:val="zh-CN"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sym w:font="Wingdings" w:char="00A8"/>
            </w:r>
            <w:r>
              <w:rPr>
                <w:rFonts w:hint="eastAsia" w:ascii="宋体" w:hAnsi="宋体" w:cs="宋体"/>
                <w:color w:val="0D0D0D" w:themeColor="text1" w:themeTint="F2"/>
                <w:kern w:val="0"/>
                <w:sz w:val="24"/>
                <w14:textFill>
                  <w14:solidFill>
                    <w14:schemeClr w14:val="tx1">
                      <w14:lumMod w14:val="95000"/>
                      <w14:lumOff w14:val="5000"/>
                    </w14:schemeClr>
                  </w14:solidFill>
                </w14:textFill>
              </w:rPr>
              <w:t>B组织。</w:t>
            </w:r>
          </w:p>
        </w:tc>
      </w:tr>
      <w:tr w14:paraId="164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restart"/>
            <w:shd w:val="clear" w:color="auto" w:fill="auto"/>
            <w:vAlign w:val="center"/>
          </w:tcPr>
          <w:p w14:paraId="5FFC09B3">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8</w:t>
            </w:r>
          </w:p>
        </w:tc>
        <w:tc>
          <w:tcPr>
            <w:tcW w:w="1843" w:type="dxa"/>
            <w:vMerge w:val="restart"/>
            <w:shd w:val="clear" w:color="auto" w:fill="auto"/>
            <w:vAlign w:val="center"/>
          </w:tcPr>
          <w:p w14:paraId="4CFAD254">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投标人应当提供的资格、资信证明文件</w:t>
            </w:r>
          </w:p>
        </w:tc>
        <w:tc>
          <w:tcPr>
            <w:tcW w:w="6823" w:type="dxa"/>
            <w:shd w:val="clear" w:color="auto" w:fill="auto"/>
            <w:vAlign w:val="center"/>
          </w:tcPr>
          <w:p w14:paraId="33D1EBE6">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（1）资格证明文件：见招标文件第二部分11.1。</w:t>
            </w:r>
          </w:p>
          <w:p w14:paraId="38EA8050">
            <w:pPr>
              <w:spacing w:after="0" w:line="360" w:lineRule="auto"/>
              <w:rPr>
                <w:rFonts w:hint="eastAsia" w:ascii="宋体" w:hAnsi="宋体" w:eastAsia="宋体" w:cs="宋体"/>
                <w:snapToGrid w:val="0"/>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投标人未提供有效的资格证明文件的，视为投标人不具备招标文件中规定的资格要求，投标无效。</w:t>
            </w:r>
          </w:p>
        </w:tc>
      </w:tr>
      <w:tr w14:paraId="09F2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shd w:val="clear" w:color="auto" w:fill="auto"/>
            <w:vAlign w:val="center"/>
          </w:tcPr>
          <w:p w14:paraId="4CCC1932">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p>
        </w:tc>
        <w:tc>
          <w:tcPr>
            <w:tcW w:w="1843" w:type="dxa"/>
            <w:vMerge w:val="continue"/>
            <w:shd w:val="clear" w:color="auto" w:fill="auto"/>
            <w:vAlign w:val="center"/>
          </w:tcPr>
          <w:p w14:paraId="358DFEE8">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p>
        </w:tc>
        <w:tc>
          <w:tcPr>
            <w:tcW w:w="6823" w:type="dxa"/>
            <w:shd w:val="clear" w:color="auto" w:fill="auto"/>
            <w:vAlign w:val="center"/>
          </w:tcPr>
          <w:p w14:paraId="1908F337">
            <w:pPr>
              <w:spacing w:after="0" w:line="360" w:lineRule="auto"/>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（2）资信证明文件：根据招标文件第四部分评标标准提供。</w:t>
            </w:r>
          </w:p>
        </w:tc>
      </w:tr>
      <w:tr w14:paraId="70CE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74D6ED61">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9</w:t>
            </w:r>
          </w:p>
        </w:tc>
        <w:tc>
          <w:tcPr>
            <w:tcW w:w="1843" w:type="dxa"/>
            <w:shd w:val="clear" w:color="auto" w:fill="auto"/>
            <w:vAlign w:val="center"/>
          </w:tcPr>
          <w:p w14:paraId="16D42623">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节能产品、环境标志产品</w:t>
            </w:r>
          </w:p>
        </w:tc>
        <w:tc>
          <w:tcPr>
            <w:tcW w:w="6823" w:type="dxa"/>
            <w:shd w:val="clear" w:color="auto" w:fill="auto"/>
            <w:vAlign w:val="center"/>
          </w:tcPr>
          <w:p w14:paraId="121A9F4F">
            <w:pPr>
              <w:snapToGrid w:val="0"/>
              <w:spacing w:after="0" w:line="360" w:lineRule="auto"/>
              <w:rPr>
                <w:rFonts w:hint="eastAsia" w:ascii="宋体" w:hAnsi="宋体" w:eastAsia="宋体" w:cs="宋体"/>
                <w:color w:val="0D0D0D" w:themeColor="text1" w:themeTint="F2"/>
                <w:kern w:val="2"/>
                <w:sz w:val="21"/>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473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6593EE1B">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10</w:t>
            </w:r>
          </w:p>
        </w:tc>
        <w:tc>
          <w:tcPr>
            <w:tcW w:w="1843" w:type="dxa"/>
            <w:shd w:val="clear" w:color="auto" w:fill="auto"/>
            <w:vAlign w:val="center"/>
          </w:tcPr>
          <w:p w14:paraId="2B5453F1">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报价要求</w:t>
            </w:r>
          </w:p>
        </w:tc>
        <w:tc>
          <w:tcPr>
            <w:tcW w:w="6823" w:type="dxa"/>
            <w:shd w:val="clear" w:color="auto" w:fill="auto"/>
            <w:vAlign w:val="center"/>
          </w:tcPr>
          <w:p w14:paraId="2E8147F5">
            <w:pPr>
              <w:snapToGrid w:val="0"/>
              <w:spacing w:after="0" w:line="360" w:lineRule="auto"/>
              <w:jc w:val="left"/>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有关本项目实施所需的所有费用（含税费）均计入报价。</w:t>
            </w:r>
            <w:r>
              <w:rPr>
                <w:rFonts w:hint="eastAsia" w:ascii="宋体" w:hAnsi="宋体" w:cs="宋体"/>
                <w:b/>
                <w:bCs/>
                <w:color w:val="0D0D0D" w:themeColor="text1" w:themeTint="F2"/>
                <w:kern w:val="0"/>
                <w:sz w:val="24"/>
                <w:lang w:val="zh-CN"/>
                <w14:textFill>
                  <w14:solidFill>
                    <w14:schemeClr w14:val="tx1">
                      <w14:lumMod w14:val="95000"/>
                      <w14:lumOff w14:val="5000"/>
                    </w14:schemeClr>
                  </w14:solidFill>
                </w14:textFill>
              </w:rPr>
              <w:t>投标文件</w:t>
            </w:r>
            <w:r>
              <w:rPr>
                <w:rFonts w:hint="eastAsia" w:ascii="宋体" w:hAnsi="宋体" w:cs="宋体"/>
                <w:b/>
                <w:bCs/>
                <w:color w:val="0D0D0D" w:themeColor="text1" w:themeTint="F2"/>
                <w:sz w:val="24"/>
                <w14:textFill>
                  <w14:solidFill>
                    <w14:schemeClr w14:val="tx1">
                      <w14:lumMod w14:val="95000"/>
                      <w14:lumOff w14:val="5000"/>
                    </w14:schemeClr>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投标文件中价格全部采用人民币报价。招标文件未列明，而投标人认为必需的费用也需列入报价。</w:t>
            </w:r>
          </w:p>
          <w:p w14:paraId="488F1B06">
            <w:pPr>
              <w:snapToGrid w:val="0"/>
              <w:spacing w:after="0" w:line="360" w:lineRule="auto"/>
              <w:jc w:val="left"/>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t>投标报价出现下列情形的，投标无效：</w:t>
            </w:r>
          </w:p>
          <w:p w14:paraId="2AE38C61">
            <w:pPr>
              <w:snapToGrid w:val="0"/>
              <w:spacing w:after="0" w:line="360" w:lineRule="auto"/>
              <w:ind w:firstLine="241" w:firstLineChars="100"/>
              <w:jc w:val="left"/>
              <w:rPr>
                <w:rFonts w:hint="eastAsia"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3427C12D">
            <w:pPr>
              <w:snapToGrid w:val="0"/>
              <w:spacing w:after="0" w:line="360" w:lineRule="auto"/>
              <w:ind w:firstLine="241" w:firstLineChars="100"/>
              <w:jc w:val="left"/>
              <w:rPr>
                <w:rFonts w:hint="eastAsia"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7D9646B8">
            <w:pPr>
              <w:spacing w:after="0" w:line="360" w:lineRule="auto"/>
              <w:ind w:firstLine="241" w:firstLineChars="100"/>
              <w:rPr>
                <w:rFonts w:hint="eastAsia"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供应商应当提供的是“同类项目中标（成交）价格、类似产品市场价格水平、行业人工费用标准、国家有关部门指导行业协会发布的行业平均成本等”相</w:t>
            </w:r>
            <w:r>
              <w:rPr>
                <w:rFonts w:hint="eastAsia" w:ascii="宋体" w:hAnsi="宋体" w:cs="宋体"/>
                <w:b/>
                <w:bCs/>
                <w:kern w:val="0"/>
              </w:rPr>
              <w:t>关证明材料</w:t>
            </w:r>
            <w:r>
              <w:rPr>
                <w:rFonts w:hint="eastAsia" w:ascii="宋体" w:hAnsi="宋体" w:cs="宋体"/>
                <w:b/>
                <w:kern w:val="0"/>
                <w:sz w:val="24"/>
              </w:rPr>
              <w:t>)证明其报价合理性的</w:t>
            </w:r>
            <w:r>
              <w:rPr>
                <w:rFonts w:hint="eastAsia" w:ascii="宋体" w:hAnsi="宋体" w:cs="宋体"/>
                <w:b/>
                <w:sz w:val="24"/>
                <w:szCs w:val="21"/>
              </w:rPr>
              <w:t>;</w:t>
            </w:r>
          </w:p>
          <w:p w14:paraId="7F67629B">
            <w:pPr>
              <w:spacing w:after="0" w:line="360" w:lineRule="auto"/>
              <w:ind w:firstLine="241" w:firstLineChars="100"/>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6350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56E08E55">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w:t>
            </w:r>
          </w:p>
        </w:tc>
        <w:tc>
          <w:tcPr>
            <w:tcW w:w="1843" w:type="dxa"/>
            <w:shd w:val="clear" w:color="auto" w:fill="auto"/>
            <w:vAlign w:val="center"/>
          </w:tcPr>
          <w:p w14:paraId="129E3401">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投标文件形式</w:t>
            </w:r>
          </w:p>
        </w:tc>
        <w:tc>
          <w:tcPr>
            <w:tcW w:w="6823" w:type="dxa"/>
            <w:shd w:val="clear" w:color="auto" w:fill="auto"/>
            <w:vAlign w:val="center"/>
          </w:tcPr>
          <w:p w14:paraId="745441D5">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本项目实行电子投标。</w:t>
            </w:r>
          </w:p>
          <w:p w14:paraId="07207987">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供应商应准备三种形式的投标文件：电子加密投标文件、以介质存储的数据电文形式的备份投标文件、备份纸质投标文件。</w:t>
            </w:r>
          </w:p>
          <w:p w14:paraId="243C4A82">
            <w:pPr>
              <w:spacing w:after="0" w:line="360" w:lineRule="auto"/>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1.“电子加密投标文件”是指通过“政采云电子交易客户端”完成投标文件编制后生成并加密的数据电文形式的投标文件（后缀格式为.jmbs）（必须提供）</w:t>
            </w:r>
          </w:p>
          <w:p w14:paraId="07D1F599">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备份电子投标文件”是指与“电子加密投标文件”同时生成的数据电文形式的电子文件（备份投标文件，用于供应商电子加密投标文件解密异常时应急使用），其他方式编制的备份投标文件视为无效备份投标文件。备份投标文件（后缀格式为.bfbs）以U盘形式提供。（不强制要求提供）</w:t>
            </w:r>
          </w:p>
          <w:p w14:paraId="19925BFB">
            <w:pPr>
              <w:spacing w:after="0" w:line="360" w:lineRule="auto"/>
              <w:rPr>
                <w:rFonts w:hint="eastAsia" w:ascii="宋体" w:hAnsi="宋体" w:eastAsia="宋体" w:cs="宋体"/>
                <w:color w:val="0D0D0D" w:themeColor="text1" w:themeTint="F2"/>
                <w:kern w:val="28"/>
                <w:sz w:val="24"/>
                <w:szCs w:val="24"/>
                <w:lang w:val="en-US" w:eastAsia="zh-CN" w:bidi="ar-SA"/>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3.“备份纸质投标文件”是指与“电子加密投标文件”一致的纸质投标文件用于采购人存档，正本一份。投标截止时间前递交至</w:t>
            </w:r>
            <w:r>
              <w:rPr>
                <w:rFonts w:hint="eastAsia" w:ascii="宋体" w:hAnsi="宋体" w:cs="宋体"/>
                <w:b/>
                <w:bCs/>
                <w:color w:val="0D0D0D" w:themeColor="text1" w:themeTint="F2"/>
                <w:sz w:val="24"/>
                <w:u w:val="single"/>
                <w14:textFill>
                  <w14:solidFill>
                    <w14:schemeClr w14:val="tx1">
                      <w14:lumMod w14:val="95000"/>
                      <w14:lumOff w14:val="5000"/>
                    </w14:schemeClr>
                  </w14:solidFill>
                </w14:textFill>
              </w:rPr>
              <w:t>宁波市翠柏路89号宁波工程学院公共培训平台大楼A座1112室</w:t>
            </w:r>
            <w:r>
              <w:rPr>
                <w:rFonts w:hint="eastAsia" w:ascii="宋体" w:hAnsi="宋体" w:cs="宋体"/>
                <w:b/>
                <w:bCs/>
                <w:color w:val="0D0D0D" w:themeColor="text1" w:themeTint="F2"/>
                <w:sz w:val="24"/>
                <w14:textFill>
                  <w14:solidFill>
                    <w14:schemeClr w14:val="tx1">
                      <w14:lumMod w14:val="95000"/>
                      <w14:lumOff w14:val="5000"/>
                    </w14:schemeClr>
                  </w14:solidFill>
                </w14:textFill>
              </w:rPr>
              <w:t>。</w:t>
            </w:r>
          </w:p>
        </w:tc>
      </w:tr>
      <w:tr w14:paraId="6C74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39B02932">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12</w:t>
            </w:r>
          </w:p>
        </w:tc>
        <w:tc>
          <w:tcPr>
            <w:tcW w:w="1843" w:type="dxa"/>
            <w:shd w:val="clear" w:color="auto" w:fill="auto"/>
            <w:vAlign w:val="center"/>
          </w:tcPr>
          <w:p w14:paraId="7C1851CB">
            <w:pPr>
              <w:snapToGrid w:val="0"/>
              <w:spacing w:after="0" w:line="360" w:lineRule="auto"/>
              <w:jc w:val="center"/>
              <w:rPr>
                <w:rFonts w:hint="eastAsia" w:ascii="宋体" w:hAnsi="宋体" w:eastAsia="宋体" w:cs="宋体"/>
                <w:b/>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采购机构代理费用</w:t>
            </w:r>
          </w:p>
        </w:tc>
        <w:tc>
          <w:tcPr>
            <w:tcW w:w="6823" w:type="dxa"/>
            <w:shd w:val="clear" w:color="auto" w:fill="auto"/>
            <w:vAlign w:val="top"/>
          </w:tcPr>
          <w:p w14:paraId="2A32FB6C">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采购代理服务以《国家发展改革委办公厅关于招标代理服务收费有关问题的通知》（发改价格[2011]534号）规定的收费标准的50%向中标（成交）供应商收取。若采购项目的采购代理服务费不足3500元的，统一按3500元计。</w:t>
            </w:r>
          </w:p>
          <w:p w14:paraId="561E269C">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2、中标人在领取中标通知书后应向招标代理机构交纳招标代理服务费,若未按上述规定办理，需承担招标代理机构为实现债权的所有费用（包括但不限于律师费、催讨车旅费、保全担保费等）。</w:t>
            </w:r>
          </w:p>
          <w:p w14:paraId="1AB0F0AB">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3、招标代理服务费以现金或电汇方式支付。</w:t>
            </w:r>
          </w:p>
          <w:p w14:paraId="6E21CD8B">
            <w:pPr>
              <w:spacing w:after="0" w:line="360" w:lineRule="auto"/>
              <w:rPr>
                <w:rFonts w:hint="eastAsia" w:ascii="宋体" w:hAnsi="宋体" w:cs="宋体"/>
                <w:color w:val="0D0D0D" w:themeColor="text1" w:themeTint="F2"/>
                <w:kern w:val="28"/>
                <w:sz w:val="24"/>
                <w14:textFill>
                  <w14:solidFill>
                    <w14:schemeClr w14:val="tx1">
                      <w14:lumMod w14:val="95000"/>
                      <w14:lumOff w14:val="5000"/>
                    </w14:schemeClr>
                  </w14:solidFill>
                </w14:textFill>
              </w:rPr>
            </w:pPr>
            <w:r>
              <w:rPr>
                <w:rFonts w:hint="eastAsia" w:ascii="宋体" w:hAnsi="宋体" w:cs="宋体"/>
                <w:color w:val="0D0D0D" w:themeColor="text1" w:themeTint="F2"/>
                <w:kern w:val="28"/>
                <w:sz w:val="24"/>
                <w14:textFill>
                  <w14:solidFill>
                    <w14:schemeClr w14:val="tx1">
                      <w14:lumMod w14:val="95000"/>
                      <w14:lumOff w14:val="5000"/>
                    </w14:schemeClr>
                  </w14:solidFill>
                </w14:textFill>
              </w:rPr>
              <w:t>户名：浙江致信招标代理有限公司金华分公司</w:t>
            </w:r>
          </w:p>
          <w:p w14:paraId="4548679A">
            <w:pPr>
              <w:spacing w:after="0" w:line="360" w:lineRule="auto"/>
              <w:rPr>
                <w:rFonts w:hint="eastAsia" w:ascii="宋体" w:hAnsi="宋体" w:cs="宋体"/>
                <w:color w:val="0D0D0D" w:themeColor="text1" w:themeTint="F2"/>
                <w:kern w:val="28"/>
                <w:sz w:val="24"/>
                <w14:textFill>
                  <w14:solidFill>
                    <w14:schemeClr w14:val="tx1">
                      <w14:lumMod w14:val="95000"/>
                      <w14:lumOff w14:val="5000"/>
                    </w14:schemeClr>
                  </w14:solidFill>
                </w14:textFill>
              </w:rPr>
            </w:pPr>
            <w:r>
              <w:rPr>
                <w:rFonts w:hint="eastAsia" w:ascii="宋体" w:hAnsi="宋体" w:cs="宋体"/>
                <w:color w:val="0D0D0D" w:themeColor="text1" w:themeTint="F2"/>
                <w:kern w:val="28"/>
                <w:sz w:val="24"/>
                <w14:textFill>
                  <w14:solidFill>
                    <w14:schemeClr w14:val="tx1">
                      <w14:lumMod w14:val="95000"/>
                      <w14:lumOff w14:val="5000"/>
                    </w14:schemeClr>
                  </w14:solidFill>
                </w14:textFill>
              </w:rPr>
              <w:t>账号：3301041060007111473</w:t>
            </w:r>
          </w:p>
          <w:p w14:paraId="626EB8E8">
            <w:pPr>
              <w:spacing w:after="0" w:line="360" w:lineRule="auto"/>
              <w:rPr>
                <w:rFonts w:hint="eastAsia" w:ascii="宋体" w:hAnsi="宋体" w:cs="宋体"/>
                <w:color w:val="0D0D0D" w:themeColor="text1" w:themeTint="F2"/>
                <w:kern w:val="28"/>
                <w:sz w:val="24"/>
                <w14:textFill>
                  <w14:solidFill>
                    <w14:schemeClr w14:val="tx1">
                      <w14:lumMod w14:val="95000"/>
                      <w14:lumOff w14:val="5000"/>
                    </w14:schemeClr>
                  </w14:solidFill>
                </w14:textFill>
              </w:rPr>
            </w:pPr>
            <w:r>
              <w:rPr>
                <w:rFonts w:hint="eastAsia" w:ascii="宋体" w:hAnsi="宋体" w:cs="宋体"/>
                <w:color w:val="0D0D0D" w:themeColor="text1" w:themeTint="F2"/>
                <w:kern w:val="28"/>
                <w:sz w:val="24"/>
                <w14:textFill>
                  <w14:solidFill>
                    <w14:schemeClr w14:val="tx1">
                      <w14:lumMod w14:val="95000"/>
                      <w14:lumOff w14:val="5000"/>
                    </w14:schemeClr>
                  </w14:solidFill>
                </w14:textFill>
              </w:rPr>
              <w:t>开户行：杭州银行股份有限公司四季青支行</w:t>
            </w:r>
          </w:p>
          <w:p w14:paraId="34A573A2">
            <w:pPr>
              <w:spacing w:after="0" w:line="360" w:lineRule="auto"/>
              <w:rPr>
                <w:rFonts w:hint="eastAsia" w:ascii="宋体" w:hAnsi="宋体" w:eastAsia="宋体" w:cs="宋体"/>
                <w:color w:val="0D0D0D" w:themeColor="text1" w:themeTint="F2"/>
                <w:kern w:val="28"/>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28"/>
                <w:sz w:val="24"/>
                <w14:textFill>
                  <w14:solidFill>
                    <w14:schemeClr w14:val="tx1">
                      <w14:lumMod w14:val="95000"/>
                      <w14:lumOff w14:val="5000"/>
                    </w14:schemeClr>
                  </w14:solidFill>
                </w14:textFill>
              </w:rPr>
              <w:t>行号313331000590</w:t>
            </w:r>
          </w:p>
        </w:tc>
      </w:tr>
      <w:tr w14:paraId="0E4E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7BA25CA1">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13</w:t>
            </w:r>
          </w:p>
        </w:tc>
        <w:tc>
          <w:tcPr>
            <w:tcW w:w="1843" w:type="dxa"/>
            <w:shd w:val="clear" w:color="auto" w:fill="auto"/>
            <w:vAlign w:val="center"/>
          </w:tcPr>
          <w:p w14:paraId="755C4EE6">
            <w:pPr>
              <w:pStyle w:val="881"/>
              <w:spacing w:line="360" w:lineRule="auto"/>
              <w:jc w:val="center"/>
              <w:rPr>
                <w:rFonts w:hint="eastAsia" w:ascii="宋体" w:hAnsi="宋体" w:eastAsia="宋体" w:cs="宋体"/>
                <w:b/>
                <w:bCs/>
                <w:color w:val="0D0D0D" w:themeColor="text1" w:themeTint="F2"/>
                <w:kern w:val="2"/>
                <w:sz w:val="24"/>
                <w:szCs w:val="24"/>
                <w:u w:color="000000"/>
                <w:lang w:val="en-US" w:eastAsia="zh-CN" w:bidi="ar-SA"/>
                <w14:textFill>
                  <w14:solidFill>
                    <w14:schemeClr w14:val="tx1">
                      <w14:lumMod w14:val="95000"/>
                      <w14:lumOff w14:val="5000"/>
                    </w14:schemeClr>
                  </w14:solidFill>
                </w14:textFill>
              </w:rPr>
            </w:pPr>
            <w:r>
              <w:rPr>
                <w:rStyle w:val="980"/>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投标保证金缴纳说明</w:t>
            </w:r>
          </w:p>
        </w:tc>
        <w:tc>
          <w:tcPr>
            <w:tcW w:w="6823" w:type="dxa"/>
            <w:shd w:val="clear" w:color="auto" w:fill="auto"/>
            <w:vAlign w:val="center"/>
          </w:tcPr>
          <w:p w14:paraId="1341B586">
            <w:pPr>
              <w:pStyle w:val="881"/>
              <w:spacing w:after="0" w:line="360" w:lineRule="auto"/>
              <w:rPr>
                <w:rStyle w:val="980"/>
                <w:rFonts w:hint="eastAsia" w:ascii="宋体" w:hAnsi="宋体" w:eastAsia="宋体" w:cs="宋体"/>
                <w:color w:val="0D0D0D" w:themeColor="text1" w:themeTint="F2"/>
                <w:kern w:val="0"/>
                <w:sz w:val="24"/>
                <w:szCs w:val="24"/>
                <w:lang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1.</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列入不良行为记录名单的供应商须缴纳投标保证金，金额要求为</w:t>
            </w: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本项目预算2%。</w:t>
            </w:r>
          </w:p>
          <w:p w14:paraId="1029BF6A">
            <w:pPr>
              <w:pStyle w:val="881"/>
              <w:spacing w:after="0" w:line="360" w:lineRule="auto"/>
              <w:rPr>
                <w:rStyle w:val="980"/>
                <w:rFonts w:hint="eastAsia" w:ascii="宋体" w:hAnsi="宋体" w:eastAsia="宋体" w:cs="宋体"/>
                <w:color w:val="0D0D0D" w:themeColor="text1" w:themeTint="F2"/>
                <w:kern w:val="0"/>
                <w:sz w:val="24"/>
                <w:szCs w:val="24"/>
                <w:lang w:val="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2.</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交付方式:支票、汇票、本票或者金融机构、担保机构出具的保函等非现金形式提交</w:t>
            </w:r>
            <w:r>
              <w:rPr>
                <w:rStyle w:val="980"/>
                <w:rFonts w:hint="eastAsia" w:ascii="宋体" w:hAnsi="宋体" w:eastAsia="宋体" w:cs="宋体"/>
                <w:color w:val="0D0D0D" w:themeColor="text1" w:themeTint="F2"/>
                <w:kern w:val="0"/>
                <w:sz w:val="24"/>
                <w:szCs w:val="24"/>
                <w:lang w:val="zh-TW"/>
                <w14:textFill>
                  <w14:solidFill>
                    <w14:schemeClr w14:val="tx1">
                      <w14:lumMod w14:val="95000"/>
                      <w14:lumOff w14:val="5000"/>
                    </w14:schemeClr>
                  </w14:solidFill>
                </w14:textFill>
              </w:rPr>
              <w:t>。</w:t>
            </w:r>
          </w:p>
          <w:p w14:paraId="787AF8EE">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户名：浙江致信招标代理有限公司宁波分公司</w:t>
            </w:r>
          </w:p>
          <w:p w14:paraId="4A7CFA6B">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开户行：浙江泰隆商业银行宁波外滩支行</w:t>
            </w:r>
          </w:p>
          <w:p w14:paraId="35B1ACC4">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账号：33030100201000007592</w:t>
            </w:r>
          </w:p>
          <w:p w14:paraId="5DA20867">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精确查找行号：313332070157</w:t>
            </w:r>
          </w:p>
          <w:p w14:paraId="1B08BFE4">
            <w:pPr>
              <w:pStyle w:val="881"/>
              <w:spacing w:after="0" w:line="360" w:lineRule="auto"/>
              <w:rPr>
                <w:rFonts w:hint="eastAsia" w:ascii="宋体" w:hAnsi="宋体" w:eastAsia="宋体" w:cs="宋体"/>
                <w:color w:val="0D0D0D" w:themeColor="text1" w:themeTint="F2"/>
                <w:kern w:val="0"/>
                <w:sz w:val="24"/>
                <w:szCs w:val="24"/>
                <w:u w:color="000000"/>
                <w:lang w:val="zh-TW" w:eastAsia="zh-TW" w:bidi="ar-SA"/>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3.</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未列入不良行为记录名单的供应商不需缴纳投标保证金。</w:t>
            </w:r>
          </w:p>
        </w:tc>
      </w:tr>
      <w:tr w14:paraId="42AD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074257E5">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14</w:t>
            </w:r>
          </w:p>
        </w:tc>
        <w:tc>
          <w:tcPr>
            <w:tcW w:w="1843" w:type="dxa"/>
            <w:shd w:val="clear" w:color="auto" w:fill="auto"/>
            <w:vAlign w:val="center"/>
          </w:tcPr>
          <w:p w14:paraId="42802B87">
            <w:pPr>
              <w:pStyle w:val="881"/>
              <w:spacing w:line="360" w:lineRule="auto"/>
              <w:jc w:val="center"/>
              <w:rPr>
                <w:rFonts w:hint="eastAsia" w:ascii="宋体" w:hAnsi="宋体" w:eastAsia="宋体" w:cs="宋体"/>
                <w:b/>
                <w:bCs/>
                <w:color w:val="0D0D0D" w:themeColor="text1" w:themeTint="F2"/>
                <w:kern w:val="2"/>
                <w:sz w:val="24"/>
                <w:szCs w:val="24"/>
                <w:u w:color="000000"/>
                <w:lang w:val="en-US" w:eastAsia="zh-CN" w:bidi="ar-SA"/>
                <w14:textFill>
                  <w14:solidFill>
                    <w14:schemeClr w14:val="tx1">
                      <w14:lumMod w14:val="95000"/>
                      <w14:lumOff w14:val="5000"/>
                    </w14:schemeClr>
                  </w14:solidFill>
                </w14:textFill>
              </w:rPr>
            </w:pPr>
            <w:r>
              <w:rPr>
                <w:rStyle w:val="980"/>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投标保证金其它说明</w:t>
            </w:r>
          </w:p>
        </w:tc>
        <w:tc>
          <w:tcPr>
            <w:tcW w:w="6823" w:type="dxa"/>
            <w:shd w:val="clear" w:color="auto" w:fill="auto"/>
            <w:vAlign w:val="center"/>
          </w:tcPr>
          <w:p w14:paraId="5F650A1C">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1.</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供应商须按《投标须知前附表》的规定提供投标保证金。</w:t>
            </w:r>
          </w:p>
          <w:p w14:paraId="6406B5EC">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2.</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提供投标保证金的中标供应商，投标保证金在合同签订后5个工作日内退还。</w:t>
            </w:r>
          </w:p>
          <w:p w14:paraId="175B3F76">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3.</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提供投标保证金且未中标的供应商，投标保证金在中标结果公告(中标通知书)发出后5个工作日内退还。</w:t>
            </w:r>
          </w:p>
          <w:p w14:paraId="7D05594B">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4.</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发生下列情况之一，投标保证金将被不予退还。</w:t>
            </w:r>
          </w:p>
          <w:p w14:paraId="1F6C9A8D">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(1)供应商在提交投标文件截止时间后撤回投标文件的:</w:t>
            </w:r>
          </w:p>
          <w:p w14:paraId="79CD650F">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(2)供应商在投标文件中提供虚假材料的;</w:t>
            </w:r>
          </w:p>
          <w:p w14:paraId="39AD9D7A">
            <w:pPr>
              <w:pStyle w:val="881"/>
              <w:spacing w:after="0" w:line="360" w:lineRule="auto"/>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(3)除因不可抗力或招标文件认可的情形以外，中标供应商不与采购人签订合同的</w:t>
            </w: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p>
          <w:p w14:paraId="26D3927A">
            <w:pPr>
              <w:pStyle w:val="881"/>
              <w:spacing w:after="0" w:line="360" w:lineRule="auto"/>
              <w:rPr>
                <w:rFonts w:hint="eastAsia" w:ascii="宋体" w:hAnsi="宋体" w:eastAsia="宋体" w:cs="宋体"/>
                <w:color w:val="0D0D0D" w:themeColor="text1" w:themeTint="F2"/>
                <w:kern w:val="0"/>
                <w:sz w:val="24"/>
                <w:szCs w:val="24"/>
                <w:u w:color="000000"/>
                <w:lang w:val="zh-TW" w:eastAsia="zh-TW" w:bidi="ar-SA"/>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(4)招标文件规定的其他情形。</w:t>
            </w:r>
          </w:p>
        </w:tc>
      </w:tr>
      <w:tr w14:paraId="4E96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36EE8959">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15</w:t>
            </w:r>
          </w:p>
        </w:tc>
        <w:tc>
          <w:tcPr>
            <w:tcW w:w="1843" w:type="dxa"/>
            <w:shd w:val="clear" w:color="auto" w:fill="auto"/>
            <w:vAlign w:val="center"/>
          </w:tcPr>
          <w:p w14:paraId="5C8F0855">
            <w:pPr>
              <w:pStyle w:val="881"/>
              <w:spacing w:line="360" w:lineRule="auto"/>
              <w:jc w:val="center"/>
              <w:rPr>
                <w:rFonts w:hint="eastAsia" w:ascii="宋体" w:hAnsi="宋体" w:eastAsia="宋体" w:cs="宋体"/>
                <w:b/>
                <w:bCs/>
                <w:color w:val="0D0D0D" w:themeColor="text1" w:themeTint="F2"/>
                <w:kern w:val="2"/>
                <w:sz w:val="24"/>
                <w:szCs w:val="24"/>
                <w:u w:color="000000"/>
                <w:lang w:val="en-US" w:eastAsia="zh-CN" w:bidi="ar-SA"/>
                <w14:textFill>
                  <w14:solidFill>
                    <w14:schemeClr w14:val="tx1">
                      <w14:lumMod w14:val="95000"/>
                      <w14:lumOff w14:val="5000"/>
                    </w14:schemeClr>
                  </w14:solidFill>
                </w14:textFill>
              </w:rPr>
            </w:pPr>
            <w:r>
              <w:rPr>
                <w:rStyle w:val="980"/>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履约保证金</w:t>
            </w:r>
          </w:p>
        </w:tc>
        <w:tc>
          <w:tcPr>
            <w:tcW w:w="6823" w:type="dxa"/>
            <w:shd w:val="clear" w:color="auto" w:fill="auto"/>
            <w:vAlign w:val="center"/>
          </w:tcPr>
          <w:p w14:paraId="6C3B7C92">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1</w:t>
            </w: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列入不良行为记录名单的供应商须缴纳履约保证金，金额要求为:合同金额的10%</w:t>
            </w:r>
          </w:p>
          <w:p w14:paraId="7D8FD096">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2</w:t>
            </w: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未列入不良行为记录名单的供应商:</w:t>
            </w:r>
          </w:p>
          <w:p w14:paraId="2A397AAC">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不要求缴纳履约保证金。</w:t>
            </w:r>
          </w:p>
          <w:p w14:paraId="42D1787F">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要求缴纳履约保证金履约保证金金额:合同金额的1%</w:t>
            </w:r>
          </w:p>
          <w:p w14:paraId="63115EA7">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3.</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履约保证金缴纳形式:支票/汇票/电汇/保函等非现金形式</w:t>
            </w:r>
          </w:p>
          <w:p w14:paraId="70C3799D">
            <w:pPr>
              <w:pStyle w:val="881"/>
              <w:spacing w:after="0" w:line="360" w:lineRule="auto"/>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4.</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履约保证金接收人:采购人</w:t>
            </w:r>
          </w:p>
          <w:p w14:paraId="7A6C00FD">
            <w:pPr>
              <w:pStyle w:val="881"/>
              <w:spacing w:after="0" w:line="360" w:lineRule="auto"/>
              <w:rPr>
                <w:rFonts w:hint="eastAsia" w:ascii="宋体" w:hAnsi="宋体" w:eastAsia="宋体" w:cs="宋体"/>
                <w:color w:val="0D0D0D" w:themeColor="text1" w:themeTint="F2"/>
                <w:kern w:val="0"/>
                <w:sz w:val="24"/>
                <w:szCs w:val="24"/>
                <w:u w:color="000000"/>
                <w:lang w:val="zh-TW" w:eastAsia="zh-TW" w:bidi="ar-SA"/>
                <w14:textFill>
                  <w14:solidFill>
                    <w14:schemeClr w14:val="tx1">
                      <w14:lumMod w14:val="95000"/>
                      <w14:lumOff w14:val="5000"/>
                    </w14:schemeClr>
                  </w14:solidFill>
                </w14:textFill>
              </w:rPr>
            </w:pPr>
            <w:r>
              <w:rPr>
                <w:rStyle w:val="980"/>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5.</w:t>
            </w:r>
            <w:r>
              <w:rPr>
                <w:rStyle w:val="980"/>
                <w:rFonts w:hint="eastAsia" w:ascii="宋体" w:hAnsi="宋体" w:eastAsia="宋体" w:cs="宋体"/>
                <w:color w:val="0D0D0D" w:themeColor="text1" w:themeTint="F2"/>
                <w:kern w:val="0"/>
                <w:sz w:val="24"/>
                <w:szCs w:val="24"/>
                <w:lang w:val="zh-TW" w:eastAsia="zh-TW"/>
                <w14:textFill>
                  <w14:solidFill>
                    <w14:schemeClr w14:val="tx1">
                      <w14:lumMod w14:val="95000"/>
                      <w14:lumOff w14:val="5000"/>
                    </w14:schemeClr>
                  </w14:solidFill>
                </w14:textFill>
              </w:rPr>
              <w:t>履约保证金有效期限:本合同签订后七个工作日内由中标供应商支付给采购人，项目验收合格后，由采购人无息退回中标供应商(遇寒暑假及国定假日顺延)。</w:t>
            </w:r>
          </w:p>
        </w:tc>
      </w:tr>
      <w:tr w14:paraId="2A0E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auto"/>
            <w:vAlign w:val="center"/>
          </w:tcPr>
          <w:p w14:paraId="1238712F">
            <w:pPr>
              <w:snapToGrid w:val="0"/>
              <w:spacing w:after="0" w:line="360" w:lineRule="auto"/>
              <w:jc w:val="cente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16</w:t>
            </w:r>
          </w:p>
        </w:tc>
        <w:tc>
          <w:tcPr>
            <w:tcW w:w="1843" w:type="dxa"/>
            <w:shd w:val="clear" w:color="auto" w:fill="auto"/>
            <w:vAlign w:val="center"/>
          </w:tcPr>
          <w:p w14:paraId="56C98AE4">
            <w:pPr>
              <w:snapToGrid w:val="0"/>
              <w:spacing w:line="360" w:lineRule="auto"/>
              <w:jc w:val="center"/>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支持本</w:t>
            </w:r>
          </w:p>
          <w:p w14:paraId="31940F46">
            <w:pPr>
              <w:snapToGrid w:val="0"/>
              <w:spacing w:line="360" w:lineRule="auto"/>
              <w:jc w:val="center"/>
              <w:rPr>
                <w:rFonts w:hint="eastAsia" w:ascii="宋体" w:hAnsi="宋体" w:eastAsia="宋体" w:cs="宋体"/>
                <w:b/>
                <w:bCs/>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国产品</w:t>
            </w:r>
          </w:p>
        </w:tc>
        <w:tc>
          <w:tcPr>
            <w:tcW w:w="6823" w:type="dxa"/>
            <w:shd w:val="clear" w:color="auto" w:fill="auto"/>
            <w:vAlign w:val="center"/>
          </w:tcPr>
          <w:p w14:paraId="5665440D">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1、本国产品标准的适用范围：</w:t>
            </w:r>
          </w:p>
          <w:p w14:paraId="4583088E">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本国产品标准适用于货物，包括政府采购货物项目和服务项目中涉及的货物。</w:t>
            </w:r>
          </w:p>
          <w:p w14:paraId="628320E1">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2、本采购项目：</w:t>
            </w:r>
          </w:p>
          <w:p w14:paraId="091E80CA">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 不适用本国产品标准及相关政策。</w:t>
            </w:r>
          </w:p>
          <w:p w14:paraId="6654EB36">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sym w:font="Wingdings 2" w:char="0052"/>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适用本国产品标准及相关政策。</w:t>
            </w:r>
          </w:p>
          <w:p w14:paraId="1CDD1291">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3、本国产品标准：</w:t>
            </w:r>
          </w:p>
          <w:p w14:paraId="59D76B78">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（1）产品在中国境内生产；</w:t>
            </w:r>
          </w:p>
          <w:p w14:paraId="03A80A0A">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（2）产品在中国境内生产的组件成本占比达到规定比例：</w:t>
            </w:r>
          </w:p>
          <w:p w14:paraId="07672ECE">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尚未实施</w:t>
            </w:r>
          </w:p>
          <w:p w14:paraId="0F899843">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（3）产品关键组件符合相关要求：</w:t>
            </w:r>
          </w:p>
          <w:p w14:paraId="25E4ECAA">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尚未实施</w:t>
            </w:r>
          </w:p>
          <w:p w14:paraId="5C65DB8B">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（4）产品关键工序符合相关要求：</w:t>
            </w:r>
          </w:p>
          <w:p w14:paraId="74804357">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尚未实施</w:t>
            </w:r>
          </w:p>
          <w:p w14:paraId="671C85C0">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4、出具符合要求的《关于符合本国产品标准的声明函》（格式见第六章）</w:t>
            </w:r>
            <w:r>
              <w:rPr>
                <w:rFonts w:hint="eastAsia" w:ascii="宋体" w:hAnsi="宋体" w:cs="宋体"/>
                <w:color w:val="0D0D0D" w:themeColor="text1" w:themeTint="F2"/>
                <w:sz w:val="24"/>
                <w14:textFill>
                  <w14:solidFill>
                    <w14:schemeClr w14:val="tx1">
                      <w14:lumMod w14:val="95000"/>
                      <w14:lumOff w14:val="5000"/>
                    </w14:schemeClr>
                  </w14:solidFill>
                </w14:textFill>
              </w:rPr>
              <w:t>或财政部会同有关部门规定的有关证明文件</w:t>
            </w:r>
            <w:r>
              <w:rPr>
                <w:rFonts w:hint="eastAsia" w:ascii="宋体" w:hAnsi="宋体" w:cs="宋体"/>
                <w:color w:val="0D0D0D" w:themeColor="text1" w:themeTint="F2"/>
                <w:kern w:val="0"/>
                <w:sz w:val="24"/>
                <w14:textFill>
                  <w14:solidFill>
                    <w14:schemeClr w14:val="tx1">
                      <w14:lumMod w14:val="95000"/>
                      <w14:lumOff w14:val="5000"/>
                    </w14:schemeClr>
                  </w14:solidFill>
                </w14:textFill>
              </w:rPr>
              <w:t>的，该产品视为本国产品。</w:t>
            </w:r>
          </w:p>
          <w:p w14:paraId="1CADA0CA">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5、对本国产品的支持政策：</w:t>
            </w:r>
          </w:p>
          <w:p w14:paraId="71AC6D15">
            <w:pPr>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政府采购活动中既有本国产品又有非本国产品参与竞争的，依法对本国产品给予价格评审优惠，对本国产品的报价给予20%的价格扣除，用扣除后的价格参与评审。</w:t>
            </w:r>
          </w:p>
          <w:p w14:paraId="2BB0DF24">
            <w:pPr>
              <w:spacing w:after="0" w:line="360" w:lineRule="auto"/>
              <w:rPr>
                <w:rFonts w:hint="eastAsia" w:ascii="宋体" w:hAnsi="宋体" w:eastAsia="宋体" w:cs="宋体"/>
                <w:color w:val="0D0D0D" w:themeColor="text1" w:themeTint="F2"/>
                <w:kern w:val="0"/>
                <w:sz w:val="24"/>
                <w:szCs w:val="24"/>
                <w:lang w:val="zh-TW" w:eastAsia="zh-TW"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bl>
    <w:p w14:paraId="5AC73DEF">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p w14:paraId="0A0B7BBB">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p w14:paraId="7913B91D">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p w14:paraId="1415DC7B">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p w14:paraId="2E97CC2F">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p w14:paraId="725647E3">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p w14:paraId="57379B31">
      <w:pPr>
        <w:adjustRightInd/>
        <w:spacing w:line="360" w:lineRule="auto"/>
        <w:outlineLvl w:val="0"/>
        <w:rPr>
          <w:rFonts w:hint="eastAsia" w:ascii="宋体" w:hAnsi="宋体" w:cs="宋体"/>
          <w:b/>
          <w:color w:val="0D0D0D" w:themeColor="text1" w:themeTint="F2"/>
          <w:sz w:val="32"/>
          <w:szCs w:val="20"/>
          <w:lang w:val="en-US" w:eastAsia="zh-CN"/>
          <w14:textFill>
            <w14:solidFill>
              <w14:schemeClr w14:val="tx1">
                <w14:lumMod w14:val="95000"/>
                <w14:lumOff w14:val="5000"/>
              </w14:schemeClr>
            </w14:solidFill>
          </w14:textFill>
        </w:rPr>
      </w:pPr>
    </w:p>
    <w:p w14:paraId="4E1CDDA0">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p w14:paraId="3EADF487">
      <w:pPr>
        <w:snapToGrid w:val="0"/>
        <w:spacing w:line="360" w:lineRule="auto"/>
        <w:jc w:val="center"/>
        <w:rPr>
          <w:rFonts w:hint="eastAsia" w:ascii="宋体" w:hAnsi="宋体" w:cs="宋体"/>
          <w:b/>
          <w:color w:val="0D0D0D" w:themeColor="text1" w:themeTint="F2"/>
          <w:sz w:val="32"/>
          <w:szCs w:val="20"/>
          <w14:textFill>
            <w14:solidFill>
              <w14:schemeClr w14:val="tx1">
                <w14:lumMod w14:val="95000"/>
                <w14:lumOff w14:val="5000"/>
              </w14:schemeClr>
            </w14:solidFill>
          </w14:textFill>
        </w:rPr>
      </w:pPr>
    </w:p>
    <w:bookmarkEnd w:id="11"/>
    <w:p w14:paraId="328AACAB">
      <w:pPr>
        <w:adjustRightInd/>
        <w:spacing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bookmarkStart w:id="21" w:name="_Toc164416483"/>
      <w:bookmarkStart w:id="22" w:name="第三部分"/>
      <w:r>
        <w:rPr>
          <w:rFonts w:hint="eastAsia" w:ascii="宋体" w:hAnsi="宋体" w:cs="宋体"/>
          <w:b/>
          <w:color w:val="0D0D0D" w:themeColor="text1" w:themeTint="F2"/>
          <w:sz w:val="32"/>
          <w:szCs w:val="20"/>
          <w14:textFill>
            <w14:solidFill>
              <w14:schemeClr w14:val="tx1">
                <w14:lumMod w14:val="95000"/>
                <w14:lumOff w14:val="5000"/>
              </w14:schemeClr>
            </w14:solidFill>
          </w14:textFill>
        </w:rPr>
        <w:br w:type="page"/>
      </w:r>
    </w:p>
    <w:p w14:paraId="0D0EFCDB">
      <w:pPr>
        <w:adjustRightInd/>
        <w:spacing w:after="0" w:line="360" w:lineRule="auto"/>
        <w:ind w:firstLine="3845" w:firstLineChars="1197"/>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bookmarkStart w:id="23" w:name="_Toc652"/>
      <w:r>
        <w:rPr>
          <w:rFonts w:hint="eastAsia" w:ascii="宋体" w:hAnsi="宋体" w:cs="宋体"/>
          <w:b/>
          <w:color w:val="0D0D0D" w:themeColor="text1" w:themeTint="F2"/>
          <w:sz w:val="32"/>
          <w:szCs w:val="20"/>
          <w14:textFill>
            <w14:solidFill>
              <w14:schemeClr w14:val="tx1">
                <w14:lumMod w14:val="95000"/>
                <w14:lumOff w14:val="5000"/>
              </w14:schemeClr>
            </w14:solidFill>
          </w14:textFill>
        </w:rPr>
        <w:t>一、总则</w:t>
      </w:r>
      <w:bookmarkEnd w:id="23"/>
    </w:p>
    <w:p w14:paraId="13072425">
      <w:pPr>
        <w:snapToGrid w:val="0"/>
        <w:spacing w:after="0" w:line="360" w:lineRule="auto"/>
        <w:ind w:firstLine="219" w:firstLineChars="91"/>
        <w:jc w:val="left"/>
        <w:outlineLvl w:val="1"/>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1. 适用范围</w:t>
      </w:r>
    </w:p>
    <w:p w14:paraId="140256F7">
      <w:pPr>
        <w:snapToGrid w:val="0"/>
        <w:spacing w:after="0" w:line="360" w:lineRule="auto"/>
        <w:ind w:firstLine="218" w:firstLineChars="91"/>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本招标文件适用于该项目的招标、投标、开标、资格审查及信用信息查询、评标、定标、合同、验收等行为（法律、法规另有规定的，从其规定）。</w:t>
      </w:r>
    </w:p>
    <w:p w14:paraId="38CF0C0F">
      <w:pPr>
        <w:adjustRightInd/>
        <w:spacing w:after="0" w:line="360" w:lineRule="auto"/>
        <w:ind w:firstLine="219" w:firstLineChars="91"/>
        <w:outlineLvl w:val="0"/>
        <w:rPr>
          <w:rFonts w:hint="eastAsia" w:ascii="宋体" w:hAnsi="宋体" w:cs="宋体"/>
          <w:b/>
          <w:color w:val="0D0D0D" w:themeColor="text1" w:themeTint="F2"/>
          <w:sz w:val="24"/>
          <w14:textFill>
            <w14:solidFill>
              <w14:schemeClr w14:val="tx1">
                <w14:lumMod w14:val="95000"/>
                <w14:lumOff w14:val="5000"/>
              </w14:schemeClr>
            </w14:solidFill>
          </w14:textFill>
        </w:rPr>
      </w:pPr>
      <w:bookmarkStart w:id="24" w:name="_Toc6039"/>
      <w:r>
        <w:rPr>
          <w:rFonts w:hint="eastAsia" w:ascii="宋体" w:hAnsi="宋体" w:cs="宋体"/>
          <w:b/>
          <w:color w:val="0D0D0D" w:themeColor="text1" w:themeTint="F2"/>
          <w:sz w:val="24"/>
          <w14:textFill>
            <w14:solidFill>
              <w14:schemeClr w14:val="tx1">
                <w14:lumMod w14:val="95000"/>
                <w14:lumOff w14:val="5000"/>
              </w14:schemeClr>
            </w14:solidFill>
          </w14:textFill>
        </w:rPr>
        <w:t>2.定义</w:t>
      </w:r>
      <w:bookmarkEnd w:id="24"/>
    </w:p>
    <w:p w14:paraId="7A0E7C7A">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2.1 “采购人”系指招标公告中载明的本项目的采购人。</w:t>
      </w:r>
    </w:p>
    <w:p w14:paraId="18CA5D24">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2.2 “采购代理机构”系指招标公告中载明的本项目的采购代理机构。</w:t>
      </w:r>
    </w:p>
    <w:p w14:paraId="2663FBA1">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2.3 “投标人”系指是指响应招标、参加投标竞争的法人、其他组织或者自然人。</w:t>
      </w:r>
    </w:p>
    <w:p w14:paraId="64B92940">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2.4 “负责人”系指法人企业的法定负责人，或其他组织为法律、行政法规规定代表单位行使职权的主要负责人，或自然人本人。</w:t>
      </w:r>
    </w:p>
    <w:p w14:paraId="2E706D51">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2.5“电子签名”系指数据电文中以电子形式所含、所附用于识别签名人身份并表明签名人认可其中内容的数据；“公章”系指单位法定名称章。</w:t>
      </w:r>
    </w:p>
    <w:p w14:paraId="2A1E99F0">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2.6“电子交易平台”系指本项目政府采购活动所依托的政府采购云平台（https://www.zcygov.cn/）。</w:t>
      </w:r>
    </w:p>
    <w:p w14:paraId="73045A09">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2.7 “▲” 系指实质性要求条款，</w:t>
      </w: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系指重要技术参数，“</w:t>
      </w:r>
      <w:r>
        <w:rPr>
          <w:rFonts w:ascii="Wingdings" w:hAnsi="Wingdings" w:cs="宋体"/>
          <w:color w:val="0D0D0D" w:themeColor="text1" w:themeTint="F2"/>
          <w:kern w:val="0"/>
          <w:sz w:val="24"/>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系指适用本项目的要求，“</w:t>
      </w:r>
      <w:r>
        <w:rPr>
          <w:rFonts w:hint="eastAsia" w:ascii="宋体" w:hAnsi="宋体" w:cs="宋体"/>
          <w:color w:val="0D0D0D" w:themeColor="text1" w:themeTint="F2"/>
          <w:kern w:val="0"/>
          <w:sz w:val="24"/>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系指不适用本项目的要求。</w:t>
      </w:r>
    </w:p>
    <w:p w14:paraId="08FF00E9">
      <w:pPr>
        <w:spacing w:after="0" w:line="360" w:lineRule="auto"/>
        <w:ind w:firstLine="241" w:firstLineChars="100"/>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3.采购项目需要落实的政府采购政策</w:t>
      </w:r>
    </w:p>
    <w:p w14:paraId="39D2A504">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D0D0D" w:themeColor="text1" w:themeTint="F2"/>
          <w:kern w:val="0"/>
          <w:sz w:val="24"/>
          <w14:textFill>
            <w14:solidFill>
              <w14:schemeClr w14:val="tx1">
                <w14:lumMod w14:val="95000"/>
                <w14:lumOff w14:val="5000"/>
              </w14:schemeClr>
            </w14:solidFill>
          </w14:textFill>
        </w:rPr>
        <w:t>优先采购向我国企业转让技术、与我国企业签订消化吸收再创新方案的供应商的进口产品</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61115109">
      <w:pPr>
        <w:snapToGrid w:val="0"/>
        <w:spacing w:after="0" w:line="360" w:lineRule="auto"/>
        <w:ind w:firstLine="218" w:firstLineChars="91"/>
        <w:jc w:val="left"/>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3.2本国产品标准。</w:t>
      </w:r>
      <w:r>
        <w:rPr>
          <w:rFonts w:hint="eastAsia" w:ascii="宋体" w:hAnsi="宋体"/>
          <w:color w:val="0D0D0D" w:themeColor="text1" w:themeTint="F2"/>
          <w:sz w:val="24"/>
          <w14:textFill>
            <w14:solidFill>
              <w14:schemeClr w14:val="tx1">
                <w14:lumMod w14:val="95000"/>
                <w14:lumOff w14:val="5000"/>
              </w14:schemeClr>
            </w14:solidFill>
          </w14:textFill>
        </w:rPr>
        <w:t>本国产品应当符合以下条件：</w:t>
      </w:r>
    </w:p>
    <w:p w14:paraId="705EA427">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1）在中国境内生产</w:t>
      </w:r>
    </w:p>
    <w:p w14:paraId="79CC5CDB">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产品应当在中国境内生产，即在中华人民共和国关境内实现从原材料、组件到产品的属性改变。</w:t>
      </w:r>
    </w:p>
    <w:p w14:paraId="301344F5">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属性改变是指经过制造、加工或者组装等工序，产生完全不同于原材料、组件的新产品，并具有新的名称和特征（用途）。属性改变不包括以下细微操作：</w:t>
      </w:r>
    </w:p>
    <w:p w14:paraId="6E49272B">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a.为确保产品在运输或者储存期间保持某种状态而进行的操作；</w:t>
      </w:r>
    </w:p>
    <w:p w14:paraId="0770975C">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b.为产品运输或者销售进行的包装或者展示；</w:t>
      </w:r>
    </w:p>
    <w:p w14:paraId="056B45EB">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c.在产品或者其包装上粘贴或者印刷品牌、标志、标识以及其他用于区别的标记；</w:t>
      </w:r>
    </w:p>
    <w:p w14:paraId="7F660343">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d.简单的上漆、磨光和分装；</w:t>
      </w:r>
    </w:p>
    <w:p w14:paraId="079818B4">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e.其他不属于属性改变的情形。</w:t>
      </w:r>
    </w:p>
    <w:p w14:paraId="70F87280">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2）在中国境内生产的组件成本占比达到规定比例</w:t>
      </w:r>
    </w:p>
    <w:p w14:paraId="064D92C9">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产品在中国境内生产的组件成本占比应当达到规定比例，计算公式为：</w:t>
      </w:r>
    </w:p>
    <w:p w14:paraId="6904ED47">
      <w:pPr>
        <w:spacing w:after="0" w:line="360" w:lineRule="auto"/>
        <w:ind w:firstLine="218" w:firstLineChars="91"/>
        <w:jc w:val="center"/>
        <w:rPr>
          <w:rFonts w:hint="eastAsia" w:ascii="宋体" w:hAnsi="宋体"/>
          <w:color w:val="0D0D0D" w:themeColor="text1" w:themeTint="F2"/>
          <w:sz w:val="24"/>
          <w14:textFill>
            <w14:solidFill>
              <w14:schemeClr w14:val="tx1">
                <w14:lumMod w14:val="95000"/>
                <w14:lumOff w14:val="5000"/>
              </w14:schemeClr>
            </w14:solidFill>
          </w14:textFill>
        </w:rPr>
      </w:pPr>
      <w:r>
        <w:rPr>
          <w:rFonts w:ascii="宋体" w:hAnsi="宋体"/>
          <w:color w:val="0D0D0D" w:themeColor="text1" w:themeTint="F2"/>
          <w:sz w:val="24"/>
          <w14:textFill>
            <w14:solidFill>
              <w14:schemeClr w14:val="tx1">
                <w14:lumMod w14:val="95000"/>
                <w14:lumOff w14:val="5000"/>
              </w14:schemeClr>
            </w14:solidFill>
          </w14:textFill>
        </w:rPr>
        <w:fldChar w:fldCharType="begin"/>
      </w:r>
      <w:r>
        <w:rPr>
          <w:rFonts w:ascii="宋体" w:hAnsi="宋体"/>
          <w:color w:val="0D0D0D" w:themeColor="text1" w:themeTint="F2"/>
          <w:sz w:val="24"/>
          <w14:textFill>
            <w14:solidFill>
              <w14:schemeClr w14:val="tx1">
                <w14:lumMod w14:val="95000"/>
                <w14:lumOff w14:val="5000"/>
              </w14:schemeClr>
            </w14:solidFill>
          </w14:textFill>
        </w:rPr>
        <w:instrText xml:space="preserve"> INCLUDEPICTURE "https://www.gov.cn/zhengce/content/202509/W020250930645245947614.png" \* MERGEFORMATINET </w:instrText>
      </w:r>
      <w:r>
        <w:rPr>
          <w:rFonts w:ascii="宋体" w:hAnsi="宋体"/>
          <w:color w:val="0D0D0D" w:themeColor="text1" w:themeTint="F2"/>
          <w:sz w:val="24"/>
          <w14:textFill>
            <w14:solidFill>
              <w14:schemeClr w14:val="tx1">
                <w14:lumMod w14:val="95000"/>
                <w14:lumOff w14:val="5000"/>
              </w14:schemeClr>
            </w14:solidFill>
          </w14:textFill>
        </w:rPr>
        <w:fldChar w:fldCharType="separate"/>
      </w:r>
      <w:r>
        <w:rPr>
          <w:rFonts w:ascii="宋体" w:hAnsi="宋体"/>
          <w:color w:val="0D0D0D" w:themeColor="text1" w:themeTint="F2"/>
          <w:sz w:val="24"/>
          <w14:textFill>
            <w14:solidFill>
              <w14:schemeClr w14:val="tx1">
                <w14:lumMod w14:val="95000"/>
                <w14:lumOff w14:val="5000"/>
              </w14:schemeClr>
            </w14:solidFill>
          </w14:textFill>
        </w:rPr>
        <w:drawing>
          <wp:inline distT="0" distB="0" distL="114300" distR="114300">
            <wp:extent cx="4235450" cy="611505"/>
            <wp:effectExtent l="0" t="0" r="12700" b="17145"/>
            <wp:docPr id="1"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020250930645245947614"/>
                    <pic:cNvPicPr>
                      <a:picLocks noChangeAspect="1"/>
                    </pic:cNvPicPr>
                  </pic:nvPicPr>
                  <pic:blipFill>
                    <a:blip r:embed="rId16"/>
                    <a:stretch>
                      <a:fillRect/>
                    </a:stretch>
                  </pic:blipFill>
                  <pic:spPr>
                    <a:xfrm>
                      <a:off x="0" y="0"/>
                      <a:ext cx="4235450" cy="611505"/>
                    </a:xfrm>
                    <a:prstGeom prst="rect">
                      <a:avLst/>
                    </a:prstGeom>
                    <a:noFill/>
                    <a:ln>
                      <a:noFill/>
                    </a:ln>
                  </pic:spPr>
                </pic:pic>
              </a:graphicData>
            </a:graphic>
          </wp:inline>
        </w:drawing>
      </w:r>
      <w:r>
        <w:rPr>
          <w:rFonts w:ascii="宋体" w:hAnsi="宋体"/>
          <w:color w:val="0D0D0D" w:themeColor="text1" w:themeTint="F2"/>
          <w:sz w:val="24"/>
          <w14:textFill>
            <w14:solidFill>
              <w14:schemeClr w14:val="tx1">
                <w14:lumMod w14:val="95000"/>
                <w14:lumOff w14:val="5000"/>
              </w14:schemeClr>
            </w14:solidFill>
          </w14:textFill>
        </w:rPr>
        <w:fldChar w:fldCharType="end"/>
      </w:r>
    </w:p>
    <w:p w14:paraId="7D0FA8D6">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财政部会同有关行业主管部门，分产品确定在中国境内生产的组件成本占比应当达到的规定比例。在分产品的中国境内生产的组件成本占比相关要求实施前，符合第1）项条件的产品在政府采购活动中视同本国产品。</w:t>
      </w:r>
    </w:p>
    <w:p w14:paraId="5CCD1719">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3）特定产品的关键组件、关键工序符合相关要求</w:t>
      </w:r>
    </w:p>
    <w:p w14:paraId="42FBEF93">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对特定产品，在符合第1）项和第2）项条件的基础上，应当符合财政部会同有关行业主管部门确定的其关键组件、关键工序在中国境内生产、完成等要求。</w:t>
      </w:r>
    </w:p>
    <w:p w14:paraId="5622BDE8">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（2）本国产品标准的适用范围</w:t>
      </w:r>
    </w:p>
    <w:p w14:paraId="0DDC4F84">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E33373">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（3）对本国产品的支持政策</w:t>
      </w:r>
    </w:p>
    <w:p w14:paraId="42399AF8">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政府采购活动中既有本国产品又有非本国产品参与竞争的，依法对本国产品给予价格评审优惠，对本国产品的报价给予20%的价格扣除，用扣除后的价格参与评审。</w:t>
      </w:r>
    </w:p>
    <w:p w14:paraId="36FAEDEB">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3861155">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（4）本国产品证明文件</w:t>
      </w:r>
    </w:p>
    <w:p w14:paraId="5953D639">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1）出具符合要求的《关于符合本国产品标准的声明函》（格式见第六章）或有关证明文件的，该产品视为本国产品。</w:t>
      </w:r>
    </w:p>
    <w:p w14:paraId="004E3B94">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2）《关于符合本国产品标准的声明函》填写注意事项：</w:t>
      </w:r>
    </w:p>
    <w:p w14:paraId="54503B56">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a.产品如有型号，请在“产品名称”栏一并填写。</w:t>
      </w:r>
    </w:p>
    <w:p w14:paraId="25013048">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b.生产厂名与厂址应与生产厂营业执照载明的相关信息保持一致。</w:t>
      </w:r>
    </w:p>
    <w:p w14:paraId="39A5FA72">
      <w:pPr>
        <w:spacing w:after="0" w:line="360" w:lineRule="auto"/>
        <w:ind w:firstLine="218" w:firstLineChars="91"/>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c.该产品的中国境内生产的组件成本占比相关要求实施前，“规定比例”栏可不填写。</w:t>
      </w:r>
    </w:p>
    <w:p w14:paraId="2F85BB69">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d.该产品的关键组件要求实施前，“关键组件”栏可不填写。</w:t>
      </w:r>
    </w:p>
    <w:p w14:paraId="38737660">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e.该产品的关键工序要求实施前，“关键工序”栏可不填写。</w:t>
      </w:r>
    </w:p>
    <w:p w14:paraId="40910270">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3.3 支持绿色发展</w:t>
      </w:r>
    </w:p>
    <w:p w14:paraId="16175A0F">
      <w:pPr>
        <w:spacing w:after="0" w:line="360" w:lineRule="auto"/>
        <w:ind w:firstLine="218" w:firstLineChars="91"/>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3.3.1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D0D0D" w:themeColor="text1" w:themeTint="F2"/>
          <w:sz w:val="24"/>
          <w14:textFill>
            <w14:solidFill>
              <w14:schemeClr w14:val="tx1">
                <w14:lumMod w14:val="95000"/>
                <w14:lumOff w14:val="5000"/>
              </w14:schemeClr>
            </w14:solidFill>
          </w14:textFill>
        </w:rPr>
        <w:t>▲采购人拟采购的产品属于政府强制采购的节能产品品目清单范围的，投标人相应的投标产品未获得国家确定的认证机构出具的、处于有效期之内的节能产品认证证书的，投标无效。</w:t>
      </w:r>
    </w:p>
    <w:p w14:paraId="18E69CFC">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3.3.2 纳入政府采购管理的修缮、装修类项目采购建材的，鼓励采购单位将绿色建材性能、指标等作为实质性条件纳入采购文件和合同，具体性能指标要求参考相关绿色建材政府采购需求标准。</w:t>
      </w:r>
    </w:p>
    <w:p w14:paraId="6221377A">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5A2B8C">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3.3.4 鼓励供应商在参加政府采购过程中开展绿色设计、选择绿色材料、打造绿色制造工艺、开展绿色运输、做好废弃产品回收处理，实现产品全周期的绿色环保。鼓励采购单位对其提高预付款比例、免收履约保证金。</w:t>
      </w:r>
    </w:p>
    <w:p w14:paraId="314566BD">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3.4支持中小企业发展</w:t>
      </w:r>
    </w:p>
    <w:p w14:paraId="4E832212">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3.4.1中小企业，是指在中华人民共和国境内依法设立，依据国务院批准的中小企业划分标准确定的中型企业、小型企业和微型企业，但与大企业的负责人为同一人，或者与大企业存在直接控股、管理关系的除外。</w:t>
      </w:r>
    </w:p>
    <w:p w14:paraId="17BEFC56">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符合中小企业划分标准的个体工商户，在政府采购活动中视同中小企业。</w:t>
      </w:r>
    </w:p>
    <w:p w14:paraId="14E32305">
      <w:pPr>
        <w:widowControl/>
        <w:spacing w:after="0" w:line="360" w:lineRule="auto"/>
        <w:ind w:firstLine="218" w:firstLineChars="91"/>
        <w:jc w:val="left"/>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ascii="宋体" w:hAnsi="宋体" w:cs="宋体"/>
          <w:bCs/>
          <w:color w:val="0D0D0D" w:themeColor="text1" w:themeTint="F2"/>
          <w:sz w:val="24"/>
          <w14:textFill>
            <w14:solidFill>
              <w14:schemeClr w14:val="tx1">
                <w14:lumMod w14:val="95000"/>
                <w14:lumOff w14:val="5000"/>
              </w14:schemeClr>
            </w14:solidFill>
          </w14:textFill>
        </w:rPr>
        <w:t>3.</w:t>
      </w:r>
      <w:r>
        <w:rPr>
          <w:rFonts w:hint="eastAsia" w:ascii="宋体" w:hAnsi="宋体" w:cs="宋体"/>
          <w:bCs/>
          <w:color w:val="0D0D0D" w:themeColor="text1" w:themeTint="F2"/>
          <w:sz w:val="24"/>
          <w14:textFill>
            <w14:solidFill>
              <w14:schemeClr w14:val="tx1">
                <w14:lumMod w14:val="95000"/>
                <w14:lumOff w14:val="5000"/>
              </w14:schemeClr>
            </w14:solidFill>
          </w14:textFill>
        </w:rPr>
        <w:t>4</w:t>
      </w:r>
      <w:r>
        <w:rPr>
          <w:rFonts w:ascii="宋体" w:hAnsi="宋体" w:cs="宋体"/>
          <w:bCs/>
          <w:color w:val="0D0D0D" w:themeColor="text1" w:themeTint="F2"/>
          <w:sz w:val="24"/>
          <w14:textFill>
            <w14:solidFill>
              <w14:schemeClr w14:val="tx1">
                <w14:lumMod w14:val="95000"/>
                <w14:lumOff w14:val="5000"/>
              </w14:schemeClr>
            </w14:solidFill>
          </w14:textFill>
        </w:rPr>
        <w:t>.2</w:t>
      </w:r>
      <w:r>
        <w:rPr>
          <w:rFonts w:hint="eastAsia" w:ascii="宋体" w:hAnsi="宋体" w:cs="宋体"/>
          <w:color w:val="0D0D0D" w:themeColor="text1" w:themeTint="F2"/>
          <w:kern w:val="0"/>
          <w:sz w:val="24"/>
          <w14:textFill>
            <w14:solidFill>
              <w14:schemeClr w14:val="tx1">
                <w14:lumMod w14:val="95000"/>
                <w14:lumOff w14:val="5000"/>
              </w14:schemeClr>
            </w14:solidFill>
          </w14:textFill>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68C33DFF">
      <w:pPr>
        <w:widowControl/>
        <w:spacing w:after="0" w:line="360" w:lineRule="auto"/>
        <w:ind w:firstLine="218" w:firstLineChars="91"/>
        <w:jc w:val="left"/>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以联合体形式参加政府采购活动，联合体各方均为中小企业的，联合体视同中小企业。其中，联合体各方均为小微企业的，联合体视同小微企业。</w:t>
      </w:r>
    </w:p>
    <w:p w14:paraId="252E4EE8">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3.4.3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C95EA00">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3.4.4符合《关于促进残疾人就业政府采购政策的通知》（财库〔2017〕141号）规定的条件并提供《残疾人福利性单位声明函》（附件1）的残疾人福利性单位视同小型、微型企业；</w:t>
      </w:r>
    </w:p>
    <w:p w14:paraId="1E3F0C65">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3.4.5符合《关于政府采购支持监狱企业发展有关问题的通知》（财库[2014]68号）规定的监狱企业并提供由省级以上监狱管理局、戒毒管理局（含新疆生产建设兵团）出具的属于监狱企业证明文件的，视同为小型、微型企业。</w:t>
      </w:r>
    </w:p>
    <w:p w14:paraId="73CB450C">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3.4.6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824CCB4">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3.4.7中小企业享受扶持政策获得政府采购合同的，小微企业不得将合同分包给大中型企业，中型企业不得将合同分包给大型企业。</w:t>
      </w:r>
    </w:p>
    <w:p w14:paraId="16CDEC3C">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3.5</w:t>
      </w:r>
      <w:r>
        <w:rPr>
          <w:rFonts w:hint="eastAsia" w:ascii="宋体" w:hAnsi="宋体" w:cs="宋体"/>
          <w:bCs/>
          <w:color w:val="0D0D0D" w:themeColor="text1" w:themeTint="F2"/>
          <w:sz w:val="24"/>
          <w14:textFill>
            <w14:solidFill>
              <w14:schemeClr w14:val="tx1">
                <w14:lumMod w14:val="95000"/>
                <w14:lumOff w14:val="5000"/>
              </w14:schemeClr>
            </w14:solidFill>
          </w14:textFill>
        </w:rPr>
        <w:t>支持创新发展</w:t>
      </w:r>
    </w:p>
    <w:p w14:paraId="74EC8147">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3.5.1 采购人优先采购被认定为首台套产品和“制造精品”的自主创新产品。</w:t>
      </w:r>
    </w:p>
    <w:p w14:paraId="30286593">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3.5.2首台套产品被纳入《首台套产品推广应用指导目录》之日起</w:t>
      </w:r>
      <w:r>
        <w:rPr>
          <w:rFonts w:ascii="宋体" w:hAnsi="宋体" w:cs="宋体"/>
          <w:color w:val="0D0D0D" w:themeColor="text1" w:themeTint="F2"/>
          <w:sz w:val="24"/>
          <w14:textFill>
            <w14:solidFill>
              <w14:schemeClr w14:val="tx1">
                <w14:lumMod w14:val="95000"/>
                <w14:lumOff w14:val="5000"/>
              </w14:schemeClr>
            </w14:solidFill>
          </w14:textFill>
        </w:rPr>
        <w:t>3</w:t>
      </w:r>
      <w:r>
        <w:rPr>
          <w:rFonts w:hint="eastAsia" w:ascii="宋体" w:hAnsi="宋体" w:cs="宋体"/>
          <w:color w:val="0D0D0D" w:themeColor="text1" w:themeTint="F2"/>
          <w:sz w:val="24"/>
          <w14:textFill>
            <w14:solidFill>
              <w14:schemeClr w14:val="tx1">
                <w14:lumMod w14:val="95000"/>
                <w14:lumOff w14:val="5000"/>
              </w14:schemeClr>
            </w14:solidFill>
          </w14:textFill>
        </w:rPr>
        <w:t>年内，以及产品核心技术高于国内领先水平，并具有明晰自主知识产权的“制造精品”产品，自认定之日起2年内视同已具备相应销售业绩，参加政府采购活动时业绩分值为满分。</w:t>
      </w:r>
    </w:p>
    <w:p w14:paraId="18CD77B8">
      <w:pPr>
        <w:spacing w:after="0" w:line="360" w:lineRule="auto"/>
        <w:ind w:firstLine="218" w:firstLineChars="91"/>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3.6平等对待内外资企业和符合条件的破产重整企业</w:t>
      </w:r>
    </w:p>
    <w:p w14:paraId="1D7693FB">
      <w:pPr>
        <w:spacing w:after="0" w:line="360" w:lineRule="auto"/>
        <w:ind w:firstLine="480" w:firstLineChars="200"/>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平等对待内外资企业和符合条件的破产重整企业，切实保障企业公平竞争，平等维护企业的合法利益。</w:t>
      </w:r>
      <w:r>
        <w:rPr>
          <w:rFonts w:hint="eastAsia" w:ascii="宋体" w:hAnsi="宋体" w:cs="宋体"/>
          <w:color w:val="0D0D0D" w:themeColor="text1" w:themeTint="F2"/>
          <w:sz w:val="24"/>
          <w14:textFill>
            <w14:solidFill>
              <w14:schemeClr w14:val="tx1">
                <w14:lumMod w14:val="95000"/>
                <w14:lumOff w14:val="5000"/>
              </w14:schemeClr>
            </w14:solidFill>
          </w14:textFill>
        </w:rPr>
        <w:cr/>
      </w:r>
      <w:r>
        <w:rPr>
          <w:rFonts w:hint="eastAsia" w:ascii="宋体" w:hAnsi="宋体" w:cs="宋体"/>
          <w:b/>
          <w:color w:val="0D0D0D" w:themeColor="text1" w:themeTint="F2"/>
          <w:sz w:val="24"/>
          <w14:textFill>
            <w14:solidFill>
              <w14:schemeClr w14:val="tx1">
                <w14:lumMod w14:val="95000"/>
                <w14:lumOff w14:val="5000"/>
              </w14:schemeClr>
            </w14:solidFill>
          </w14:textFill>
        </w:rPr>
        <w:t>4. 询问、质疑、投诉</w:t>
      </w:r>
    </w:p>
    <w:p w14:paraId="6917B842">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lang w:val="zh-CN"/>
          <w14:textFill>
            <w14:solidFill>
              <w14:schemeClr w14:val="tx1">
                <w14:lumMod w14:val="95000"/>
                <w14:lumOff w14:val="5000"/>
              </w14:schemeClr>
            </w14:solidFill>
          </w14:textFill>
        </w:rPr>
      </w:pPr>
      <w:r>
        <w:rPr>
          <w:rFonts w:hint="eastAsia"/>
          <w:color w:val="0D0D0D" w:themeColor="text1" w:themeTint="F2"/>
          <w:lang w:val="zh-CN"/>
          <w14:textFill>
            <w14:solidFill>
              <w14:schemeClr w14:val="tx1">
                <w14:lumMod w14:val="95000"/>
                <w14:lumOff w14:val="5000"/>
              </w14:schemeClr>
            </w14:solidFill>
          </w14:textFill>
        </w:rPr>
        <w:t>4.1在线询问、质疑、投诉</w:t>
      </w:r>
    </w:p>
    <w:p w14:paraId="4E049F08">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lang w:val="zh-CN"/>
          <w14:textFill>
            <w14:solidFill>
              <w14:schemeClr w14:val="tx1">
                <w14:lumMod w14:val="95000"/>
                <w14:lumOff w14:val="5000"/>
              </w14:schemeClr>
            </w14:solidFill>
          </w14:textFill>
        </w:rPr>
      </w:pPr>
      <w:r>
        <w:rPr>
          <w:rFonts w:hint="eastAsia"/>
          <w:color w:val="0D0D0D" w:themeColor="text1" w:themeTint="F2"/>
          <w:lang w:val="zh-CN"/>
          <w14:textFill>
            <w14:solidFill>
              <w14:schemeClr w14:val="tx1">
                <w14:lumMod w14:val="95000"/>
                <w14:lumOff w14:val="5000"/>
              </w14:schemeClr>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255D4B1">
      <w:pPr>
        <w:autoSpaceDE w:val="0"/>
        <w:autoSpaceDN w:val="0"/>
        <w:spacing w:after="0" w:line="360" w:lineRule="auto"/>
        <w:ind w:firstLine="240" w:firstLineChars="1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4.2供应商询问</w:t>
      </w:r>
    </w:p>
    <w:p w14:paraId="51CD5B86">
      <w:pPr>
        <w:autoSpaceDE w:val="0"/>
        <w:autoSpaceDN w:val="0"/>
        <w:spacing w:after="0" w:line="360" w:lineRule="auto"/>
        <w:ind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E3CF99F">
      <w:pPr>
        <w:autoSpaceDE w:val="0"/>
        <w:autoSpaceDN w:val="0"/>
        <w:spacing w:after="0" w:line="360" w:lineRule="auto"/>
        <w:ind w:firstLine="240" w:firstLineChars="1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4.3供应商质疑</w:t>
      </w:r>
    </w:p>
    <w:p w14:paraId="14412FB7">
      <w:pPr>
        <w:pStyle w:val="32"/>
        <w:spacing w:after="0" w:line="360" w:lineRule="auto"/>
        <w:ind w:firstLine="480" w:firstLineChars="200"/>
        <w:rPr>
          <w:rFonts w:hint="eastAsia" w:hAnsi="宋体" w:cs="宋体"/>
          <w:color w:val="0D0D0D" w:themeColor="text1" w:themeTint="F2"/>
          <w:sz w:val="24"/>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4.3</w:t>
      </w:r>
      <w:r>
        <w:rPr>
          <w:rFonts w:hint="eastAsia" w:hAnsi="宋体" w:cs="宋体"/>
          <w:color w:val="0D0D0D" w:themeColor="text1" w:themeTint="F2"/>
          <w:sz w:val="24"/>
          <w14:textFill>
            <w14:solidFill>
              <w14:schemeClr w14:val="tx1">
                <w14:lumMod w14:val="95000"/>
                <w14:lumOff w14:val="5000"/>
              </w14:schemeClr>
            </w14:solidFill>
          </w14:textFill>
        </w:rPr>
        <w:t>.1提出质疑的供应商应当是参与所质疑项目采购活动的供应商。潜在供应商已依法获取其可质疑的招标文件的，可以对该文件提出质疑。</w:t>
      </w:r>
    </w:p>
    <w:p w14:paraId="23D048FD">
      <w:pPr>
        <w:pStyle w:val="32"/>
        <w:spacing w:after="0" w:line="360" w:lineRule="auto"/>
        <w:ind w:firstLine="480" w:firstLineChars="200"/>
        <w:rPr>
          <w:rFonts w:hint="eastAsia" w:hAnsi="宋体" w:cs="宋体"/>
          <w:color w:val="0D0D0D" w:themeColor="text1" w:themeTint="F2"/>
          <w:sz w:val="24"/>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4.3</w:t>
      </w:r>
      <w:r>
        <w:rPr>
          <w:rFonts w:hint="eastAsia" w:hAnsi="宋体" w:cs="宋体"/>
          <w:color w:val="0D0D0D" w:themeColor="text1" w:themeTint="F2"/>
          <w:sz w:val="24"/>
          <w14:textFill>
            <w14:solidFill>
              <w14:schemeClr w14:val="tx1">
                <w14:lumMod w14:val="95000"/>
                <w14:lumOff w14:val="5000"/>
              </w14:schemeClr>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88CCCA8">
      <w:pPr>
        <w:pStyle w:val="15"/>
        <w:spacing w:after="0" w:line="360" w:lineRule="auto"/>
        <w:ind w:firstLine="480" w:firstLineChars="200"/>
        <w:rPr>
          <w:rFonts w:hint="eastAsia" w:hAnsi="宋体" w:cs="宋体"/>
          <w:snapToGrid/>
          <w:color w:val="0D0D0D" w:themeColor="text1" w:themeTint="F2"/>
          <w:kern w:val="2"/>
          <w:sz w:val="24"/>
          <w14:textFill>
            <w14:solidFill>
              <w14:schemeClr w14:val="tx1">
                <w14:lumMod w14:val="95000"/>
                <w14:lumOff w14:val="5000"/>
              </w14:schemeClr>
            </w14:solidFill>
          </w14:textFill>
        </w:rPr>
      </w:pPr>
      <w:r>
        <w:rPr>
          <w:rFonts w:hint="eastAsia" w:hAnsi="宋体" w:cs="宋体"/>
          <w:snapToGrid/>
          <w:color w:val="0D0D0D" w:themeColor="text1" w:themeTint="F2"/>
          <w:kern w:val="2"/>
          <w:sz w:val="24"/>
          <w14:textFill>
            <w14:solidFill>
              <w14:schemeClr w14:val="tx1">
                <w14:lumMod w14:val="95000"/>
                <w14:lumOff w14:val="5000"/>
              </w14:schemeClr>
            </w14:solidFill>
          </w14:textFill>
        </w:rPr>
        <w:t>4.3.2.1对招标文件提出质疑的，质疑期限为供应商获得招标文件之日或者招标文件公告期限届满之日起计算。</w:t>
      </w:r>
    </w:p>
    <w:p w14:paraId="1C940C18">
      <w:pPr>
        <w:pStyle w:val="32"/>
        <w:spacing w:after="0" w:line="360" w:lineRule="auto"/>
        <w:ind w:left="479" w:leftChars="228"/>
        <w:rPr>
          <w:rFonts w:hint="eastAsia" w:hAnsi="宋体" w:cs="宋体"/>
          <w:color w:val="0D0D0D" w:themeColor="text1" w:themeTint="F2"/>
          <w:sz w:val="24"/>
          <w14:textFill>
            <w14:solidFill>
              <w14:schemeClr w14:val="tx1">
                <w14:lumMod w14:val="95000"/>
                <w14:lumOff w14:val="5000"/>
              </w14:schemeClr>
            </w14:solidFill>
          </w14:textFill>
        </w:rPr>
      </w:pPr>
      <w:r>
        <w:rPr>
          <w:rFonts w:hint="eastAsia" w:hAnsi="宋体" w:cs="宋体"/>
          <w:color w:val="0D0D0D" w:themeColor="text1" w:themeTint="F2"/>
          <w:sz w:val="24"/>
          <w14:textFill>
            <w14:solidFill>
              <w14:schemeClr w14:val="tx1">
                <w14:lumMod w14:val="95000"/>
                <w14:lumOff w14:val="5000"/>
              </w14:schemeClr>
            </w14:solidFill>
          </w14:textFill>
        </w:rPr>
        <w:t>4.3.2.2对采购过程提出质疑的，质疑期限为各采购程序环节结束之日起计算。4.3.2.3对采购结果提出质疑的，质疑期限自采购结果公告期限届满之日起计算。</w:t>
      </w:r>
    </w:p>
    <w:p w14:paraId="76A0BDFF">
      <w:pPr>
        <w:pStyle w:val="32"/>
        <w:spacing w:after="0" w:line="360" w:lineRule="auto"/>
        <w:ind w:firstLine="480" w:firstLineChars="200"/>
        <w:rPr>
          <w:rFonts w:hint="eastAsia"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4.3.3</w:t>
      </w:r>
      <w:r>
        <w:rPr>
          <w:rFonts w:hint="eastAsia" w:hAnsi="宋体" w:cs="宋体"/>
          <w:color w:val="0D0D0D" w:themeColor="text1" w:themeTint="F2"/>
          <w:sz w:val="24"/>
          <w14:textFill>
            <w14:solidFill>
              <w14:schemeClr w14:val="tx1">
                <w14:lumMod w14:val="95000"/>
                <w14:lumOff w14:val="5000"/>
              </w14:schemeClr>
            </w14:solidFill>
          </w14:textFill>
        </w:rPr>
        <w:t>供应商提出质疑应当提交质疑函和必要的证明材料。质疑函应当包括下列内容：</w:t>
      </w:r>
    </w:p>
    <w:p w14:paraId="0FA5D235">
      <w:pPr>
        <w:pStyle w:val="32"/>
        <w:spacing w:after="0" w:line="360" w:lineRule="auto"/>
        <w:ind w:firstLine="480" w:firstLineChars="200"/>
        <w:rPr>
          <w:rFonts w:hint="eastAsia"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　　4.3.3.1供应商的姓名或者名称、地址、邮编、联系人及联系电话；</w:t>
      </w:r>
    </w:p>
    <w:p w14:paraId="677DE463">
      <w:pPr>
        <w:pStyle w:val="32"/>
        <w:spacing w:after="0" w:line="360" w:lineRule="auto"/>
        <w:ind w:firstLine="480" w:firstLineChars="200"/>
        <w:rPr>
          <w:rFonts w:hint="eastAsia"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　　4.3.3.2质疑项目的名称、编号；</w:t>
      </w:r>
    </w:p>
    <w:p w14:paraId="63AF9F73">
      <w:pPr>
        <w:pStyle w:val="32"/>
        <w:spacing w:after="0" w:line="360" w:lineRule="auto"/>
        <w:ind w:firstLine="480" w:firstLineChars="200"/>
        <w:rPr>
          <w:rFonts w:hint="eastAsia"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　　4.3.3.3具体、明确的质疑事项和与质疑事项相关的请求；</w:t>
      </w:r>
    </w:p>
    <w:p w14:paraId="6384F7C9">
      <w:pPr>
        <w:pStyle w:val="32"/>
        <w:spacing w:after="0" w:line="360" w:lineRule="auto"/>
        <w:ind w:firstLine="480" w:firstLineChars="200"/>
        <w:rPr>
          <w:rFonts w:hint="eastAsia"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　　4.3.3.4事实依据；</w:t>
      </w:r>
    </w:p>
    <w:p w14:paraId="7F22C144">
      <w:pPr>
        <w:pStyle w:val="32"/>
        <w:spacing w:after="0" w:line="360" w:lineRule="auto"/>
        <w:ind w:firstLine="480" w:firstLineChars="200"/>
        <w:rPr>
          <w:rFonts w:hint="eastAsia"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　　4.3.3.5必要的法律依据；</w:t>
      </w:r>
    </w:p>
    <w:p w14:paraId="735D5971">
      <w:pPr>
        <w:pStyle w:val="32"/>
        <w:spacing w:after="0" w:line="360" w:lineRule="auto"/>
        <w:ind w:firstLine="960" w:firstLineChars="400"/>
        <w:rPr>
          <w:rFonts w:hint="eastAsia"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hAnsi="宋体" w:cs="宋体"/>
          <w:color w:val="0D0D0D" w:themeColor="text1" w:themeTint="F2"/>
          <w:kern w:val="0"/>
          <w:sz w:val="24"/>
          <w:lang w:val="zh-CN"/>
          <w14:textFill>
            <w14:solidFill>
              <w14:schemeClr w14:val="tx1">
                <w14:lumMod w14:val="95000"/>
                <w14:lumOff w14:val="5000"/>
              </w14:schemeClr>
            </w14:solidFill>
          </w14:textFill>
        </w:rPr>
        <w:t>4.3.3.6提出质疑的日期。</w:t>
      </w:r>
    </w:p>
    <w:p w14:paraId="5F3D3B1C">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供应商提交的质疑函需一式三份。供应商为自然人的，应当由本人签字；供应商为法人或者其他组织的，应当由法定代表人、主要负责人，或者其授权代表签字或者盖章，并加盖公章。</w:t>
      </w:r>
    </w:p>
    <w:p w14:paraId="4B119323">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质疑函范本及制作说明详见附件2。</w:t>
      </w:r>
    </w:p>
    <w:p w14:paraId="7C468A1E">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4.3.4对同一采购程序环节的质疑，供应商须在法定质疑期内一次性提出。</w:t>
      </w:r>
    </w:p>
    <w:p w14:paraId="392D8A06">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zh-CN"/>
          <w14:textFill>
            <w14:solidFill>
              <w14:schemeClr w14:val="tx1">
                <w14:lumMod w14:val="95000"/>
                <w14:lumOff w14:val="5000"/>
              </w14:schemeClr>
            </w14:solidFill>
          </w14:textFill>
        </w:rPr>
        <w:t>4.3</w:t>
      </w:r>
      <w:r>
        <w:rPr>
          <w:rFonts w:hint="eastAsia"/>
          <w:color w:val="0D0D0D" w:themeColor="text1" w:themeTint="F2"/>
          <w14:textFill>
            <w14:solidFill>
              <w14:schemeClr w14:val="tx1">
                <w14:lumMod w14:val="95000"/>
                <w14:lumOff w14:val="5000"/>
              </w14:schemeClr>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2314DC07">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zh-CN"/>
          <w14:textFill>
            <w14:solidFill>
              <w14:schemeClr w14:val="tx1">
                <w14:lumMod w14:val="95000"/>
                <w14:lumOff w14:val="5000"/>
              </w14:schemeClr>
            </w14:solidFill>
          </w14:textFill>
        </w:rPr>
        <w:t>4.3</w:t>
      </w:r>
      <w:r>
        <w:rPr>
          <w:rFonts w:hint="eastAsia"/>
          <w:color w:val="0D0D0D" w:themeColor="text1" w:themeTint="F2"/>
          <w14:textFill>
            <w14:solidFill>
              <w14:schemeClr w14:val="tx1">
                <w14:lumMod w14:val="95000"/>
                <w14:lumOff w14:val="5000"/>
              </w14:schemeClr>
            </w14:solidFill>
          </w14:textFill>
        </w:rPr>
        <w:t>.6询问或者质疑事项可能影响采购结果的，采购人应当暂停签订合同，已经签订合同的，应当中止履行合同。</w:t>
      </w:r>
    </w:p>
    <w:p w14:paraId="7249B5D5">
      <w:pPr>
        <w:pStyle w:val="892"/>
        <w:shd w:val="clear" w:color="auto" w:fill="FFFFFF"/>
        <w:snapToGrid w:val="0"/>
        <w:spacing w:before="0" w:beforeAutospacing="0" w:after="0" w:afterAutospacing="0" w:line="360" w:lineRule="auto"/>
        <w:ind w:firstLine="480" w:firstLineChars="200"/>
        <w:contextualSpacing/>
        <w:rPr>
          <w:rFonts w:hint="eastAsia"/>
          <w:color w:val="0D0D0D" w:themeColor="text1" w:themeTint="F2"/>
          <w:lang w:val="zh-CN"/>
          <w14:textFill>
            <w14:solidFill>
              <w14:schemeClr w14:val="tx1">
                <w14:lumMod w14:val="95000"/>
                <w14:lumOff w14:val="5000"/>
              </w14:schemeClr>
            </w14:solidFill>
          </w14:textFill>
        </w:rPr>
      </w:pPr>
      <w:r>
        <w:rPr>
          <w:rFonts w:hint="eastAsia"/>
          <w:color w:val="0D0D0D" w:themeColor="text1" w:themeTint="F2"/>
          <w:lang w:val="zh-CN"/>
          <w14:textFill>
            <w14:solidFill>
              <w14:schemeClr w14:val="tx1">
                <w14:lumMod w14:val="95000"/>
                <w14:lumOff w14:val="5000"/>
              </w14:schemeClr>
            </w14:solidFill>
          </w14:textFill>
        </w:rPr>
        <w:t>4.4供应商投诉</w:t>
      </w:r>
    </w:p>
    <w:p w14:paraId="10D19C8D">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546F7D8D">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4.4.</w:t>
      </w:r>
      <w:r>
        <w:rPr>
          <w:rFonts w:hint="eastAsia"/>
          <w:color w:val="0D0D0D" w:themeColor="text1" w:themeTint="F2"/>
          <w:lang w:val="zh-CN"/>
          <w14:textFill>
            <w14:solidFill>
              <w14:schemeClr w14:val="tx1">
                <w14:lumMod w14:val="95000"/>
                <w14:lumOff w14:val="5000"/>
              </w14:schemeClr>
            </w14:solidFill>
          </w14:textFill>
        </w:rPr>
        <w:t>2</w:t>
      </w:r>
      <w:r>
        <w:rPr>
          <w:rFonts w:hint="eastAsia"/>
          <w:color w:val="0D0D0D" w:themeColor="text1" w:themeTint="F2"/>
          <w14:textFill>
            <w14:solidFill>
              <w14:schemeClr w14:val="tx1">
                <w14:lumMod w14:val="95000"/>
                <w14:lumOff w14:val="5000"/>
              </w14:schemeClr>
            </w14:solidFill>
          </w14:textFill>
        </w:rPr>
        <w:t>供应商投诉的事项不得超出已质疑事项的范围，基于质疑答复内容提出的投诉事项除外。</w:t>
      </w:r>
    </w:p>
    <w:p w14:paraId="54306A21">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4.4.3供应商投诉应当有明确的请求和必要的证明材料。</w:t>
      </w:r>
    </w:p>
    <w:p w14:paraId="60646102">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4.4.4 以联合体形式参加政府采购活动的，其投诉应当由组成联合体的所有供应商共同提出。</w:t>
      </w:r>
    </w:p>
    <w:p w14:paraId="05EA6E95">
      <w:pPr>
        <w:pStyle w:val="892"/>
        <w:shd w:val="clear" w:color="auto" w:fill="FFFFFF"/>
        <w:snapToGrid w:val="0"/>
        <w:spacing w:before="0" w:beforeAutospacing="0" w:after="0" w:afterAutospacing="0" w:line="360" w:lineRule="auto"/>
        <w:ind w:firstLine="400"/>
        <w:contextualSpacing/>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投诉书范本及制作说明详见附件3。</w:t>
      </w:r>
    </w:p>
    <w:p w14:paraId="0DA11057">
      <w:pPr>
        <w:pStyle w:val="136"/>
        <w:snapToGrid w:val="0"/>
        <w:spacing w:before="0" w:after="0"/>
        <w:ind w:firstLine="360"/>
        <w:rPr>
          <w:rFonts w:hint="eastAsia" w:ascii="宋体" w:hAnsi="宋体" w:cs="宋体"/>
          <w:color w:val="0D0D0D" w:themeColor="text1" w:themeTint="F2"/>
          <w:sz w:val="18"/>
          <w:szCs w:val="18"/>
          <w14:textFill>
            <w14:solidFill>
              <w14:schemeClr w14:val="tx1">
                <w14:lumMod w14:val="95000"/>
                <w14:lumOff w14:val="5000"/>
              </w14:schemeClr>
            </w14:solidFill>
          </w14:textFill>
        </w:rPr>
      </w:pPr>
    </w:p>
    <w:p w14:paraId="76FC94A5">
      <w:pPr>
        <w:adjustRightInd/>
        <w:spacing w:after="0" w:line="360" w:lineRule="auto"/>
        <w:jc w:val="center"/>
        <w:outlineLvl w:val="0"/>
        <w:rPr>
          <w:rFonts w:hint="eastAsia" w:ascii="宋体" w:hAnsi="宋体" w:cs="宋体"/>
          <w:b/>
          <w:color w:val="0D0D0D" w:themeColor="text1" w:themeTint="F2"/>
          <w:sz w:val="32"/>
          <w:szCs w:val="20"/>
          <w14:textFill>
            <w14:solidFill>
              <w14:schemeClr w14:val="tx1">
                <w14:lumMod w14:val="95000"/>
                <w14:lumOff w14:val="5000"/>
              </w14:schemeClr>
            </w14:solidFill>
          </w14:textFill>
        </w:rPr>
      </w:pPr>
      <w:bookmarkStart w:id="25" w:name="_Toc17110"/>
      <w:r>
        <w:rPr>
          <w:rFonts w:hint="eastAsia" w:ascii="宋体" w:hAnsi="宋体" w:cs="宋体"/>
          <w:b/>
          <w:color w:val="0D0D0D" w:themeColor="text1" w:themeTint="F2"/>
          <w:sz w:val="32"/>
          <w:szCs w:val="20"/>
          <w14:textFill>
            <w14:solidFill>
              <w14:schemeClr w14:val="tx1">
                <w14:lumMod w14:val="95000"/>
                <w14:lumOff w14:val="5000"/>
              </w14:schemeClr>
            </w14:solidFill>
          </w14:textFill>
        </w:rPr>
        <w:t>二、招标文件的构成、澄清、修改</w:t>
      </w:r>
      <w:bookmarkEnd w:id="25"/>
    </w:p>
    <w:p w14:paraId="52DF833D">
      <w:pPr>
        <w:pStyle w:val="32"/>
        <w:spacing w:after="0" w:line="360" w:lineRule="auto"/>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5．招标文件的构成</w:t>
      </w:r>
    </w:p>
    <w:p w14:paraId="63BA9A64">
      <w:pPr>
        <w:pStyle w:val="32"/>
        <w:spacing w:after="0" w:line="360" w:lineRule="auto"/>
        <w:ind w:firstLine="480" w:firstLineChars="2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5.1 招标文件包括下列文件及附件：</w:t>
      </w:r>
    </w:p>
    <w:p w14:paraId="08C1E95D">
      <w:pPr>
        <w:pStyle w:val="32"/>
        <w:tabs>
          <w:tab w:val="left" w:pos="840"/>
        </w:tabs>
        <w:spacing w:after="0" w:line="360" w:lineRule="auto"/>
        <w:ind w:firstLine="960" w:firstLineChars="4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5.1.1招标公告；</w:t>
      </w:r>
    </w:p>
    <w:p w14:paraId="12225201">
      <w:pPr>
        <w:pStyle w:val="32"/>
        <w:tabs>
          <w:tab w:val="left" w:pos="840"/>
        </w:tabs>
        <w:spacing w:after="0" w:line="360" w:lineRule="auto"/>
        <w:ind w:firstLine="960" w:firstLineChars="4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5.1.2投标人须知；</w:t>
      </w:r>
    </w:p>
    <w:p w14:paraId="49B0B333">
      <w:pPr>
        <w:pStyle w:val="32"/>
        <w:tabs>
          <w:tab w:val="left" w:pos="840"/>
        </w:tabs>
        <w:spacing w:after="0" w:line="360" w:lineRule="auto"/>
        <w:ind w:firstLine="960" w:firstLineChars="4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5.1.3采购需求；</w:t>
      </w:r>
    </w:p>
    <w:p w14:paraId="1AD78645">
      <w:pPr>
        <w:pStyle w:val="32"/>
        <w:tabs>
          <w:tab w:val="left" w:pos="840"/>
        </w:tabs>
        <w:spacing w:after="0" w:line="360" w:lineRule="auto"/>
        <w:ind w:firstLine="960" w:firstLineChars="4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5.1.4评标办法；</w:t>
      </w:r>
    </w:p>
    <w:p w14:paraId="5946B744">
      <w:pPr>
        <w:pStyle w:val="32"/>
        <w:tabs>
          <w:tab w:val="left" w:pos="840"/>
        </w:tabs>
        <w:spacing w:after="0" w:line="360" w:lineRule="auto"/>
        <w:ind w:firstLine="960" w:firstLineChars="4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5.1.5拟签订的参考合同文本；</w:t>
      </w:r>
    </w:p>
    <w:p w14:paraId="08F1A05F">
      <w:pPr>
        <w:pStyle w:val="32"/>
        <w:tabs>
          <w:tab w:val="left" w:pos="840"/>
        </w:tabs>
        <w:spacing w:after="0" w:line="360" w:lineRule="auto"/>
        <w:ind w:firstLine="960" w:firstLineChars="4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14:textFill>
            <w14:solidFill>
              <w14:schemeClr w14:val="tx1">
                <w14:lumMod w14:val="95000"/>
                <w14:lumOff w14:val="5000"/>
              </w14:schemeClr>
            </w14:solidFill>
          </w14:textFill>
        </w:rPr>
        <w:t>5.1.6</w:t>
      </w:r>
      <w:r>
        <w:rPr>
          <w:rFonts w:hint="eastAsia" w:hAnsi="宋体" w:cs="宋体"/>
          <w:color w:val="0D0D0D" w:themeColor="text1" w:themeTint="F2"/>
          <w:sz w:val="24"/>
          <w:szCs w:val="24"/>
          <w14:textFill>
            <w14:solidFill>
              <w14:schemeClr w14:val="tx1">
                <w14:lumMod w14:val="95000"/>
                <w14:lumOff w14:val="5000"/>
              </w14:schemeClr>
            </w14:solidFill>
          </w14:textFill>
        </w:rPr>
        <w:t>应提交的有关格式范例。</w:t>
      </w:r>
    </w:p>
    <w:p w14:paraId="38A208DF">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5.2与本项目有关的</w:t>
      </w:r>
      <w:r>
        <w:rPr>
          <w:rFonts w:hint="eastAsia" w:ascii="宋体" w:hAnsi="宋体" w:cs="宋体"/>
          <w:bCs/>
          <w:color w:val="0D0D0D" w:themeColor="text1" w:themeTint="F2"/>
          <w:sz w:val="24"/>
          <w14:textFill>
            <w14:solidFill>
              <w14:schemeClr w14:val="tx1">
                <w14:lumMod w14:val="95000"/>
                <w14:lumOff w14:val="5000"/>
              </w14:schemeClr>
            </w14:solidFill>
          </w14:textFill>
        </w:rPr>
        <w:t>澄清或者修改的内容为招标文件的组成部分</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3B3B1ADE">
      <w:pPr>
        <w:pStyle w:val="32"/>
        <w:spacing w:after="0" w:line="360" w:lineRule="auto"/>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6. 招标文件的澄清、修改</w:t>
      </w:r>
    </w:p>
    <w:p w14:paraId="658297E7">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6.1已获取招标文件的潜在投标人，若有问题需要澄清，应于投标截止时间前，以书面形式向采购代理机构提出。</w:t>
      </w:r>
    </w:p>
    <w:p w14:paraId="5E0A7047">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1823B31">
      <w:pPr>
        <w:pStyle w:val="23"/>
        <w:spacing w:after="0"/>
        <w:rPr>
          <w:rFonts w:hint="eastAsia" w:hAnsi="宋体" w:cs="宋体"/>
          <w:color w:val="0D0D0D" w:themeColor="text1" w:themeTint="F2"/>
          <w:sz w:val="18"/>
          <w:szCs w:val="18"/>
          <w:lang w:val="en-US"/>
          <w14:textFill>
            <w14:solidFill>
              <w14:schemeClr w14:val="tx1">
                <w14:lumMod w14:val="95000"/>
                <w14:lumOff w14:val="5000"/>
              </w14:schemeClr>
            </w14:solidFill>
          </w14:textFill>
        </w:rPr>
      </w:pPr>
    </w:p>
    <w:p w14:paraId="0C25BA1E">
      <w:pPr>
        <w:adjustRightInd/>
        <w:spacing w:after="0" w:line="360" w:lineRule="auto"/>
        <w:jc w:val="center"/>
        <w:outlineLvl w:val="0"/>
        <w:rPr>
          <w:rFonts w:hint="eastAsia" w:ascii="宋体" w:hAnsi="宋体" w:cs="宋体"/>
          <w:b/>
          <w:color w:val="0D0D0D" w:themeColor="text1" w:themeTint="F2"/>
          <w:sz w:val="30"/>
          <w:szCs w:val="20"/>
          <w14:textFill>
            <w14:solidFill>
              <w14:schemeClr w14:val="tx1">
                <w14:lumMod w14:val="95000"/>
                <w14:lumOff w14:val="5000"/>
              </w14:schemeClr>
            </w14:solidFill>
          </w14:textFill>
        </w:rPr>
      </w:pPr>
      <w:bookmarkStart w:id="26" w:name="_Toc19239"/>
      <w:r>
        <w:rPr>
          <w:rFonts w:hint="eastAsia" w:ascii="宋体" w:hAnsi="宋体" w:cs="宋体"/>
          <w:b/>
          <w:color w:val="0D0D0D" w:themeColor="text1" w:themeTint="F2"/>
          <w:sz w:val="30"/>
          <w:szCs w:val="20"/>
          <w14:textFill>
            <w14:solidFill>
              <w14:schemeClr w14:val="tx1">
                <w14:lumMod w14:val="95000"/>
                <w14:lumOff w14:val="5000"/>
              </w14:schemeClr>
            </w14:solidFill>
          </w14:textFill>
        </w:rPr>
        <w:t>三、投标</w:t>
      </w:r>
      <w:bookmarkEnd w:id="26"/>
    </w:p>
    <w:p w14:paraId="1E61D948">
      <w:pPr>
        <w:pStyle w:val="32"/>
        <w:spacing w:after="0" w:line="360" w:lineRule="auto"/>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7. 招标文件的获取</w:t>
      </w:r>
    </w:p>
    <w:p w14:paraId="2AD96477">
      <w:pPr>
        <w:spacing w:after="0" w:line="360" w:lineRule="auto"/>
        <w:ind w:firstLine="480" w:firstLineChars="200"/>
        <w:rPr>
          <w:rFonts w:hint="eastAsia" w:ascii="宋体" w:hAnsi="宋体" w:cs="宋体"/>
          <w:snapToGrid w:val="0"/>
          <w:color w:val="0D0D0D" w:themeColor="text1" w:themeTint="F2"/>
          <w:kern w:val="28"/>
          <w:sz w:val="24"/>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8"/>
          <w:sz w:val="24"/>
          <w14:textFill>
            <w14:solidFill>
              <w14:schemeClr w14:val="tx1">
                <w14:lumMod w14:val="95000"/>
                <w14:lumOff w14:val="5000"/>
              </w14:schemeClr>
            </w14:solidFill>
          </w14:textFill>
        </w:rPr>
        <w:t>详见招标公告中获取招标文件的时间期限、地点、方式及招标文件售价。</w:t>
      </w:r>
    </w:p>
    <w:p w14:paraId="70F003BE">
      <w:pPr>
        <w:pStyle w:val="32"/>
        <w:spacing w:after="0" w:line="360" w:lineRule="auto"/>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8.开标前答疑会或现场考察</w:t>
      </w:r>
    </w:p>
    <w:p w14:paraId="42CC7A0C">
      <w:pPr>
        <w:pStyle w:val="32"/>
        <w:spacing w:after="0" w:line="360" w:lineRule="auto"/>
        <w:ind w:firstLine="480" w:firstLineChars="2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采购人组织潜在投标人现场考察或者召开开标前答疑会的，潜在投标人按第二部分投标人须知前附表的规定参加现场考察或者开标前答疑会。</w:t>
      </w:r>
    </w:p>
    <w:p w14:paraId="3972F919">
      <w:pPr>
        <w:pStyle w:val="32"/>
        <w:spacing w:after="0" w:line="360" w:lineRule="auto"/>
        <w:rPr>
          <w:rFonts w:hint="eastAsia" w:hAnsi="宋体" w:cs="宋体"/>
          <w:b/>
          <w:color w:val="0D0D0D" w:themeColor="text1" w:themeTint="F2"/>
          <w:szCs w:val="24"/>
          <w14:textFill>
            <w14:solidFill>
              <w14:schemeClr w14:val="tx1">
                <w14:lumMod w14:val="95000"/>
                <w14:lumOff w14:val="5000"/>
              </w14:schemeClr>
            </w14:solidFill>
          </w14:textFill>
        </w:rPr>
      </w:pPr>
      <w:r>
        <w:rPr>
          <w:rFonts w:hint="eastAsia" w:hAnsi="宋体" w:cs="宋体"/>
          <w:b/>
          <w:color w:val="0D0D0D" w:themeColor="text1" w:themeTint="F2"/>
          <w:kern w:val="28"/>
          <w:sz w:val="24"/>
          <w:szCs w:val="24"/>
          <w14:textFill>
            <w14:solidFill>
              <w14:schemeClr w14:val="tx1">
                <w14:lumMod w14:val="95000"/>
                <w14:lumOff w14:val="5000"/>
              </w14:schemeClr>
            </w14:solidFill>
          </w14:textFill>
        </w:rPr>
        <w:t>9.投标保证金</w:t>
      </w:r>
    </w:p>
    <w:p w14:paraId="0ACB0CA7">
      <w:pPr>
        <w:pStyle w:val="15"/>
        <w:spacing w:after="0" w:line="360" w:lineRule="auto"/>
        <w:ind w:firstLine="470" w:firstLineChars="196"/>
        <w:rPr>
          <w:rFonts w:hint="eastAsia" w:hAnsi="宋体" w:cs="宋体"/>
          <w:color w:val="0D0D0D" w:themeColor="text1" w:themeTint="F2"/>
          <w:sz w:val="24"/>
          <w14:textFill>
            <w14:solidFill>
              <w14:schemeClr w14:val="tx1">
                <w14:lumMod w14:val="95000"/>
                <w14:lumOff w14:val="5000"/>
              </w14:schemeClr>
            </w14:solidFill>
          </w14:textFill>
        </w:rPr>
      </w:pPr>
      <w:r>
        <w:rPr>
          <w:rFonts w:hint="eastAsia" w:hAnsi="宋体" w:cs="宋体"/>
          <w:color w:val="0D0D0D" w:themeColor="text1" w:themeTint="F2"/>
          <w:sz w:val="24"/>
          <w14:textFill>
            <w14:solidFill>
              <w14:schemeClr w14:val="tx1">
                <w14:lumMod w14:val="95000"/>
                <w14:lumOff w14:val="5000"/>
              </w14:schemeClr>
            </w14:solidFill>
          </w14:textFill>
        </w:rPr>
        <w:t>本项目不需缴纳投标保证金。</w:t>
      </w:r>
    </w:p>
    <w:p w14:paraId="2AB10A9B">
      <w:pPr>
        <w:pStyle w:val="32"/>
        <w:spacing w:after="0" w:line="360" w:lineRule="auto"/>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10. 投标文件的语言</w:t>
      </w:r>
    </w:p>
    <w:p w14:paraId="64F0AF07">
      <w:pPr>
        <w:autoSpaceDE w:val="0"/>
        <w:autoSpaceDN w:val="0"/>
        <w:spacing w:after="0" w:line="360" w:lineRule="auto"/>
        <w:ind w:firstLine="480" w:firstLineChars="200"/>
        <w:rPr>
          <w:rFonts w:hint="eastAsia" w:ascii="宋体" w:hAnsi="宋体" w:cs="宋体"/>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投标文件及投标人与采购有关的来往通知、函件和文件均应使用中文。</w:t>
      </w:r>
    </w:p>
    <w:p w14:paraId="00778DC4">
      <w:pPr>
        <w:pStyle w:val="32"/>
        <w:spacing w:after="0" w:line="360" w:lineRule="auto"/>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11. 投标文件的组成</w:t>
      </w:r>
    </w:p>
    <w:p w14:paraId="0586531A">
      <w:pPr>
        <w:snapToGrid w:val="0"/>
        <w:spacing w:after="0" w:line="360" w:lineRule="auto"/>
        <w:ind w:firstLine="482" w:firstLineChars="200"/>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11.1资格文件：</w:t>
      </w:r>
    </w:p>
    <w:p w14:paraId="0D2EB716">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11.1.1营业执照副本复印件（加盖投标人公章）；</w:t>
      </w:r>
    </w:p>
    <w:p w14:paraId="54326D2A">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11.1.2符合参加政府采购活动应当具备的一般条件的承诺函；</w:t>
      </w:r>
    </w:p>
    <w:p w14:paraId="2D92B83C">
      <w:pPr>
        <w:snapToGrid w:val="0"/>
        <w:spacing w:after="0" w:line="360" w:lineRule="auto"/>
        <w:ind w:firstLine="482" w:firstLineChars="200"/>
        <w:rPr>
          <w:rFonts w:hint="eastAsia" w:ascii="宋体" w:hAnsi="宋体" w:cs="宋体"/>
          <w:b/>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
          <w:color w:val="0D0D0D" w:themeColor="text1" w:themeTint="F2"/>
          <w:sz w:val="24"/>
          <w:lang w:val="zh-CN"/>
          <w14:textFill>
            <w14:solidFill>
              <w14:schemeClr w14:val="tx1">
                <w14:lumMod w14:val="95000"/>
                <w14:lumOff w14:val="5000"/>
              </w14:schemeClr>
            </w14:solidFill>
          </w14:textFill>
        </w:rPr>
        <w:t>11.</w:t>
      </w:r>
      <w:r>
        <w:rPr>
          <w:rFonts w:hint="eastAsia" w:ascii="宋体" w:hAnsi="宋体" w:cs="宋体"/>
          <w:b/>
          <w:color w:val="0D0D0D" w:themeColor="text1" w:themeTint="F2"/>
          <w:sz w:val="24"/>
          <w14:textFill>
            <w14:solidFill>
              <w14:schemeClr w14:val="tx1">
                <w14:lumMod w14:val="95000"/>
                <w14:lumOff w14:val="5000"/>
              </w14:schemeClr>
            </w14:solidFill>
          </w14:textFill>
        </w:rPr>
        <w:t>2商务技术</w:t>
      </w:r>
      <w:r>
        <w:rPr>
          <w:rFonts w:hint="eastAsia" w:ascii="宋体" w:hAnsi="宋体" w:cs="宋体"/>
          <w:b/>
          <w:color w:val="0D0D0D" w:themeColor="text1" w:themeTint="F2"/>
          <w:sz w:val="24"/>
          <w:lang w:val="zh-CN"/>
          <w14:textFill>
            <w14:solidFill>
              <w14:schemeClr w14:val="tx1">
                <w14:lumMod w14:val="95000"/>
                <w14:lumOff w14:val="5000"/>
              </w14:schemeClr>
            </w14:solidFill>
          </w14:textFill>
        </w:rPr>
        <w:t>文件：</w:t>
      </w:r>
    </w:p>
    <w:p w14:paraId="70B2A8E4">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11.2.1目录</w:t>
      </w:r>
    </w:p>
    <w:p w14:paraId="11061D87">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11.2.2投标函；</w:t>
      </w:r>
    </w:p>
    <w:p w14:paraId="32A790B2">
      <w:pPr>
        <w:pStyle w:val="727"/>
        <w:spacing w:after="0" w:line="360" w:lineRule="auto"/>
        <w:ind w:left="720" w:firstLine="240" w:firstLineChars="100"/>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11.2.3营业执照副本复印件（加盖投标人公章）</w:t>
      </w:r>
    </w:p>
    <w:p w14:paraId="6166CF88">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11.2.4法人授权委托书或法定代表人（单位负责人、自然人本人）身份证明；</w:t>
      </w:r>
    </w:p>
    <w:p w14:paraId="40349090">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11.2.5投标人股权信息表；</w:t>
      </w:r>
    </w:p>
    <w:p w14:paraId="3B9ABD54">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11.2.6详细的“交货清单”；</w:t>
      </w:r>
    </w:p>
    <w:p w14:paraId="3A5E1143">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11.2.7技术规范偏离表；</w:t>
      </w:r>
    </w:p>
    <w:p w14:paraId="45C917B3">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11.2.8商务条款偏离表；</w:t>
      </w:r>
    </w:p>
    <w:p w14:paraId="4E9EF822">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11.2.9完成的类似项目一览表（附合同复印件）；</w:t>
      </w:r>
    </w:p>
    <w:p w14:paraId="43A1FC7B">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11.2.10认证证书；</w:t>
      </w:r>
    </w:p>
    <w:p w14:paraId="385FC324">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11.2.11供货方案；</w:t>
      </w:r>
    </w:p>
    <w:p w14:paraId="4CCE085B">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11.2.12进度保障措施；</w:t>
      </w:r>
    </w:p>
    <w:p w14:paraId="17236174">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11.2.13培训方案；</w:t>
      </w:r>
    </w:p>
    <w:p w14:paraId="435E632D">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11.2.14供货、安装、调试</w:t>
      </w:r>
    </w:p>
    <w:p w14:paraId="170F8C7E">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11.2.15故障应急处理方案</w:t>
      </w:r>
    </w:p>
    <w:p w14:paraId="4A8D7AC4">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11.2.16售后服务方案；</w:t>
      </w:r>
    </w:p>
    <w:p w14:paraId="30AB8580">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11.2.17政府采购政策；</w:t>
      </w:r>
    </w:p>
    <w:p w14:paraId="3F2D403D">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11.2.18第四部分“评标办法”中要求提供的资料。</w:t>
      </w:r>
    </w:p>
    <w:p w14:paraId="46063B9A">
      <w:pPr>
        <w:snapToGrid w:val="0"/>
        <w:spacing w:after="0" w:line="360" w:lineRule="auto"/>
        <w:ind w:firstLine="960" w:firstLineChars="400"/>
        <w:rPr>
          <w:rFonts w:hint="eastAsia" w:ascii="宋体" w:hAnsi="宋体" w:cs="宋体"/>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11.2.19</w:t>
      </w:r>
      <w:r>
        <w:rPr>
          <w:rFonts w:hint="eastAsia" w:ascii="宋体" w:hAnsi="宋体" w:cs="宋体"/>
          <w:color w:val="0D0D0D" w:themeColor="text1" w:themeTint="F2"/>
          <w:sz w:val="24"/>
          <w:lang w:val="zh-CN"/>
          <w14:textFill>
            <w14:solidFill>
              <w14:schemeClr w14:val="tx1">
                <w14:lumMod w14:val="95000"/>
                <w14:lumOff w14:val="5000"/>
              </w14:schemeClr>
            </w14:solidFill>
          </w14:textFill>
        </w:rPr>
        <w:t>政府采购供应商廉洁自律承诺书；</w:t>
      </w:r>
    </w:p>
    <w:p w14:paraId="78295BCF">
      <w:pPr>
        <w:snapToGrid w:val="0"/>
        <w:spacing w:after="0" w:line="360" w:lineRule="auto"/>
        <w:ind w:firstLine="960" w:firstLineChars="400"/>
        <w:rPr>
          <w:rFonts w:hint="eastAsia" w:ascii="宋体" w:hAnsi="宋体" w:cs="宋体"/>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11.2.20</w:t>
      </w:r>
      <w:r>
        <w:rPr>
          <w:rFonts w:hint="eastAsia" w:ascii="宋体" w:hAnsi="宋体" w:cs="宋体"/>
          <w:color w:val="0D0D0D" w:themeColor="text1" w:themeTint="F2"/>
          <w:sz w:val="24"/>
          <w:lang w:val="zh-CN"/>
          <w14:textFill>
            <w14:solidFill>
              <w14:schemeClr w14:val="tx1">
                <w14:lumMod w14:val="95000"/>
                <w14:lumOff w14:val="5000"/>
              </w14:schemeClr>
            </w14:solidFill>
          </w14:textFill>
        </w:rPr>
        <w:t>缴纳采购代理服务费承诺书；</w:t>
      </w:r>
    </w:p>
    <w:p w14:paraId="65B3FE5F">
      <w:pPr>
        <w:snapToGrid w:val="0"/>
        <w:spacing w:after="0" w:line="360" w:lineRule="auto"/>
        <w:ind w:firstLine="960" w:firstLineChars="400"/>
        <w:rPr>
          <w:rFonts w:hint="eastAsia" w:ascii="宋体" w:hAnsi="宋体" w:cs="宋体"/>
          <w:b/>
          <w:bCs/>
          <w:color w:val="0D0D0D" w:themeColor="text1" w:themeTint="F2"/>
          <w:sz w:val="24"/>
          <w:u w:val="single"/>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lang w:val="zh-CN"/>
          <w14:textFill>
            <w14:solidFill>
              <w14:schemeClr w14:val="tx1">
                <w14:lumMod w14:val="95000"/>
                <w14:lumOff w14:val="5000"/>
              </w14:schemeClr>
            </w14:solidFill>
          </w14:textFill>
        </w:rPr>
        <w:t>1</w:t>
      </w:r>
      <w:r>
        <w:rPr>
          <w:rFonts w:hint="eastAsia" w:ascii="宋体" w:hAnsi="宋体" w:cs="宋体"/>
          <w:b/>
          <w:bCs/>
          <w:color w:val="0D0D0D" w:themeColor="text1" w:themeTint="F2"/>
          <w:kern w:val="0"/>
          <w:sz w:val="24"/>
          <w:lang w:val="zh-CN"/>
          <w14:textFill>
            <w14:solidFill>
              <w14:schemeClr w14:val="tx1">
                <w14:lumMod w14:val="95000"/>
                <w14:lumOff w14:val="5000"/>
              </w14:schemeClr>
            </w14:solidFill>
          </w14:textFill>
        </w:rPr>
        <w:t>1.</w:t>
      </w:r>
      <w:r>
        <w:rPr>
          <w:rFonts w:hint="eastAsia" w:ascii="宋体" w:hAnsi="宋体" w:cs="宋体"/>
          <w:b/>
          <w:bCs/>
          <w:color w:val="0D0D0D" w:themeColor="text1" w:themeTint="F2"/>
          <w:kern w:val="0"/>
          <w:sz w:val="24"/>
          <w14:textFill>
            <w14:solidFill>
              <w14:schemeClr w14:val="tx1">
                <w14:lumMod w14:val="95000"/>
                <w14:lumOff w14:val="5000"/>
              </w14:schemeClr>
            </w14:solidFill>
          </w14:textFill>
        </w:rPr>
        <w:t>3</w:t>
      </w:r>
      <w:r>
        <w:rPr>
          <w:rFonts w:hint="eastAsia" w:ascii="宋体" w:hAnsi="宋体" w:cs="宋体"/>
          <w:b/>
          <w:bCs/>
          <w:color w:val="0D0D0D" w:themeColor="text1" w:themeTint="F2"/>
          <w:sz w:val="24"/>
          <w14:textFill>
            <w14:solidFill>
              <w14:schemeClr w14:val="tx1">
                <w14:lumMod w14:val="95000"/>
                <w14:lumOff w14:val="5000"/>
              </w14:schemeClr>
            </w14:solidFill>
          </w14:textFill>
        </w:rPr>
        <w:t xml:space="preserve">报价文件： </w:t>
      </w:r>
    </w:p>
    <w:p w14:paraId="45326B30">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11.3.1开标一览表（报价表）；</w:t>
      </w:r>
    </w:p>
    <w:p w14:paraId="3A46E0C3">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11.3.2关于符合本国产品标准的声明函；</w:t>
      </w:r>
    </w:p>
    <w:p w14:paraId="4C2967E4">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11.3.3中小企业声明函；</w:t>
      </w:r>
    </w:p>
    <w:p w14:paraId="6B836181">
      <w:pPr>
        <w:snapToGrid w:val="0"/>
        <w:spacing w:after="0" w:line="360" w:lineRule="auto"/>
        <w:ind w:firstLine="960" w:firstLineChars="4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11.3.4残疾人福利性单位声明函（如有需提供）。</w:t>
      </w:r>
    </w:p>
    <w:p w14:paraId="2A407D3D">
      <w:pPr>
        <w:snapToGrid w:val="0"/>
        <w:spacing w:after="0" w:line="360" w:lineRule="auto"/>
        <w:ind w:firstLine="960" w:firstLineChars="400"/>
        <w:rPr>
          <w:rFonts w:hint="eastAsia" w:ascii="宋体" w:hAnsi="宋体" w:cs="宋体"/>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11.3.5省级以上监狱管理局、戒毒管理局（含新疆生产建设兵团）出具的属于监狱企业的证明文件（如有需提供）。</w:t>
      </w:r>
    </w:p>
    <w:p w14:paraId="07114BE1">
      <w:pPr>
        <w:pStyle w:val="727"/>
        <w:spacing w:after="0" w:line="360" w:lineRule="auto"/>
        <w:ind w:left="480" w:firstLine="480" w:firstLineChars="200"/>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11.3.</w:t>
      </w:r>
      <w:bookmarkStart w:id="27" w:name="_Toc6461"/>
      <w:bookmarkStart w:id="28" w:name="_Toc5746"/>
      <w:r>
        <w:rPr>
          <w:rFonts w:hint="eastAsia" w:cs="宋体"/>
          <w:color w:val="0D0D0D" w:themeColor="text1" w:themeTint="F2"/>
          <w14:textFill>
            <w14:solidFill>
              <w14:schemeClr w14:val="tx1">
                <w14:lumMod w14:val="95000"/>
                <w14:lumOff w14:val="5000"/>
              </w14:schemeClr>
            </w14:solidFill>
          </w14:textFill>
        </w:rPr>
        <w:t>6投标人针对报价需要说明的其他文件和说明。</w:t>
      </w:r>
      <w:bookmarkEnd w:id="27"/>
      <w:bookmarkEnd w:id="28"/>
    </w:p>
    <w:p w14:paraId="3D98AB7D">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24F7AF75">
      <w:pPr>
        <w:spacing w:after="0" w:line="360" w:lineRule="auto"/>
        <w:ind w:firstLine="723" w:firstLineChars="300"/>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投标文件含有采购人不能接受的附加条件的，投标无效；</w:t>
      </w:r>
    </w:p>
    <w:p w14:paraId="4D12D533">
      <w:pPr>
        <w:spacing w:after="0" w:line="360" w:lineRule="auto"/>
        <w:ind w:firstLine="723" w:firstLineChars="300"/>
        <w:rPr>
          <w:rFonts w:hint="eastAsia" w:ascii="宋体" w:hAnsi="宋体" w:cs="宋体"/>
          <w:b/>
          <w:color w:val="0D0D0D" w:themeColor="text1" w:themeTint="F2"/>
          <w:sz w:val="24"/>
          <w:szCs w:val="21"/>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投标人提供虚假材料投标的，投标无效。</w:t>
      </w:r>
    </w:p>
    <w:p w14:paraId="6689DA1F">
      <w:pPr>
        <w:pStyle w:val="136"/>
        <w:snapToGrid w:val="0"/>
        <w:spacing w:before="0" w:after="0"/>
        <w:ind w:firstLine="0" w:firstLineChars="0"/>
        <w:outlineLvl w:val="0"/>
        <w:rPr>
          <w:rFonts w:hint="eastAsia" w:ascii="宋体" w:hAnsi="宋体" w:cs="宋体"/>
          <w:b/>
          <w:color w:val="0D0D0D" w:themeColor="text1" w:themeTint="F2"/>
          <w:szCs w:val="24"/>
          <w14:textFill>
            <w14:solidFill>
              <w14:schemeClr w14:val="tx1">
                <w14:lumMod w14:val="95000"/>
                <w14:lumOff w14:val="5000"/>
              </w14:schemeClr>
            </w14:solidFill>
          </w14:textFill>
        </w:rPr>
      </w:pPr>
      <w:bookmarkStart w:id="29" w:name="_Toc30841"/>
      <w:r>
        <w:rPr>
          <w:rFonts w:hint="eastAsia" w:ascii="宋体" w:hAnsi="宋体" w:cs="宋体"/>
          <w:b/>
          <w:color w:val="0D0D0D" w:themeColor="text1" w:themeTint="F2"/>
          <w:szCs w:val="24"/>
          <w14:textFill>
            <w14:solidFill>
              <w14:schemeClr w14:val="tx1">
                <w14:lumMod w14:val="95000"/>
                <w14:lumOff w14:val="5000"/>
              </w14:schemeClr>
            </w14:solidFill>
          </w14:textFill>
        </w:rPr>
        <w:t>12</w:t>
      </w:r>
      <w:r>
        <w:rPr>
          <w:rFonts w:hint="eastAsia" w:ascii="宋体" w:hAnsi="宋体" w:cs="宋体"/>
          <w:b/>
          <w:color w:val="0D0D0D" w:themeColor="text1" w:themeTint="F2"/>
          <w:kern w:val="0"/>
          <w:szCs w:val="24"/>
          <w:lang w:val="zh-CN"/>
          <w14:textFill>
            <w14:solidFill>
              <w14:schemeClr w14:val="tx1">
                <w14:lumMod w14:val="95000"/>
                <w14:lumOff w14:val="5000"/>
              </w14:schemeClr>
            </w14:solidFill>
          </w14:textFill>
        </w:rPr>
        <w:t xml:space="preserve">. </w:t>
      </w:r>
      <w:r>
        <w:rPr>
          <w:rFonts w:hint="eastAsia" w:ascii="宋体" w:hAnsi="宋体" w:cs="宋体"/>
          <w:b/>
          <w:color w:val="0D0D0D" w:themeColor="text1" w:themeTint="F2"/>
          <w:szCs w:val="24"/>
          <w14:textFill>
            <w14:solidFill>
              <w14:schemeClr w14:val="tx1">
                <w14:lumMod w14:val="95000"/>
                <w14:lumOff w14:val="5000"/>
              </w14:schemeClr>
            </w14:solidFill>
          </w14:textFill>
        </w:rPr>
        <w:t>投标文件的编制</w:t>
      </w:r>
      <w:bookmarkEnd w:id="29"/>
    </w:p>
    <w:p w14:paraId="5181B3DF">
      <w:pPr>
        <w:spacing w:after="0" w:line="360" w:lineRule="auto"/>
        <w:ind w:firstLine="480" w:firstLineChars="200"/>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7DE5F54">
      <w:pPr>
        <w:spacing w:after="0" w:line="360" w:lineRule="auto"/>
        <w:ind w:firstLine="480" w:firstLineChars="200"/>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28FC1A3F">
      <w:pPr>
        <w:spacing w:after="0" w:line="360" w:lineRule="auto"/>
        <w:ind w:firstLine="480" w:firstLineChars="200"/>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12.3使用“政采云电子交易客户端”需要提前申领CA数字证书，申领流程请自行前往“浙江政府采购网-下载专区-电子交易客户端-CA驱动和申领流程”进行查阅。</w:t>
      </w:r>
    </w:p>
    <w:p w14:paraId="6A8798C2">
      <w:pPr>
        <w:snapToGrid w:val="0"/>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13.投标文件的签署、盖章</w:t>
      </w:r>
    </w:p>
    <w:p w14:paraId="6EFC3B51">
      <w:pPr>
        <w:pStyle w:val="136"/>
        <w:snapToGrid w:val="0"/>
        <w:spacing w:before="0" w:after="0"/>
        <w:ind w:firstLine="480"/>
        <w:rPr>
          <w:rFonts w:hint="eastAsia" w:ascii="宋体" w:hAnsi="宋体" w:cs="宋体"/>
          <w:b/>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13.1投标文件按照招标文件第六部分格式要</w:t>
      </w:r>
      <w:r>
        <w:rPr>
          <w:rFonts w:hint="eastAsia" w:ascii="宋体" w:hAnsi="宋体" w:cs="宋体"/>
          <w:color w:val="0D0D0D" w:themeColor="text1" w:themeTint="F2"/>
          <w14:textFill>
            <w14:solidFill>
              <w14:schemeClr w14:val="tx1">
                <w14:lumMod w14:val="95000"/>
                <w14:lumOff w14:val="5000"/>
              </w14:schemeClr>
            </w14:solidFill>
          </w14:textFill>
        </w:rPr>
        <w:t>求进行签署、盖章。</w:t>
      </w:r>
      <w:r>
        <w:rPr>
          <w:rFonts w:hint="eastAsia" w:ascii="宋体" w:hAnsi="宋体" w:cs="宋体"/>
          <w:b/>
          <w:color w:val="0D0D0D" w:themeColor="text1" w:themeTint="F2"/>
          <w14:textFill>
            <w14:solidFill>
              <w14:schemeClr w14:val="tx1">
                <w14:lumMod w14:val="95000"/>
                <w14:lumOff w14:val="5000"/>
              </w14:schemeClr>
            </w14:solidFill>
          </w14:textFill>
        </w:rPr>
        <w:t>▲投标人的投标文件未按照招标文件要求签署、盖章的，其投标无效</w:t>
      </w:r>
      <w:r>
        <w:rPr>
          <w:rFonts w:hint="eastAsia" w:ascii="宋体" w:hAnsi="宋体" w:cs="宋体"/>
          <w:color w:val="0D0D0D" w:themeColor="text1" w:themeTint="F2"/>
          <w:szCs w:val="24"/>
          <w14:textFill>
            <w14:solidFill>
              <w14:schemeClr w14:val="tx1">
                <w14:lumMod w14:val="95000"/>
                <w14:lumOff w14:val="5000"/>
              </w14:schemeClr>
            </w14:solidFill>
          </w14:textFill>
        </w:rPr>
        <w:t>。</w:t>
      </w:r>
    </w:p>
    <w:p w14:paraId="5D7C8165">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13.2为确保网上操作合法、有效和安全，投标人应当在投标截止时间前完成在“政府采购云平台”的身份认证，确保在电子投标过程中能够对相关数据电文进行加密和使用电子签名。</w:t>
      </w:r>
    </w:p>
    <w:p w14:paraId="0C7CD9FC">
      <w:pPr>
        <w:pStyle w:val="136"/>
        <w:snapToGrid w:val="0"/>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13.3招标文件对投标文件签署、盖章的要求适用于电子签名。</w:t>
      </w:r>
    </w:p>
    <w:p w14:paraId="2CC3474E">
      <w:pPr>
        <w:pStyle w:val="136"/>
        <w:spacing w:before="0" w:after="0"/>
        <w:ind w:firstLine="0" w:firstLineChars="0"/>
        <w:rPr>
          <w:rFonts w:hint="eastAsia" w:ascii="宋体" w:hAnsi="宋体" w:cs="宋体"/>
          <w:b/>
          <w:color w:val="0D0D0D" w:themeColor="text1" w:themeTint="F2"/>
          <w:szCs w:val="24"/>
          <w14:textFill>
            <w14:solidFill>
              <w14:schemeClr w14:val="tx1">
                <w14:lumMod w14:val="95000"/>
                <w14:lumOff w14:val="5000"/>
              </w14:schemeClr>
            </w14:solidFill>
          </w14:textFill>
        </w:rPr>
      </w:pPr>
      <w:r>
        <w:rPr>
          <w:rFonts w:hint="eastAsia" w:ascii="宋体" w:hAnsi="宋体" w:cs="宋体"/>
          <w:b/>
          <w:color w:val="0D0D0D" w:themeColor="text1" w:themeTint="F2"/>
          <w:szCs w:val="24"/>
          <w14:textFill>
            <w14:solidFill>
              <w14:schemeClr w14:val="tx1">
                <w14:lumMod w14:val="95000"/>
                <w14:lumOff w14:val="5000"/>
              </w14:schemeClr>
            </w14:solidFill>
          </w14:textFill>
        </w:rPr>
        <w:t>14. 投标文件的提交、补充、修改、撤回</w:t>
      </w:r>
    </w:p>
    <w:p w14:paraId="5A933BFF">
      <w:pPr>
        <w:pStyle w:val="136"/>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14.1 供应商应当在投标截止时间前完成投标文件的传输递交，并可以补充、修改或者撤回投标文件。补充或者修改投标文件的，应当先行撤回原文件，补充、修改后重新传输递交。投标截止时间后递交的投标文件，电子交易平台将拒收。</w:t>
      </w:r>
    </w:p>
    <w:p w14:paraId="5D719C79">
      <w:pPr>
        <w:pStyle w:val="136"/>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6A8CAAF1">
      <w:pPr>
        <w:pStyle w:val="136"/>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3186C95A">
      <w:pPr>
        <w:pStyle w:val="32"/>
        <w:spacing w:after="0" w:line="360" w:lineRule="auto"/>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15.备份投标文件</w:t>
      </w:r>
    </w:p>
    <w:p w14:paraId="1AE74775">
      <w:pPr>
        <w:pStyle w:val="32"/>
        <w:spacing w:after="0" w:line="360" w:lineRule="auto"/>
        <w:ind w:firstLine="360" w:firstLineChars="150"/>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 xml:space="preserve"> 15.1投标人在电子交易平台传输递交投标文件后，还可以在投标截止时间前直接提交或者以邮政快递方式递交备份投标文件1份，</w:t>
      </w:r>
      <w:r>
        <w:rPr>
          <w:rFonts w:hint="eastAsia" w:hAnsi="宋体" w:cs="宋体"/>
          <w:b/>
          <w:color w:val="0D0D0D" w:themeColor="text1" w:themeTint="F2"/>
          <w:sz w:val="24"/>
          <w:szCs w:val="24"/>
          <w14:textFill>
            <w14:solidFill>
              <w14:schemeClr w14:val="tx1">
                <w14:lumMod w14:val="95000"/>
                <w14:lumOff w14:val="5000"/>
              </w14:schemeClr>
            </w14:solidFill>
          </w14:textFill>
        </w:rPr>
        <w:t>但采购人、采购代理机构不强制或变相强制投标人提交备份投标文件。</w:t>
      </w:r>
    </w:p>
    <w:p w14:paraId="35AD0B1A">
      <w:pPr>
        <w:pStyle w:val="32"/>
        <w:spacing w:after="0" w:line="360" w:lineRule="auto"/>
        <w:ind w:firstLine="480" w:firstLineChars="200"/>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15.2备份投标文件须在“政采云投标客户端”制作生成，并储存在</w:t>
      </w:r>
      <w:r>
        <w:rPr>
          <w:rFonts w:hint="eastAsia" w:hAnsi="宋体" w:cs="宋体"/>
          <w:color w:val="0D0D0D" w:themeColor="text1" w:themeTint="F2"/>
          <w:sz w:val="24"/>
          <w14:textFill>
            <w14:solidFill>
              <w14:schemeClr w14:val="tx1">
                <w14:lumMod w14:val="95000"/>
                <w14:lumOff w14:val="5000"/>
              </w14:schemeClr>
            </w14:solidFill>
          </w14:textFill>
        </w:rPr>
        <w:t>DVD光盘等存储介质</w:t>
      </w:r>
      <w:r>
        <w:rPr>
          <w:rFonts w:hint="eastAsia" w:hAnsi="宋体" w:cs="宋体"/>
          <w:color w:val="0D0D0D" w:themeColor="text1" w:themeTint="F2"/>
          <w:sz w:val="24"/>
          <w:szCs w:val="24"/>
          <w14:textFill>
            <w14:solidFill>
              <w14:schemeClr w14:val="tx1">
                <w14:lumMod w14:val="95000"/>
                <w14:lumOff w14:val="5000"/>
              </w14:schemeClr>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D0D0D" w:themeColor="text1" w:themeTint="F2"/>
          <w:sz w:val="24"/>
          <w14:textFill>
            <w14:solidFill>
              <w14:schemeClr w14:val="tx1">
                <w14:lumMod w14:val="95000"/>
                <w14:lumOff w14:val="5000"/>
              </w14:schemeClr>
            </w14:solidFill>
          </w14:textFill>
        </w:rPr>
        <w:t>不符合上述制作、</w:t>
      </w:r>
      <w:r>
        <w:rPr>
          <w:rFonts w:hint="eastAsia" w:hAnsi="宋体" w:cs="宋体"/>
          <w:b/>
          <w:color w:val="0D0D0D" w:themeColor="text1" w:themeTint="F2"/>
          <w:sz w:val="24"/>
          <w:szCs w:val="24"/>
          <w14:textFill>
            <w14:solidFill>
              <w14:schemeClr w14:val="tx1">
                <w14:lumMod w14:val="95000"/>
                <w14:lumOff w14:val="5000"/>
              </w14:schemeClr>
            </w14:solidFill>
          </w14:textFill>
        </w:rPr>
        <w:t>存储、密封规定的备份投标文件将被视为无效或者被拒绝接收。</w:t>
      </w:r>
    </w:p>
    <w:p w14:paraId="4A8FB5BE">
      <w:pPr>
        <w:pStyle w:val="32"/>
        <w:spacing w:after="0" w:line="360" w:lineRule="auto"/>
        <w:ind w:firstLine="480" w:firstLineChars="2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15.3直接提交备份投标文件的，投标人应于投标截止时间前在招标公告中载明的开标地点将备份投标文件提交给采购代理机构，采购代理机构将拒绝接受逾期送达的备份投标文件。</w:t>
      </w:r>
    </w:p>
    <w:p w14:paraId="063C16F0">
      <w:pPr>
        <w:pStyle w:val="32"/>
        <w:spacing w:after="0" w:line="360" w:lineRule="auto"/>
        <w:ind w:firstLine="480" w:firstLineChars="20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D0D0D" w:themeColor="text1" w:themeTint="F2"/>
          <w:sz w:val="24"/>
          <w:szCs w:val="24"/>
          <w14:textFill>
            <w14:solidFill>
              <w14:schemeClr w14:val="tx1">
                <w14:lumMod w14:val="95000"/>
                <w14:lumOff w14:val="5000"/>
              </w14:schemeClr>
            </w14:solidFill>
          </w14:textFill>
        </w:rPr>
        <w:t>招标文件第二部分投标人须知前附表规定的备份投标文件送达地点；</w:t>
      </w:r>
      <w:r>
        <w:rPr>
          <w:rFonts w:hint="eastAsia" w:hAnsi="宋体" w:cs="宋体"/>
          <w:color w:val="0D0D0D" w:themeColor="text1" w:themeTint="F2"/>
          <w:sz w:val="24"/>
          <w:szCs w:val="24"/>
          <w14:textFill>
            <w14:solidFill>
              <w14:schemeClr w14:val="tx1">
                <w14:lumMod w14:val="95000"/>
                <w14:lumOff w14:val="5000"/>
              </w14:schemeClr>
            </w14:solidFill>
          </w14:textFill>
        </w:rPr>
        <w:t>送达时间以签收人签收时间为准。采购代理机构将拒绝接受逾期送达的备份投标文件。邮寄过程中，电子备份投标文件发生泄露、遗失、损坏或延期送达等情况的，由投标人自行负责。</w:t>
      </w:r>
    </w:p>
    <w:p w14:paraId="4A48B1A8">
      <w:pPr>
        <w:pStyle w:val="32"/>
        <w:spacing w:after="0" w:line="360" w:lineRule="auto"/>
        <w:ind w:firstLine="479" w:firstLineChars="199"/>
        <w:rPr>
          <w:rFonts w:hint="eastAsia" w:hAnsi="宋体" w:cs="宋体"/>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4"/>
          <w14:textFill>
            <w14:solidFill>
              <w14:schemeClr w14:val="tx1">
                <w14:lumMod w14:val="95000"/>
                <w14:lumOff w14:val="5000"/>
              </w14:schemeClr>
            </w14:solidFill>
          </w14:textFill>
        </w:rPr>
        <w:t>15.5投标人仅提交备份投标文件，未在电子交易平台传输递交投标文件的，投标无效。</w:t>
      </w:r>
    </w:p>
    <w:p w14:paraId="61D443E9">
      <w:pPr>
        <w:pStyle w:val="136"/>
        <w:spacing w:before="0" w:after="0"/>
        <w:ind w:firstLine="0" w:firstLineChars="0"/>
        <w:rPr>
          <w:rFonts w:hint="eastAsia" w:ascii="宋体" w:hAnsi="宋体" w:cs="宋体"/>
          <w:b/>
          <w:color w:val="0D0D0D" w:themeColor="text1" w:themeTint="F2"/>
          <w:szCs w:val="24"/>
          <w14:textFill>
            <w14:solidFill>
              <w14:schemeClr w14:val="tx1">
                <w14:lumMod w14:val="95000"/>
                <w14:lumOff w14:val="5000"/>
              </w14:schemeClr>
            </w14:solidFill>
          </w14:textFill>
        </w:rPr>
      </w:pPr>
      <w:r>
        <w:rPr>
          <w:rFonts w:hint="eastAsia" w:ascii="宋体" w:hAnsi="宋体" w:cs="宋体"/>
          <w:b/>
          <w:color w:val="0D0D0D" w:themeColor="text1" w:themeTint="F2"/>
          <w:szCs w:val="24"/>
          <w14:textFill>
            <w14:solidFill>
              <w14:schemeClr w14:val="tx1">
                <w14:lumMod w14:val="95000"/>
                <w14:lumOff w14:val="5000"/>
              </w14:schemeClr>
            </w14:solidFill>
          </w14:textFill>
        </w:rPr>
        <w:t>16.投标文件的无效处理</w:t>
      </w:r>
    </w:p>
    <w:p w14:paraId="273E1F3B">
      <w:pPr>
        <w:pStyle w:val="24"/>
        <w:spacing w:after="0" w:line="360" w:lineRule="auto"/>
        <w:ind w:firstLine="360" w:firstLineChars="150"/>
        <w:rPr>
          <w:rFonts w:hint="eastAsia" w:cs="宋体"/>
          <w:color w:val="0D0D0D" w:themeColor="text1" w:themeTint="F2"/>
          <w:szCs w:val="21"/>
          <w14:textFill>
            <w14:solidFill>
              <w14:schemeClr w14:val="tx1">
                <w14:lumMod w14:val="95000"/>
                <w14:lumOff w14:val="5000"/>
              </w14:schemeClr>
            </w14:solidFill>
          </w14:textFill>
        </w:rPr>
      </w:pPr>
      <w:r>
        <w:rPr>
          <w:rFonts w:hint="eastAsia" w:cs="宋体"/>
          <w:color w:val="0D0D0D" w:themeColor="text1" w:themeTint="F2"/>
          <w:szCs w:val="21"/>
          <w14:textFill>
            <w14:solidFill>
              <w14:schemeClr w14:val="tx1">
                <w14:lumMod w14:val="95000"/>
                <w14:lumOff w14:val="5000"/>
              </w14:schemeClr>
            </w14:solidFill>
          </w14:textFill>
        </w:rPr>
        <w:t>有招标文件第四部分</w:t>
      </w:r>
      <w:r>
        <w:rPr>
          <w:rFonts w:hint="eastAsia" w:cs="宋体"/>
          <w:color w:val="0D0D0D" w:themeColor="text1" w:themeTint="F2"/>
          <w14:textFill>
            <w14:solidFill>
              <w14:schemeClr w14:val="tx1">
                <w14:lumMod w14:val="95000"/>
                <w14:lumOff w14:val="5000"/>
              </w14:schemeClr>
            </w14:solidFill>
          </w14:textFill>
        </w:rPr>
        <w:t>4.2规定</w:t>
      </w:r>
      <w:r>
        <w:rPr>
          <w:rFonts w:hint="eastAsia" w:cs="宋体"/>
          <w:color w:val="0D0D0D" w:themeColor="text1" w:themeTint="F2"/>
          <w:szCs w:val="21"/>
          <w14:textFill>
            <w14:solidFill>
              <w14:schemeClr w14:val="tx1">
                <w14:lumMod w14:val="95000"/>
                <w14:lumOff w14:val="5000"/>
              </w14:schemeClr>
            </w14:solidFill>
          </w14:textFill>
        </w:rPr>
        <w:t>的情形之一的，投标无效：</w:t>
      </w:r>
    </w:p>
    <w:p w14:paraId="1540EF41">
      <w:pPr>
        <w:pStyle w:val="136"/>
        <w:spacing w:before="0" w:after="0"/>
        <w:ind w:firstLine="0" w:firstLineChars="0"/>
        <w:rPr>
          <w:rFonts w:hint="eastAsia" w:ascii="宋体" w:hAnsi="宋体" w:cs="宋体"/>
          <w:b/>
          <w:color w:val="0D0D0D" w:themeColor="text1" w:themeTint="F2"/>
          <w:szCs w:val="24"/>
          <w14:textFill>
            <w14:solidFill>
              <w14:schemeClr w14:val="tx1">
                <w14:lumMod w14:val="95000"/>
                <w14:lumOff w14:val="5000"/>
              </w14:schemeClr>
            </w14:solidFill>
          </w14:textFill>
        </w:rPr>
      </w:pPr>
      <w:r>
        <w:rPr>
          <w:rFonts w:hint="eastAsia" w:ascii="宋体" w:hAnsi="宋体" w:cs="宋体"/>
          <w:b/>
          <w:color w:val="0D0D0D" w:themeColor="text1" w:themeTint="F2"/>
          <w:szCs w:val="24"/>
          <w14:textFill>
            <w14:solidFill>
              <w14:schemeClr w14:val="tx1">
                <w14:lumMod w14:val="95000"/>
                <w14:lumOff w14:val="5000"/>
              </w14:schemeClr>
            </w14:solidFill>
          </w14:textFill>
        </w:rPr>
        <w:t>17.投标有效期</w:t>
      </w:r>
    </w:p>
    <w:p w14:paraId="77275BC3">
      <w:pPr>
        <w:spacing w:after="0" w:line="360" w:lineRule="auto"/>
        <w:ind w:firstLine="480" w:firstLineChars="200"/>
        <w:rPr>
          <w:rFonts w:hint="eastAsia" w:ascii="宋体" w:hAnsi="宋体" w:cs="宋体"/>
          <w:b/>
          <w:color w:val="0D0D0D" w:themeColor="text1" w:themeTint="F2"/>
          <w:sz w:val="24"/>
          <w:szCs w:val="21"/>
          <w14:textFill>
            <w14:solidFill>
              <w14:schemeClr w14:val="tx1">
                <w14:lumMod w14:val="95000"/>
                <w14:lumOff w14:val="5000"/>
              </w14:schemeClr>
            </w14:solidFill>
          </w14:textFill>
        </w:rPr>
      </w:pPr>
      <w:r>
        <w:rPr>
          <w:rFonts w:hint="eastAsia" w:ascii="宋体" w:hAnsi="宋体" w:cs="宋体"/>
          <w:color w:val="0D0D0D" w:themeColor="text1" w:themeTint="F2"/>
          <w:sz w:val="24"/>
          <w:szCs w:val="20"/>
          <w14:textFill>
            <w14:solidFill>
              <w14:schemeClr w14:val="tx1">
                <w14:lumMod w14:val="95000"/>
                <w14:lumOff w14:val="5000"/>
              </w14:schemeClr>
            </w14:solidFill>
          </w14:textFill>
        </w:rPr>
        <w:t>17.1投标有效期为从提交投标文件的截止之日起90天。▲</w:t>
      </w:r>
      <w:r>
        <w:rPr>
          <w:rFonts w:hint="eastAsia" w:ascii="宋体" w:hAnsi="宋体" w:cs="宋体"/>
          <w:b/>
          <w:color w:val="0D0D0D" w:themeColor="text1" w:themeTint="F2"/>
          <w:sz w:val="24"/>
          <w:szCs w:val="20"/>
          <w14:textFill>
            <w14:solidFill>
              <w14:schemeClr w14:val="tx1">
                <w14:lumMod w14:val="95000"/>
                <w14:lumOff w14:val="5000"/>
              </w14:schemeClr>
            </w14:solidFill>
          </w14:textFill>
        </w:rPr>
        <w:t>投标人的投标文件中承</w:t>
      </w:r>
      <w:r>
        <w:rPr>
          <w:rFonts w:hint="eastAsia" w:ascii="宋体" w:hAnsi="宋体" w:cs="宋体"/>
          <w:b/>
          <w:color w:val="0D0D0D" w:themeColor="text1" w:themeTint="F2"/>
          <w:sz w:val="24"/>
          <w:szCs w:val="21"/>
          <w14:textFill>
            <w14:solidFill>
              <w14:schemeClr w14:val="tx1">
                <w14:lumMod w14:val="95000"/>
                <w14:lumOff w14:val="5000"/>
              </w14:schemeClr>
            </w14:solidFill>
          </w14:textFill>
        </w:rPr>
        <w:t>诺的投标有效期少于招标文件中载明的投标有效期的，投标无效。</w:t>
      </w:r>
    </w:p>
    <w:p w14:paraId="3BF84F29">
      <w:pPr>
        <w:pStyle w:val="136"/>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17.2投标文件合格投递后，自投标截止日期起，在投标有效期内有效。</w:t>
      </w:r>
    </w:p>
    <w:p w14:paraId="4001B388">
      <w:pPr>
        <w:pStyle w:val="136"/>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1C5147DE">
      <w:pPr>
        <w:pStyle w:val="136"/>
        <w:spacing w:before="0" w:after="0"/>
        <w:ind w:firstLine="643"/>
        <w:rPr>
          <w:rFonts w:hint="eastAsia" w:ascii="宋体" w:hAnsi="宋体" w:cs="宋体"/>
          <w:b/>
          <w:color w:val="0D0D0D" w:themeColor="text1" w:themeTint="F2"/>
          <w:sz w:val="32"/>
          <w14:textFill>
            <w14:solidFill>
              <w14:schemeClr w14:val="tx1">
                <w14:lumMod w14:val="95000"/>
                <w14:lumOff w14:val="5000"/>
              </w14:schemeClr>
            </w14:solidFill>
          </w14:textFill>
        </w:rPr>
      </w:pPr>
    </w:p>
    <w:p w14:paraId="753ED2DB">
      <w:pPr>
        <w:pStyle w:val="136"/>
        <w:spacing w:before="0" w:after="0"/>
        <w:ind w:firstLine="1928" w:firstLineChars="600"/>
        <w:rPr>
          <w:rFonts w:hint="eastAsia" w:ascii="宋体" w:hAnsi="宋体" w:cs="宋体"/>
          <w:b/>
          <w:color w:val="0D0D0D" w:themeColor="text1" w:themeTint="F2"/>
          <w:sz w:val="32"/>
          <w14:textFill>
            <w14:solidFill>
              <w14:schemeClr w14:val="tx1">
                <w14:lumMod w14:val="95000"/>
                <w14:lumOff w14:val="5000"/>
              </w14:schemeClr>
            </w14:solidFill>
          </w14:textFill>
        </w:rPr>
      </w:pPr>
      <w:r>
        <w:rPr>
          <w:rFonts w:hint="eastAsia" w:ascii="宋体" w:hAnsi="宋体" w:cs="宋体"/>
          <w:b/>
          <w:color w:val="0D0D0D" w:themeColor="text1" w:themeTint="F2"/>
          <w:sz w:val="32"/>
          <w14:textFill>
            <w14:solidFill>
              <w14:schemeClr w14:val="tx1">
                <w14:lumMod w14:val="95000"/>
                <w14:lumOff w14:val="5000"/>
              </w14:schemeClr>
            </w14:solidFill>
          </w14:textFill>
        </w:rPr>
        <w:t>四、开标、资格审查与信用信息查询</w:t>
      </w:r>
    </w:p>
    <w:p w14:paraId="062C1924">
      <w:pPr>
        <w:pStyle w:val="560"/>
        <w:spacing w:before="0" w:after="0" w:line="360" w:lineRule="auto"/>
        <w:ind w:left="0" w:firstLine="241" w:firstLineChars="100"/>
        <w:contextualSpacing/>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szCs w:val="24"/>
          <w14:textFill>
            <w14:solidFill>
              <w14:schemeClr w14:val="tx1">
                <w14:lumMod w14:val="95000"/>
                <w14:lumOff w14:val="5000"/>
              </w14:schemeClr>
            </w14:solidFill>
          </w14:textFill>
        </w:rPr>
        <w:t>18.开标</w:t>
      </w:r>
    </w:p>
    <w:p w14:paraId="64CD3E09">
      <w:pPr>
        <w:pStyle w:val="560"/>
        <w:spacing w:before="0" w:after="0" w:line="360" w:lineRule="auto"/>
        <w:ind w:left="0" w:firstLine="480" w:firstLineChars="200"/>
        <w:contextualSpacing/>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18.1采购代理机构按照招标文件规定的时间通过电子交易平台组织开标，所有投标人均应当准时在线参加。投标人不足3家的，不得开标。</w:t>
      </w:r>
    </w:p>
    <w:p w14:paraId="30D1D5CF">
      <w:pPr>
        <w:pStyle w:val="560"/>
        <w:spacing w:before="0" w:after="0" w:line="360" w:lineRule="auto"/>
        <w:ind w:left="0" w:firstLine="240" w:firstLineChars="100"/>
        <w:contextualSpacing/>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7D04274F">
      <w:pPr>
        <w:pStyle w:val="560"/>
        <w:spacing w:before="0" w:after="0" w:line="360" w:lineRule="auto"/>
        <w:ind w:left="0" w:firstLine="240" w:firstLineChars="100"/>
        <w:contextualSpacing/>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18.3</w:t>
      </w:r>
      <w:r>
        <w:rPr>
          <w:rFonts w:hint="eastAsia" w:ascii="宋体" w:hAnsi="宋体" w:cs="宋体"/>
          <w:b/>
          <w:color w:val="0D0D0D" w:themeColor="text1" w:themeTint="F2"/>
          <w:sz w:val="24"/>
          <w14:textFill>
            <w14:solidFill>
              <w14:schemeClr w14:val="tx1">
                <w14:lumMod w14:val="95000"/>
                <w14:lumOff w14:val="5000"/>
              </w14:schemeClr>
            </w14:solidFill>
          </w14:textFill>
        </w:rPr>
        <w:t>投标文件未按时解密，投标人提供了备份投标文件的，以备份投标文件作为依据。投标文件已按时解密的，备份投标文件自动失效。</w:t>
      </w:r>
    </w:p>
    <w:p w14:paraId="2364FBFC">
      <w:pPr>
        <w:pStyle w:val="32"/>
        <w:spacing w:after="0" w:line="360" w:lineRule="auto"/>
        <w:ind w:firstLine="361" w:firstLineChars="150"/>
        <w:rPr>
          <w:rFonts w:hint="eastAsia" w:hAnsi="宋体" w:cs="仿宋_GB2312"/>
          <w:b/>
          <w:color w:val="0D0D0D" w:themeColor="text1" w:themeTint="F2"/>
          <w:sz w:val="24"/>
          <w:szCs w:val="24"/>
          <w14:textFill>
            <w14:solidFill>
              <w14:schemeClr w14:val="tx1">
                <w14:lumMod w14:val="95000"/>
                <w14:lumOff w14:val="5000"/>
              </w14:schemeClr>
            </w14:solidFill>
          </w14:textFill>
        </w:rPr>
      </w:pPr>
      <w:r>
        <w:rPr>
          <w:rFonts w:hint="eastAsia" w:hAnsi="宋体" w:cs="宋体"/>
          <w:b/>
          <w:color w:val="0D0D0D" w:themeColor="text1" w:themeTint="F2"/>
          <w:sz w:val="24"/>
          <w:szCs w:val="20"/>
          <w14:textFill>
            <w14:solidFill>
              <w14:schemeClr w14:val="tx1">
                <w14:lumMod w14:val="95000"/>
                <w14:lumOff w14:val="5000"/>
              </w14:schemeClr>
            </w14:solidFill>
          </w14:textFill>
        </w:rPr>
        <w:t>　</w:t>
      </w:r>
      <w:r>
        <w:rPr>
          <w:rFonts w:hint="eastAsia" w:hAnsi="宋体" w:cs="仿宋_GB2312"/>
          <w:b/>
          <w:color w:val="0D0D0D" w:themeColor="text1" w:themeTint="F2"/>
          <w:sz w:val="24"/>
          <w:szCs w:val="24"/>
          <w14:textFill>
            <w14:solidFill>
              <w14:schemeClr w14:val="tx1">
                <w14:lumMod w14:val="95000"/>
                <w14:lumOff w14:val="5000"/>
              </w14:schemeClr>
            </w14:solidFill>
          </w14:textFill>
        </w:rPr>
        <w:t>18.4投标文件解密结束，各投标人签署《政府采购活动现场确认声明书》（格式见附件），签署完成后，扫描发送至邮箱：</w:t>
      </w:r>
      <w:r>
        <w:rPr>
          <w:rFonts w:hint="eastAsia"/>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HYPERLINK "mailto:834007470@qq.com；" </w:instrText>
      </w:r>
      <w:r>
        <w:rPr>
          <w:rFonts w:hint="eastAsia"/>
          <w:color w:val="0D0D0D" w:themeColor="text1" w:themeTint="F2"/>
          <w14:textFill>
            <w14:solidFill>
              <w14:schemeClr w14:val="tx1">
                <w14:lumMod w14:val="95000"/>
                <w14:lumOff w14:val="5000"/>
              </w14:schemeClr>
            </w14:solidFill>
          </w14:textFill>
        </w:rPr>
        <w:fldChar w:fldCharType="separate"/>
      </w:r>
      <w:r>
        <w:rPr>
          <w:rFonts w:hint="eastAsia" w:hAnsi="宋体" w:cs="仿宋_GB2312"/>
          <w:b/>
          <w:color w:val="0D0D0D" w:themeColor="text1" w:themeTint="F2"/>
          <w:sz w:val="24"/>
          <w:szCs w:val="24"/>
          <w14:textFill>
            <w14:solidFill>
              <w14:schemeClr w14:val="tx1">
                <w14:lumMod w14:val="95000"/>
                <w14:lumOff w14:val="5000"/>
              </w14:schemeClr>
            </w14:solidFill>
          </w14:textFill>
        </w:rPr>
        <w:t>253656196@qq.com；</w:t>
      </w:r>
      <w:r>
        <w:rPr>
          <w:rFonts w:hint="eastAsia" w:hAnsi="宋体" w:cs="仿宋_GB2312"/>
          <w:b/>
          <w:color w:val="0D0D0D" w:themeColor="text1" w:themeTint="F2"/>
          <w:sz w:val="24"/>
          <w:szCs w:val="24"/>
          <w14:textFill>
            <w14:solidFill>
              <w14:schemeClr w14:val="tx1">
                <w14:lumMod w14:val="95000"/>
                <w14:lumOff w14:val="5000"/>
              </w14:schemeClr>
            </w14:solidFill>
          </w14:textFill>
        </w:rPr>
        <w:fldChar w:fldCharType="end"/>
      </w:r>
    </w:p>
    <w:p w14:paraId="7423B6CE">
      <w:pPr>
        <w:widowControl/>
        <w:spacing w:after="0" w:line="360" w:lineRule="auto"/>
        <w:jc w:val="left"/>
        <w:rPr>
          <w:rFonts w:hint="eastAsia" w:ascii="宋体" w:hAnsi="宋体" w:cs="宋体"/>
          <w:b/>
          <w:color w:val="0D0D0D" w:themeColor="text1" w:themeTint="F2"/>
          <w:sz w:val="24"/>
          <w:szCs w:val="20"/>
          <w14:textFill>
            <w14:solidFill>
              <w14:schemeClr w14:val="tx1">
                <w14:lumMod w14:val="95000"/>
                <w14:lumOff w14:val="5000"/>
              </w14:schemeClr>
            </w14:solidFill>
          </w14:textFill>
        </w:rPr>
      </w:pPr>
      <w:r>
        <w:rPr>
          <w:rFonts w:hint="eastAsia" w:ascii="宋体" w:hAnsi="宋体" w:cs="宋体"/>
          <w:b/>
          <w:color w:val="0D0D0D" w:themeColor="text1" w:themeTint="F2"/>
          <w:sz w:val="24"/>
          <w:szCs w:val="20"/>
          <w14:textFill>
            <w14:solidFill>
              <w14:schemeClr w14:val="tx1">
                <w14:lumMod w14:val="95000"/>
                <w14:lumOff w14:val="5000"/>
              </w14:schemeClr>
            </w14:solidFill>
          </w14:textFill>
        </w:rPr>
        <w:t>19、资格审查</w:t>
      </w:r>
    </w:p>
    <w:p w14:paraId="1928E8E3">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19.1</w:t>
      </w:r>
      <w:r>
        <w:rPr>
          <w:rFonts w:hint="eastAsia" w:ascii="宋体" w:hAnsi="宋体" w:cs="宋体"/>
          <w:color w:val="0D0D0D" w:themeColor="text1" w:themeTint="F2"/>
          <w:sz w:val="24"/>
          <w14:textFill>
            <w14:solidFill>
              <w14:schemeClr w14:val="tx1">
                <w14:lumMod w14:val="95000"/>
                <w14:lumOff w14:val="5000"/>
              </w14:schemeClr>
            </w14:solidFill>
          </w14:textFill>
        </w:rPr>
        <w:t>采购人或采购代理机构依据法律法规和招标文件的规定，对投标人的资格进行审查。</w:t>
      </w:r>
    </w:p>
    <w:p w14:paraId="517AFD3E">
      <w:pPr>
        <w:pStyle w:val="136"/>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19.2投标人未按照招标文件要求提供与</w:t>
      </w:r>
      <w:r>
        <w:rPr>
          <w:rFonts w:hint="eastAsia" w:ascii="宋体" w:hAnsi="宋体" w:cs="宋体"/>
          <w:color w:val="0D0D0D" w:themeColor="text1" w:themeTint="F2"/>
          <w14:textFill>
            <w14:solidFill>
              <w14:schemeClr w14:val="tx1">
                <w14:lumMod w14:val="95000"/>
                <w14:lumOff w14:val="5000"/>
              </w14:schemeClr>
            </w14:solidFill>
          </w14:textFill>
        </w:rPr>
        <w:t>资格条件相应的</w:t>
      </w:r>
      <w:r>
        <w:rPr>
          <w:rFonts w:hint="eastAsia" w:ascii="宋体" w:hAnsi="宋体" w:cs="宋体"/>
          <w:color w:val="0D0D0D" w:themeColor="text1" w:themeTint="F2"/>
          <w:kern w:val="0"/>
          <w:szCs w:val="24"/>
          <w14:textFill>
            <w14:solidFill>
              <w14:schemeClr w14:val="tx1">
                <w14:lumMod w14:val="95000"/>
                <w14:lumOff w14:val="5000"/>
              </w14:schemeClr>
            </w14:solidFill>
          </w14:textFill>
        </w:rPr>
        <w:t>有效资格证明材料的，视为</w:t>
      </w:r>
      <w:r>
        <w:rPr>
          <w:rFonts w:hint="eastAsia" w:ascii="宋体" w:hAnsi="宋体" w:cs="宋体"/>
          <w:color w:val="0D0D0D" w:themeColor="text1" w:themeTint="F2"/>
          <w14:textFill>
            <w14:solidFill>
              <w14:schemeClr w14:val="tx1">
                <w14:lumMod w14:val="95000"/>
                <w14:lumOff w14:val="5000"/>
              </w14:schemeClr>
            </w14:solidFill>
          </w14:textFill>
        </w:rPr>
        <w:t>投标人不具备招标文件中规定的资格要求，其投标无效。</w:t>
      </w:r>
    </w:p>
    <w:p w14:paraId="765216E0">
      <w:pPr>
        <w:pStyle w:val="136"/>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19.</w:t>
      </w:r>
      <w:r>
        <w:rPr>
          <w:rFonts w:hint="eastAsia" w:ascii="宋体" w:hAnsi="宋体" w:cs="宋体"/>
          <w:color w:val="0D0D0D" w:themeColor="text1" w:themeTint="F2"/>
          <w14:textFill>
            <w14:solidFill>
              <w14:schemeClr w14:val="tx1">
                <w14:lumMod w14:val="95000"/>
                <w14:lumOff w14:val="5000"/>
              </w14:schemeClr>
            </w14:solidFill>
          </w14:textFill>
        </w:rPr>
        <w:t>3对未通过资格审查的投标人，采购人或采购代理机构告知其未通过的原因。</w:t>
      </w:r>
    </w:p>
    <w:p w14:paraId="46448A08">
      <w:pPr>
        <w:pStyle w:val="136"/>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19.</w:t>
      </w:r>
      <w:r>
        <w:rPr>
          <w:rFonts w:hint="eastAsia" w:ascii="宋体" w:hAnsi="宋体" w:cs="宋体"/>
          <w:color w:val="0D0D0D" w:themeColor="text1" w:themeTint="F2"/>
          <w14:textFill>
            <w14:solidFill>
              <w14:schemeClr w14:val="tx1">
                <w14:lumMod w14:val="95000"/>
                <w14:lumOff w14:val="5000"/>
              </w14:schemeClr>
            </w14:solidFill>
          </w14:textFill>
        </w:rPr>
        <w:t>4合格投标人不足3家的，不再评标。</w:t>
      </w:r>
    </w:p>
    <w:p w14:paraId="4E703C15">
      <w:pPr>
        <w:pStyle w:val="136"/>
        <w:spacing w:before="0" w:after="0"/>
        <w:ind w:firstLine="0" w:firstLineChars="0"/>
        <w:rPr>
          <w:rFonts w:hint="eastAsia" w:ascii="宋体" w:hAnsi="宋体" w:cs="宋体"/>
          <w:b/>
          <w:color w:val="0D0D0D" w:themeColor="text1" w:themeTint="F2"/>
          <w:szCs w:val="24"/>
          <w14:textFill>
            <w14:solidFill>
              <w14:schemeClr w14:val="tx1">
                <w14:lumMod w14:val="95000"/>
                <w14:lumOff w14:val="5000"/>
              </w14:schemeClr>
            </w14:solidFill>
          </w14:textFill>
        </w:rPr>
      </w:pPr>
      <w:r>
        <w:rPr>
          <w:rFonts w:hint="eastAsia" w:ascii="宋体" w:hAnsi="宋体" w:cs="宋体"/>
          <w:b/>
          <w:color w:val="0D0D0D" w:themeColor="text1" w:themeTint="F2"/>
          <w:szCs w:val="24"/>
          <w14:textFill>
            <w14:solidFill>
              <w14:schemeClr w14:val="tx1">
                <w14:lumMod w14:val="95000"/>
                <w14:lumOff w14:val="5000"/>
              </w14:schemeClr>
            </w14:solidFill>
          </w14:textFill>
        </w:rPr>
        <w:t>20、信用信息查询</w:t>
      </w:r>
    </w:p>
    <w:p w14:paraId="42BDD00A">
      <w:pPr>
        <w:pStyle w:val="136"/>
        <w:spacing w:before="0" w:after="0"/>
        <w:ind w:firstLine="495" w:firstLineChars="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20.1信用信息查询渠道及截止时间：采购代理机构将在资格审查时通过“信用中国”网站(www.creditchina.gov.cn)、中国政府采购网(www.ccgp.gov.cn)渠道查询投标人接受资格审查时的信用记录。</w:t>
      </w:r>
    </w:p>
    <w:p w14:paraId="06E2E461">
      <w:pPr>
        <w:pStyle w:val="136"/>
        <w:spacing w:before="0" w:after="0"/>
        <w:ind w:firstLine="495" w:firstLineChars="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20.2信用信息查询记录和证据留存的具体方式：现场查询的投标人的信用记录、查询结果经确认后将与采购文件一起存档。</w:t>
      </w:r>
    </w:p>
    <w:p w14:paraId="4960216C">
      <w:pPr>
        <w:pStyle w:val="136"/>
        <w:spacing w:before="0" w:after="0"/>
        <w:ind w:firstLine="495" w:firstLineChars="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20.3信用信息的使用规则：经查询列入失信被执行人名单、重大税收违法案件当事人名单、政府采购严重违法失信行为记录名单的投标人将被拒绝参与政府采购活动。</w:t>
      </w:r>
    </w:p>
    <w:p w14:paraId="07EF1151">
      <w:pPr>
        <w:pStyle w:val="136"/>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D0D0D" w:themeColor="text1" w:themeTint="F2"/>
          <w14:textFill>
            <w14:solidFill>
              <w14:schemeClr w14:val="tx1">
                <w14:lumMod w14:val="95000"/>
                <w14:lumOff w14:val="5000"/>
              </w14:schemeClr>
            </w14:solidFill>
          </w14:textFill>
        </w:rPr>
        <w:t>。</w:t>
      </w:r>
    </w:p>
    <w:p w14:paraId="7978052C">
      <w:pPr>
        <w:pStyle w:val="136"/>
        <w:spacing w:before="0" w:after="0"/>
        <w:ind w:firstLine="0" w:firstLineChars="0"/>
        <w:rPr>
          <w:rFonts w:hint="eastAsia" w:ascii="宋体" w:hAnsi="宋体" w:cs="宋体"/>
          <w:color w:val="0D0D0D" w:themeColor="text1" w:themeTint="F2"/>
          <w:kern w:val="0"/>
          <w:szCs w:val="24"/>
          <w14:textFill>
            <w14:solidFill>
              <w14:schemeClr w14:val="tx1">
                <w14:lumMod w14:val="95000"/>
                <w14:lumOff w14:val="5000"/>
              </w14:schemeClr>
            </w14:solidFill>
          </w14:textFill>
        </w:rPr>
      </w:pPr>
    </w:p>
    <w:p w14:paraId="0C6B6465">
      <w:pPr>
        <w:snapToGrid w:val="0"/>
        <w:spacing w:after="0" w:line="360" w:lineRule="auto"/>
        <w:jc w:val="center"/>
        <w:outlineLvl w:val="0"/>
        <w:rPr>
          <w:rFonts w:hint="eastAsia" w:ascii="宋体" w:hAnsi="宋体" w:cs="宋体"/>
          <w:b/>
          <w:color w:val="0D0D0D" w:themeColor="text1" w:themeTint="F2"/>
          <w:sz w:val="36"/>
          <w:szCs w:val="36"/>
          <w14:textFill>
            <w14:solidFill>
              <w14:schemeClr w14:val="tx1">
                <w14:lumMod w14:val="95000"/>
                <w14:lumOff w14:val="5000"/>
              </w14:schemeClr>
            </w14:solidFill>
          </w14:textFill>
        </w:rPr>
      </w:pPr>
      <w:bookmarkStart w:id="30" w:name="_Toc12389"/>
      <w:r>
        <w:rPr>
          <w:rFonts w:hint="eastAsia" w:ascii="宋体" w:hAnsi="宋体" w:cs="宋体"/>
          <w:b/>
          <w:color w:val="0D0D0D" w:themeColor="text1" w:themeTint="F2"/>
          <w:sz w:val="36"/>
          <w:szCs w:val="36"/>
          <w14:textFill>
            <w14:solidFill>
              <w14:schemeClr w14:val="tx1">
                <w14:lumMod w14:val="95000"/>
                <w14:lumOff w14:val="5000"/>
              </w14:schemeClr>
            </w14:solidFill>
          </w14:textFill>
        </w:rPr>
        <w:t>五、评标</w:t>
      </w:r>
      <w:bookmarkEnd w:id="30"/>
    </w:p>
    <w:p w14:paraId="0EF73077">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bookmarkStart w:id="31" w:name="_Toc91899903"/>
      <w:r>
        <w:rPr>
          <w:rFonts w:hint="eastAsia" w:ascii="宋体" w:hAnsi="宋体" w:cs="宋体"/>
          <w:b/>
          <w:color w:val="0D0D0D" w:themeColor="text1" w:themeTint="F2"/>
          <w:sz w:val="24"/>
          <w14:textFill>
            <w14:solidFill>
              <w14:schemeClr w14:val="tx1">
                <w14:lumMod w14:val="95000"/>
                <w14:lumOff w14:val="5000"/>
              </w14:schemeClr>
            </w14:solidFill>
          </w14:textFill>
        </w:rPr>
        <w:t>21.</w:t>
      </w:r>
      <w:r>
        <w:rPr>
          <w:rFonts w:hint="eastAsia" w:ascii="宋体" w:hAnsi="宋体" w:cs="宋体"/>
          <w:color w:val="0D0D0D" w:themeColor="text1" w:themeTint="F2"/>
          <w:sz w:val="24"/>
          <w14:textFill>
            <w14:solidFill>
              <w14:schemeClr w14:val="tx1">
                <w14:lumMod w14:val="95000"/>
                <w14:lumOff w14:val="5000"/>
              </w14:schemeClr>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D0D0D" w:themeColor="text1" w:themeTint="F2"/>
          <w:sz w:val="24"/>
          <w14:textFill>
            <w14:solidFill>
              <w14:schemeClr w14:val="tx1">
                <w14:lumMod w14:val="95000"/>
                <w14:lumOff w14:val="5000"/>
              </w14:schemeClr>
            </w14:solidFill>
          </w14:textFill>
        </w:rPr>
        <w:t>详见招标文件第四部分评标办法。</w:t>
      </w:r>
    </w:p>
    <w:p w14:paraId="3C0AFA6E">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0C362674">
      <w:pPr>
        <w:snapToGrid w:val="0"/>
        <w:spacing w:after="0" w:line="360" w:lineRule="auto"/>
        <w:jc w:val="center"/>
        <w:outlineLvl w:val="0"/>
        <w:rPr>
          <w:rFonts w:hint="eastAsia" w:ascii="宋体" w:hAnsi="宋体" w:cs="宋体"/>
          <w:b/>
          <w:color w:val="0D0D0D" w:themeColor="text1" w:themeTint="F2"/>
          <w:sz w:val="36"/>
          <w:szCs w:val="36"/>
          <w14:textFill>
            <w14:solidFill>
              <w14:schemeClr w14:val="tx1">
                <w14:lumMod w14:val="95000"/>
                <w14:lumOff w14:val="5000"/>
              </w14:schemeClr>
            </w14:solidFill>
          </w14:textFill>
        </w:rPr>
      </w:pPr>
      <w:bookmarkStart w:id="32" w:name="_Toc20717"/>
      <w:r>
        <w:rPr>
          <w:rFonts w:hint="eastAsia" w:ascii="宋体" w:hAnsi="宋体" w:cs="宋体"/>
          <w:b/>
          <w:color w:val="0D0D0D" w:themeColor="text1" w:themeTint="F2"/>
          <w:sz w:val="36"/>
          <w:szCs w:val="36"/>
          <w14:textFill>
            <w14:solidFill>
              <w14:schemeClr w14:val="tx1">
                <w14:lumMod w14:val="95000"/>
                <w14:lumOff w14:val="5000"/>
              </w14:schemeClr>
            </w14:solidFill>
          </w14:textFill>
        </w:rPr>
        <w:t>六、定 标</w:t>
      </w:r>
      <w:bookmarkEnd w:id="32"/>
    </w:p>
    <w:p w14:paraId="146DF77A">
      <w:pPr>
        <w:pStyle w:val="24"/>
        <w:spacing w:after="0" w:line="360" w:lineRule="auto"/>
        <w:ind w:left="479" w:hanging="479" w:hangingChars="199"/>
        <w:rPr>
          <w:rFonts w:hint="eastAsia" w:cs="宋体"/>
          <w:b/>
          <w:color w:val="0D0D0D" w:themeColor="text1" w:themeTint="F2"/>
          <w14:textFill>
            <w14:solidFill>
              <w14:schemeClr w14:val="tx1">
                <w14:lumMod w14:val="95000"/>
                <w14:lumOff w14:val="5000"/>
              </w14:schemeClr>
            </w14:solidFill>
          </w14:textFill>
        </w:rPr>
      </w:pPr>
      <w:r>
        <w:rPr>
          <w:rFonts w:hint="eastAsia" w:cs="宋体"/>
          <w:b/>
          <w:color w:val="0D0D0D" w:themeColor="text1" w:themeTint="F2"/>
          <w14:textFill>
            <w14:solidFill>
              <w14:schemeClr w14:val="tx1">
                <w14:lumMod w14:val="95000"/>
                <w14:lumOff w14:val="5000"/>
              </w14:schemeClr>
            </w14:solidFill>
          </w14:textFill>
        </w:rPr>
        <w:t>22. 确定中标供应商</w:t>
      </w:r>
    </w:p>
    <w:p w14:paraId="59BBB3CC">
      <w:pPr>
        <w:pStyle w:val="136"/>
        <w:snapToGrid w:val="0"/>
        <w:spacing w:before="0" w:after="0"/>
        <w:ind w:firstLine="480"/>
        <w:rPr>
          <w:rFonts w:hint="eastAsia" w:ascii="宋体" w:hAnsi="宋体" w:cs="宋体"/>
          <w:b/>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10ED86F5">
      <w:pPr>
        <w:pStyle w:val="136"/>
        <w:snapToGrid w:val="0"/>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ascii="宋体" w:hAnsi="宋体" w:cs="宋体"/>
          <w:color w:val="0D0D0D" w:themeColor="text1" w:themeTint="F2"/>
          <w:szCs w:val="24"/>
          <w14:textFill>
            <w14:solidFill>
              <w14:schemeClr w14:val="tx1">
                <w14:lumMod w14:val="95000"/>
                <w14:lumOff w14:val="5000"/>
              </w14:schemeClr>
            </w14:solidFill>
          </w14:textFill>
        </w:rPr>
        <w:t>本项目由评标委员会推荐</w:t>
      </w:r>
      <w:r>
        <w:rPr>
          <w:rFonts w:hint="eastAsia" w:ascii="宋体" w:hAnsi="宋体" w:cs="宋体"/>
          <w:color w:val="0D0D0D" w:themeColor="text1" w:themeTint="F2"/>
          <w:szCs w:val="24"/>
          <w14:textFill>
            <w14:solidFill>
              <w14:schemeClr w14:val="tx1">
                <w14:lumMod w14:val="95000"/>
                <w14:lumOff w14:val="5000"/>
              </w14:schemeClr>
            </w14:solidFill>
          </w14:textFill>
        </w:rPr>
        <w:t>1</w:t>
      </w:r>
      <w:r>
        <w:rPr>
          <w:rFonts w:ascii="宋体" w:hAnsi="宋体" w:cs="宋体"/>
          <w:color w:val="0D0D0D" w:themeColor="text1" w:themeTint="F2"/>
          <w:szCs w:val="24"/>
          <w14:textFill>
            <w14:solidFill>
              <w14:schemeClr w14:val="tx1">
                <w14:lumMod w14:val="95000"/>
                <w14:lumOff w14:val="5000"/>
              </w14:schemeClr>
            </w14:solidFill>
          </w14:textFill>
        </w:rPr>
        <w:t>名中标候选人，采购人在评标委员会推荐的中标候选人名单中按顺序确定中标人。</w:t>
      </w:r>
    </w:p>
    <w:p w14:paraId="035F236C">
      <w:pPr>
        <w:pStyle w:val="136"/>
        <w:snapToGrid w:val="0"/>
        <w:spacing w:before="0" w:after="0"/>
        <w:ind w:firstLine="0" w:firstLineChars="0"/>
        <w:rPr>
          <w:rFonts w:hint="eastAsia" w:ascii="宋体" w:hAnsi="宋体" w:cs="宋体"/>
          <w:b/>
          <w:color w:val="0D0D0D" w:themeColor="text1" w:themeTint="F2"/>
          <w:szCs w:val="24"/>
          <w14:textFill>
            <w14:solidFill>
              <w14:schemeClr w14:val="tx1">
                <w14:lumMod w14:val="95000"/>
                <w14:lumOff w14:val="5000"/>
              </w14:schemeClr>
            </w14:solidFill>
          </w14:textFill>
        </w:rPr>
      </w:pPr>
      <w:r>
        <w:rPr>
          <w:rFonts w:hint="eastAsia" w:ascii="宋体" w:hAnsi="宋体" w:cs="宋体"/>
          <w:b/>
          <w:color w:val="0D0D0D" w:themeColor="text1" w:themeTint="F2"/>
          <w:szCs w:val="24"/>
          <w14:textFill>
            <w14:solidFill>
              <w14:schemeClr w14:val="tx1">
                <w14:lumMod w14:val="95000"/>
                <w14:lumOff w14:val="5000"/>
              </w14:schemeClr>
            </w14:solidFill>
          </w14:textFill>
        </w:rPr>
        <w:t>23. 中标通知与中标结果公告</w:t>
      </w:r>
    </w:p>
    <w:p w14:paraId="73DEA579">
      <w:pPr>
        <w:pStyle w:val="136"/>
        <w:snapToGrid w:val="0"/>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23.1自中标人确定之日起2个工作日内，采购代理机构通过电子交易平台向中标人发出中标通知书，同时编制发布采购结果公告。采购代理机构也可以以纸质形式进行中标通知。</w:t>
      </w:r>
    </w:p>
    <w:p w14:paraId="3F7EF87C">
      <w:pPr>
        <w:pStyle w:val="136"/>
        <w:snapToGrid w:val="0"/>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23.2中标结果公告内容包括采购人及其委托的采购代理机构的名称、地址、联系方式，项目名称和项目编号，中标人名称、地址和中标金额，主要中标标的的名称、规格型号、数量、单价、中标公告期限以及评审专家名单。</w:t>
      </w:r>
    </w:p>
    <w:p w14:paraId="050F8BAF">
      <w:pPr>
        <w:pStyle w:val="136"/>
        <w:snapToGrid w:val="0"/>
        <w:spacing w:before="0" w:after="0"/>
        <w:ind w:firstLine="480"/>
        <w:rPr>
          <w:rFonts w:hint="eastAsia" w:ascii="宋体" w:hAnsi="宋体" w:cs="宋体"/>
          <w:color w:val="0D0D0D" w:themeColor="text1" w:themeTint="F2"/>
          <w:szCs w:val="24"/>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23.3公告期限为1个工作日。</w:t>
      </w:r>
    </w:p>
    <w:p w14:paraId="406E7BDC">
      <w:pPr>
        <w:snapToGrid w:val="0"/>
        <w:spacing w:after="0" w:line="360" w:lineRule="auto"/>
        <w:ind w:left="120" w:leftChars="57" w:firstLine="482" w:firstLineChars="150"/>
        <w:jc w:val="center"/>
        <w:rPr>
          <w:rFonts w:hint="eastAsia" w:ascii="宋体" w:hAnsi="宋体" w:cs="宋体"/>
          <w:b/>
          <w:color w:val="0D0D0D" w:themeColor="text1" w:themeTint="F2"/>
          <w:sz w:val="32"/>
          <w14:textFill>
            <w14:solidFill>
              <w14:schemeClr w14:val="tx1">
                <w14:lumMod w14:val="95000"/>
                <w14:lumOff w14:val="5000"/>
              </w14:schemeClr>
            </w14:solidFill>
          </w14:textFill>
        </w:rPr>
      </w:pPr>
    </w:p>
    <w:p w14:paraId="6992851B">
      <w:pPr>
        <w:snapToGrid w:val="0"/>
        <w:spacing w:after="0" w:line="360" w:lineRule="auto"/>
        <w:ind w:left="120" w:leftChars="57" w:firstLine="482" w:firstLineChars="150"/>
        <w:jc w:val="center"/>
        <w:rPr>
          <w:rFonts w:hint="eastAsia" w:ascii="宋体" w:hAnsi="宋体" w:cs="宋体"/>
          <w:b/>
          <w:color w:val="0D0D0D" w:themeColor="text1" w:themeTint="F2"/>
          <w:sz w:val="32"/>
          <w14:textFill>
            <w14:solidFill>
              <w14:schemeClr w14:val="tx1">
                <w14:lumMod w14:val="95000"/>
                <w14:lumOff w14:val="5000"/>
              </w14:schemeClr>
            </w14:solidFill>
          </w14:textFill>
        </w:rPr>
      </w:pPr>
      <w:r>
        <w:rPr>
          <w:rFonts w:hint="eastAsia" w:ascii="宋体" w:hAnsi="宋体" w:cs="宋体"/>
          <w:b/>
          <w:color w:val="0D0D0D" w:themeColor="text1" w:themeTint="F2"/>
          <w:sz w:val="32"/>
          <w14:textFill>
            <w14:solidFill>
              <w14:schemeClr w14:val="tx1">
                <w14:lumMod w14:val="95000"/>
                <w14:lumOff w14:val="5000"/>
              </w14:schemeClr>
            </w14:solidFill>
          </w14:textFill>
        </w:rPr>
        <w:t>七、合同授予</w:t>
      </w:r>
    </w:p>
    <w:p w14:paraId="35094303">
      <w:pPr>
        <w:pStyle w:val="24"/>
        <w:spacing w:after="0" w:line="360" w:lineRule="auto"/>
        <w:ind w:left="479" w:hanging="479" w:hangingChars="199"/>
        <w:rPr>
          <w:rFonts w:hint="eastAsia" w:cs="宋体"/>
          <w:b/>
          <w:color w:val="0D0D0D" w:themeColor="text1" w:themeTint="F2"/>
          <w14:textFill>
            <w14:solidFill>
              <w14:schemeClr w14:val="tx1">
                <w14:lumMod w14:val="95000"/>
                <w14:lumOff w14:val="5000"/>
              </w14:schemeClr>
            </w14:solidFill>
          </w14:textFill>
        </w:rPr>
      </w:pPr>
      <w:r>
        <w:rPr>
          <w:rFonts w:hint="eastAsia" w:cs="宋体"/>
          <w:b/>
          <w:color w:val="0D0D0D" w:themeColor="text1" w:themeTint="F2"/>
          <w14:textFill>
            <w14:solidFill>
              <w14:schemeClr w14:val="tx1">
                <w14:lumMod w14:val="95000"/>
                <w14:lumOff w14:val="5000"/>
              </w14:schemeClr>
            </w14:solidFill>
          </w14:textFill>
        </w:rPr>
        <w:t xml:space="preserve">24. </w:t>
      </w:r>
      <w:r>
        <w:rPr>
          <w:rFonts w:hint="eastAsia" w:cs="宋体"/>
          <w:color w:val="0D0D0D" w:themeColor="text1" w:themeTint="F2"/>
          <w14:textFill>
            <w14:solidFill>
              <w14:schemeClr w14:val="tx1">
                <w14:lumMod w14:val="95000"/>
                <w14:lumOff w14:val="5000"/>
              </w14:schemeClr>
            </w14:solidFill>
          </w14:textFill>
        </w:rPr>
        <w:t>合同主要条款详见第五部分拟签订的参考合同文本。</w:t>
      </w:r>
    </w:p>
    <w:p w14:paraId="3F5C9AA3">
      <w:pPr>
        <w:pStyle w:val="24"/>
        <w:spacing w:after="0" w:line="360" w:lineRule="auto"/>
        <w:ind w:left="479" w:hanging="479" w:hangingChars="199"/>
        <w:rPr>
          <w:rFonts w:hint="eastAsia" w:cs="宋体"/>
          <w:b/>
          <w:color w:val="0D0D0D" w:themeColor="text1" w:themeTint="F2"/>
          <w14:textFill>
            <w14:solidFill>
              <w14:schemeClr w14:val="tx1">
                <w14:lumMod w14:val="95000"/>
                <w14:lumOff w14:val="5000"/>
              </w14:schemeClr>
            </w14:solidFill>
          </w14:textFill>
        </w:rPr>
      </w:pPr>
      <w:r>
        <w:rPr>
          <w:rFonts w:hint="eastAsia" w:cs="宋体"/>
          <w:b/>
          <w:color w:val="0D0D0D" w:themeColor="text1" w:themeTint="F2"/>
          <w14:textFill>
            <w14:solidFill>
              <w14:schemeClr w14:val="tx1">
                <w14:lumMod w14:val="95000"/>
                <w14:lumOff w14:val="5000"/>
              </w14:schemeClr>
            </w14:solidFill>
          </w14:textFill>
        </w:rPr>
        <w:t>25. 合同的签订</w:t>
      </w:r>
    </w:p>
    <w:p w14:paraId="5EA5432B">
      <w:pPr>
        <w:pStyle w:val="136"/>
        <w:snapToGrid w:val="0"/>
        <w:spacing w:before="0" w:after="0"/>
        <w:ind w:firstLine="480"/>
        <w:rPr>
          <w:rFonts w:hint="eastAsia" w:ascii="宋体" w:hAnsi="宋体" w:cs="宋体"/>
          <w:color w:val="0D0D0D" w:themeColor="text1" w:themeTint="F2"/>
          <w:kern w:val="0"/>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lang w:val="zh-CN"/>
          <w14:textFill>
            <w14:solidFill>
              <w14:schemeClr w14:val="tx1">
                <w14:lumMod w14:val="95000"/>
                <w14:lumOff w14:val="5000"/>
              </w14:schemeClr>
            </w14:solidFill>
          </w14:textFill>
        </w:rPr>
        <w:t>25.1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050EAE4D">
      <w:pPr>
        <w:pStyle w:val="136"/>
        <w:snapToGrid w:val="0"/>
        <w:spacing w:before="0" w:after="0"/>
        <w:ind w:firstLine="480"/>
        <w:rPr>
          <w:rFonts w:hint="eastAsia"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color w:val="0D0D0D" w:themeColor="text1" w:themeTint="F2"/>
          <w:kern w:val="0"/>
          <w:lang w:val="zh-CN"/>
          <w14:textFill>
            <w14:solidFill>
              <w14:schemeClr w14:val="tx1">
                <w14:lumMod w14:val="95000"/>
                <w14:lumOff w14:val="5000"/>
              </w14:schemeClr>
            </w14:solidFill>
          </w14:textFill>
        </w:rPr>
        <w:t>25.2中标人按规定的日期、时间、地点，由法定代表人或其授权代表与采购人代表签订合同。如中标人为联合体的，由联合体成员各方法定代表人或其授权代表与采购人代表签订合同。</w:t>
      </w:r>
    </w:p>
    <w:p w14:paraId="1F41861C">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25.3中标供应商拒绝与采购人签订合同的，采购人可以按照评审报告推荐的中标或者成交候选人名单排序，确定下一候选人为中标供应商，也可以重新开展政府采购活动。</w:t>
      </w:r>
    </w:p>
    <w:p w14:paraId="2FC29440">
      <w:pPr>
        <w:snapToGrid w:val="0"/>
        <w:spacing w:after="0" w:line="360" w:lineRule="auto"/>
        <w:ind w:firstLine="3357" w:firstLineChars="1045"/>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32"/>
          <w14:textFill>
            <w14:solidFill>
              <w14:schemeClr w14:val="tx1">
                <w14:lumMod w14:val="95000"/>
                <w14:lumOff w14:val="5000"/>
              </w14:schemeClr>
            </w14:solidFill>
          </w14:textFill>
        </w:rPr>
        <w:t>八、电子交易活动的中止</w:t>
      </w:r>
    </w:p>
    <w:p w14:paraId="56BE17F1">
      <w:pPr>
        <w:pStyle w:val="136"/>
        <w:snapToGrid w:val="0"/>
        <w:spacing w:before="0" w:after="0"/>
        <w:ind w:firstLine="0" w:firstLineChars="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2</w:t>
      </w:r>
      <w:r>
        <w:rPr>
          <w:rFonts w:hint="eastAsia" w:ascii="宋体" w:hAnsi="宋体" w:cs="宋体"/>
          <w:b/>
          <w:bCs/>
          <w:color w:val="0D0D0D" w:themeColor="text1" w:themeTint="F2"/>
          <w:szCs w:val="24"/>
          <w14:textFill>
            <w14:solidFill>
              <w14:schemeClr w14:val="tx1">
                <w14:lumMod w14:val="95000"/>
                <w14:lumOff w14:val="5000"/>
              </w14:schemeClr>
            </w14:solidFill>
          </w14:textFill>
        </w:rPr>
        <w:t>6</w:t>
      </w:r>
      <w:r>
        <w:rPr>
          <w:rFonts w:hint="eastAsia" w:ascii="宋体" w:hAnsi="宋体" w:cs="宋体"/>
          <w:b/>
          <w:color w:val="0D0D0D" w:themeColor="text1" w:themeTint="F2"/>
          <w:szCs w:val="24"/>
          <w14:textFill>
            <w14:solidFill>
              <w14:schemeClr w14:val="tx1">
                <w14:lumMod w14:val="95000"/>
                <w14:lumOff w14:val="5000"/>
              </w14:schemeClr>
            </w14:solidFill>
          </w14:textFill>
        </w:rPr>
        <w:t>. 电子交易活动的中止。</w:t>
      </w:r>
      <w:r>
        <w:rPr>
          <w:rFonts w:hint="eastAsia" w:ascii="宋体" w:hAnsi="宋体" w:cs="宋体"/>
          <w:color w:val="0D0D0D" w:themeColor="text1" w:themeTint="F2"/>
          <w14:textFill>
            <w14:solidFill>
              <w14:schemeClr w14:val="tx1">
                <w14:lumMod w14:val="95000"/>
                <w14:lumOff w14:val="5000"/>
              </w14:schemeClr>
            </w14:solidFill>
          </w14:textFill>
        </w:rPr>
        <w:t>采购过程中出现以下情形，导致电子交易平台无法正常运行，或者无法保证电子交易的公平、公正和安全时，采购代理机构可中止电子交易活动：</w:t>
      </w:r>
    </w:p>
    <w:p w14:paraId="55A95756">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26.1电子交易平台发生故障而无法登录访问的； </w:t>
      </w:r>
    </w:p>
    <w:p w14:paraId="5C884F77">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26.2电子交易平台应用或数据库出现错误，不能进行正常操作的；</w:t>
      </w:r>
    </w:p>
    <w:p w14:paraId="745D5E2C">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26.3电子交易平台发现严重安全漏洞，有潜在泄密危险的；</w:t>
      </w:r>
    </w:p>
    <w:p w14:paraId="3CF2A4F0">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26.4病毒发作导致不能进行正常操作的； </w:t>
      </w:r>
    </w:p>
    <w:p w14:paraId="43AE54D8">
      <w:pPr>
        <w:pStyle w:val="136"/>
        <w:snapToGrid w:val="0"/>
        <w:spacing w:before="0" w:after="0"/>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26.5其他无法保证电子交易的公平、公正和安全的情况。</w:t>
      </w:r>
    </w:p>
    <w:p w14:paraId="11F9AB27">
      <w:pPr>
        <w:pStyle w:val="136"/>
        <w:snapToGrid w:val="0"/>
        <w:spacing w:before="0" w:after="0"/>
        <w:ind w:firstLine="0" w:firstLineChars="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 27.出现以上情形，不影响采购公平、公正性的，采购组织机构可以待上述情形消除后继续组织电子交易活动，也可以决定某些环节以纸质形式进行；影响或可能影响采购公平、公正性的，应当重新采购。</w:t>
      </w:r>
    </w:p>
    <w:bookmarkEnd w:id="21"/>
    <w:bookmarkEnd w:id="22"/>
    <w:bookmarkEnd w:id="31"/>
    <w:p w14:paraId="3227B1FD">
      <w:pPr>
        <w:spacing w:line="360" w:lineRule="auto"/>
        <w:jc w:val="center"/>
        <w:outlineLvl w:val="0"/>
        <w:rPr>
          <w:rFonts w:hint="eastAsia" w:ascii="宋体" w:hAnsi="宋体" w:cs="宋体"/>
          <w:b/>
          <w:color w:val="0D0D0D" w:themeColor="text1" w:themeTint="F2"/>
          <w:sz w:val="36"/>
          <w:szCs w:val="36"/>
          <w14:textFill>
            <w14:solidFill>
              <w14:schemeClr w14:val="tx1">
                <w14:lumMod w14:val="95000"/>
                <w14:lumOff w14:val="5000"/>
              </w14:schemeClr>
            </w14:solidFill>
          </w14:textFill>
        </w:rPr>
        <w:sectPr>
          <w:headerReference r:id="rId5" w:type="default"/>
          <w:footerReference r:id="rId6" w:type="default"/>
          <w:pgSz w:w="11907" w:h="16840"/>
          <w:pgMar w:top="1247" w:right="1304" w:bottom="1021" w:left="1304" w:header="720" w:footer="720" w:gutter="0"/>
          <w:cols w:space="720" w:num="1"/>
          <w:docGrid w:linePitch="286" w:charSpace="0"/>
        </w:sectPr>
      </w:pPr>
      <w:bookmarkStart w:id="33" w:name="_Toc16032"/>
      <w:bookmarkStart w:id="34" w:name="第四部分"/>
    </w:p>
    <w:p w14:paraId="37E400F1">
      <w:pPr>
        <w:spacing w:line="360" w:lineRule="auto"/>
        <w:jc w:val="center"/>
        <w:outlineLvl w:val="0"/>
        <w:rPr>
          <w:rFonts w:hint="eastAsia" w:ascii="宋体" w:hAnsi="宋体" w:cs="宋体"/>
          <w:b/>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color w:val="0D0D0D" w:themeColor="text1" w:themeTint="F2"/>
          <w:sz w:val="36"/>
          <w:szCs w:val="36"/>
          <w14:textFill>
            <w14:solidFill>
              <w14:schemeClr w14:val="tx1">
                <w14:lumMod w14:val="95000"/>
                <w14:lumOff w14:val="5000"/>
              </w14:schemeClr>
            </w14:solidFill>
          </w14:textFill>
        </w:rPr>
        <w:t>第三部分   采购需求</w:t>
      </w:r>
      <w:bookmarkEnd w:id="33"/>
    </w:p>
    <w:p w14:paraId="4104E2B6">
      <w:pPr>
        <w:pStyle w:val="85"/>
        <w:ind w:firstLine="0" w:firstLineChars="0"/>
        <w:rPr>
          <w:rFonts w:hint="eastAsia"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color w:val="0D0D0D" w:themeColor="text1" w:themeTint="F2"/>
          <w14:textFill>
            <w14:solidFill>
              <w14:schemeClr w14:val="tx1">
                <w14:lumMod w14:val="95000"/>
                <w14:lumOff w14:val="5000"/>
              </w14:schemeClr>
            </w14:solidFill>
          </w14:textFill>
        </w:rPr>
        <w:t>一、采购清单及技术参数</w:t>
      </w:r>
    </w:p>
    <w:tbl>
      <w:tblPr>
        <w:tblStyle w:val="63"/>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817"/>
        <w:gridCol w:w="782"/>
        <w:gridCol w:w="6690"/>
        <w:gridCol w:w="733"/>
      </w:tblGrid>
      <w:tr w14:paraId="1EA0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737A2CB1">
            <w:pPr>
              <w:snapToGrid w:val="0"/>
              <w:spacing w:before="155" w:line="221" w:lineRule="auto"/>
              <w:jc w:val="center"/>
              <w:rPr>
                <w:rFonts w:hint="eastAsia" w:ascii="宋体" w:hAnsi="宋体" w:cs="宋体"/>
                <w:b/>
                <w:sz w:val="24"/>
              </w:rPr>
            </w:pPr>
            <w:r>
              <w:rPr>
                <w:rFonts w:hint="eastAsia" w:ascii="宋体" w:hAnsi="宋体" w:cs="宋体"/>
                <w:b/>
                <w:spacing w:val="9"/>
                <w:sz w:val="24"/>
              </w:rPr>
              <w:t>序号</w:t>
            </w:r>
          </w:p>
        </w:tc>
        <w:tc>
          <w:tcPr>
            <w:tcW w:w="433" w:type="pct"/>
            <w:vAlign w:val="center"/>
          </w:tcPr>
          <w:p w14:paraId="31117491">
            <w:pPr>
              <w:snapToGrid w:val="0"/>
              <w:spacing w:before="155" w:line="221" w:lineRule="auto"/>
              <w:jc w:val="center"/>
              <w:rPr>
                <w:rFonts w:hint="eastAsia" w:ascii="宋体" w:hAnsi="宋体" w:cs="宋体"/>
                <w:b/>
                <w:sz w:val="24"/>
              </w:rPr>
            </w:pPr>
            <w:r>
              <w:rPr>
                <w:rFonts w:hint="eastAsia" w:ascii="宋体" w:hAnsi="宋体" w:cs="宋体"/>
                <w:b/>
                <w:spacing w:val="3"/>
                <w:sz w:val="24"/>
              </w:rPr>
              <w:t>设备名称</w:t>
            </w:r>
          </w:p>
        </w:tc>
        <w:tc>
          <w:tcPr>
            <w:tcW w:w="3706" w:type="pct"/>
            <w:vAlign w:val="center"/>
          </w:tcPr>
          <w:p w14:paraId="05B1B8AB">
            <w:pPr>
              <w:snapToGrid w:val="0"/>
              <w:spacing w:before="154" w:line="219" w:lineRule="auto"/>
              <w:jc w:val="center"/>
              <w:rPr>
                <w:rFonts w:hint="eastAsia" w:ascii="宋体" w:hAnsi="宋体" w:cs="宋体"/>
                <w:b/>
                <w:sz w:val="24"/>
              </w:rPr>
            </w:pPr>
            <w:r>
              <w:rPr>
                <w:rFonts w:hint="eastAsia" w:ascii="宋体" w:hAnsi="宋体" w:cs="宋体"/>
                <w:b/>
                <w:spacing w:val="4"/>
                <w:sz w:val="24"/>
              </w:rPr>
              <w:t>招标参数</w:t>
            </w:r>
          </w:p>
        </w:tc>
        <w:tc>
          <w:tcPr>
            <w:tcW w:w="406" w:type="pct"/>
            <w:vAlign w:val="center"/>
          </w:tcPr>
          <w:p w14:paraId="0E06315F">
            <w:pPr>
              <w:pStyle w:val="973"/>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00" w:lineRule="auto"/>
              <w:jc w:val="center"/>
              <w:rPr>
                <w:rFonts w:hint="eastAsia"/>
                <w:b/>
                <w:bCs/>
                <w:kern w:val="2"/>
                <w:lang w:val="en-US"/>
              </w:rPr>
            </w:pPr>
            <w:r>
              <w:rPr>
                <w:rFonts w:hint="eastAsia"/>
                <w:b/>
                <w:bCs/>
                <w:color w:val="000000"/>
              </w:rPr>
              <w:t>数量</w:t>
            </w:r>
          </w:p>
        </w:tc>
      </w:tr>
      <w:tr w14:paraId="283D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16319696">
            <w:pPr>
              <w:spacing w:after="0" w:line="276" w:lineRule="auto"/>
              <w:jc w:val="center"/>
              <w:rPr>
                <w:rFonts w:hint="eastAsia" w:ascii="宋体" w:hAnsi="宋体" w:cs="宋体"/>
                <w:sz w:val="24"/>
              </w:rPr>
            </w:pPr>
            <w:r>
              <w:rPr>
                <w:b/>
                <w:sz w:val="24"/>
              </w:rPr>
              <w:t>1</w:t>
            </w:r>
          </w:p>
        </w:tc>
        <w:tc>
          <w:tcPr>
            <w:tcW w:w="433" w:type="pct"/>
            <w:vAlign w:val="center"/>
          </w:tcPr>
          <w:p w14:paraId="076ABD35">
            <w:pPr>
              <w:spacing w:after="0" w:line="276" w:lineRule="auto"/>
              <w:jc w:val="left"/>
              <w:rPr>
                <w:rFonts w:hint="eastAsia" w:ascii="宋体" w:hAnsi="宋体" w:cs="宋体"/>
                <w:sz w:val="24"/>
              </w:rPr>
            </w:pPr>
            <w:r>
              <w:rPr>
                <w:b/>
                <w:sz w:val="24"/>
              </w:rPr>
              <w:t>高精度手持三维扫描仪</w:t>
            </w:r>
          </w:p>
        </w:tc>
        <w:tc>
          <w:tcPr>
            <w:tcW w:w="3706" w:type="pct"/>
            <w:vAlign w:val="center"/>
          </w:tcPr>
          <w:p w14:paraId="24E93D06">
            <w:pPr>
              <w:spacing w:after="0" w:line="276" w:lineRule="auto"/>
              <w:jc w:val="left"/>
              <w:rPr>
                <w:sz w:val="24"/>
              </w:rPr>
            </w:pPr>
            <w:r>
              <w:rPr>
                <w:rFonts w:hint="eastAsia"/>
                <w:sz w:val="24"/>
              </w:rPr>
              <w:t>1.扫描模式：手持精细扫描，手持快速扫描。</w:t>
            </w:r>
          </w:p>
          <w:p w14:paraId="22D6CD72">
            <w:pPr>
              <w:spacing w:after="0" w:line="276" w:lineRule="auto"/>
              <w:jc w:val="left"/>
              <w:rPr>
                <w:sz w:val="24"/>
              </w:rPr>
            </w:pPr>
            <w:r>
              <w:rPr>
                <w:rFonts w:hint="eastAsia"/>
                <w:sz w:val="24"/>
              </w:rPr>
              <w:t>2.</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尺寸精度：手持精细扫描：0.045mm，手持精细扫描：0.1mm，各方向误差≤0.3mm/m。（提供功能截图或彩页证明）</w:t>
            </w:r>
          </w:p>
          <w:p w14:paraId="25946615">
            <w:pPr>
              <w:spacing w:after="0" w:line="276" w:lineRule="auto"/>
              <w:jc w:val="left"/>
              <w:rPr>
                <w:sz w:val="24"/>
              </w:rPr>
            </w:pPr>
            <w:r>
              <w:rPr>
                <w:rFonts w:hint="eastAsia"/>
                <w:sz w:val="24"/>
              </w:rPr>
              <w:t>3.扫描速度：手持精细：≥10帧/秒，3,000,000点/秒；手持快速扫描：15-30帧/秒1,500,000点/秒。（提供功能截图或彩页证明）</w:t>
            </w:r>
          </w:p>
          <w:p w14:paraId="491CFB09">
            <w:pPr>
              <w:spacing w:after="0" w:line="276" w:lineRule="auto"/>
              <w:jc w:val="left"/>
              <w:rPr>
                <w:sz w:val="24"/>
              </w:rPr>
            </w:pPr>
            <w:r>
              <w:rPr>
                <w:rFonts w:hint="eastAsia"/>
                <w:sz w:val="24"/>
              </w:rPr>
              <w:t>4.可变分辨率：≥0.2mm，扫描时分辨率可以通过系统软件在扫描后根据需要调整，无须通过更换硬件镜头来实现。</w:t>
            </w:r>
          </w:p>
          <w:p w14:paraId="77D76614">
            <w:pPr>
              <w:spacing w:after="0" w:line="276" w:lineRule="auto"/>
              <w:jc w:val="left"/>
              <w:rPr>
                <w:sz w:val="24"/>
              </w:rPr>
            </w:pPr>
            <w:r>
              <w:rPr>
                <w:rFonts w:hint="eastAsia"/>
                <w:sz w:val="24"/>
              </w:rPr>
              <w:t>5.扫描范围：125 mm x 120 mm ~ 205 mm x 200 mm</w:t>
            </w:r>
          </w:p>
          <w:p w14:paraId="1D73F6FE">
            <w:pPr>
              <w:spacing w:after="0" w:line="276" w:lineRule="auto"/>
              <w:jc w:val="left"/>
              <w:rPr>
                <w:sz w:val="24"/>
              </w:rPr>
            </w:pPr>
            <w:r>
              <w:rPr>
                <w:rFonts w:hint="eastAsia"/>
                <w:sz w:val="24"/>
              </w:rPr>
              <w:t>6.工作中心距离：400mm</w:t>
            </w:r>
          </w:p>
          <w:p w14:paraId="04D72D24">
            <w:pPr>
              <w:spacing w:after="0" w:line="276" w:lineRule="auto"/>
              <w:jc w:val="left"/>
              <w:rPr>
                <w:sz w:val="24"/>
              </w:rPr>
            </w:pPr>
            <w:r>
              <w:rPr>
                <w:rFonts w:hint="eastAsia"/>
                <w:sz w:val="24"/>
              </w:rPr>
              <w:t>7.景深：±100mm</w:t>
            </w:r>
          </w:p>
          <w:p w14:paraId="4DEB80C4">
            <w:pPr>
              <w:spacing w:after="0" w:line="276" w:lineRule="auto"/>
              <w:jc w:val="left"/>
              <w:rPr>
                <w:sz w:val="24"/>
              </w:rPr>
            </w:pPr>
            <w:r>
              <w:rPr>
                <w:rFonts w:hint="eastAsia"/>
                <w:sz w:val="24"/>
              </w:rPr>
              <w:t>8.</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光源：三色LED（非激光，不污染环境及危害人身健康）。（提供功能截图或彩页证明）</w:t>
            </w:r>
          </w:p>
          <w:p w14:paraId="5EB7AC01">
            <w:pPr>
              <w:spacing w:after="0" w:line="276" w:lineRule="auto"/>
              <w:jc w:val="left"/>
              <w:rPr>
                <w:sz w:val="24"/>
              </w:rPr>
            </w:pPr>
            <w:r>
              <w:rPr>
                <w:rFonts w:hint="eastAsia"/>
                <w:sz w:val="24"/>
              </w:rPr>
              <w:t>9.</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模块化设计：可拆分设计，采用USB直连。彩色纹理模块，实现彩色信息采集。（提供功能截图或彩页证明）</w:t>
            </w:r>
          </w:p>
          <w:p w14:paraId="474E832C">
            <w:pPr>
              <w:spacing w:after="0" w:line="276" w:lineRule="auto"/>
              <w:jc w:val="left"/>
              <w:rPr>
                <w:sz w:val="24"/>
              </w:rPr>
            </w:pPr>
            <w:r>
              <w:rPr>
                <w:rFonts w:hint="eastAsia"/>
                <w:sz w:val="24"/>
              </w:rPr>
              <w:t>10.拼接模式：所有模式支持标志点拼接，特征拼接，纹理拼接，手动拼接，以上均可混合使用。混合拼接，在同一物体上可同时利用特征和标志点进行拼接，仅在特征不足处使用标志点，减少标志点使用量，提高扫描效率。</w:t>
            </w:r>
          </w:p>
          <w:p w14:paraId="2A0AFC89">
            <w:pPr>
              <w:spacing w:after="0" w:line="276" w:lineRule="auto"/>
              <w:jc w:val="left"/>
              <w:rPr>
                <w:sz w:val="24"/>
              </w:rPr>
            </w:pPr>
            <w:r>
              <w:rPr>
                <w:rFonts w:hint="eastAsia"/>
                <w:sz w:val="24"/>
              </w:rPr>
              <w:t>11.纹理扫描：支持彩色纹理扫描，可扫描平面彩色图片。</w:t>
            </w:r>
          </w:p>
          <w:p w14:paraId="0286ED8A">
            <w:pPr>
              <w:spacing w:after="0" w:line="276" w:lineRule="auto"/>
              <w:jc w:val="left"/>
              <w:rPr>
                <w:sz w:val="24"/>
              </w:rPr>
            </w:pPr>
            <w:r>
              <w:rPr>
                <w:rFonts w:hint="eastAsia"/>
                <w:sz w:val="24"/>
              </w:rPr>
              <w:t>12.背景隔离：支持自动或手动方式标记背景，避免扫描过程中采集到背景。</w:t>
            </w:r>
          </w:p>
          <w:p w14:paraId="0D536B7A">
            <w:pPr>
              <w:spacing w:after="0" w:line="276" w:lineRule="auto"/>
              <w:jc w:val="left"/>
              <w:rPr>
                <w:sz w:val="24"/>
              </w:rPr>
            </w:pPr>
            <w:r>
              <w:rPr>
                <w:rFonts w:hint="eastAsia"/>
                <w:sz w:val="24"/>
              </w:rPr>
              <w:t>13.分工程扫描：支持分工程扫描，降低单个模型的数据量、扫描难度。分块扫描，提升扫描容错。</w:t>
            </w:r>
          </w:p>
          <w:p w14:paraId="544EDE78">
            <w:pPr>
              <w:spacing w:after="0" w:line="276" w:lineRule="auto"/>
              <w:jc w:val="left"/>
              <w:rPr>
                <w:sz w:val="24"/>
              </w:rPr>
            </w:pPr>
            <w:r>
              <w:rPr>
                <w:rFonts w:hint="eastAsia"/>
                <w:sz w:val="24"/>
              </w:rPr>
              <w:t>14.模型质量显示：扫描过程显示数据质量，提示用户是否需要继续扫描以提升数据质量。</w:t>
            </w:r>
          </w:p>
          <w:p w14:paraId="70B9866F">
            <w:pPr>
              <w:spacing w:after="0" w:line="276" w:lineRule="auto"/>
              <w:jc w:val="left"/>
              <w:rPr>
                <w:sz w:val="24"/>
              </w:rPr>
            </w:pPr>
            <w:r>
              <w:rPr>
                <w:rFonts w:hint="eastAsia"/>
                <w:sz w:val="24"/>
              </w:rPr>
              <w:t>15.模型树功能：同一模式内可导入多个工程进行编辑。</w:t>
            </w:r>
          </w:p>
          <w:p w14:paraId="186753FA">
            <w:pPr>
              <w:spacing w:after="0" w:line="276" w:lineRule="auto"/>
              <w:jc w:val="left"/>
              <w:rPr>
                <w:sz w:val="24"/>
              </w:rPr>
            </w:pPr>
            <w:r>
              <w:rPr>
                <w:rFonts w:hint="eastAsia"/>
                <w:sz w:val="24"/>
              </w:rPr>
              <w:t>16.模型修复功能：对扫描数据可进行交互式数据修复功能，如手动单孔补洞，平滑，锐化，也可自动修复，兼容第三方STL数据导入编辑修复功能。</w:t>
            </w:r>
          </w:p>
          <w:p w14:paraId="4F0D56D7">
            <w:pPr>
              <w:spacing w:after="0" w:line="276" w:lineRule="auto"/>
              <w:jc w:val="left"/>
              <w:rPr>
                <w:sz w:val="24"/>
              </w:rPr>
            </w:pPr>
            <w:r>
              <w:rPr>
                <w:rFonts w:hint="eastAsia"/>
                <w:sz w:val="24"/>
              </w:rPr>
              <w:t>17.</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测量功能：可对扫描数据进行测量，测量内容包括距离、面积、体积等。兼容第三方STL数据导入（提供功能截图或彩页证明）</w:t>
            </w:r>
          </w:p>
          <w:p w14:paraId="4DC958B6">
            <w:pPr>
              <w:spacing w:after="0" w:line="276" w:lineRule="auto"/>
              <w:jc w:val="left"/>
              <w:rPr>
                <w:sz w:val="24"/>
              </w:rPr>
            </w:pPr>
            <w:r>
              <w:rPr>
                <w:rFonts w:hint="eastAsia"/>
                <w:sz w:val="24"/>
              </w:rPr>
              <w:t>18.数据对齐：可对扫描数据进行坐标调整，调整扫描数据的空间位置、方向。兼容第三方STL数据导入。</w:t>
            </w:r>
          </w:p>
          <w:p w14:paraId="405D1975">
            <w:pPr>
              <w:spacing w:after="0" w:line="276" w:lineRule="auto"/>
              <w:jc w:val="left"/>
              <w:rPr>
                <w:sz w:val="24"/>
              </w:rPr>
            </w:pPr>
            <w:r>
              <w:rPr>
                <w:rFonts w:hint="eastAsia"/>
                <w:sz w:val="24"/>
              </w:rPr>
              <w:t>19.模型展示平台：提供免费模型展示平台，可以进行数据展示、分享等。</w:t>
            </w:r>
          </w:p>
          <w:p w14:paraId="4EA66117">
            <w:pPr>
              <w:spacing w:after="0" w:line="276" w:lineRule="auto"/>
              <w:jc w:val="left"/>
              <w:rPr>
                <w:sz w:val="24"/>
              </w:rPr>
            </w:pPr>
            <w:r>
              <w:rPr>
                <w:rFonts w:hint="eastAsia"/>
                <w:sz w:val="24"/>
              </w:rPr>
              <w:t>20.照片贴图：提供照片贴图功能，可使用高清相机获取的高品质图片，提升扫描数据的纹理效果。</w:t>
            </w:r>
          </w:p>
          <w:p w14:paraId="5FE7830C">
            <w:pPr>
              <w:spacing w:after="0" w:line="276" w:lineRule="auto"/>
              <w:jc w:val="left"/>
              <w:rPr>
                <w:color w:val="FF0000"/>
                <w:sz w:val="24"/>
              </w:rPr>
            </w:pPr>
            <w:r>
              <w:rPr>
                <w:rFonts w:hint="eastAsia"/>
                <w:sz w:val="24"/>
              </w:rPr>
              <w:t>21.</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相关认证：须通过</w:t>
            </w:r>
            <w:r>
              <w:rPr>
                <w:rFonts w:hint="eastAsia"/>
              </w:rPr>
              <w:t>CMA或者cans标识检测报告</w:t>
            </w:r>
            <w:r>
              <w:rPr>
                <w:rFonts w:hint="eastAsia"/>
                <w:sz w:val="24"/>
              </w:rPr>
              <w:t>（需提供认证证书/报告复印件）</w:t>
            </w:r>
          </w:p>
          <w:p w14:paraId="4F9B5F71">
            <w:pPr>
              <w:spacing w:after="0" w:line="276" w:lineRule="auto"/>
              <w:jc w:val="left"/>
              <w:rPr>
                <w:sz w:val="24"/>
              </w:rPr>
            </w:pPr>
            <w:r>
              <w:rPr>
                <w:rFonts w:hint="eastAsia"/>
                <w:sz w:val="24"/>
              </w:rPr>
              <w:t>22.采集数据自动保存。</w:t>
            </w:r>
          </w:p>
          <w:p w14:paraId="16A9441A">
            <w:pPr>
              <w:spacing w:after="0" w:line="276" w:lineRule="auto"/>
              <w:jc w:val="left"/>
              <w:rPr>
                <w:sz w:val="24"/>
              </w:rPr>
            </w:pPr>
            <w:r>
              <w:rPr>
                <w:rFonts w:hint="eastAsia"/>
                <w:sz w:val="24"/>
              </w:rPr>
              <w:t>23.提供重返扫描功能，如果扫描区域丢失或工程二次打开，可以从工件上已扫描结构或任何工件上已知的标志点处继续扫描，回拼时间&lt;3s（提供功能截图或彩页证明）</w:t>
            </w:r>
          </w:p>
          <w:p w14:paraId="76A648F2">
            <w:pPr>
              <w:spacing w:after="0" w:line="276" w:lineRule="auto"/>
              <w:jc w:val="left"/>
              <w:rPr>
                <w:sz w:val="24"/>
              </w:rPr>
            </w:pPr>
            <w:r>
              <w:rPr>
                <w:rFonts w:hint="eastAsia"/>
                <w:sz w:val="24"/>
              </w:rPr>
              <w:t>24.提供扫描回退功能：如果出现数据拼接异常，可以通过该功能撤回拼接错误的数据，其他数据不受影响、无需重新扫描。</w:t>
            </w:r>
          </w:p>
          <w:p w14:paraId="64497242">
            <w:pPr>
              <w:spacing w:after="0" w:line="276" w:lineRule="auto"/>
              <w:jc w:val="left"/>
              <w:rPr>
                <w:sz w:val="24"/>
              </w:rPr>
            </w:pPr>
            <w:r>
              <w:rPr>
                <w:rFonts w:hint="eastAsia"/>
                <w:sz w:val="24"/>
              </w:rPr>
              <w:t>25.操作的方便性：在扫描过程中可方便灵活地移动扫描仪以及被扫描物体，不会影响扫描数据采集和精度，整个系统可携带至工作现场进行工作。</w:t>
            </w:r>
          </w:p>
          <w:p w14:paraId="70B1420A">
            <w:pPr>
              <w:spacing w:after="0" w:line="276" w:lineRule="auto"/>
              <w:jc w:val="left"/>
              <w:rPr>
                <w:sz w:val="24"/>
              </w:rPr>
            </w:pPr>
            <w:r>
              <w:rPr>
                <w:rFonts w:hint="eastAsia"/>
                <w:sz w:val="24"/>
              </w:rPr>
              <w:t>26.设备必须有自校准精度板，以保证设备精度，且校准迅速，设备校准时间≤3分钟。</w:t>
            </w:r>
          </w:p>
          <w:p w14:paraId="5B3F6155">
            <w:pPr>
              <w:spacing w:after="0" w:line="276" w:lineRule="auto"/>
              <w:jc w:val="left"/>
              <w:rPr>
                <w:sz w:val="24"/>
              </w:rPr>
            </w:pPr>
            <w:r>
              <w:rPr>
                <w:rFonts w:hint="eastAsia"/>
                <w:sz w:val="24"/>
              </w:rPr>
              <w:t>27.数据输出格式：OBJ，STL，ASC ，PLY，P3，3mf</w:t>
            </w:r>
          </w:p>
          <w:p w14:paraId="2985E2B5">
            <w:pPr>
              <w:spacing w:after="0" w:line="276" w:lineRule="auto"/>
              <w:jc w:val="left"/>
              <w:rPr>
                <w:sz w:val="24"/>
              </w:rPr>
            </w:pPr>
            <w:r>
              <w:rPr>
                <w:rFonts w:hint="eastAsia"/>
                <w:sz w:val="24"/>
              </w:rPr>
              <w:t>28.电脑要求：系统：Win10/Win11，64位；显卡：NVIDIA GTX/RTX系列，RTX 2060及以上；显存：≥6 GB；处理器：Intel I7-11700及以上；内存：≥64 GB</w:t>
            </w:r>
          </w:p>
          <w:p w14:paraId="1056F1A7">
            <w:pPr>
              <w:spacing w:after="0" w:line="276" w:lineRule="auto"/>
              <w:jc w:val="left"/>
              <w:rPr>
                <w:sz w:val="24"/>
              </w:rPr>
            </w:pPr>
            <w:r>
              <w:rPr>
                <w:rFonts w:hint="eastAsia"/>
                <w:sz w:val="24"/>
              </w:rPr>
              <w:t>29.扫描头重量：1.25KG</w:t>
            </w:r>
          </w:p>
          <w:p w14:paraId="72815A79">
            <w:pPr>
              <w:spacing w:after="0" w:line="276" w:lineRule="auto"/>
              <w:jc w:val="left"/>
              <w:rPr>
                <w:sz w:val="24"/>
              </w:rPr>
            </w:pPr>
            <w:r>
              <w:rPr>
                <w:rFonts w:hint="eastAsia"/>
                <w:sz w:val="24"/>
              </w:rPr>
              <w:t>30 自带三维正逆向设计软件1套</w:t>
            </w:r>
          </w:p>
          <w:p w14:paraId="6778C6BF">
            <w:pPr>
              <w:spacing w:after="0" w:line="276" w:lineRule="auto"/>
              <w:jc w:val="left"/>
              <w:rPr>
                <w:sz w:val="24"/>
              </w:rPr>
            </w:pPr>
            <w:r>
              <w:rPr>
                <w:rFonts w:hint="eastAsia"/>
                <w:sz w:val="24"/>
              </w:rPr>
              <w:t>a.</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包含同步建模技术：可以快速创建新概念设计，轻松响应更改请求，并在同一装配中同步更新多个零件（提供功能截图或彩页证明）</w:t>
            </w:r>
          </w:p>
          <w:p w14:paraId="1F6D71B8">
            <w:pPr>
              <w:spacing w:after="0" w:line="276" w:lineRule="auto"/>
              <w:jc w:val="left"/>
              <w:rPr>
                <w:sz w:val="24"/>
              </w:rPr>
            </w:pPr>
            <w:r>
              <w:rPr>
                <w:rFonts w:hint="eastAsia"/>
                <w:sz w:val="24"/>
              </w:rPr>
              <w:t>b.</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逆向工程技术：把小面片模型与边界描述几何模型融合在同一个CAD环境，实现虚实融合的混合设计。（提供功能截图或彩页证明）</w:t>
            </w:r>
          </w:p>
          <w:p w14:paraId="44B05BA3">
            <w:pPr>
              <w:spacing w:after="0" w:line="276" w:lineRule="auto"/>
              <w:jc w:val="left"/>
              <w:rPr>
                <w:sz w:val="24"/>
              </w:rPr>
            </w:pPr>
            <w:r>
              <w:rPr>
                <w:rFonts w:hint="eastAsia"/>
                <w:sz w:val="24"/>
              </w:rPr>
              <w:t>c.数据处理及数据转换</w:t>
            </w:r>
          </w:p>
          <w:p w14:paraId="3CB8541B">
            <w:pPr>
              <w:spacing w:after="0" w:line="276" w:lineRule="auto"/>
              <w:jc w:val="left"/>
              <w:rPr>
                <w:sz w:val="24"/>
              </w:rPr>
            </w:pPr>
            <w:r>
              <w:rPr>
                <w:rFonts w:hint="eastAsia"/>
                <w:sz w:val="24"/>
              </w:rPr>
              <w:t>(1)能完整地继承二维的历史设计图纸，并能提供再编辑功能。</w:t>
            </w:r>
          </w:p>
          <w:p w14:paraId="067F6C20">
            <w:pPr>
              <w:spacing w:after="0" w:line="276" w:lineRule="auto"/>
              <w:jc w:val="left"/>
              <w:rPr>
                <w:sz w:val="24"/>
              </w:rPr>
            </w:pPr>
            <w:r>
              <w:rPr>
                <w:rFonts w:hint="eastAsia"/>
                <w:sz w:val="24"/>
              </w:rPr>
              <w:t>(2)与DWG/DXF实现双向数据衔接。</w:t>
            </w:r>
          </w:p>
          <w:p w14:paraId="6163B2B5">
            <w:pPr>
              <w:spacing w:after="0" w:line="276" w:lineRule="auto"/>
              <w:jc w:val="left"/>
              <w:rPr>
                <w:sz w:val="24"/>
              </w:rPr>
            </w:pPr>
            <w:r>
              <w:rPr>
                <w:rFonts w:hint="eastAsia"/>
                <w:sz w:val="24"/>
              </w:rPr>
              <w:t>(3)能充分利用原来的视图数据，以及2D尺寸标注，支持从二维设计平滑转向三维实体设计，并自动将2D尺寸转变为3D可驱动尺寸。</w:t>
            </w:r>
          </w:p>
          <w:p w14:paraId="48CBB49A">
            <w:pPr>
              <w:spacing w:after="0" w:line="276" w:lineRule="auto"/>
              <w:jc w:val="left"/>
              <w:rPr>
                <w:sz w:val="24"/>
              </w:rPr>
            </w:pPr>
            <w:r>
              <w:rPr>
                <w:rFonts w:hint="eastAsia"/>
                <w:sz w:val="24"/>
              </w:rPr>
              <w:t>(4)含有所有的中间数据交换接口，如IGES、STEP、ACIS、Parasolid、STL、JT等，以及含有对Solid Edge、Solidworks、Pro/E、NX等三维软件的数据接口。</w:t>
            </w:r>
          </w:p>
          <w:p w14:paraId="49DC5289">
            <w:pPr>
              <w:spacing w:after="0" w:line="276" w:lineRule="auto"/>
              <w:jc w:val="left"/>
              <w:rPr>
                <w:sz w:val="24"/>
              </w:rPr>
            </w:pPr>
            <w:r>
              <w:rPr>
                <w:rFonts w:hint="eastAsia"/>
                <w:sz w:val="24"/>
              </w:rPr>
              <w:t>(5)能直接读取UG软件（NX软件）的数据，UG（NX）也能读取该软件数据，并且要保持数据的关联性。</w:t>
            </w:r>
          </w:p>
          <w:p w14:paraId="24571C66">
            <w:pPr>
              <w:spacing w:after="0" w:line="276" w:lineRule="auto"/>
              <w:jc w:val="left"/>
              <w:rPr>
                <w:sz w:val="24"/>
              </w:rPr>
            </w:pPr>
            <w:r>
              <w:rPr>
                <w:rFonts w:hint="eastAsia"/>
                <w:sz w:val="24"/>
              </w:rPr>
              <w:t>d.零件建模</w:t>
            </w:r>
          </w:p>
          <w:p w14:paraId="3CE94B99">
            <w:pPr>
              <w:spacing w:after="0" w:line="276" w:lineRule="auto"/>
              <w:jc w:val="left"/>
              <w:rPr>
                <w:sz w:val="24"/>
              </w:rPr>
            </w:pPr>
            <w:r>
              <w:rPr>
                <w:rFonts w:hint="eastAsia"/>
                <w:sz w:val="24"/>
              </w:rPr>
              <w:t>(1)提供基于特征的实体建模功能，如拉伸、旋转、扫略、螺旋、孔、圆角、薄壁、阵列等。</w:t>
            </w:r>
          </w:p>
          <w:p w14:paraId="5D05FE8D">
            <w:pPr>
              <w:spacing w:after="0" w:line="276" w:lineRule="auto"/>
              <w:jc w:val="left"/>
              <w:rPr>
                <w:sz w:val="24"/>
              </w:rPr>
            </w:pPr>
            <w:r>
              <w:rPr>
                <w:rFonts w:hint="eastAsia"/>
                <w:sz w:val="24"/>
              </w:rPr>
              <w:t>(2)通过对特征和草图的动态修改，用拖拽的方式实现实时的设计修改。</w:t>
            </w:r>
          </w:p>
          <w:p w14:paraId="4A035C7C">
            <w:pPr>
              <w:spacing w:after="0" w:line="276" w:lineRule="auto"/>
              <w:jc w:val="left"/>
              <w:rPr>
                <w:sz w:val="24"/>
              </w:rPr>
            </w:pPr>
            <w:r>
              <w:rPr>
                <w:rFonts w:hint="eastAsia"/>
                <w:sz w:val="24"/>
              </w:rPr>
              <w:t>(3)具有曲面设计能力，以及曲面的动态编辑能力，实体与曲面还能进行混合设计。</w:t>
            </w:r>
          </w:p>
          <w:p w14:paraId="7DFFE526">
            <w:pPr>
              <w:spacing w:after="0" w:line="276" w:lineRule="auto"/>
              <w:jc w:val="left"/>
              <w:rPr>
                <w:sz w:val="24"/>
              </w:rPr>
            </w:pPr>
            <w:r>
              <w:rPr>
                <w:rFonts w:hint="eastAsia"/>
                <w:sz w:val="24"/>
              </w:rPr>
              <w:t>(4)具有在三维模型上直接增加尺寸标注、公差、形位公差、表面粗糙度、注释等的能力，要符合国际标准，并且能被工程图及下游工序直接利用。</w:t>
            </w:r>
          </w:p>
          <w:p w14:paraId="5D06D66B">
            <w:pPr>
              <w:spacing w:after="0" w:line="276" w:lineRule="auto"/>
              <w:jc w:val="left"/>
              <w:rPr>
                <w:sz w:val="24"/>
              </w:rPr>
            </w:pPr>
            <w:r>
              <w:rPr>
                <w:rFonts w:hint="eastAsia"/>
                <w:sz w:val="24"/>
              </w:rPr>
              <w:t>(5)包含有常用的国标零件库，如螺栓、螺钉、螺母、垫圈、轴承等，并提供用户自定义标准件的能力。</w:t>
            </w:r>
          </w:p>
          <w:p w14:paraId="6A5CAB33">
            <w:pPr>
              <w:spacing w:after="0" w:line="276" w:lineRule="auto"/>
              <w:jc w:val="left"/>
              <w:rPr>
                <w:sz w:val="24"/>
              </w:rPr>
            </w:pPr>
            <w:r>
              <w:rPr>
                <w:rFonts w:hint="eastAsia"/>
                <w:sz w:val="24"/>
              </w:rPr>
              <w:t>(6)对复杂的零件，如齿轮、链轮、台阶轴、弹簧等，只需提供根据设计参数，系统应该具有直接产生三维模型的能力。</w:t>
            </w:r>
          </w:p>
          <w:p w14:paraId="0020A5B0">
            <w:pPr>
              <w:spacing w:after="0" w:line="276" w:lineRule="auto"/>
              <w:jc w:val="left"/>
              <w:rPr>
                <w:sz w:val="24"/>
              </w:rPr>
            </w:pPr>
            <w:r>
              <w:rPr>
                <w:rFonts w:hint="eastAsia"/>
                <w:sz w:val="24"/>
              </w:rPr>
              <w:t>(7)细分建模功能，可创建自由样条形状（实体或片体），方法是操控和细分初始体素形状的控制框架，如长方体、圆柱、球或圆环。使用细分建模可创建要求形状系统、美观的产品。</w:t>
            </w:r>
          </w:p>
          <w:p w14:paraId="7F810276">
            <w:pPr>
              <w:spacing w:after="0" w:line="276" w:lineRule="auto"/>
              <w:jc w:val="left"/>
              <w:rPr>
                <w:sz w:val="24"/>
              </w:rPr>
            </w:pPr>
            <w:r>
              <w:rPr>
                <w:rFonts w:hint="eastAsia"/>
                <w:sz w:val="24"/>
              </w:rPr>
              <w:t>e.钣金设计</w:t>
            </w:r>
          </w:p>
          <w:p w14:paraId="13486B8C">
            <w:pPr>
              <w:spacing w:after="0" w:line="276" w:lineRule="auto"/>
              <w:jc w:val="left"/>
              <w:rPr>
                <w:sz w:val="24"/>
              </w:rPr>
            </w:pPr>
            <w:r>
              <w:rPr>
                <w:rFonts w:hint="eastAsia"/>
                <w:sz w:val="24"/>
              </w:rPr>
              <w:t>(1)提供易用的钣金设计能力，有平板、折弯、卷边、凹坑、百叶窗、角撑板、压花等常规的钣金设计，并能展平。</w:t>
            </w:r>
          </w:p>
          <w:p w14:paraId="5C529354">
            <w:pPr>
              <w:spacing w:after="0" w:line="276" w:lineRule="auto"/>
              <w:jc w:val="left"/>
              <w:rPr>
                <w:sz w:val="24"/>
              </w:rPr>
            </w:pPr>
            <w:r>
              <w:rPr>
                <w:rFonts w:hint="eastAsia"/>
                <w:sz w:val="24"/>
              </w:rPr>
              <w:t>(2)支持弧形及复杂钣金的展开，自动计算出展平尺寸，并导出DXF。</w:t>
            </w:r>
          </w:p>
          <w:p w14:paraId="66EAE391">
            <w:pPr>
              <w:spacing w:after="0" w:line="276" w:lineRule="auto"/>
              <w:jc w:val="left"/>
              <w:rPr>
                <w:sz w:val="24"/>
              </w:rPr>
            </w:pPr>
            <w:r>
              <w:rPr>
                <w:rFonts w:hint="eastAsia"/>
                <w:sz w:val="24"/>
              </w:rPr>
              <w:t>(3)支持钣金的强度设计的加强，包括角撑板、加强筋等。</w:t>
            </w:r>
          </w:p>
          <w:p w14:paraId="5C291AA6">
            <w:pPr>
              <w:spacing w:after="0" w:line="276" w:lineRule="auto"/>
              <w:jc w:val="left"/>
              <w:rPr>
                <w:sz w:val="24"/>
              </w:rPr>
            </w:pPr>
            <w:r>
              <w:rPr>
                <w:rFonts w:hint="eastAsia"/>
                <w:sz w:val="24"/>
              </w:rPr>
              <w:t>f.装配设计</w:t>
            </w:r>
          </w:p>
          <w:p w14:paraId="2FF03E81">
            <w:pPr>
              <w:spacing w:after="0" w:line="276" w:lineRule="auto"/>
              <w:jc w:val="left"/>
              <w:rPr>
                <w:sz w:val="24"/>
              </w:rPr>
            </w:pPr>
            <w:r>
              <w:rPr>
                <w:rFonts w:hint="eastAsia"/>
                <w:sz w:val="24"/>
              </w:rPr>
              <w:t>(1)支持大装配处理</w:t>
            </w:r>
          </w:p>
          <w:p w14:paraId="2E9A996E">
            <w:pPr>
              <w:spacing w:after="0" w:line="276" w:lineRule="auto"/>
              <w:jc w:val="left"/>
              <w:rPr>
                <w:sz w:val="24"/>
              </w:rPr>
            </w:pPr>
            <w:r>
              <w:rPr>
                <w:rFonts w:hint="eastAsia"/>
                <w:sz w:val="24"/>
              </w:rPr>
              <w:t>(2)支持自底向上和自顶向下的设计方式</w:t>
            </w:r>
          </w:p>
          <w:p w14:paraId="7BFCDE22">
            <w:pPr>
              <w:spacing w:after="0" w:line="276" w:lineRule="auto"/>
              <w:jc w:val="left"/>
              <w:rPr>
                <w:sz w:val="24"/>
              </w:rPr>
            </w:pPr>
            <w:r>
              <w:rPr>
                <w:rFonts w:hint="eastAsia"/>
                <w:sz w:val="24"/>
              </w:rPr>
              <w:t>(3)丰富的装配约束命令，贴合，同轴，链接，路径，齿轮，凸轮等装配关系</w:t>
            </w:r>
          </w:p>
          <w:p w14:paraId="2EE2C200">
            <w:pPr>
              <w:spacing w:after="0" w:line="276" w:lineRule="auto"/>
              <w:jc w:val="left"/>
              <w:rPr>
                <w:sz w:val="24"/>
              </w:rPr>
            </w:pPr>
            <w:r>
              <w:rPr>
                <w:rFonts w:hint="eastAsia"/>
                <w:sz w:val="24"/>
              </w:rPr>
              <w:t>(4)支持爆炸视图制作，动画制作输出</w:t>
            </w:r>
          </w:p>
          <w:p w14:paraId="4C395962">
            <w:pPr>
              <w:spacing w:after="0" w:line="276" w:lineRule="auto"/>
              <w:jc w:val="left"/>
              <w:rPr>
                <w:sz w:val="24"/>
              </w:rPr>
            </w:pPr>
            <w:r>
              <w:rPr>
                <w:rFonts w:hint="eastAsia"/>
                <w:sz w:val="24"/>
              </w:rPr>
              <w:t>(5)独立的焊接框架设计，支持自定义型材</w:t>
            </w:r>
          </w:p>
          <w:p w14:paraId="4F26E735">
            <w:pPr>
              <w:spacing w:after="0" w:line="276" w:lineRule="auto"/>
              <w:jc w:val="left"/>
              <w:rPr>
                <w:sz w:val="24"/>
              </w:rPr>
            </w:pPr>
            <w:r>
              <w:rPr>
                <w:rFonts w:hint="eastAsia"/>
                <w:sz w:val="24"/>
              </w:rPr>
              <w:t>g.二维工程图</w:t>
            </w:r>
          </w:p>
          <w:p w14:paraId="2280B798">
            <w:pPr>
              <w:spacing w:after="0" w:line="276" w:lineRule="auto"/>
              <w:jc w:val="left"/>
              <w:rPr>
                <w:sz w:val="24"/>
              </w:rPr>
            </w:pPr>
            <w:r>
              <w:rPr>
                <w:rFonts w:hint="eastAsia"/>
                <w:sz w:val="24"/>
              </w:rPr>
              <w:t>(1)可根据 3D 模型自动创建并更新绘图，快速创建标准视图和派生视图，包括辅助视图、剖视图、详细视图、局部视图以及等轴测图视图。</w:t>
            </w:r>
          </w:p>
          <w:p w14:paraId="3F1005CE">
            <w:pPr>
              <w:spacing w:after="0" w:line="276" w:lineRule="auto"/>
              <w:jc w:val="left"/>
              <w:rPr>
                <w:sz w:val="24"/>
              </w:rPr>
            </w:pPr>
            <w:r>
              <w:rPr>
                <w:rFonts w:hint="eastAsia"/>
                <w:sz w:val="24"/>
              </w:rPr>
              <w:t>(2)为各种尺寸的模型创建爆炸图、符号标注、零件列表和材料清单。</w:t>
            </w:r>
          </w:p>
          <w:p w14:paraId="64BB8387">
            <w:pPr>
              <w:spacing w:after="0" w:line="276" w:lineRule="auto"/>
              <w:jc w:val="left"/>
              <w:rPr>
                <w:rFonts w:hint="eastAsia" w:ascii="仿宋" w:hAnsi="仿宋"/>
                <w:sz w:val="24"/>
              </w:rPr>
            </w:pPr>
            <w:r>
              <w:rPr>
                <w:rFonts w:hint="eastAsia"/>
                <w:sz w:val="24"/>
              </w:rPr>
              <w:t>(3)自动引用三维模型中的属性数据自动填充标题栏。</w:t>
            </w:r>
          </w:p>
        </w:tc>
        <w:tc>
          <w:tcPr>
            <w:tcW w:w="406" w:type="pct"/>
            <w:vAlign w:val="center"/>
          </w:tcPr>
          <w:p w14:paraId="08B1CE21">
            <w:pPr>
              <w:spacing w:after="0" w:line="276" w:lineRule="auto"/>
              <w:jc w:val="center"/>
              <w:rPr>
                <w:rFonts w:hint="eastAsia" w:ascii="宋体" w:hAnsi="宋体" w:cs="宋体"/>
                <w:sz w:val="24"/>
              </w:rPr>
            </w:pPr>
            <w:r>
              <w:rPr>
                <w:sz w:val="24"/>
              </w:rPr>
              <w:t>1台</w:t>
            </w:r>
          </w:p>
        </w:tc>
      </w:tr>
      <w:tr w14:paraId="7D49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588B635A">
            <w:pPr>
              <w:spacing w:after="0" w:line="276" w:lineRule="auto"/>
              <w:jc w:val="center"/>
              <w:rPr>
                <w:sz w:val="24"/>
              </w:rPr>
            </w:pPr>
            <w:r>
              <w:rPr>
                <w:b/>
                <w:sz w:val="24"/>
              </w:rPr>
              <w:t>2</w:t>
            </w:r>
          </w:p>
        </w:tc>
        <w:tc>
          <w:tcPr>
            <w:tcW w:w="433" w:type="pct"/>
            <w:vAlign w:val="center"/>
          </w:tcPr>
          <w:p w14:paraId="766F53AD">
            <w:pPr>
              <w:spacing w:after="0" w:line="276" w:lineRule="auto"/>
              <w:jc w:val="left"/>
              <w:rPr>
                <w:sz w:val="24"/>
              </w:rPr>
            </w:pPr>
            <w:r>
              <w:rPr>
                <w:b/>
                <w:sz w:val="24"/>
              </w:rPr>
              <w:t>VR眼镜</w:t>
            </w:r>
          </w:p>
        </w:tc>
        <w:tc>
          <w:tcPr>
            <w:tcW w:w="3706" w:type="pct"/>
            <w:vAlign w:val="center"/>
          </w:tcPr>
          <w:p w14:paraId="27EA07D7">
            <w:pPr>
              <w:spacing w:after="0" w:line="276" w:lineRule="auto"/>
              <w:jc w:val="left"/>
              <w:rPr>
                <w:sz w:val="24"/>
              </w:rPr>
            </w:pPr>
            <w:r>
              <w:rPr>
                <w:sz w:val="24"/>
              </w:rPr>
              <w:t>1. 用于设计评审、沉浸式展示、用户体验测试及课程展示。</w:t>
            </w:r>
            <w:r>
              <w:rPr>
                <w:sz w:val="24"/>
              </w:rPr>
              <w:br w:type="textWrapping"/>
            </w:r>
            <w:r>
              <w:rPr>
                <w:sz w:val="24"/>
              </w:rPr>
              <w:t>2. 设备类型：VR一体机，支持6DoF头部与手柄追踪。</w:t>
            </w:r>
            <w:r>
              <w:rPr>
                <w:sz w:val="24"/>
              </w:rPr>
              <w:br w:type="textWrapping"/>
            </w:r>
            <w:r>
              <w:rPr>
                <w:sz w:val="24"/>
              </w:rPr>
              <w:t>3. 显示与存储：支持高分辨率显示，存储容量不低于512GB。</w:t>
            </w:r>
            <w:r>
              <w:rPr>
                <w:sz w:val="24"/>
              </w:rPr>
              <w:br w:type="textWrapping"/>
            </w:r>
            <w:r>
              <w:rPr>
                <w:sz w:val="24"/>
              </w:rPr>
              <w:t>4. 支持无级或多档瞳距调节，佩戴舒适，适合教学连续使用。</w:t>
            </w:r>
            <w:r>
              <w:rPr>
                <w:sz w:val="24"/>
              </w:rPr>
              <w:br w:type="textWrapping"/>
            </w:r>
            <w:r>
              <w:rPr>
                <w:sz w:val="24"/>
              </w:rPr>
              <w:t>5. 支持Wi‑Fi无线连接及与Windows/macOS主流终端协同。</w:t>
            </w:r>
            <w:r>
              <w:rPr>
                <w:sz w:val="24"/>
              </w:rPr>
              <w:br w:type="textWrapping"/>
            </w:r>
            <w:r>
              <w:rPr>
                <w:sz w:val="24"/>
              </w:rPr>
              <w:t>6. 支持有线或无线串流，画面流畅、低延时，满足设计展示教学需要。</w:t>
            </w:r>
            <w:r>
              <w:rPr>
                <w:sz w:val="24"/>
              </w:rPr>
              <w:br w:type="textWrapping"/>
            </w:r>
            <w:r>
              <w:rPr>
                <w:sz w:val="24"/>
              </w:rPr>
              <w:t>7. 配置完整，含头显、双控制器、充电及基础教学使用附件。</w:t>
            </w:r>
          </w:p>
        </w:tc>
        <w:tc>
          <w:tcPr>
            <w:tcW w:w="406" w:type="pct"/>
            <w:vAlign w:val="center"/>
          </w:tcPr>
          <w:p w14:paraId="583B7D79">
            <w:pPr>
              <w:spacing w:after="0" w:line="276" w:lineRule="auto"/>
              <w:jc w:val="center"/>
              <w:rPr>
                <w:sz w:val="24"/>
              </w:rPr>
            </w:pPr>
            <w:r>
              <w:rPr>
                <w:sz w:val="24"/>
              </w:rPr>
              <w:t>1台</w:t>
            </w:r>
          </w:p>
        </w:tc>
      </w:tr>
      <w:tr w14:paraId="3025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0689B6CF">
            <w:pPr>
              <w:spacing w:after="0" w:line="276" w:lineRule="auto"/>
              <w:jc w:val="center"/>
              <w:rPr>
                <w:sz w:val="24"/>
              </w:rPr>
            </w:pPr>
            <w:r>
              <w:rPr>
                <w:b/>
                <w:sz w:val="24"/>
              </w:rPr>
              <w:t>3</w:t>
            </w:r>
          </w:p>
        </w:tc>
        <w:tc>
          <w:tcPr>
            <w:tcW w:w="433" w:type="pct"/>
            <w:vAlign w:val="center"/>
          </w:tcPr>
          <w:p w14:paraId="6C36C73D">
            <w:pPr>
              <w:spacing w:after="0" w:line="276" w:lineRule="auto"/>
              <w:jc w:val="left"/>
              <w:rPr>
                <w:sz w:val="24"/>
              </w:rPr>
            </w:pPr>
            <w:r>
              <w:rPr>
                <w:b/>
                <w:sz w:val="24"/>
              </w:rPr>
              <w:t>真空消泡桶（带泵）</w:t>
            </w:r>
          </w:p>
        </w:tc>
        <w:tc>
          <w:tcPr>
            <w:tcW w:w="3706" w:type="pct"/>
            <w:vAlign w:val="center"/>
          </w:tcPr>
          <w:p w14:paraId="0C86572A">
            <w:pPr>
              <w:spacing w:after="0" w:line="276" w:lineRule="auto"/>
              <w:jc w:val="left"/>
              <w:rPr>
                <w:sz w:val="24"/>
              </w:rPr>
            </w:pPr>
            <w:r>
              <w:rPr>
                <w:sz w:val="24"/>
              </w:rPr>
              <w:t>1. 用于树脂、硅胶等材料消泡处理，满足模型制作与工艺实验需要。</w:t>
            </w:r>
            <w:r>
              <w:rPr>
                <w:sz w:val="24"/>
              </w:rPr>
              <w:br w:type="textWrapping"/>
            </w:r>
            <w:r>
              <w:rPr>
                <w:sz w:val="24"/>
              </w:rPr>
              <w:t>2. 真空桶采用金属材质，结构稳固，密封性能良好。</w:t>
            </w:r>
            <w:r>
              <w:rPr>
                <w:sz w:val="24"/>
              </w:rPr>
              <w:br w:type="textWrapping"/>
            </w:r>
            <w:r>
              <w:rPr>
                <w:sz w:val="24"/>
              </w:rPr>
              <w:t>3. 配套工业级真空泵，支持快速抽真空与稳定保压。</w:t>
            </w:r>
            <w:r>
              <w:rPr>
                <w:sz w:val="24"/>
              </w:rPr>
              <w:br w:type="textWrapping"/>
            </w:r>
            <w:r>
              <w:rPr>
                <w:sz w:val="24"/>
              </w:rPr>
              <w:t>4. 整机应具备可靠密封性，无明显漏气现象。</w:t>
            </w:r>
            <w:r>
              <w:rPr>
                <w:sz w:val="24"/>
              </w:rPr>
              <w:br w:type="textWrapping"/>
            </w:r>
            <w:r>
              <w:rPr>
                <w:sz w:val="24"/>
              </w:rPr>
              <w:t>5. 配置压力表、连接管及常规附件，满足开箱即用。</w:t>
            </w:r>
          </w:p>
        </w:tc>
        <w:tc>
          <w:tcPr>
            <w:tcW w:w="406" w:type="pct"/>
            <w:vAlign w:val="center"/>
          </w:tcPr>
          <w:p w14:paraId="18CA9E3B">
            <w:pPr>
              <w:spacing w:after="0" w:line="276" w:lineRule="auto"/>
              <w:jc w:val="center"/>
              <w:rPr>
                <w:sz w:val="24"/>
              </w:rPr>
            </w:pPr>
            <w:r>
              <w:rPr>
                <w:sz w:val="24"/>
              </w:rPr>
              <w:t>1台</w:t>
            </w:r>
          </w:p>
        </w:tc>
      </w:tr>
      <w:tr w14:paraId="3C0D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182BDEED">
            <w:pPr>
              <w:spacing w:after="0" w:line="276" w:lineRule="auto"/>
              <w:jc w:val="center"/>
              <w:rPr>
                <w:sz w:val="24"/>
              </w:rPr>
            </w:pPr>
            <w:r>
              <w:rPr>
                <w:b/>
                <w:sz w:val="24"/>
              </w:rPr>
              <w:t>4</w:t>
            </w:r>
          </w:p>
        </w:tc>
        <w:tc>
          <w:tcPr>
            <w:tcW w:w="433" w:type="pct"/>
            <w:vAlign w:val="center"/>
          </w:tcPr>
          <w:p w14:paraId="6613E870">
            <w:pPr>
              <w:spacing w:after="0" w:line="276" w:lineRule="auto"/>
              <w:jc w:val="left"/>
              <w:rPr>
                <w:sz w:val="24"/>
              </w:rPr>
            </w:pPr>
            <w:r>
              <w:rPr>
                <w:b/>
                <w:sz w:val="24"/>
              </w:rPr>
              <w:t>色卡</w:t>
            </w:r>
          </w:p>
        </w:tc>
        <w:tc>
          <w:tcPr>
            <w:tcW w:w="3706" w:type="pct"/>
            <w:vAlign w:val="center"/>
          </w:tcPr>
          <w:p w14:paraId="24C8EF53">
            <w:pPr>
              <w:spacing w:after="0" w:line="276" w:lineRule="auto"/>
              <w:jc w:val="left"/>
              <w:rPr>
                <w:sz w:val="24"/>
              </w:rPr>
            </w:pPr>
            <w:r>
              <w:rPr>
                <w:sz w:val="24"/>
              </w:rPr>
              <w:t>1. 用于CMF课程教学、产品色彩比对及打样标准参照。</w:t>
            </w:r>
            <w:r>
              <w:rPr>
                <w:sz w:val="24"/>
              </w:rPr>
              <w:br w:type="textWrapping"/>
            </w:r>
            <w:r>
              <w:rPr>
                <w:sz w:val="24"/>
              </w:rPr>
              <w:t>2. 应包含专色CU部分及TPG部分，满足平面与材料色彩教学使用。</w:t>
            </w:r>
            <w:r>
              <w:rPr>
                <w:sz w:val="24"/>
              </w:rPr>
              <w:br w:type="textWrapping"/>
            </w:r>
            <w:r>
              <w:rPr>
                <w:sz w:val="24"/>
              </w:rPr>
              <w:t>3. 色彩数量齐全、编号清晰，便于课堂教学与企业项目对接。</w:t>
            </w:r>
            <w:r>
              <w:rPr>
                <w:sz w:val="24"/>
              </w:rPr>
              <w:br w:type="textWrapping"/>
            </w:r>
            <w:r>
              <w:rPr>
                <w:sz w:val="24"/>
              </w:rPr>
              <w:t>4. 提供正版纸质色卡套装，色卡页完整、可检索、可长期保存。</w:t>
            </w:r>
          </w:p>
        </w:tc>
        <w:tc>
          <w:tcPr>
            <w:tcW w:w="406" w:type="pct"/>
            <w:vAlign w:val="center"/>
          </w:tcPr>
          <w:p w14:paraId="4B920670">
            <w:pPr>
              <w:spacing w:after="0" w:line="276" w:lineRule="auto"/>
              <w:jc w:val="center"/>
              <w:rPr>
                <w:sz w:val="24"/>
              </w:rPr>
            </w:pPr>
            <w:r>
              <w:rPr>
                <w:sz w:val="24"/>
              </w:rPr>
              <w:t>1套</w:t>
            </w:r>
          </w:p>
        </w:tc>
      </w:tr>
      <w:tr w14:paraId="737C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79AC5536">
            <w:pPr>
              <w:spacing w:after="0" w:line="276" w:lineRule="auto"/>
              <w:jc w:val="center"/>
              <w:rPr>
                <w:sz w:val="24"/>
              </w:rPr>
            </w:pPr>
            <w:r>
              <w:rPr>
                <w:b/>
                <w:sz w:val="24"/>
              </w:rPr>
              <w:t>5</w:t>
            </w:r>
          </w:p>
        </w:tc>
        <w:tc>
          <w:tcPr>
            <w:tcW w:w="433" w:type="pct"/>
            <w:vAlign w:val="center"/>
          </w:tcPr>
          <w:p w14:paraId="634DEF87">
            <w:pPr>
              <w:spacing w:after="0" w:line="276" w:lineRule="auto"/>
              <w:jc w:val="left"/>
              <w:rPr>
                <w:sz w:val="24"/>
              </w:rPr>
            </w:pPr>
            <w:r>
              <w:rPr>
                <w:b/>
                <w:sz w:val="24"/>
              </w:rPr>
              <w:t>4K显示器</w:t>
            </w:r>
          </w:p>
        </w:tc>
        <w:tc>
          <w:tcPr>
            <w:tcW w:w="3706" w:type="pct"/>
            <w:vAlign w:val="center"/>
          </w:tcPr>
          <w:p w14:paraId="3FEAF213">
            <w:pPr>
              <w:spacing w:after="0" w:line="276" w:lineRule="auto"/>
              <w:jc w:val="left"/>
              <w:rPr>
                <w:sz w:val="24"/>
              </w:rPr>
            </w:pPr>
            <w:r>
              <w:rPr>
                <w:sz w:val="24"/>
              </w:rPr>
              <w:t>1. 用于成果展示、方案汇报、评图及实训室数字展示。</w:t>
            </w:r>
            <w:r>
              <w:rPr>
                <w:sz w:val="24"/>
              </w:rPr>
              <w:br w:type="textWrapping"/>
            </w:r>
            <w:r>
              <w:rPr>
                <w:sz w:val="24"/>
              </w:rPr>
              <w:t>2. 屏幕尺寸不小于65英寸，分辨率不低于3840×2160。</w:t>
            </w:r>
            <w:r>
              <w:rPr>
                <w:sz w:val="24"/>
              </w:rPr>
              <w:br w:type="textWrapping"/>
            </w:r>
            <w:r>
              <w:rPr>
                <w:sz w:val="24"/>
              </w:rPr>
              <w:t>3. 处理器及存储：四核处理平台，运行内存不低于2GB，存储空间不低于32GB。</w:t>
            </w:r>
            <w:r>
              <w:rPr>
                <w:sz w:val="24"/>
              </w:rPr>
              <w:br w:type="textWrapping"/>
            </w:r>
            <w:r>
              <w:rPr>
                <w:sz w:val="24"/>
              </w:rPr>
              <w:t>4. 支持主流无线投屏或HDMI有线接入。</w:t>
            </w:r>
            <w:r>
              <w:rPr>
                <w:sz w:val="24"/>
              </w:rPr>
              <w:br w:type="textWrapping"/>
            </w:r>
            <w:r>
              <w:rPr>
                <w:sz w:val="24"/>
              </w:rPr>
              <w:t>5. 适合长时间展示，画面清晰，色彩显示稳定。</w:t>
            </w:r>
          </w:p>
        </w:tc>
        <w:tc>
          <w:tcPr>
            <w:tcW w:w="406" w:type="pct"/>
            <w:vAlign w:val="center"/>
          </w:tcPr>
          <w:p w14:paraId="33558930">
            <w:pPr>
              <w:spacing w:after="0" w:line="276" w:lineRule="auto"/>
              <w:jc w:val="center"/>
              <w:rPr>
                <w:sz w:val="24"/>
              </w:rPr>
            </w:pPr>
            <w:r>
              <w:rPr>
                <w:sz w:val="24"/>
              </w:rPr>
              <w:t>1台</w:t>
            </w:r>
          </w:p>
        </w:tc>
      </w:tr>
      <w:tr w14:paraId="191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12BCEE98">
            <w:pPr>
              <w:spacing w:after="0" w:line="276" w:lineRule="auto"/>
              <w:jc w:val="center"/>
              <w:rPr>
                <w:sz w:val="24"/>
              </w:rPr>
            </w:pPr>
            <w:r>
              <w:rPr>
                <w:b/>
                <w:sz w:val="24"/>
              </w:rPr>
              <w:t>6</w:t>
            </w:r>
          </w:p>
        </w:tc>
        <w:tc>
          <w:tcPr>
            <w:tcW w:w="433" w:type="pct"/>
            <w:vAlign w:val="center"/>
          </w:tcPr>
          <w:p w14:paraId="7519F663">
            <w:pPr>
              <w:spacing w:after="0" w:line="276" w:lineRule="auto"/>
              <w:jc w:val="left"/>
              <w:rPr>
                <w:sz w:val="24"/>
              </w:rPr>
            </w:pPr>
            <w:r>
              <w:rPr>
                <w:b/>
                <w:sz w:val="24"/>
              </w:rPr>
              <w:t>显示器移动支架</w:t>
            </w:r>
          </w:p>
        </w:tc>
        <w:tc>
          <w:tcPr>
            <w:tcW w:w="3706" w:type="pct"/>
            <w:vAlign w:val="center"/>
          </w:tcPr>
          <w:p w14:paraId="000E2483">
            <w:pPr>
              <w:spacing w:after="0" w:line="276" w:lineRule="auto"/>
              <w:jc w:val="left"/>
              <w:rPr>
                <w:sz w:val="24"/>
              </w:rPr>
            </w:pPr>
            <w:r>
              <w:rPr>
                <w:sz w:val="24"/>
              </w:rPr>
              <w:t>1. 适配大尺寸显示设备使用，满足实训室移动展示需求。</w:t>
            </w:r>
            <w:r>
              <w:rPr>
                <w:sz w:val="24"/>
              </w:rPr>
              <w:br w:type="textWrapping"/>
            </w:r>
            <w:r>
              <w:rPr>
                <w:sz w:val="24"/>
              </w:rPr>
              <w:t>2. 支持多档安装孔距，承重能力不低于50kg。</w:t>
            </w:r>
            <w:r>
              <w:rPr>
                <w:sz w:val="24"/>
              </w:rPr>
              <w:br w:type="textWrapping"/>
            </w:r>
            <w:r>
              <w:rPr>
                <w:sz w:val="24"/>
              </w:rPr>
              <w:t>3. 配置万向轮且带锁止功能，移动与固定便捷。</w:t>
            </w:r>
            <w:r>
              <w:rPr>
                <w:sz w:val="24"/>
              </w:rPr>
              <w:br w:type="textWrapping"/>
            </w:r>
            <w:r>
              <w:rPr>
                <w:sz w:val="24"/>
              </w:rPr>
              <w:t>4. 设有置物板或同等配件，边角圆滑，使用安全。</w:t>
            </w:r>
          </w:p>
        </w:tc>
        <w:tc>
          <w:tcPr>
            <w:tcW w:w="406" w:type="pct"/>
            <w:vAlign w:val="center"/>
          </w:tcPr>
          <w:p w14:paraId="399B6279">
            <w:pPr>
              <w:spacing w:after="0" w:line="276" w:lineRule="auto"/>
              <w:jc w:val="center"/>
              <w:rPr>
                <w:sz w:val="24"/>
              </w:rPr>
            </w:pPr>
            <w:r>
              <w:rPr>
                <w:sz w:val="24"/>
              </w:rPr>
              <w:t>1套</w:t>
            </w:r>
          </w:p>
        </w:tc>
      </w:tr>
      <w:tr w14:paraId="1A6A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1DE63F7C">
            <w:pPr>
              <w:spacing w:after="0" w:line="276" w:lineRule="auto"/>
              <w:jc w:val="center"/>
              <w:rPr>
                <w:rFonts w:hint="eastAsia" w:ascii="宋体" w:hAnsi="宋体" w:cs="宋体"/>
                <w:sz w:val="24"/>
              </w:rPr>
            </w:pPr>
            <w:r>
              <w:rPr>
                <w:b/>
                <w:sz w:val="24"/>
              </w:rPr>
              <w:t>7</w:t>
            </w:r>
          </w:p>
        </w:tc>
        <w:tc>
          <w:tcPr>
            <w:tcW w:w="433" w:type="pct"/>
            <w:vAlign w:val="center"/>
          </w:tcPr>
          <w:p w14:paraId="251E278E">
            <w:pPr>
              <w:spacing w:after="0" w:line="276" w:lineRule="auto"/>
              <w:jc w:val="left"/>
              <w:rPr>
                <w:rFonts w:hint="eastAsia" w:ascii="宋体" w:hAnsi="宋体" w:cs="宋体"/>
                <w:sz w:val="24"/>
              </w:rPr>
            </w:pPr>
            <w:r>
              <w:rPr>
                <w:b/>
                <w:sz w:val="24"/>
              </w:rPr>
              <w:t>便携式无气二保焊</w:t>
            </w:r>
          </w:p>
        </w:tc>
        <w:tc>
          <w:tcPr>
            <w:tcW w:w="3706" w:type="pct"/>
            <w:vAlign w:val="center"/>
          </w:tcPr>
          <w:p w14:paraId="10E02C36">
            <w:pPr>
              <w:spacing w:after="0" w:line="276" w:lineRule="auto"/>
              <w:jc w:val="left"/>
              <w:rPr>
                <w:rFonts w:hint="eastAsia" w:ascii="宋体" w:hAnsi="宋体" w:cs="宋体"/>
                <w:sz w:val="24"/>
              </w:rPr>
            </w:pPr>
            <w:r>
              <w:rPr>
                <w:sz w:val="24"/>
              </w:rPr>
              <w:t>1. 用于金属构件连接、产品结构件制作及工艺教学。</w:t>
            </w:r>
            <w:r>
              <w:rPr>
                <w:sz w:val="24"/>
              </w:rPr>
              <w:br w:type="textWrapping"/>
            </w:r>
            <w:r>
              <w:rPr>
                <w:sz w:val="24"/>
              </w:rPr>
              <w:t>2. 设备支持一体化便携设计，适用于教学环境移动使用。</w:t>
            </w:r>
            <w:r>
              <w:rPr>
                <w:sz w:val="24"/>
              </w:rPr>
              <w:br w:type="textWrapping"/>
            </w:r>
            <w:r>
              <w:rPr>
                <w:sz w:val="24"/>
              </w:rPr>
              <w:t>3. 支持一键切换或同等智能调节功能，可自动匹配焊接电流、电压。</w:t>
            </w:r>
            <w:r>
              <w:rPr>
                <w:sz w:val="24"/>
              </w:rPr>
              <w:br w:type="textWrapping"/>
            </w:r>
            <w:r>
              <w:rPr>
                <w:sz w:val="24"/>
              </w:rPr>
              <w:t>4. 输出稳定，满足常规钢材焊接教学需要。</w:t>
            </w:r>
            <w:r>
              <w:rPr>
                <w:sz w:val="24"/>
              </w:rPr>
              <w:br w:type="textWrapping"/>
            </w:r>
            <w:r>
              <w:rPr>
                <w:sz w:val="24"/>
              </w:rPr>
              <w:t>5. 配置满足基本焊接使用所需附件。</w:t>
            </w:r>
          </w:p>
        </w:tc>
        <w:tc>
          <w:tcPr>
            <w:tcW w:w="406" w:type="pct"/>
            <w:vAlign w:val="center"/>
          </w:tcPr>
          <w:p w14:paraId="030CBAE2">
            <w:pPr>
              <w:spacing w:after="0" w:line="276" w:lineRule="auto"/>
              <w:jc w:val="center"/>
              <w:rPr>
                <w:rFonts w:hint="eastAsia" w:ascii="宋体" w:hAnsi="宋体" w:cs="宋体"/>
                <w:sz w:val="24"/>
              </w:rPr>
            </w:pPr>
            <w:r>
              <w:rPr>
                <w:sz w:val="24"/>
              </w:rPr>
              <w:t>1台</w:t>
            </w:r>
          </w:p>
        </w:tc>
      </w:tr>
      <w:tr w14:paraId="7F9B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75EC2A8A">
            <w:pPr>
              <w:spacing w:after="0" w:line="276" w:lineRule="auto"/>
              <w:jc w:val="center"/>
              <w:rPr>
                <w:rFonts w:hint="eastAsia" w:ascii="宋体" w:hAnsi="宋体" w:cs="宋体"/>
                <w:sz w:val="24"/>
              </w:rPr>
            </w:pPr>
            <w:r>
              <w:rPr>
                <w:b/>
                <w:sz w:val="24"/>
              </w:rPr>
              <w:t>8</w:t>
            </w:r>
          </w:p>
        </w:tc>
        <w:tc>
          <w:tcPr>
            <w:tcW w:w="433" w:type="pct"/>
            <w:vAlign w:val="center"/>
          </w:tcPr>
          <w:p w14:paraId="0028E506">
            <w:pPr>
              <w:spacing w:after="0" w:line="276" w:lineRule="auto"/>
              <w:jc w:val="left"/>
              <w:rPr>
                <w:rFonts w:hint="eastAsia" w:ascii="宋体" w:hAnsi="宋体" w:cs="宋体"/>
                <w:sz w:val="24"/>
              </w:rPr>
            </w:pPr>
            <w:r>
              <w:rPr>
                <w:b/>
                <w:sz w:val="24"/>
              </w:rPr>
              <w:t>路由器</w:t>
            </w:r>
          </w:p>
        </w:tc>
        <w:tc>
          <w:tcPr>
            <w:tcW w:w="3706" w:type="pct"/>
            <w:vAlign w:val="center"/>
          </w:tcPr>
          <w:p w14:paraId="3BE6D871">
            <w:pPr>
              <w:spacing w:after="0" w:line="276" w:lineRule="auto"/>
              <w:jc w:val="left"/>
              <w:rPr>
                <w:rFonts w:hint="eastAsia" w:ascii="宋体" w:hAnsi="宋体" w:cs="宋体"/>
                <w:sz w:val="24"/>
              </w:rPr>
            </w:pPr>
            <w:r>
              <w:rPr>
                <w:sz w:val="24"/>
              </w:rPr>
              <w:t>1. 用于实训室局域网组建、多设备联网及数据传输。</w:t>
            </w:r>
            <w:r>
              <w:rPr>
                <w:sz w:val="24"/>
              </w:rPr>
              <w:br w:type="textWrapping"/>
            </w:r>
            <w:r>
              <w:rPr>
                <w:sz w:val="24"/>
              </w:rPr>
              <w:t>2. 支持Wi‑Fi 6或以上无线标准，支持多设备并行接入。</w:t>
            </w:r>
            <w:r>
              <w:rPr>
                <w:sz w:val="24"/>
              </w:rPr>
              <w:br w:type="textWrapping"/>
            </w:r>
            <w:r>
              <w:rPr>
                <w:sz w:val="24"/>
              </w:rPr>
              <w:t>3. 总无线速率达到千兆级以上，支持三频或等效高并发方案。</w:t>
            </w:r>
            <w:r>
              <w:rPr>
                <w:sz w:val="24"/>
              </w:rPr>
              <w:br w:type="textWrapping"/>
            </w:r>
            <w:r>
              <w:rPr>
                <w:sz w:val="24"/>
              </w:rPr>
              <w:t>4. 支持千兆网口，网络传输稳定，适合多终端实训教学环境。</w:t>
            </w:r>
          </w:p>
        </w:tc>
        <w:tc>
          <w:tcPr>
            <w:tcW w:w="406" w:type="pct"/>
            <w:vAlign w:val="center"/>
          </w:tcPr>
          <w:p w14:paraId="220A48E9">
            <w:pPr>
              <w:spacing w:after="0" w:line="276" w:lineRule="auto"/>
              <w:jc w:val="center"/>
              <w:rPr>
                <w:rFonts w:hint="eastAsia" w:ascii="宋体" w:hAnsi="宋体" w:cs="宋体"/>
                <w:sz w:val="24"/>
              </w:rPr>
            </w:pPr>
            <w:r>
              <w:rPr>
                <w:sz w:val="24"/>
              </w:rPr>
              <w:t>2台</w:t>
            </w:r>
          </w:p>
        </w:tc>
      </w:tr>
      <w:tr w14:paraId="785F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197BFD5D">
            <w:pPr>
              <w:spacing w:after="0" w:line="276" w:lineRule="auto"/>
              <w:jc w:val="center"/>
              <w:rPr>
                <w:rFonts w:hint="eastAsia" w:ascii="宋体" w:hAnsi="宋体" w:cs="宋体"/>
                <w:sz w:val="24"/>
              </w:rPr>
            </w:pPr>
            <w:r>
              <w:rPr>
                <w:b/>
                <w:sz w:val="24"/>
              </w:rPr>
              <w:t>9</w:t>
            </w:r>
          </w:p>
        </w:tc>
        <w:tc>
          <w:tcPr>
            <w:tcW w:w="433" w:type="pct"/>
            <w:vAlign w:val="center"/>
          </w:tcPr>
          <w:p w14:paraId="44B390C2">
            <w:pPr>
              <w:spacing w:after="0" w:line="276" w:lineRule="auto"/>
              <w:jc w:val="left"/>
              <w:rPr>
                <w:rFonts w:hint="eastAsia" w:ascii="宋体" w:hAnsi="宋体" w:cs="宋体"/>
                <w:sz w:val="24"/>
              </w:rPr>
            </w:pPr>
            <w:r>
              <w:rPr>
                <w:b/>
                <w:sz w:val="24"/>
              </w:rPr>
              <w:t>手绘板</w:t>
            </w:r>
          </w:p>
        </w:tc>
        <w:tc>
          <w:tcPr>
            <w:tcW w:w="3706" w:type="pct"/>
            <w:vAlign w:val="center"/>
          </w:tcPr>
          <w:p w14:paraId="37C53041">
            <w:pPr>
              <w:spacing w:after="0" w:line="276" w:lineRule="auto"/>
              <w:jc w:val="left"/>
              <w:rPr>
                <w:rFonts w:hint="eastAsia" w:ascii="宋体" w:hAnsi="宋体" w:cs="宋体"/>
                <w:sz w:val="24"/>
              </w:rPr>
            </w:pPr>
            <w:r>
              <w:rPr>
                <w:sz w:val="24"/>
              </w:rPr>
              <w:t>1. 用于工业设计手绘表达、数字草图绘制、方案汇报与批注。</w:t>
            </w:r>
            <w:r>
              <w:rPr>
                <w:sz w:val="24"/>
              </w:rPr>
              <w:br w:type="textWrapping"/>
            </w:r>
            <w:r>
              <w:rPr>
                <w:sz w:val="24"/>
              </w:rPr>
              <w:t>2. 屏幕尺寸约11英寸，支持触控操作。</w:t>
            </w:r>
            <w:r>
              <w:rPr>
                <w:sz w:val="24"/>
              </w:rPr>
              <w:br w:type="textWrapping"/>
            </w:r>
            <w:r>
              <w:rPr>
                <w:sz w:val="24"/>
              </w:rPr>
              <w:t>3. 存储容量不低于256GB，内存不低于8GB。</w:t>
            </w:r>
            <w:r>
              <w:rPr>
                <w:sz w:val="24"/>
              </w:rPr>
              <w:br w:type="textWrapping"/>
            </w:r>
            <w:r>
              <w:rPr>
                <w:sz w:val="24"/>
              </w:rPr>
              <w:t>4. 支持重力感应、Wi‑Fi、蓝牙等功能。</w:t>
            </w:r>
            <w:r>
              <w:rPr>
                <w:sz w:val="24"/>
              </w:rPr>
              <w:br w:type="textWrapping"/>
            </w:r>
            <w:r>
              <w:rPr>
                <w:sz w:val="24"/>
              </w:rPr>
              <w:t>5. 设备运行流畅，满足主流绘图、展示与文档处理需求。</w:t>
            </w:r>
          </w:p>
        </w:tc>
        <w:tc>
          <w:tcPr>
            <w:tcW w:w="406" w:type="pct"/>
            <w:vAlign w:val="center"/>
          </w:tcPr>
          <w:p w14:paraId="22D8F5EC">
            <w:pPr>
              <w:spacing w:after="0" w:line="276" w:lineRule="auto"/>
              <w:jc w:val="center"/>
              <w:rPr>
                <w:rFonts w:hint="eastAsia" w:ascii="宋体" w:hAnsi="宋体" w:cs="宋体"/>
                <w:sz w:val="24"/>
              </w:rPr>
            </w:pPr>
            <w:r>
              <w:rPr>
                <w:sz w:val="24"/>
              </w:rPr>
              <w:t>2台</w:t>
            </w:r>
          </w:p>
        </w:tc>
      </w:tr>
      <w:tr w14:paraId="28F2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73EB4089">
            <w:pPr>
              <w:spacing w:after="0" w:line="276" w:lineRule="auto"/>
              <w:jc w:val="center"/>
              <w:rPr>
                <w:rFonts w:hint="eastAsia" w:ascii="宋体" w:hAnsi="宋体" w:cs="宋体"/>
                <w:sz w:val="24"/>
              </w:rPr>
            </w:pPr>
            <w:r>
              <w:rPr>
                <w:b/>
                <w:sz w:val="24"/>
              </w:rPr>
              <w:t>10</w:t>
            </w:r>
          </w:p>
        </w:tc>
        <w:tc>
          <w:tcPr>
            <w:tcW w:w="433" w:type="pct"/>
            <w:vAlign w:val="center"/>
          </w:tcPr>
          <w:p w14:paraId="2317B17F">
            <w:pPr>
              <w:spacing w:after="0" w:line="276" w:lineRule="auto"/>
              <w:jc w:val="left"/>
              <w:rPr>
                <w:rFonts w:hint="eastAsia" w:ascii="宋体" w:hAnsi="宋体" w:cs="宋体"/>
                <w:sz w:val="24"/>
              </w:rPr>
            </w:pPr>
            <w:r>
              <w:rPr>
                <w:b/>
                <w:sz w:val="24"/>
              </w:rPr>
              <w:t>手绘笔</w:t>
            </w:r>
          </w:p>
        </w:tc>
        <w:tc>
          <w:tcPr>
            <w:tcW w:w="3706" w:type="pct"/>
            <w:vAlign w:val="center"/>
          </w:tcPr>
          <w:p w14:paraId="5F011400">
            <w:pPr>
              <w:spacing w:after="0" w:line="276" w:lineRule="auto"/>
              <w:jc w:val="left"/>
              <w:rPr>
                <w:rFonts w:hint="eastAsia" w:ascii="宋体" w:hAnsi="宋体" w:cs="宋体"/>
                <w:sz w:val="24"/>
              </w:rPr>
            </w:pPr>
            <w:r>
              <w:rPr>
                <w:sz w:val="24"/>
              </w:rPr>
              <w:t>1. 与手绘板配套使用，用于精细绘制、批注与设计表达。</w:t>
            </w:r>
            <w:r>
              <w:rPr>
                <w:sz w:val="24"/>
              </w:rPr>
              <w:br w:type="textWrapping"/>
            </w:r>
            <w:r>
              <w:rPr>
                <w:sz w:val="24"/>
              </w:rPr>
              <w:t>2. 支持倾斜书写、压感识别或等效自然书写功能。</w:t>
            </w:r>
            <w:r>
              <w:rPr>
                <w:sz w:val="24"/>
              </w:rPr>
              <w:br w:type="textWrapping"/>
            </w:r>
            <w:r>
              <w:rPr>
                <w:sz w:val="24"/>
              </w:rPr>
              <w:t>3. 支持磁吸充电或等效便捷充电方式。</w:t>
            </w:r>
            <w:r>
              <w:rPr>
                <w:sz w:val="24"/>
              </w:rPr>
              <w:br w:type="textWrapping"/>
            </w:r>
            <w:r>
              <w:rPr>
                <w:sz w:val="24"/>
              </w:rPr>
              <w:t>4. 配套性好，书写延迟低，满足课堂高频使用要求。</w:t>
            </w:r>
          </w:p>
        </w:tc>
        <w:tc>
          <w:tcPr>
            <w:tcW w:w="406" w:type="pct"/>
            <w:vAlign w:val="center"/>
          </w:tcPr>
          <w:p w14:paraId="47692D0D">
            <w:pPr>
              <w:spacing w:after="0" w:line="276" w:lineRule="auto"/>
              <w:jc w:val="center"/>
              <w:rPr>
                <w:rFonts w:hint="eastAsia" w:ascii="宋体" w:hAnsi="宋体" w:cs="宋体"/>
                <w:sz w:val="24"/>
              </w:rPr>
            </w:pPr>
            <w:r>
              <w:rPr>
                <w:sz w:val="24"/>
              </w:rPr>
              <w:t>2支</w:t>
            </w:r>
          </w:p>
        </w:tc>
      </w:tr>
      <w:tr w14:paraId="7B7D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480" w:hRule="atLeast"/>
          <w:jc w:val="center"/>
        </w:trPr>
        <w:tc>
          <w:tcPr>
            <w:tcW w:w="453" w:type="pct"/>
            <w:vAlign w:val="center"/>
          </w:tcPr>
          <w:p w14:paraId="6AA3AD7C">
            <w:pPr>
              <w:spacing w:after="0" w:line="276" w:lineRule="auto"/>
              <w:jc w:val="center"/>
              <w:rPr>
                <w:sz w:val="24"/>
              </w:rPr>
            </w:pPr>
            <w:r>
              <w:rPr>
                <w:b/>
                <w:sz w:val="24"/>
              </w:rPr>
              <w:t>11</w:t>
            </w:r>
          </w:p>
        </w:tc>
        <w:tc>
          <w:tcPr>
            <w:tcW w:w="433" w:type="pct"/>
            <w:vAlign w:val="center"/>
          </w:tcPr>
          <w:p w14:paraId="244361F7">
            <w:pPr>
              <w:spacing w:after="0" w:line="276" w:lineRule="auto"/>
              <w:jc w:val="left"/>
              <w:rPr>
                <w:sz w:val="24"/>
              </w:rPr>
            </w:pPr>
            <w:r>
              <w:rPr>
                <w:b/>
                <w:sz w:val="24"/>
              </w:rPr>
              <w:t>360全景摄像机</w:t>
            </w:r>
          </w:p>
        </w:tc>
        <w:tc>
          <w:tcPr>
            <w:tcW w:w="3706" w:type="pct"/>
            <w:vAlign w:val="center"/>
          </w:tcPr>
          <w:p w14:paraId="4811F422">
            <w:pPr>
              <w:spacing w:after="0" w:line="276" w:lineRule="auto"/>
              <w:jc w:val="left"/>
              <w:rPr>
                <w:sz w:val="24"/>
              </w:rPr>
            </w:pPr>
            <w:r>
              <w:rPr>
                <w:sz w:val="24"/>
              </w:rPr>
              <w:t>1. 用于实训室成果记录、空间展示、全景拍摄与VR内容采集。</w:t>
            </w:r>
            <w:r>
              <w:rPr>
                <w:sz w:val="24"/>
              </w:rPr>
              <w:br w:type="textWrapping"/>
            </w:r>
            <w:r>
              <w:rPr>
                <w:sz w:val="24"/>
              </w:rPr>
              <w:t>2. 支持全景拍摄，传感器尺寸不低于1/1.28英寸。</w:t>
            </w:r>
            <w:r>
              <w:rPr>
                <w:sz w:val="24"/>
              </w:rPr>
              <w:br w:type="textWrapping"/>
            </w:r>
            <w:r>
              <w:rPr>
                <w:sz w:val="24"/>
              </w:rPr>
              <w:t>3. 有效像素不低于800万，支持高分辨率视频或照片输出。</w:t>
            </w:r>
            <w:r>
              <w:rPr>
                <w:sz w:val="24"/>
              </w:rPr>
              <w:br w:type="textWrapping"/>
            </w:r>
            <w:r>
              <w:rPr>
                <w:sz w:val="24"/>
              </w:rPr>
              <w:t>4. 满足教学拍摄、展示传播与素材存档需要。</w:t>
            </w:r>
          </w:p>
        </w:tc>
        <w:tc>
          <w:tcPr>
            <w:tcW w:w="406" w:type="pct"/>
            <w:vAlign w:val="center"/>
          </w:tcPr>
          <w:p w14:paraId="73CF870D">
            <w:pPr>
              <w:spacing w:after="0" w:line="276" w:lineRule="auto"/>
              <w:jc w:val="center"/>
              <w:rPr>
                <w:sz w:val="24"/>
              </w:rPr>
            </w:pPr>
            <w:r>
              <w:rPr>
                <w:sz w:val="24"/>
              </w:rPr>
              <w:t>1台</w:t>
            </w:r>
          </w:p>
        </w:tc>
      </w:tr>
      <w:tr w14:paraId="4C32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05B31870">
            <w:pPr>
              <w:spacing w:after="0" w:line="276" w:lineRule="auto"/>
              <w:jc w:val="center"/>
              <w:rPr>
                <w:sz w:val="24"/>
              </w:rPr>
            </w:pPr>
            <w:r>
              <w:rPr>
                <w:b/>
                <w:sz w:val="24"/>
              </w:rPr>
              <w:t>12</w:t>
            </w:r>
          </w:p>
        </w:tc>
        <w:tc>
          <w:tcPr>
            <w:tcW w:w="433" w:type="pct"/>
            <w:vAlign w:val="center"/>
          </w:tcPr>
          <w:p w14:paraId="42BD29AC">
            <w:pPr>
              <w:spacing w:after="0" w:line="276" w:lineRule="auto"/>
              <w:jc w:val="left"/>
              <w:rPr>
                <w:sz w:val="24"/>
              </w:rPr>
            </w:pPr>
            <w:r>
              <w:rPr>
                <w:b/>
                <w:sz w:val="24"/>
              </w:rPr>
              <w:t>彩色FDM打印机</w:t>
            </w:r>
          </w:p>
        </w:tc>
        <w:tc>
          <w:tcPr>
            <w:tcW w:w="3706" w:type="pct"/>
            <w:vAlign w:val="center"/>
          </w:tcPr>
          <w:p w14:paraId="6DF49308">
            <w:pPr>
              <w:numPr>
                <w:ilvl w:val="0"/>
                <w:numId w:val="1"/>
              </w:numPr>
              <w:spacing w:after="0" w:line="276" w:lineRule="auto"/>
              <w:jc w:val="left"/>
              <w:rPr>
                <w:sz w:val="24"/>
              </w:rPr>
            </w:pPr>
            <w:r>
              <w:rPr>
                <w:rFonts w:hint="eastAsia"/>
                <w:sz w:val="24"/>
              </w:rPr>
              <w:t>成型技术：熔融沉积成型。</w:t>
            </w:r>
          </w:p>
          <w:p w14:paraId="5AB99B28">
            <w:pPr>
              <w:numPr>
                <w:ilvl w:val="0"/>
                <w:numId w:val="1"/>
              </w:numPr>
              <w:spacing w:after="0" w:line="276" w:lineRule="auto"/>
              <w:jc w:val="left"/>
              <w:rPr>
                <w:sz w:val="24"/>
              </w:rPr>
            </w:pPr>
            <w:r>
              <w:rPr>
                <w:rFonts w:hint="eastAsia"/>
                <w:sz w:val="24"/>
              </w:rPr>
              <w:t>机身最大尺寸(长×宽×高)不低于492×514×626 mm³，净重约31 kg；最大打印尺寸(长×宽×高)：单喷嘴模式不低于325×320×325 mm³，双喷嘴交集模式不低于300×320×325 mm³，双喷嘴并集模式不低于350×320×325 mm³。</w:t>
            </w:r>
          </w:p>
          <w:p w14:paraId="1D82341C">
            <w:pPr>
              <w:numPr>
                <w:ilvl w:val="0"/>
                <w:numId w:val="1"/>
              </w:numPr>
              <w:spacing w:after="0" w:line="276" w:lineRule="auto"/>
              <w:jc w:val="left"/>
              <w:rPr>
                <w:sz w:val="24"/>
              </w:rPr>
            </w:pPr>
            <w:r>
              <w:rPr>
                <w:rFonts w:hint="eastAsia"/>
                <w:sz w:val="24"/>
              </w:rPr>
              <w:t>框架为铝材和钢材构成，外壳为塑料和玻璃构成。</w:t>
            </w:r>
          </w:p>
          <w:p w14:paraId="2715E333">
            <w:pPr>
              <w:numPr>
                <w:ilvl w:val="0"/>
                <w:numId w:val="1"/>
              </w:numPr>
              <w:spacing w:after="0" w:line="276" w:lineRule="auto"/>
              <w:jc w:val="left"/>
              <w:rPr>
                <w:sz w:val="24"/>
              </w:rPr>
            </w:pPr>
            <w:r>
              <w:rPr>
                <w:rFonts w:hint="eastAsia"/>
                <w:sz w:val="24"/>
              </w:rPr>
              <w:t>工具头：全金属热端，硬化钢挤出机齿轮，硬化钢喷嘴，内置工具头切刀，喷嘴最高温度不低于350 ℃，喷嘴直径自带0.4 mm，可选0.2 mm，0.6 mm，0.8 mm。</w:t>
            </w:r>
          </w:p>
          <w:p w14:paraId="0DB9EAE1">
            <w:pPr>
              <w:numPr>
                <w:ilvl w:val="0"/>
                <w:numId w:val="1"/>
              </w:numPr>
              <w:spacing w:after="0" w:line="276" w:lineRule="auto"/>
              <w:jc w:val="left"/>
              <w:rPr>
                <w:sz w:val="24"/>
              </w:rPr>
            </w:pPr>
            <w:r>
              <w:rPr>
                <w:rFonts w:hint="eastAsia"/>
                <w:sz w:val="24"/>
              </w:rPr>
              <w:t>机器标配双面纹理PEI打印面板，可扩展光面打印面板，热床最高温度不低于120℃。</w:t>
            </w:r>
          </w:p>
          <w:p w14:paraId="30747AED">
            <w:pPr>
              <w:numPr>
                <w:ilvl w:val="0"/>
                <w:numId w:val="1"/>
              </w:numPr>
              <w:spacing w:after="0" w:line="276" w:lineRule="auto"/>
              <w:jc w:val="left"/>
              <w:rPr>
                <w:sz w:val="24"/>
              </w:rPr>
            </w:pP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工具头最大移动速度不低于1000 mm/s，工具头最大移动加速度不低于20000 mm/s²，热端最大流速不低于65 mm³/s。（提供功能截图或彩页证明）</w:t>
            </w:r>
          </w:p>
          <w:p w14:paraId="7F9CB0FB">
            <w:pPr>
              <w:numPr>
                <w:ilvl w:val="0"/>
                <w:numId w:val="1"/>
              </w:numPr>
              <w:spacing w:after="0" w:line="276" w:lineRule="auto"/>
              <w:jc w:val="left"/>
              <w:rPr>
                <w:sz w:val="24"/>
              </w:rPr>
            </w:pPr>
            <w:r>
              <w:rPr>
                <w:rFonts w:hint="eastAsia"/>
                <w:sz w:val="24"/>
              </w:rPr>
              <w:t>支持耗材类型：PLA、PETG、TPU、ABS、ASA、PVA、PET、尼龙线材（PA)、聚碳酸酯线材（PC)、PPA-CF/GF、PPS、PPS-CF/GF、碳/玻璃纤维增强线材及相关支撑隔离材料等。</w:t>
            </w:r>
          </w:p>
          <w:p w14:paraId="393E9A0D">
            <w:pPr>
              <w:numPr>
                <w:ilvl w:val="0"/>
                <w:numId w:val="1"/>
              </w:numPr>
              <w:spacing w:after="0" w:line="276" w:lineRule="auto"/>
              <w:jc w:val="left"/>
              <w:rPr>
                <w:sz w:val="24"/>
              </w:rPr>
            </w:pPr>
            <w:r>
              <w:rPr>
                <w:rFonts w:hint="eastAsia"/>
                <w:sz w:val="24"/>
              </w:rPr>
              <w:t>支持热端快拆，主动振动补偿，全自动双喷嘴偏移校准，自动热床调平。</w:t>
            </w:r>
          </w:p>
          <w:p w14:paraId="31A8AAC8">
            <w:pPr>
              <w:numPr>
                <w:ilvl w:val="0"/>
                <w:numId w:val="1"/>
              </w:numPr>
              <w:spacing w:after="0" w:line="276" w:lineRule="auto"/>
              <w:jc w:val="left"/>
              <w:rPr>
                <w:sz w:val="24"/>
              </w:rPr>
            </w:pPr>
            <w:r>
              <w:rPr>
                <w:rFonts w:hint="eastAsia"/>
                <w:sz w:val="24"/>
              </w:rPr>
              <w:t>配备三摄像头计算机视觉系统，实现高精度打印，支持AI首层检测、炒面检测。</w:t>
            </w:r>
          </w:p>
          <w:p w14:paraId="2EAC8E21">
            <w:pPr>
              <w:numPr>
                <w:ilvl w:val="0"/>
                <w:numId w:val="1"/>
              </w:numPr>
              <w:spacing w:after="0" w:line="276" w:lineRule="auto"/>
              <w:jc w:val="left"/>
              <w:rPr>
                <w:sz w:val="24"/>
              </w:rPr>
            </w:pPr>
            <w:r>
              <w:rPr>
                <w:rFonts w:hint="eastAsia"/>
                <w:sz w:val="24"/>
              </w:rPr>
              <w:t>配备喷嘴摄像头，工具头摄像头，支持开门检测。</w:t>
            </w:r>
          </w:p>
          <w:p w14:paraId="2CD548CE">
            <w:pPr>
              <w:numPr>
                <w:ilvl w:val="0"/>
                <w:numId w:val="1"/>
              </w:numPr>
              <w:spacing w:after="0" w:line="276" w:lineRule="auto"/>
              <w:jc w:val="left"/>
              <w:rPr>
                <w:sz w:val="24"/>
              </w:rPr>
            </w:pPr>
            <w:r>
              <w:rPr>
                <w:rFonts w:hint="eastAsia"/>
                <w:sz w:val="24"/>
              </w:rPr>
              <w:t>支持断料检测，缠料检测，断电续打，具备监控打印机状态的健康管理系统。</w:t>
            </w:r>
          </w:p>
          <w:p w14:paraId="0D56BEE3">
            <w:pPr>
              <w:spacing w:after="0" w:line="276" w:lineRule="auto"/>
              <w:jc w:val="left"/>
              <w:rPr>
                <w:sz w:val="24"/>
              </w:rPr>
            </w:pPr>
            <w:r>
              <w:rPr>
                <w:rFonts w:hint="eastAsia"/>
                <w:sz w:val="24"/>
              </w:rPr>
              <w:t>12. 支持耗材用量及余料检测，支持多色打印，最多支持不少于25色。</w:t>
            </w:r>
          </w:p>
          <w:p w14:paraId="53E5B8D8">
            <w:pPr>
              <w:spacing w:after="0" w:line="276" w:lineRule="auto"/>
              <w:jc w:val="left"/>
              <w:rPr>
                <w:sz w:val="24"/>
              </w:rPr>
            </w:pPr>
            <w:r>
              <w:rPr>
                <w:rFonts w:hint="eastAsia"/>
                <w:sz w:val="24"/>
              </w:rPr>
              <w:t xml:space="preserve">13. </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自带空气过滤系统，支持自适应空气循环，配备椰壳活性炭滤芯，初级过滤等级G3，HEPA滤网等级H12。（提供功能截图或彩页证明）</w:t>
            </w:r>
          </w:p>
          <w:p w14:paraId="2EF12105">
            <w:pPr>
              <w:spacing w:after="0" w:line="276" w:lineRule="auto"/>
              <w:jc w:val="left"/>
              <w:rPr>
                <w:sz w:val="24"/>
              </w:rPr>
            </w:pPr>
            <w:r>
              <w:rPr>
                <w:rFonts w:hint="eastAsia"/>
                <w:sz w:val="24"/>
              </w:rPr>
              <w:t xml:space="preserve">14. </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支持主动腔热控制，多传感器闭环温控，最大加热腔温不低于65℃。（提供功能截图或彩页证明）</w:t>
            </w:r>
          </w:p>
          <w:p w14:paraId="738C7B87">
            <w:pPr>
              <w:numPr>
                <w:ilvl w:val="0"/>
                <w:numId w:val="2"/>
              </w:numPr>
              <w:spacing w:after="0" w:line="276" w:lineRule="auto"/>
              <w:jc w:val="left"/>
              <w:rPr>
                <w:sz w:val="24"/>
              </w:rPr>
            </w:pPr>
            <w:r>
              <w:rPr>
                <w:rFonts w:hint="eastAsia"/>
                <w:sz w:val="24"/>
              </w:rPr>
              <w:t>配备触摸显示屏，屏幕尺寸≤5英寸，内置高清相机，支持实时监控及延时摄影。</w:t>
            </w:r>
          </w:p>
          <w:p w14:paraId="6F6BEB84">
            <w:pPr>
              <w:spacing w:after="0" w:line="276" w:lineRule="auto"/>
              <w:jc w:val="left"/>
              <w:rPr>
                <w:sz w:val="24"/>
              </w:rPr>
            </w:pPr>
            <w:r>
              <w:rPr>
                <w:rFonts w:hint="eastAsia"/>
                <w:sz w:val="24"/>
              </w:rPr>
              <w:t>16. 支持通过触摸显示屏、手机端APP、电脑端应用三种操作界面控制。</w:t>
            </w:r>
          </w:p>
          <w:p w14:paraId="1A37225D">
            <w:pPr>
              <w:spacing w:after="0" w:line="276" w:lineRule="auto"/>
              <w:jc w:val="left"/>
              <w:rPr>
                <w:sz w:val="24"/>
              </w:rPr>
            </w:pPr>
            <w:r>
              <w:rPr>
                <w:rFonts w:hint="eastAsia"/>
                <w:sz w:val="24"/>
              </w:rPr>
              <w:t>17. 配备全闭环控制风扇系统，确保打印的高质量和可靠性。</w:t>
            </w:r>
          </w:p>
          <w:p w14:paraId="502E038E">
            <w:pPr>
              <w:spacing w:after="0" w:line="276" w:lineRule="auto"/>
              <w:jc w:val="left"/>
              <w:rPr>
                <w:sz w:val="24"/>
              </w:rPr>
            </w:pPr>
            <w:r>
              <w:rPr>
                <w:rFonts w:hint="eastAsia"/>
                <w:sz w:val="24"/>
              </w:rPr>
              <w:t>18. 支持Wi-Fi通讯。</w:t>
            </w:r>
          </w:p>
          <w:p w14:paraId="104B3A27">
            <w:pPr>
              <w:spacing w:after="0" w:line="276" w:lineRule="auto"/>
              <w:jc w:val="left"/>
            </w:pPr>
            <w:r>
              <w:rPr>
                <w:rFonts w:hint="eastAsia"/>
                <w:sz w:val="24"/>
              </w:rPr>
              <w:t>19.</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sz w:val="24"/>
              </w:rPr>
              <w:t>配备3D打印切片软件，可提供相关软件著作权证书。</w:t>
            </w:r>
          </w:p>
        </w:tc>
        <w:tc>
          <w:tcPr>
            <w:tcW w:w="406" w:type="pct"/>
            <w:vAlign w:val="center"/>
          </w:tcPr>
          <w:p w14:paraId="31029C4C">
            <w:pPr>
              <w:spacing w:after="0" w:line="276" w:lineRule="auto"/>
              <w:jc w:val="center"/>
              <w:rPr>
                <w:sz w:val="24"/>
              </w:rPr>
            </w:pPr>
            <w:r>
              <w:rPr>
                <w:sz w:val="24"/>
              </w:rPr>
              <w:t>15台</w:t>
            </w:r>
          </w:p>
        </w:tc>
      </w:tr>
      <w:tr w14:paraId="506D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556CB264">
            <w:pPr>
              <w:spacing w:after="0" w:line="276" w:lineRule="auto"/>
              <w:jc w:val="center"/>
              <w:rPr>
                <w:sz w:val="24"/>
              </w:rPr>
            </w:pPr>
            <w:r>
              <w:rPr>
                <w:b/>
                <w:sz w:val="24"/>
              </w:rPr>
              <w:t>13</w:t>
            </w:r>
          </w:p>
        </w:tc>
        <w:tc>
          <w:tcPr>
            <w:tcW w:w="433" w:type="pct"/>
            <w:vAlign w:val="center"/>
          </w:tcPr>
          <w:p w14:paraId="4604942C">
            <w:pPr>
              <w:spacing w:after="0" w:line="276" w:lineRule="auto"/>
              <w:jc w:val="left"/>
              <w:rPr>
                <w:sz w:val="24"/>
              </w:rPr>
            </w:pPr>
            <w:r>
              <w:rPr>
                <w:b/>
                <w:sz w:val="24"/>
              </w:rPr>
              <w:t>UV卷平一体打印机</w:t>
            </w:r>
          </w:p>
        </w:tc>
        <w:tc>
          <w:tcPr>
            <w:tcW w:w="3706" w:type="pct"/>
            <w:vAlign w:val="center"/>
          </w:tcPr>
          <w:p w14:paraId="38B540C4">
            <w:pPr>
              <w:spacing w:after="0" w:line="276" w:lineRule="auto"/>
              <w:jc w:val="left"/>
              <w:rPr>
                <w:sz w:val="24"/>
              </w:rPr>
            </w:pPr>
            <w:r>
              <w:rPr>
                <w:sz w:val="24"/>
              </w:rPr>
              <w:t>1. 用于非遗纹样输出、文创衍生品制作、灯具与文具外观打样。</w:t>
            </w:r>
            <w:r>
              <w:rPr>
                <w:sz w:val="24"/>
              </w:rPr>
              <w:br w:type="textWrapping"/>
            </w:r>
            <w:r>
              <w:rPr>
                <w:sz w:val="24"/>
              </w:rPr>
              <w:t>2. ▲设备支持卷材与平板材料打印一体化应用。</w:t>
            </w:r>
            <w:r>
              <w:rPr>
                <w:sz w:val="24"/>
              </w:rPr>
              <w:br w:type="textWrapping"/>
            </w:r>
            <w:r>
              <w:rPr>
                <w:sz w:val="24"/>
              </w:rPr>
              <w:t>3. 打印幅面不低于500×600mm。</w:t>
            </w:r>
            <w:r>
              <w:rPr>
                <w:sz w:val="24"/>
              </w:rPr>
              <w:br w:type="textWrapping"/>
            </w:r>
            <w:r>
              <w:rPr>
                <w:sz w:val="24"/>
              </w:rPr>
              <w:t>4. 配备自动吸附平台或等效方案，打印高度可调。</w:t>
            </w:r>
            <w:r>
              <w:rPr>
                <w:sz w:val="24"/>
              </w:rPr>
              <w:br w:type="textWrapping"/>
            </w:r>
            <w:r>
              <w:rPr>
                <w:sz w:val="24"/>
              </w:rPr>
              <w:t>5. 配置高精度伺服控制系统，走纸与打印稳定。</w:t>
            </w:r>
            <w:r>
              <w:rPr>
                <w:sz w:val="24"/>
              </w:rPr>
              <w:br w:type="textWrapping"/>
            </w:r>
            <w:r>
              <w:rPr>
                <w:sz w:val="24"/>
              </w:rPr>
              <w:t>6. 具备负压供墨系统，满足持续打印需要。</w:t>
            </w:r>
            <w:r>
              <w:rPr>
                <w:sz w:val="24"/>
              </w:rPr>
              <w:br w:type="textWrapping"/>
            </w:r>
            <w:r>
              <w:rPr>
                <w:sz w:val="24"/>
              </w:rPr>
              <w:t>7. 可满足彩色图文输出及常规教学打样需求。</w:t>
            </w:r>
          </w:p>
        </w:tc>
        <w:tc>
          <w:tcPr>
            <w:tcW w:w="406" w:type="pct"/>
            <w:vAlign w:val="center"/>
          </w:tcPr>
          <w:p w14:paraId="1C825E72">
            <w:pPr>
              <w:spacing w:after="0" w:line="276" w:lineRule="auto"/>
              <w:jc w:val="center"/>
              <w:rPr>
                <w:sz w:val="24"/>
              </w:rPr>
            </w:pPr>
            <w:r>
              <w:rPr>
                <w:sz w:val="24"/>
              </w:rPr>
              <w:t>1台</w:t>
            </w:r>
          </w:p>
        </w:tc>
      </w:tr>
      <w:tr w14:paraId="6FDA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2632DE54">
            <w:pPr>
              <w:spacing w:after="0" w:line="276" w:lineRule="auto"/>
              <w:jc w:val="center"/>
              <w:rPr>
                <w:sz w:val="24"/>
              </w:rPr>
            </w:pPr>
            <w:r>
              <w:rPr>
                <w:b/>
                <w:sz w:val="24"/>
              </w:rPr>
              <w:t>14</w:t>
            </w:r>
          </w:p>
        </w:tc>
        <w:tc>
          <w:tcPr>
            <w:tcW w:w="433" w:type="pct"/>
            <w:vAlign w:val="center"/>
          </w:tcPr>
          <w:p w14:paraId="0887F8D6">
            <w:pPr>
              <w:spacing w:after="0" w:line="276" w:lineRule="auto"/>
              <w:jc w:val="left"/>
              <w:rPr>
                <w:sz w:val="24"/>
              </w:rPr>
            </w:pPr>
            <w:r>
              <w:rPr>
                <w:b/>
                <w:sz w:val="24"/>
              </w:rPr>
              <w:t>光纤机</w:t>
            </w:r>
          </w:p>
        </w:tc>
        <w:tc>
          <w:tcPr>
            <w:tcW w:w="3706" w:type="pct"/>
            <w:vAlign w:val="center"/>
          </w:tcPr>
          <w:p w14:paraId="6361E5AF">
            <w:pPr>
              <w:spacing w:after="0" w:line="276" w:lineRule="auto"/>
              <w:jc w:val="left"/>
              <w:rPr>
                <w:sz w:val="24"/>
              </w:rPr>
            </w:pPr>
            <w:r>
              <w:rPr>
                <w:sz w:val="24"/>
              </w:rPr>
              <w:t>1. 用于金属、塑料等材料标记、文创打标及工艺教学。</w:t>
            </w:r>
            <w:r>
              <w:rPr>
                <w:sz w:val="24"/>
              </w:rPr>
              <w:br w:type="textWrapping"/>
            </w:r>
            <w:r>
              <w:rPr>
                <w:sz w:val="24"/>
              </w:rPr>
              <w:t>2. 激光功率不低于30W，适合教学及中小件加工。</w:t>
            </w:r>
            <w:r>
              <w:rPr>
                <w:sz w:val="24"/>
              </w:rPr>
              <w:br w:type="textWrapping"/>
            </w:r>
            <w:r>
              <w:rPr>
                <w:sz w:val="24"/>
              </w:rPr>
              <w:t>3. 支持稳定打标，定位清晰，重复性好。</w:t>
            </w:r>
            <w:r>
              <w:rPr>
                <w:sz w:val="24"/>
              </w:rPr>
              <w:br w:type="textWrapping"/>
            </w:r>
            <w:r>
              <w:rPr>
                <w:sz w:val="24"/>
              </w:rPr>
              <w:t>4. 配置彩色显示界面，支持基础参数设置与设备状态显示。</w:t>
            </w:r>
            <w:r>
              <w:rPr>
                <w:sz w:val="24"/>
              </w:rPr>
              <w:br w:type="textWrapping"/>
            </w:r>
            <w:r>
              <w:rPr>
                <w:sz w:val="24"/>
              </w:rPr>
              <w:t>5. 应具备自动校正、自动评估或同等级辅助功能。</w:t>
            </w:r>
            <w:r>
              <w:rPr>
                <w:sz w:val="24"/>
              </w:rPr>
              <w:br w:type="textWrapping"/>
            </w:r>
            <w:r>
              <w:rPr>
                <w:sz w:val="24"/>
              </w:rPr>
              <w:t>6. 提供基础安全防护附件，满足教学使用要求。</w:t>
            </w:r>
          </w:p>
        </w:tc>
        <w:tc>
          <w:tcPr>
            <w:tcW w:w="406" w:type="pct"/>
            <w:vAlign w:val="center"/>
          </w:tcPr>
          <w:p w14:paraId="3DB55067">
            <w:pPr>
              <w:spacing w:after="0" w:line="276" w:lineRule="auto"/>
              <w:jc w:val="center"/>
              <w:rPr>
                <w:sz w:val="24"/>
              </w:rPr>
            </w:pPr>
            <w:r>
              <w:rPr>
                <w:sz w:val="24"/>
              </w:rPr>
              <w:t>1台</w:t>
            </w:r>
          </w:p>
        </w:tc>
      </w:tr>
      <w:tr w14:paraId="6D73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25C1B49C">
            <w:pPr>
              <w:spacing w:after="0" w:line="276" w:lineRule="auto"/>
              <w:jc w:val="center"/>
              <w:rPr>
                <w:sz w:val="24"/>
              </w:rPr>
            </w:pPr>
            <w:r>
              <w:rPr>
                <w:b/>
                <w:sz w:val="24"/>
              </w:rPr>
              <w:t>15</w:t>
            </w:r>
          </w:p>
        </w:tc>
        <w:tc>
          <w:tcPr>
            <w:tcW w:w="433" w:type="pct"/>
            <w:vAlign w:val="center"/>
          </w:tcPr>
          <w:p w14:paraId="133A8231">
            <w:pPr>
              <w:spacing w:after="0" w:line="276" w:lineRule="auto"/>
              <w:jc w:val="left"/>
              <w:rPr>
                <w:sz w:val="24"/>
              </w:rPr>
            </w:pPr>
            <w:r>
              <w:rPr>
                <w:b/>
                <w:sz w:val="24"/>
              </w:rPr>
              <w:t>存储器</w:t>
            </w:r>
          </w:p>
        </w:tc>
        <w:tc>
          <w:tcPr>
            <w:tcW w:w="3706" w:type="pct"/>
            <w:vAlign w:val="center"/>
          </w:tcPr>
          <w:p w14:paraId="46A14A26">
            <w:pPr>
              <w:spacing w:after="0" w:line="276" w:lineRule="auto"/>
              <w:jc w:val="left"/>
              <w:rPr>
                <w:sz w:val="24"/>
              </w:rPr>
            </w:pPr>
            <w:r>
              <w:rPr>
                <w:sz w:val="24"/>
              </w:rPr>
              <w:t>1. 用于实训室作品、课程资源、项目资料及数据库存储。</w:t>
            </w:r>
            <w:r>
              <w:rPr>
                <w:sz w:val="24"/>
              </w:rPr>
              <w:br w:type="textWrapping"/>
            </w:r>
            <w:r>
              <w:rPr>
                <w:sz w:val="24"/>
              </w:rPr>
              <w:t>2. 存储主机不低于4盘位，配套企业级硬盘，形成稳定存储空间。</w:t>
            </w:r>
            <w:r>
              <w:rPr>
                <w:sz w:val="24"/>
              </w:rPr>
              <w:br w:type="textWrapping"/>
            </w:r>
            <w:r>
              <w:rPr>
                <w:sz w:val="24"/>
              </w:rPr>
              <w:t>3. 处理器不低于四核，内存不低于2GB。</w:t>
            </w:r>
            <w:r>
              <w:rPr>
                <w:sz w:val="24"/>
              </w:rPr>
              <w:br w:type="textWrapping"/>
            </w:r>
            <w:r>
              <w:rPr>
                <w:sz w:val="24"/>
              </w:rPr>
              <w:t>4. 支持自动备份、共享访问、账户权限管理及安防监控扩展应用。</w:t>
            </w:r>
            <w:r>
              <w:rPr>
                <w:sz w:val="24"/>
              </w:rPr>
              <w:br w:type="textWrapping"/>
            </w:r>
            <w:r>
              <w:rPr>
                <w:sz w:val="24"/>
              </w:rPr>
              <w:t>5. 支持局域网数据集中存储与备份，满足实训室长期资料管理要求。</w:t>
            </w:r>
          </w:p>
        </w:tc>
        <w:tc>
          <w:tcPr>
            <w:tcW w:w="406" w:type="pct"/>
            <w:vAlign w:val="center"/>
          </w:tcPr>
          <w:p w14:paraId="34A65E0F">
            <w:pPr>
              <w:spacing w:after="0" w:line="276" w:lineRule="auto"/>
              <w:jc w:val="center"/>
              <w:rPr>
                <w:sz w:val="24"/>
              </w:rPr>
            </w:pPr>
            <w:r>
              <w:rPr>
                <w:sz w:val="24"/>
              </w:rPr>
              <w:t>1台</w:t>
            </w:r>
          </w:p>
        </w:tc>
      </w:tr>
      <w:tr w14:paraId="6C99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453" w:type="pct"/>
            <w:vAlign w:val="center"/>
          </w:tcPr>
          <w:p w14:paraId="79586B2A">
            <w:pPr>
              <w:spacing w:after="0" w:line="276" w:lineRule="auto"/>
              <w:jc w:val="center"/>
              <w:rPr>
                <w:sz w:val="24"/>
              </w:rPr>
            </w:pPr>
            <w:r>
              <w:rPr>
                <w:b/>
                <w:sz w:val="24"/>
              </w:rPr>
              <w:t>16</w:t>
            </w:r>
          </w:p>
        </w:tc>
        <w:tc>
          <w:tcPr>
            <w:tcW w:w="433" w:type="pct"/>
            <w:vAlign w:val="center"/>
          </w:tcPr>
          <w:p w14:paraId="50141DB9">
            <w:pPr>
              <w:spacing w:after="0" w:line="276" w:lineRule="auto"/>
              <w:jc w:val="left"/>
              <w:rPr>
                <w:sz w:val="24"/>
              </w:rPr>
            </w:pPr>
            <w:r>
              <w:rPr>
                <w:b/>
                <w:sz w:val="24"/>
              </w:rPr>
              <w:t>水帘喷涂箱</w:t>
            </w:r>
          </w:p>
        </w:tc>
        <w:tc>
          <w:tcPr>
            <w:tcW w:w="3706" w:type="pct"/>
            <w:vAlign w:val="center"/>
          </w:tcPr>
          <w:p w14:paraId="2EC5189A">
            <w:pPr>
              <w:spacing w:after="0" w:line="276" w:lineRule="auto"/>
              <w:jc w:val="left"/>
              <w:rPr>
                <w:sz w:val="24"/>
              </w:rPr>
            </w:pPr>
            <w:r>
              <w:rPr>
                <w:sz w:val="24"/>
              </w:rPr>
              <w:t>1. 用于模型表面喷涂、上色与后处理工艺教学。</w:t>
            </w:r>
            <w:r>
              <w:rPr>
                <w:sz w:val="24"/>
              </w:rPr>
              <w:br w:type="textWrapping"/>
            </w:r>
            <w:r>
              <w:rPr>
                <w:sz w:val="24"/>
              </w:rPr>
              <w:t>2. 采用水帘过滤或同等环保处理结构，降低喷涂作业污染。</w:t>
            </w:r>
            <w:r>
              <w:rPr>
                <w:sz w:val="24"/>
              </w:rPr>
              <w:br w:type="textWrapping"/>
            </w:r>
            <w:r>
              <w:rPr>
                <w:sz w:val="24"/>
              </w:rPr>
              <w:t>3. 箱体结构稳固，门体密封良好。</w:t>
            </w:r>
            <w:r>
              <w:rPr>
                <w:sz w:val="24"/>
              </w:rPr>
              <w:br w:type="textWrapping"/>
            </w:r>
            <w:r>
              <w:rPr>
                <w:sz w:val="24"/>
              </w:rPr>
              <w:t>4. 关键部位采用耐腐蚀材料，运行平稳，照明清晰。</w:t>
            </w:r>
            <w:r>
              <w:rPr>
                <w:sz w:val="24"/>
              </w:rPr>
              <w:br w:type="textWrapping"/>
            </w:r>
            <w:r>
              <w:rPr>
                <w:sz w:val="24"/>
              </w:rPr>
              <w:t>5. 具备漏电保护或同等级电气安全保护措施。</w:t>
            </w:r>
            <w:r>
              <w:rPr>
                <w:sz w:val="24"/>
              </w:rPr>
              <w:br w:type="textWrapping"/>
            </w:r>
            <w:r>
              <w:rPr>
                <w:sz w:val="24"/>
              </w:rPr>
              <w:t>6. 满足小型模型喷涂教学及样件后处理需求。</w:t>
            </w:r>
          </w:p>
        </w:tc>
        <w:tc>
          <w:tcPr>
            <w:tcW w:w="406" w:type="pct"/>
            <w:vAlign w:val="center"/>
          </w:tcPr>
          <w:p w14:paraId="5A4D8FFB">
            <w:pPr>
              <w:spacing w:after="0" w:line="276" w:lineRule="auto"/>
              <w:jc w:val="center"/>
              <w:rPr>
                <w:sz w:val="24"/>
              </w:rPr>
            </w:pPr>
            <w:r>
              <w:rPr>
                <w:sz w:val="24"/>
              </w:rPr>
              <w:t>1台</w:t>
            </w:r>
          </w:p>
        </w:tc>
      </w:tr>
    </w:tbl>
    <w:p w14:paraId="541DBE82">
      <w:pPr>
        <w:pStyle w:val="85"/>
        <w:ind w:firstLine="0" w:firstLineChars="0"/>
        <w:rPr>
          <w:rFonts w:hint="eastAsia" w:ascii="宋体" w:hAnsi="宋体" w:cs="宋体"/>
          <w:b/>
          <w:color w:val="0D0D0D" w:themeColor="text1" w:themeTint="F2"/>
          <w14:textFill>
            <w14:solidFill>
              <w14:schemeClr w14:val="tx1">
                <w14:lumMod w14:val="95000"/>
                <w14:lumOff w14:val="5000"/>
              </w14:schemeClr>
            </w14:solidFill>
          </w14:textFill>
        </w:rPr>
      </w:pPr>
      <w:r>
        <w:rPr>
          <w:rFonts w:hint="eastAsia" w:ascii="宋体" w:hAnsi="宋体" w:cs="宋体"/>
          <w:b/>
          <w:color w:val="0D0D0D" w:themeColor="text1" w:themeTint="F2"/>
          <w14:textFill>
            <w14:solidFill>
              <w14:schemeClr w14:val="tx1">
                <w14:lumMod w14:val="95000"/>
                <w14:lumOff w14:val="5000"/>
              </w14:schemeClr>
            </w14:solidFill>
          </w14:textFill>
        </w:rPr>
        <w:t>二、商务条款</w:t>
      </w:r>
    </w:p>
    <w:tbl>
      <w:tblPr>
        <w:tblStyle w:val="62"/>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33"/>
        <w:gridCol w:w="6593"/>
      </w:tblGrid>
      <w:tr w14:paraId="7F8A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14:paraId="142255AC">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序号</w:t>
            </w:r>
          </w:p>
        </w:tc>
        <w:tc>
          <w:tcPr>
            <w:tcW w:w="2533" w:type="dxa"/>
            <w:vAlign w:val="center"/>
          </w:tcPr>
          <w:p w14:paraId="043D762A">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项目</w:t>
            </w:r>
          </w:p>
        </w:tc>
        <w:tc>
          <w:tcPr>
            <w:tcW w:w="6593" w:type="dxa"/>
            <w:vAlign w:val="center"/>
          </w:tcPr>
          <w:p w14:paraId="44EAD218">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招标需求内容</w:t>
            </w:r>
          </w:p>
        </w:tc>
      </w:tr>
      <w:tr w14:paraId="7591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14:paraId="0867EC03">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1</w:t>
            </w:r>
          </w:p>
        </w:tc>
        <w:tc>
          <w:tcPr>
            <w:tcW w:w="2533" w:type="dxa"/>
            <w:vAlign w:val="center"/>
          </w:tcPr>
          <w:p w14:paraId="15D5EE8F">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w:t>
            </w:r>
            <w:r>
              <w:rPr>
                <w:rFonts w:hint="eastAsia" w:ascii="宋体" w:hAnsi="宋体" w:cs="宋体"/>
                <w:bCs/>
                <w:color w:val="0D0D0D" w:themeColor="text1" w:themeTint="F2"/>
                <w:sz w:val="24"/>
                <w14:textFill>
                  <w14:solidFill>
                    <w14:schemeClr w14:val="tx1">
                      <w14:lumMod w14:val="95000"/>
                      <w14:lumOff w14:val="5000"/>
                    </w14:schemeClr>
                  </w14:solidFill>
                </w14:textFill>
              </w:rPr>
              <w:t>服务要求</w:t>
            </w:r>
          </w:p>
        </w:tc>
        <w:tc>
          <w:tcPr>
            <w:tcW w:w="6593" w:type="dxa"/>
            <w:vAlign w:val="center"/>
          </w:tcPr>
          <w:p w14:paraId="4B2D91A8">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1.提供3年免费保修，保修期自验收签字之日起计算。保修期间维修、零件更换、人工、差旅等一切费用由投标人负担。</w:t>
            </w:r>
          </w:p>
          <w:p w14:paraId="2E39AC3B">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2.提供24*7的全天候售后服务。合同商品出现故障后，中标人接到采购人通知后，应在不超过4小时内做出响应，不超过24小时解决故障或者提供备用机解决方案。</w:t>
            </w:r>
          </w:p>
        </w:tc>
      </w:tr>
      <w:tr w14:paraId="0BE9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9" w:type="dxa"/>
            <w:vAlign w:val="center"/>
          </w:tcPr>
          <w:p w14:paraId="5941391D">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2</w:t>
            </w:r>
          </w:p>
        </w:tc>
        <w:tc>
          <w:tcPr>
            <w:tcW w:w="2533" w:type="dxa"/>
            <w:vAlign w:val="center"/>
          </w:tcPr>
          <w:p w14:paraId="36390259">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验收</w:t>
            </w:r>
          </w:p>
          <w:p w14:paraId="441BF0FD">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p>
        </w:tc>
        <w:tc>
          <w:tcPr>
            <w:tcW w:w="6593" w:type="dxa"/>
            <w:vAlign w:val="center"/>
          </w:tcPr>
          <w:p w14:paraId="7EF8FFE2">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1.本项目验收依据包括但不限于：招标文件、投标文件、中标通知书、政府采购合同、设备原厂技术说明书/使用说明书、国家现行相关标准、行业标准以及采购人确认的验收大纲。验收遵循“公平、公正、技术达标、功能完整、满足教学使用需求”的原则。 </w:t>
            </w:r>
          </w:p>
          <w:p w14:paraId="317D8979">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2.验收程序分为开箱验收、安装调试验收、培训验收和最终验收四个阶段：</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1）开箱验收：货物到达采购人指定地点后，由采购人和中标人共同进行开箱检查，核对设备名称、品牌型号、数量、外观、配件、随机资料、合格证、保修卡及装箱清单等内容。若发现包装破损、数量短缺、配件不全、资料缺失或设备外观损坏，中标人应在采购人要求期限内完成补齐、更换或整改。</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（2）安装调试验收：中标人负责完成全部设备的安装、连接、调试和联机运行，确保设备达到招标参数要求并具备正常教学使用条件。</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（3）培训验收：中标人应完成对采购人相关教师及管理人员的现场培训，培训内容至少包括设备基本操作、日常维护保养、常见故障排查、安全注意事项及配套软件基础使用。</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（4）最终验收：在全部设备安装调试完成、试运行正常且培训完成后，由采购人组织最终验收。验收合格后，双方签署验收合格文件，设备方可正式投入使用。 </w:t>
            </w:r>
          </w:p>
          <w:p w14:paraId="380FB0E9">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3.本项目验收内容主要包括：</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（1）设备名称、规格型号、数量、产地及配置应与合同、投标响应文件及采购需求一致；</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（2）所有设备均应为全新、未使用过的合格产品，外观完好，无破损、变形、锈蚀、异常噪声等问题；</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（3）随机附件、专用工具、说明书、保修卡、合格证、软件安装介质或下载方式、账号授权资料等应完整齐全；</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（4）所有设备应安装到位、运行正常，满足实训教学、课程展示、项目制作和成果输出等使用需求；</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（5）需要联网、存储或配套软件支持的设备，应完成联调联试并可正常投入使用。 </w:t>
            </w:r>
          </w:p>
          <w:p w14:paraId="4D02BF33">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4.针对主要设备，验收重点包括但不限于以下内容：</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1）高精度手持三维扫描仪及配套软件：通过标准件或典型样件测试扫描功能、精度、扫描速度、拼接与数据输出功能；检查彩色纹理采集、测量、模型处理等功能是否满足招标要求；配套软件应能正常安装、运行和授权使用。</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（2）彩色FDM打印机：通过标准测试件打印验证成型尺寸、打印精度、热床调平、断电续打、耗材兼容、多色打印及设备运行稳定性；打印机及切片软件应能正常联机使用。</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（3）手绘板及手绘笔：检查屏幕显示、触控、压感/倾斜书写、配套性、书写延迟及稳定性，满足设计表达与课堂教学使用要求。</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（4）UV卷平一体打印机、水帘喷涂箱等表面处理设备：检查设备运行稳定性、安全防护、基本打印/喷涂功能、通风或环保处理结构是否正常。</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（5）VR眼镜、4K显示器、360全景摄像机、存储器、路由器等设备：检查设备开机运行、显示与连接、数据存储与访问、无线网络联通等功能是否正常。</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（6）真空消泡桶、便携式无气二保焊、显示器移动支架、色卡等配套设备：检查结构完整性、基本功能、安全性及教学使用适配性。 </w:t>
            </w:r>
          </w:p>
          <w:p w14:paraId="7D6DD839">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5.若本项目涉及软件、授权或配套系统，中标人应提供合法有效的授权证明或相应材料，保证软件可正常安装、激活和使用，授权期限符合投标承诺及合同要求。 </w:t>
            </w:r>
          </w:p>
          <w:p w14:paraId="7A0CF498">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6.中标人应向采购人提交完整的验收资料，包括但不限于：设备清单、装箱单、合格证、说明书、保修资料、软件授权资料、安装调试记录、培训签到及培训材料等。资料不完整的，采购人有权暂缓验收。 </w:t>
            </w:r>
          </w:p>
          <w:p w14:paraId="5E106F04">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7.验收过程中如发现设备或系统存在不符合招标文件、投标承诺或合同要求的情况，采购人有权要求中标人在规定期限内完成整改、补货、更换或重新调试，由此产生的全部费用由中标人承担。 </w:t>
            </w:r>
          </w:p>
          <w:p w14:paraId="377FD9C6">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8.验收结论分为“合格”“限期整改”“不合格”三类：</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（1）合格：设备数量、配置、资料、安装调试、培训及功能测试均符合要求；</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（2）限期整改：存在不影响整体使用的非关键性问题，中标人应在采购人规定期限内完成整改，整改完成后复验；</w:t>
            </w:r>
            <w:r>
              <w:rPr>
                <w:rFonts w:hint="eastAsia" w:ascii="宋体" w:hAnsi="宋体" w:cs="宋体"/>
                <w:bCs/>
                <w:color w:val="0D0D0D" w:themeColor="text1" w:themeTint="F2"/>
                <w:sz w:val="24"/>
                <w14:textFill>
                  <w14:solidFill>
                    <w14:schemeClr w14:val="tx1">
                      <w14:lumMod w14:val="95000"/>
                      <w14:lumOff w14:val="5000"/>
                    </w14:schemeClr>
                  </w14:solidFill>
                </w14:textFill>
              </w:rPr>
              <w:br w:type="textWrapping"/>
            </w: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（3）不合格：关键参数不符合要求、主要功能无法实现、设备不能正常运行或提供虚假资料的，采购人有权拒绝验收，并按合同约定追究责任。 </w:t>
            </w:r>
          </w:p>
          <w:p w14:paraId="3ED25B4B">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9.如中标人委托国内代理商或其他机构负责安装或配合安装，应在签约时书面说明，但中标人仍应对合同货物质量、安装质量、调试结果、培训效果及售后服务承担全部责任。 </w:t>
            </w:r>
          </w:p>
          <w:p w14:paraId="27052856">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 xml:space="preserve">10.与验收相关的测试、复验、整改、补配、更换、运输、安装、调试、培训及资料补交等费用均由中标人承担。 </w:t>
            </w:r>
          </w:p>
        </w:tc>
      </w:tr>
      <w:tr w14:paraId="3198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9" w:type="dxa"/>
            <w:vAlign w:val="center"/>
          </w:tcPr>
          <w:p w14:paraId="0AA81ADF">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w:t>
            </w:r>
          </w:p>
        </w:tc>
        <w:tc>
          <w:tcPr>
            <w:tcW w:w="2533" w:type="dxa"/>
            <w:vAlign w:val="center"/>
          </w:tcPr>
          <w:p w14:paraId="6E1B901C">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培训、技术支持和安装调试</w:t>
            </w:r>
          </w:p>
        </w:tc>
        <w:tc>
          <w:tcPr>
            <w:tcW w:w="6593" w:type="dxa"/>
            <w:vAlign w:val="center"/>
          </w:tcPr>
          <w:p w14:paraId="32747DBB">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w:t>
            </w:r>
            <w:r>
              <w:rPr>
                <w:rFonts w:hint="eastAsia" w:ascii="宋体" w:hAnsi="宋体" w:cs="宋体"/>
                <w:bCs/>
                <w:color w:val="0D0D0D" w:themeColor="text1" w:themeTint="F2"/>
                <w:sz w:val="24"/>
                <w14:textFill>
                  <w14:solidFill>
                    <w14:schemeClr w14:val="tx1">
                      <w14:lumMod w14:val="95000"/>
                      <w14:lumOff w14:val="5000"/>
                    </w14:schemeClr>
                  </w14:solidFill>
                </w14:textFill>
              </w:rPr>
              <w:t>1.培训：</w:t>
            </w:r>
          </w:p>
          <w:p w14:paraId="3A0836A4">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1.1投标人应对采购人提供相应的培训计划并免费进行培训。</w:t>
            </w:r>
          </w:p>
          <w:p w14:paraId="682504E5">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1.2培训方式：现场培训</w:t>
            </w:r>
          </w:p>
          <w:p w14:paraId="6F39C4CB">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1.3培训地点：采购人指定地点</w:t>
            </w:r>
          </w:p>
          <w:p w14:paraId="163F8667">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1.4人数：不限</w:t>
            </w:r>
          </w:p>
          <w:p w14:paraId="1E13CB34">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2.技术支持：中标人应及时提供所需零配件。</w:t>
            </w:r>
          </w:p>
          <w:p w14:paraId="78673CB0">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3.安装调试（若需要安装调试）：</w:t>
            </w:r>
          </w:p>
          <w:p w14:paraId="2B9031FC">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3.1 安装地点：采购人指定地点。</w:t>
            </w:r>
          </w:p>
          <w:p w14:paraId="55DA68BD">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3.2 安装标准：符合我国国家有关技术规范要求和技术标准，所有的软件和硬件必须保证同时安装到位。</w:t>
            </w:r>
          </w:p>
          <w:p w14:paraId="36F0EC7C">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3.3 中标人免费提供合同货物的安装服务。</w:t>
            </w:r>
          </w:p>
          <w:p w14:paraId="53AD1202">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3.4 中标人在投标文件中应提供安装调试计划、对安装场地和环境的要求。</w:t>
            </w:r>
          </w:p>
        </w:tc>
      </w:tr>
      <w:tr w14:paraId="7AD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9" w:type="dxa"/>
            <w:vAlign w:val="center"/>
          </w:tcPr>
          <w:p w14:paraId="4C807C67">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4</w:t>
            </w:r>
          </w:p>
        </w:tc>
        <w:tc>
          <w:tcPr>
            <w:tcW w:w="2533" w:type="dxa"/>
            <w:vAlign w:val="center"/>
          </w:tcPr>
          <w:p w14:paraId="783166B6">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履约保证金</w:t>
            </w:r>
          </w:p>
        </w:tc>
        <w:tc>
          <w:tcPr>
            <w:tcW w:w="6593" w:type="dxa"/>
            <w:vAlign w:val="center"/>
          </w:tcPr>
          <w:p w14:paraId="1A3E5885">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(1)履约保证金金额：合同总价的1%。</w:t>
            </w:r>
          </w:p>
          <w:p w14:paraId="64D6984B">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(2)履约保证金形式：转账或银行、保险公司出具的保函形式。</w:t>
            </w:r>
          </w:p>
          <w:p w14:paraId="179D5502">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(3)履约保证金递交时间：合同签订后7个工作日内。</w:t>
            </w:r>
          </w:p>
          <w:p w14:paraId="09D2E673">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(4)履约保证金退还时间：最终验收后，具体详见付款方式。</w:t>
            </w:r>
          </w:p>
        </w:tc>
      </w:tr>
      <w:tr w14:paraId="75BD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14:paraId="6DB7B70C">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5</w:t>
            </w:r>
          </w:p>
        </w:tc>
        <w:tc>
          <w:tcPr>
            <w:tcW w:w="2533" w:type="dxa"/>
            <w:vAlign w:val="center"/>
          </w:tcPr>
          <w:p w14:paraId="3BF62FE3">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付款方式</w:t>
            </w:r>
          </w:p>
        </w:tc>
        <w:tc>
          <w:tcPr>
            <w:tcW w:w="6593" w:type="dxa"/>
            <w:vAlign w:val="center"/>
          </w:tcPr>
          <w:p w14:paraId="6E97D9EC">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付款方法和条件：</w:t>
            </w:r>
          </w:p>
          <w:p w14:paraId="5290375B">
            <w:pPr>
              <w:spacing w:after="0" w:line="360" w:lineRule="auto"/>
              <w:jc w:val="left"/>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付款条件：通过验收(初验和终验)。</w:t>
            </w:r>
          </w:p>
          <w:p w14:paraId="01A88B62">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付款方式：合同生效以及具备实施条件后7个工作日内，采购人向供应商支付合同总金额30%的预付款（供应商需提交银行、保险公司等金融机构出具的预付款保函或其他担保措施。供应商在签订合同时，表示无需预付款或主动要求降低预付款比例的，可不适用本条款）；安装调试完毕并验收通过后，采购人支付中标人合同总价的70%。每次付款前，中标人应开具正规、足额的发票，否则甲方有权拒绝付款。</w:t>
            </w:r>
          </w:p>
          <w:p w14:paraId="39F7E29A">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ascii="宋体" w:hAnsi="宋体" w:cs="宋体"/>
                <w:color w:val="0D0D0D" w:themeColor="text1" w:themeTint="F2"/>
                <w:sz w:val="24"/>
                <w14:textFill>
                  <w14:solidFill>
                    <w14:schemeClr w14:val="tx1">
                      <w14:lumMod w14:val="95000"/>
                      <w14:lumOff w14:val="5000"/>
                    </w14:schemeClr>
                  </w14:solidFill>
                </w14:textFill>
              </w:rPr>
              <w:t>采购人为实行国库集中支付改革的单位，采购人需向财政国库支付机构提出申请支付令、办理国库支付手续，财政国库支付机构支付流程时间不计入采购人付款期限。</w:t>
            </w:r>
          </w:p>
        </w:tc>
      </w:tr>
      <w:tr w14:paraId="3127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vAlign w:val="center"/>
          </w:tcPr>
          <w:p w14:paraId="7036C346">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6</w:t>
            </w:r>
          </w:p>
        </w:tc>
        <w:tc>
          <w:tcPr>
            <w:tcW w:w="2533" w:type="dxa"/>
            <w:vAlign w:val="center"/>
          </w:tcPr>
          <w:p w14:paraId="7FEE43B2">
            <w:pPr>
              <w:spacing w:after="0" w:line="360" w:lineRule="auto"/>
              <w:jc w:val="center"/>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违约责任</w:t>
            </w:r>
          </w:p>
        </w:tc>
        <w:tc>
          <w:tcPr>
            <w:tcW w:w="6593" w:type="dxa"/>
            <w:vAlign w:val="center"/>
          </w:tcPr>
          <w:p w14:paraId="72A7F9D3">
            <w:pPr>
              <w:spacing w:after="0" w:line="360" w:lineRule="auto"/>
              <w:jc w:val="left"/>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中标后中标供应商放弃中标资格导致重新采购的，应当承担支付代理费和专家评审费等费用在内的赔偿责任。</w:t>
            </w:r>
          </w:p>
        </w:tc>
      </w:tr>
    </w:tbl>
    <w:p w14:paraId="6663EEC6">
      <w:pPr>
        <w:pStyle w:val="23"/>
        <w:rPr>
          <w:rFonts w:hint="eastAsia" w:hAnsi="宋体" w:cs="宋体"/>
          <w:color w:val="0D0D0D" w:themeColor="text1" w:themeTint="F2"/>
          <w14:textFill>
            <w14:solidFill>
              <w14:schemeClr w14:val="tx1">
                <w14:lumMod w14:val="95000"/>
                <w14:lumOff w14:val="5000"/>
              </w14:schemeClr>
            </w14:solidFill>
          </w14:textFill>
        </w:rPr>
      </w:pPr>
    </w:p>
    <w:p w14:paraId="22CC0D87">
      <w:pPr>
        <w:jc w:val="left"/>
        <w:rPr>
          <w:rFonts w:hint="eastAsia" w:ascii="宋体" w:hAnsi="宋体" w:cs="宋体"/>
          <w:b/>
          <w:color w:val="0D0D0D" w:themeColor="text1" w:themeTint="F2"/>
          <w:sz w:val="36"/>
          <w:szCs w:val="36"/>
          <w14:textFill>
            <w14:solidFill>
              <w14:schemeClr w14:val="tx1">
                <w14:lumMod w14:val="95000"/>
                <w14:lumOff w14:val="5000"/>
              </w14:schemeClr>
            </w14:solidFill>
          </w14:textFill>
        </w:rPr>
      </w:pPr>
      <w:bookmarkStart w:id="35" w:name="_Toc20244"/>
      <w:r>
        <w:rPr>
          <w:rFonts w:hint="eastAsia" w:ascii="宋体" w:hAnsi="宋体" w:cs="宋体"/>
          <w:b/>
          <w:color w:val="0D0D0D" w:themeColor="text1" w:themeTint="F2"/>
          <w:sz w:val="36"/>
          <w:szCs w:val="36"/>
          <w14:textFill>
            <w14:solidFill>
              <w14:schemeClr w14:val="tx1">
                <w14:lumMod w14:val="95000"/>
                <w14:lumOff w14:val="5000"/>
              </w14:schemeClr>
            </w14:solidFill>
          </w14:textFill>
        </w:rPr>
        <w:br w:type="page"/>
      </w:r>
    </w:p>
    <w:p w14:paraId="092FC797">
      <w:pPr>
        <w:spacing w:line="360" w:lineRule="auto"/>
        <w:jc w:val="center"/>
        <w:outlineLvl w:val="0"/>
        <w:rPr>
          <w:rFonts w:hint="eastAsia" w:ascii="宋体" w:hAnsi="宋体" w:cs="宋体"/>
          <w:b/>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color w:val="0D0D0D" w:themeColor="text1" w:themeTint="F2"/>
          <w:sz w:val="36"/>
          <w:szCs w:val="36"/>
          <w14:textFill>
            <w14:solidFill>
              <w14:schemeClr w14:val="tx1">
                <w14:lumMod w14:val="95000"/>
                <w14:lumOff w14:val="5000"/>
              </w14:schemeClr>
            </w14:solidFill>
          </w14:textFill>
        </w:rPr>
        <w:t xml:space="preserve">第四部分   </w:t>
      </w:r>
      <w:bookmarkStart w:id="36" w:name="_Toc184314450"/>
      <w:bookmarkEnd w:id="36"/>
      <w:bookmarkStart w:id="37" w:name="_Toc184312084"/>
      <w:bookmarkEnd w:id="37"/>
      <w:bookmarkStart w:id="38" w:name="_Toc184308082"/>
      <w:bookmarkEnd w:id="38"/>
      <w:bookmarkStart w:id="39" w:name="_Toc184314454"/>
      <w:bookmarkEnd w:id="39"/>
      <w:bookmarkStart w:id="40" w:name="_Toc184308072"/>
      <w:bookmarkEnd w:id="40"/>
      <w:bookmarkStart w:id="41" w:name="_Toc184313280"/>
      <w:bookmarkEnd w:id="41"/>
      <w:bookmarkStart w:id="42" w:name="_Toc184308107"/>
      <w:bookmarkEnd w:id="42"/>
      <w:bookmarkStart w:id="43" w:name="_Toc184314418"/>
      <w:bookmarkEnd w:id="43"/>
      <w:bookmarkStart w:id="44" w:name="_Toc184308043"/>
      <w:bookmarkEnd w:id="44"/>
      <w:bookmarkStart w:id="45" w:name="_Toc184314466"/>
      <w:bookmarkEnd w:id="45"/>
      <w:bookmarkStart w:id="46" w:name="_Toc184312125"/>
      <w:bookmarkEnd w:id="46"/>
      <w:bookmarkStart w:id="47" w:name="_Toc184310284"/>
      <w:bookmarkEnd w:id="47"/>
      <w:bookmarkStart w:id="48" w:name="_Toc184308084"/>
      <w:bookmarkEnd w:id="48"/>
      <w:bookmarkStart w:id="49" w:name="_Toc184308078"/>
      <w:bookmarkEnd w:id="49"/>
      <w:bookmarkStart w:id="50" w:name="_Toc184314438"/>
      <w:bookmarkEnd w:id="50"/>
      <w:bookmarkStart w:id="51" w:name="_Toc184310296"/>
      <w:bookmarkEnd w:id="51"/>
      <w:bookmarkStart w:id="52" w:name="_Toc184313289"/>
      <w:bookmarkEnd w:id="52"/>
      <w:bookmarkStart w:id="53" w:name="_Toc184313272"/>
      <w:bookmarkEnd w:id="53"/>
      <w:bookmarkStart w:id="54" w:name="_Toc184313310"/>
      <w:bookmarkEnd w:id="54"/>
      <w:bookmarkStart w:id="55" w:name="_Toc184308041"/>
      <w:bookmarkEnd w:id="55"/>
      <w:bookmarkStart w:id="56" w:name="_Toc184308055"/>
      <w:bookmarkEnd w:id="56"/>
      <w:bookmarkStart w:id="57" w:name="_Toc184310340"/>
      <w:bookmarkEnd w:id="57"/>
      <w:bookmarkStart w:id="58" w:name="_Toc184314453"/>
      <w:bookmarkEnd w:id="58"/>
      <w:bookmarkStart w:id="59" w:name="_Toc184314470"/>
      <w:bookmarkEnd w:id="59"/>
      <w:bookmarkStart w:id="60" w:name="_Toc184314460"/>
      <w:bookmarkEnd w:id="60"/>
      <w:bookmarkStart w:id="61" w:name="_Toc184314425"/>
      <w:bookmarkEnd w:id="61"/>
      <w:bookmarkStart w:id="62" w:name="_Toc184308101"/>
      <w:bookmarkEnd w:id="62"/>
      <w:bookmarkStart w:id="63" w:name="_Toc184310278"/>
      <w:bookmarkEnd w:id="63"/>
      <w:bookmarkStart w:id="64" w:name="_Toc184308049"/>
      <w:bookmarkEnd w:id="64"/>
      <w:bookmarkStart w:id="65" w:name="_Toc184312105"/>
      <w:bookmarkEnd w:id="65"/>
      <w:bookmarkStart w:id="66" w:name="_Toc184310312"/>
      <w:bookmarkEnd w:id="66"/>
      <w:bookmarkStart w:id="67" w:name="_Toc184313266"/>
      <w:bookmarkEnd w:id="67"/>
      <w:bookmarkStart w:id="68" w:name="_Toc184313239"/>
      <w:bookmarkEnd w:id="68"/>
      <w:bookmarkStart w:id="69" w:name="_Toc184310327"/>
      <w:bookmarkEnd w:id="69"/>
      <w:bookmarkStart w:id="70" w:name="_Toc184314473"/>
      <w:bookmarkEnd w:id="70"/>
      <w:bookmarkStart w:id="71" w:name="_Toc184313269"/>
      <w:bookmarkEnd w:id="71"/>
      <w:bookmarkStart w:id="72" w:name="_Toc184313291"/>
      <w:bookmarkEnd w:id="72"/>
      <w:bookmarkStart w:id="73" w:name="_Toc184312096"/>
      <w:bookmarkEnd w:id="73"/>
      <w:bookmarkStart w:id="74" w:name="_Toc184313248"/>
      <w:bookmarkEnd w:id="74"/>
      <w:bookmarkStart w:id="75" w:name="_Toc184308057"/>
      <w:bookmarkEnd w:id="75"/>
      <w:bookmarkStart w:id="76" w:name="_Toc184314437"/>
      <w:bookmarkEnd w:id="76"/>
      <w:bookmarkStart w:id="77" w:name="_Toc184310318"/>
      <w:bookmarkEnd w:id="77"/>
      <w:bookmarkStart w:id="78" w:name="_Toc184313305"/>
      <w:bookmarkEnd w:id="78"/>
      <w:bookmarkStart w:id="79" w:name="_Toc184312067"/>
      <w:bookmarkEnd w:id="79"/>
      <w:bookmarkStart w:id="80" w:name="_Toc184308080"/>
      <w:bookmarkEnd w:id="80"/>
      <w:bookmarkStart w:id="81" w:name="_Toc184308039"/>
      <w:bookmarkEnd w:id="81"/>
      <w:bookmarkStart w:id="82" w:name="_Toc184313276"/>
      <w:bookmarkEnd w:id="82"/>
      <w:bookmarkStart w:id="83" w:name="_Toc184310276"/>
      <w:bookmarkEnd w:id="83"/>
      <w:bookmarkStart w:id="84" w:name="_Toc184312076"/>
      <w:bookmarkEnd w:id="84"/>
      <w:bookmarkStart w:id="85" w:name="_Toc184313240"/>
      <w:bookmarkEnd w:id="85"/>
      <w:bookmarkStart w:id="86" w:name="_Toc184314478"/>
      <w:bookmarkEnd w:id="86"/>
      <w:bookmarkStart w:id="87" w:name="_Toc184314449"/>
      <w:bookmarkEnd w:id="87"/>
      <w:bookmarkStart w:id="88" w:name="_Toc184314435"/>
      <w:bookmarkEnd w:id="88"/>
      <w:bookmarkStart w:id="89" w:name="_Toc184310302"/>
      <w:bookmarkEnd w:id="89"/>
      <w:bookmarkStart w:id="90" w:name="_Toc184310315"/>
      <w:bookmarkEnd w:id="90"/>
      <w:bookmarkStart w:id="91" w:name="_Toc184312133"/>
      <w:bookmarkEnd w:id="91"/>
      <w:bookmarkStart w:id="92" w:name="_Toc184308086"/>
      <w:bookmarkEnd w:id="92"/>
      <w:bookmarkStart w:id="93" w:name="_Toc184310343"/>
      <w:bookmarkEnd w:id="93"/>
      <w:bookmarkStart w:id="94" w:name="_Toc184312071"/>
      <w:bookmarkEnd w:id="94"/>
      <w:bookmarkStart w:id="95" w:name="_Toc184314481"/>
      <w:bookmarkEnd w:id="95"/>
      <w:bookmarkStart w:id="96" w:name="_Toc184308098"/>
      <w:bookmarkEnd w:id="96"/>
      <w:bookmarkStart w:id="97" w:name="_Toc184308075"/>
      <w:bookmarkEnd w:id="97"/>
      <w:bookmarkStart w:id="98" w:name="_Toc184312132"/>
      <w:bookmarkEnd w:id="98"/>
      <w:bookmarkStart w:id="99" w:name="_Toc184313258"/>
      <w:bookmarkEnd w:id="99"/>
      <w:bookmarkStart w:id="100" w:name="_Toc184313281"/>
      <w:bookmarkEnd w:id="100"/>
      <w:bookmarkStart w:id="101" w:name="_Toc184312137"/>
      <w:bookmarkEnd w:id="101"/>
      <w:bookmarkStart w:id="102" w:name="_Toc184308104"/>
      <w:bookmarkEnd w:id="102"/>
      <w:bookmarkStart w:id="103" w:name="_Toc184308070"/>
      <w:bookmarkEnd w:id="103"/>
      <w:bookmarkStart w:id="104" w:name="_Toc184313241"/>
      <w:bookmarkEnd w:id="104"/>
      <w:bookmarkStart w:id="105" w:name="_Toc184310314"/>
      <w:bookmarkEnd w:id="105"/>
      <w:bookmarkStart w:id="106" w:name="_Toc184313278"/>
      <w:bookmarkEnd w:id="106"/>
      <w:bookmarkStart w:id="107" w:name="_Toc184308038"/>
      <w:bookmarkEnd w:id="107"/>
      <w:bookmarkStart w:id="108" w:name="_Toc184310344"/>
      <w:bookmarkEnd w:id="108"/>
      <w:bookmarkStart w:id="109" w:name="_Toc184308096"/>
      <w:bookmarkEnd w:id="109"/>
      <w:bookmarkStart w:id="110" w:name="_Toc184308058"/>
      <w:bookmarkEnd w:id="110"/>
      <w:bookmarkStart w:id="111" w:name="_Toc184313265"/>
      <w:bookmarkEnd w:id="111"/>
      <w:bookmarkStart w:id="112" w:name="_Toc184308094"/>
      <w:bookmarkEnd w:id="112"/>
      <w:bookmarkStart w:id="113" w:name="_Toc184312087"/>
      <w:bookmarkEnd w:id="113"/>
      <w:bookmarkStart w:id="114" w:name="_Toc184312090"/>
      <w:bookmarkEnd w:id="114"/>
      <w:bookmarkStart w:id="115" w:name="_Toc184313283"/>
      <w:bookmarkEnd w:id="115"/>
      <w:bookmarkStart w:id="116" w:name="_Toc184314412"/>
      <w:bookmarkEnd w:id="116"/>
      <w:bookmarkStart w:id="117" w:name="_Toc184308081"/>
      <w:bookmarkEnd w:id="117"/>
      <w:bookmarkStart w:id="118" w:name="_Toc184313264"/>
      <w:bookmarkEnd w:id="118"/>
      <w:bookmarkStart w:id="119" w:name="_Toc184312080"/>
      <w:bookmarkEnd w:id="119"/>
      <w:bookmarkStart w:id="120" w:name="_Toc184312098"/>
      <w:bookmarkEnd w:id="120"/>
      <w:bookmarkStart w:id="121" w:name="_Toc184313250"/>
      <w:bookmarkEnd w:id="121"/>
      <w:bookmarkStart w:id="122" w:name="_Toc184310295"/>
      <w:bookmarkEnd w:id="122"/>
      <w:bookmarkStart w:id="123" w:name="_Toc184313271"/>
      <w:bookmarkEnd w:id="123"/>
      <w:bookmarkStart w:id="124" w:name="_Toc184314427"/>
      <w:bookmarkEnd w:id="124"/>
      <w:bookmarkStart w:id="125" w:name="_Toc184314419"/>
      <w:bookmarkEnd w:id="125"/>
      <w:bookmarkStart w:id="126" w:name="_Toc184314458"/>
      <w:bookmarkEnd w:id="126"/>
      <w:bookmarkStart w:id="127" w:name="_Toc184314456"/>
      <w:bookmarkEnd w:id="127"/>
      <w:bookmarkStart w:id="128" w:name="_Toc184308085"/>
      <w:bookmarkEnd w:id="128"/>
      <w:bookmarkStart w:id="129" w:name="_Toc184310299"/>
      <w:bookmarkEnd w:id="129"/>
      <w:bookmarkStart w:id="130" w:name="_Toc184308102"/>
      <w:bookmarkEnd w:id="130"/>
      <w:bookmarkStart w:id="131" w:name="_Toc184314479"/>
      <w:bookmarkEnd w:id="131"/>
      <w:bookmarkStart w:id="132" w:name="_Toc184313298"/>
      <w:bookmarkEnd w:id="132"/>
      <w:bookmarkStart w:id="133" w:name="_Toc184312119"/>
      <w:bookmarkEnd w:id="133"/>
      <w:bookmarkStart w:id="134" w:name="_Toc184313293"/>
      <w:bookmarkEnd w:id="134"/>
      <w:bookmarkStart w:id="135" w:name="_Toc184313263"/>
      <w:bookmarkEnd w:id="135"/>
      <w:bookmarkStart w:id="136" w:name="_Toc184308056"/>
      <w:bookmarkEnd w:id="136"/>
      <w:bookmarkStart w:id="137" w:name="_Toc184310313"/>
      <w:bookmarkEnd w:id="137"/>
      <w:bookmarkStart w:id="138" w:name="_Toc184313247"/>
      <w:bookmarkEnd w:id="138"/>
      <w:bookmarkStart w:id="139" w:name="_Toc184308083"/>
      <w:bookmarkEnd w:id="139"/>
      <w:bookmarkStart w:id="140" w:name="_Toc184312122"/>
      <w:bookmarkEnd w:id="140"/>
      <w:bookmarkStart w:id="141" w:name="_Toc184313299"/>
      <w:bookmarkEnd w:id="141"/>
      <w:bookmarkStart w:id="142" w:name="_Toc184312116"/>
      <w:bookmarkEnd w:id="142"/>
      <w:bookmarkStart w:id="143" w:name="_Toc184312112"/>
      <w:bookmarkEnd w:id="143"/>
      <w:bookmarkStart w:id="144" w:name="_Toc184314421"/>
      <w:bookmarkEnd w:id="144"/>
      <w:bookmarkStart w:id="145" w:name="_Toc184308089"/>
      <w:bookmarkEnd w:id="145"/>
      <w:bookmarkStart w:id="146" w:name="_Toc184314457"/>
      <w:bookmarkEnd w:id="146"/>
      <w:bookmarkStart w:id="147" w:name="_Toc184312088"/>
      <w:bookmarkEnd w:id="147"/>
      <w:bookmarkStart w:id="148" w:name="_Toc184308068"/>
      <w:bookmarkEnd w:id="148"/>
      <w:bookmarkStart w:id="149" w:name="_Toc184308046"/>
      <w:bookmarkEnd w:id="149"/>
      <w:bookmarkStart w:id="150" w:name="_Toc184313243"/>
      <w:bookmarkEnd w:id="150"/>
      <w:bookmarkStart w:id="151" w:name="_Toc184313286"/>
      <w:bookmarkEnd w:id="151"/>
      <w:bookmarkStart w:id="152" w:name="_Toc184314439"/>
      <w:bookmarkEnd w:id="152"/>
      <w:bookmarkStart w:id="153" w:name="_Toc184312079"/>
      <w:bookmarkEnd w:id="153"/>
      <w:bookmarkStart w:id="154" w:name="_Toc184310308"/>
      <w:bookmarkEnd w:id="154"/>
      <w:bookmarkStart w:id="155" w:name="_Toc184313242"/>
      <w:bookmarkEnd w:id="155"/>
      <w:bookmarkStart w:id="156" w:name="_Toc184314474"/>
      <w:bookmarkEnd w:id="156"/>
      <w:bookmarkStart w:id="157" w:name="_Toc184310319"/>
      <w:bookmarkEnd w:id="157"/>
      <w:bookmarkStart w:id="158" w:name="_Toc184308091"/>
      <w:bookmarkEnd w:id="158"/>
      <w:bookmarkStart w:id="159" w:name="_Toc184310303"/>
      <w:bookmarkEnd w:id="159"/>
      <w:bookmarkStart w:id="160" w:name="_Toc184313287"/>
      <w:bookmarkEnd w:id="160"/>
      <w:bookmarkStart w:id="161" w:name="_Toc184314436"/>
      <w:bookmarkEnd w:id="161"/>
      <w:bookmarkStart w:id="162" w:name="_Toc184312083"/>
      <w:bookmarkEnd w:id="162"/>
      <w:bookmarkStart w:id="163" w:name="_Toc184310286"/>
      <w:bookmarkEnd w:id="163"/>
      <w:bookmarkStart w:id="164" w:name="_Toc184310326"/>
      <w:bookmarkEnd w:id="164"/>
      <w:bookmarkStart w:id="165" w:name="_Toc184310316"/>
      <w:bookmarkEnd w:id="165"/>
      <w:bookmarkStart w:id="166" w:name="_Toc184314413"/>
      <w:bookmarkEnd w:id="166"/>
      <w:bookmarkStart w:id="167" w:name="_Toc184313255"/>
      <w:bookmarkEnd w:id="167"/>
      <w:bookmarkStart w:id="168" w:name="_Toc184308103"/>
      <w:bookmarkEnd w:id="168"/>
      <w:bookmarkStart w:id="169" w:name="_Toc184313268"/>
      <w:bookmarkEnd w:id="169"/>
      <w:bookmarkStart w:id="170" w:name="_Toc184313302"/>
      <w:bookmarkEnd w:id="170"/>
      <w:bookmarkStart w:id="171" w:name="_Toc184312073"/>
      <w:bookmarkEnd w:id="171"/>
      <w:bookmarkStart w:id="172" w:name="_Toc184312135"/>
      <w:bookmarkEnd w:id="172"/>
      <w:bookmarkStart w:id="173" w:name="_Toc184308061"/>
      <w:bookmarkEnd w:id="173"/>
      <w:bookmarkStart w:id="174" w:name="_Toc184313275"/>
      <w:bookmarkEnd w:id="174"/>
      <w:bookmarkStart w:id="175" w:name="_Toc184312110"/>
      <w:bookmarkEnd w:id="175"/>
      <w:bookmarkStart w:id="176" w:name="_Toc184312127"/>
      <w:bookmarkEnd w:id="176"/>
      <w:bookmarkStart w:id="177" w:name="_Toc184308045"/>
      <w:bookmarkEnd w:id="177"/>
      <w:bookmarkStart w:id="178" w:name="_Toc184314441"/>
      <w:bookmarkEnd w:id="178"/>
      <w:bookmarkStart w:id="179" w:name="_Toc184312123"/>
      <w:bookmarkEnd w:id="179"/>
      <w:bookmarkStart w:id="180" w:name="_Toc184314430"/>
      <w:bookmarkEnd w:id="180"/>
      <w:bookmarkStart w:id="181" w:name="_Toc184313306"/>
      <w:bookmarkEnd w:id="181"/>
      <w:bookmarkStart w:id="182" w:name="_Toc184314468"/>
      <w:bookmarkEnd w:id="182"/>
      <w:bookmarkStart w:id="183" w:name="_Toc184312124"/>
      <w:bookmarkEnd w:id="183"/>
      <w:bookmarkStart w:id="184" w:name="_Toc184308064"/>
      <w:bookmarkEnd w:id="184"/>
      <w:bookmarkStart w:id="185" w:name="_Toc184314451"/>
      <w:bookmarkEnd w:id="185"/>
      <w:bookmarkStart w:id="186" w:name="_Toc184308040"/>
      <w:bookmarkEnd w:id="186"/>
      <w:bookmarkStart w:id="187" w:name="_Toc184310332"/>
      <w:bookmarkEnd w:id="187"/>
      <w:bookmarkStart w:id="188" w:name="_Toc184310289"/>
      <w:bookmarkEnd w:id="188"/>
      <w:bookmarkStart w:id="189" w:name="_Toc184314480"/>
      <w:bookmarkEnd w:id="189"/>
      <w:bookmarkStart w:id="190" w:name="_Toc184312104"/>
      <w:bookmarkEnd w:id="190"/>
      <w:bookmarkStart w:id="191" w:name="_Toc184310290"/>
      <w:bookmarkEnd w:id="191"/>
      <w:bookmarkStart w:id="192" w:name="_Toc184312077"/>
      <w:bookmarkEnd w:id="192"/>
      <w:bookmarkStart w:id="193" w:name="_Toc184310338"/>
      <w:bookmarkEnd w:id="193"/>
      <w:bookmarkStart w:id="194" w:name="_Toc184310281"/>
      <w:bookmarkEnd w:id="194"/>
      <w:bookmarkStart w:id="195" w:name="_Toc184312081"/>
      <w:bookmarkEnd w:id="195"/>
      <w:bookmarkStart w:id="196" w:name="_Toc184313249"/>
      <w:bookmarkEnd w:id="196"/>
      <w:bookmarkStart w:id="197" w:name="_Toc184314476"/>
      <w:bookmarkEnd w:id="197"/>
      <w:bookmarkStart w:id="198" w:name="_Toc184310282"/>
      <w:bookmarkEnd w:id="198"/>
      <w:bookmarkStart w:id="199" w:name="_Toc184310328"/>
      <w:bookmarkEnd w:id="199"/>
      <w:bookmarkStart w:id="200" w:name="_Toc184313284"/>
      <w:bookmarkEnd w:id="200"/>
      <w:bookmarkStart w:id="201" w:name="_Toc184310285"/>
      <w:bookmarkEnd w:id="201"/>
      <w:bookmarkStart w:id="202" w:name="_Toc184310321"/>
      <w:bookmarkEnd w:id="202"/>
      <w:bookmarkStart w:id="203" w:name="_Toc184313295"/>
      <w:bookmarkEnd w:id="203"/>
      <w:bookmarkStart w:id="204" w:name="_Toc184314469"/>
      <w:bookmarkEnd w:id="204"/>
      <w:bookmarkStart w:id="205" w:name="_Toc184314423"/>
      <w:bookmarkEnd w:id="205"/>
      <w:bookmarkStart w:id="206" w:name="_Toc184308100"/>
      <w:bookmarkEnd w:id="206"/>
      <w:bookmarkStart w:id="207" w:name="_Toc184310287"/>
      <w:bookmarkEnd w:id="207"/>
      <w:bookmarkStart w:id="208" w:name="_Toc184308065"/>
      <w:bookmarkEnd w:id="208"/>
      <w:bookmarkStart w:id="209" w:name="_Toc184312106"/>
      <w:bookmarkEnd w:id="209"/>
      <w:bookmarkStart w:id="210" w:name="_Toc184314475"/>
      <w:bookmarkEnd w:id="210"/>
      <w:bookmarkStart w:id="211" w:name="_Toc184314472"/>
      <w:bookmarkEnd w:id="211"/>
      <w:bookmarkStart w:id="212" w:name="_Toc184312113"/>
      <w:bookmarkEnd w:id="212"/>
      <w:bookmarkStart w:id="213" w:name="_Toc184313256"/>
      <w:bookmarkEnd w:id="213"/>
      <w:bookmarkStart w:id="214" w:name="_Toc184308050"/>
      <w:bookmarkEnd w:id="214"/>
      <w:bookmarkStart w:id="215" w:name="_Toc184313294"/>
      <w:bookmarkEnd w:id="215"/>
      <w:bookmarkStart w:id="216" w:name="_Toc184310273"/>
      <w:bookmarkEnd w:id="216"/>
      <w:bookmarkStart w:id="217" w:name="_Toc184312085"/>
      <w:bookmarkEnd w:id="217"/>
      <w:bookmarkStart w:id="218" w:name="_Toc184310275"/>
      <w:bookmarkEnd w:id="218"/>
      <w:bookmarkStart w:id="219" w:name="_Toc184314463"/>
      <w:bookmarkEnd w:id="219"/>
      <w:bookmarkStart w:id="220" w:name="_Toc184308097"/>
      <w:bookmarkEnd w:id="220"/>
      <w:bookmarkStart w:id="221" w:name="_Toc184313300"/>
      <w:bookmarkEnd w:id="221"/>
      <w:bookmarkStart w:id="222" w:name="_Toc184314471"/>
      <w:bookmarkEnd w:id="222"/>
      <w:bookmarkStart w:id="223" w:name="_Toc184313303"/>
      <w:bookmarkEnd w:id="223"/>
      <w:bookmarkStart w:id="224" w:name="_Toc184314477"/>
      <w:bookmarkEnd w:id="224"/>
      <w:bookmarkStart w:id="225" w:name="_Toc184310325"/>
      <w:bookmarkEnd w:id="225"/>
      <w:bookmarkStart w:id="226" w:name="_Toc184314445"/>
      <w:bookmarkEnd w:id="226"/>
      <w:bookmarkStart w:id="227" w:name="_Toc184314420"/>
      <w:bookmarkEnd w:id="227"/>
      <w:bookmarkStart w:id="228" w:name="_Toc184310293"/>
      <w:bookmarkEnd w:id="228"/>
      <w:bookmarkStart w:id="229" w:name="_Toc184310330"/>
      <w:bookmarkEnd w:id="229"/>
      <w:bookmarkStart w:id="230" w:name="_Toc184312095"/>
      <w:bookmarkEnd w:id="230"/>
      <w:bookmarkStart w:id="231" w:name="_Toc184312103"/>
      <w:bookmarkEnd w:id="231"/>
      <w:bookmarkStart w:id="232" w:name="_Toc184312100"/>
      <w:bookmarkEnd w:id="232"/>
      <w:bookmarkStart w:id="233" w:name="_Toc184313290"/>
      <w:bookmarkEnd w:id="233"/>
      <w:bookmarkStart w:id="234" w:name="_Toc184308069"/>
      <w:bookmarkEnd w:id="234"/>
      <w:bookmarkStart w:id="235" w:name="_Toc184310306"/>
      <w:bookmarkEnd w:id="235"/>
      <w:bookmarkStart w:id="236" w:name="_Toc184314428"/>
      <w:bookmarkEnd w:id="236"/>
      <w:bookmarkStart w:id="237" w:name="_Toc184312139"/>
      <w:bookmarkEnd w:id="237"/>
      <w:bookmarkStart w:id="238" w:name="_Toc184308108"/>
      <w:bookmarkEnd w:id="238"/>
      <w:bookmarkStart w:id="239" w:name="_Toc184308053"/>
      <w:bookmarkEnd w:id="239"/>
      <w:bookmarkStart w:id="240" w:name="_Toc184310280"/>
      <w:bookmarkEnd w:id="240"/>
      <w:bookmarkStart w:id="241" w:name="_Toc184313279"/>
      <w:bookmarkEnd w:id="241"/>
      <w:bookmarkStart w:id="242" w:name="_Toc184312138"/>
      <w:bookmarkEnd w:id="242"/>
      <w:bookmarkStart w:id="243" w:name="_Toc184314433"/>
      <w:bookmarkEnd w:id="243"/>
      <w:bookmarkStart w:id="244" w:name="_Toc184308099"/>
      <w:bookmarkEnd w:id="244"/>
      <w:bookmarkStart w:id="245" w:name="_Toc184314410"/>
      <w:bookmarkEnd w:id="245"/>
      <w:bookmarkStart w:id="246" w:name="_Toc184314444"/>
      <w:bookmarkEnd w:id="246"/>
      <w:bookmarkStart w:id="247" w:name="_Toc184313238"/>
      <w:bookmarkEnd w:id="247"/>
      <w:bookmarkStart w:id="248" w:name="_Toc184314447"/>
      <w:bookmarkEnd w:id="248"/>
      <w:bookmarkStart w:id="249" w:name="_Toc184308095"/>
      <w:bookmarkEnd w:id="249"/>
      <w:bookmarkStart w:id="250" w:name="_Toc184313257"/>
      <w:bookmarkEnd w:id="250"/>
      <w:bookmarkStart w:id="251" w:name="_Toc184308087"/>
      <w:bookmarkEnd w:id="251"/>
      <w:bookmarkStart w:id="252" w:name="_Toc184314411"/>
      <w:bookmarkEnd w:id="252"/>
      <w:bookmarkStart w:id="253" w:name="_Toc184313260"/>
      <w:bookmarkEnd w:id="253"/>
      <w:bookmarkStart w:id="254" w:name="_Toc184314431"/>
      <w:bookmarkEnd w:id="254"/>
      <w:bookmarkStart w:id="255" w:name="_Toc184314429"/>
      <w:bookmarkEnd w:id="255"/>
      <w:bookmarkStart w:id="256" w:name="_Toc184312097"/>
      <w:bookmarkEnd w:id="256"/>
      <w:bookmarkStart w:id="257" w:name="_Toc184310277"/>
      <w:bookmarkEnd w:id="257"/>
      <w:bookmarkStart w:id="258" w:name="_Toc184308106"/>
      <w:bookmarkEnd w:id="258"/>
      <w:bookmarkStart w:id="259" w:name="_Toc184314415"/>
      <w:bookmarkEnd w:id="259"/>
      <w:bookmarkStart w:id="260" w:name="_Toc184308071"/>
      <w:bookmarkEnd w:id="260"/>
      <w:bookmarkStart w:id="261" w:name="_Toc184312102"/>
      <w:bookmarkEnd w:id="261"/>
      <w:bookmarkStart w:id="262" w:name="_Toc184314452"/>
      <w:bookmarkEnd w:id="262"/>
      <w:bookmarkStart w:id="263" w:name="_Toc184312093"/>
      <w:bookmarkEnd w:id="263"/>
      <w:bookmarkStart w:id="264" w:name="_Toc184314464"/>
      <w:bookmarkEnd w:id="264"/>
      <w:bookmarkStart w:id="265" w:name="_Toc184310305"/>
      <w:bookmarkEnd w:id="265"/>
      <w:bookmarkStart w:id="266" w:name="_Toc184313262"/>
      <w:bookmarkEnd w:id="266"/>
      <w:bookmarkStart w:id="267" w:name="_Toc184314422"/>
      <w:bookmarkEnd w:id="267"/>
      <w:bookmarkStart w:id="268" w:name="_Toc184313270"/>
      <w:bookmarkEnd w:id="268"/>
      <w:bookmarkStart w:id="269" w:name="_Toc184314455"/>
      <w:bookmarkEnd w:id="269"/>
      <w:bookmarkStart w:id="270" w:name="_Toc184313253"/>
      <w:bookmarkEnd w:id="270"/>
      <w:bookmarkStart w:id="271" w:name="_Toc184312092"/>
      <w:bookmarkEnd w:id="271"/>
      <w:bookmarkStart w:id="272" w:name="_Toc184308105"/>
      <w:bookmarkEnd w:id="272"/>
      <w:bookmarkStart w:id="273" w:name="_Toc184312126"/>
      <w:bookmarkEnd w:id="273"/>
      <w:bookmarkStart w:id="274" w:name="_Toc184314443"/>
      <w:bookmarkEnd w:id="274"/>
      <w:bookmarkStart w:id="275" w:name="_Toc184310301"/>
      <w:bookmarkEnd w:id="275"/>
      <w:bookmarkStart w:id="276" w:name="_Toc184313292"/>
      <w:bookmarkEnd w:id="276"/>
      <w:bookmarkStart w:id="277" w:name="_Toc184312091"/>
      <w:bookmarkEnd w:id="277"/>
      <w:bookmarkStart w:id="278" w:name="_Toc184312129"/>
      <w:bookmarkEnd w:id="278"/>
      <w:bookmarkStart w:id="279" w:name="_Toc184310341"/>
      <w:bookmarkEnd w:id="279"/>
      <w:bookmarkStart w:id="280" w:name="_Toc184310337"/>
      <w:bookmarkEnd w:id="280"/>
      <w:bookmarkStart w:id="281" w:name="_Toc184313285"/>
      <w:bookmarkEnd w:id="281"/>
      <w:bookmarkStart w:id="282" w:name="_Toc184313277"/>
      <w:bookmarkEnd w:id="282"/>
      <w:bookmarkStart w:id="283" w:name="_Toc184312072"/>
      <w:bookmarkEnd w:id="283"/>
      <w:bookmarkStart w:id="284" w:name="_Toc184310309"/>
      <w:bookmarkEnd w:id="284"/>
      <w:bookmarkStart w:id="285" w:name="_Toc184312111"/>
      <w:bookmarkEnd w:id="285"/>
      <w:bookmarkStart w:id="286" w:name="_Toc184312069"/>
      <w:bookmarkEnd w:id="286"/>
      <w:bookmarkStart w:id="287" w:name="_Toc184310331"/>
      <w:bookmarkEnd w:id="287"/>
      <w:bookmarkStart w:id="288" w:name="_Toc184312099"/>
      <w:bookmarkEnd w:id="288"/>
      <w:bookmarkStart w:id="289" w:name="_Toc184313301"/>
      <w:bookmarkEnd w:id="289"/>
      <w:bookmarkStart w:id="290" w:name="_Toc184308067"/>
      <w:bookmarkEnd w:id="290"/>
      <w:bookmarkStart w:id="291" w:name="_Toc184312089"/>
      <w:bookmarkEnd w:id="291"/>
      <w:bookmarkStart w:id="292" w:name="_Toc184310291"/>
      <w:bookmarkEnd w:id="292"/>
      <w:bookmarkStart w:id="293" w:name="_Toc184313282"/>
      <w:bookmarkEnd w:id="293"/>
      <w:bookmarkStart w:id="294" w:name="_Toc184312086"/>
      <w:bookmarkEnd w:id="294"/>
      <w:bookmarkStart w:id="295" w:name="_Toc184310274"/>
      <w:bookmarkEnd w:id="295"/>
      <w:bookmarkStart w:id="296" w:name="_Toc184313252"/>
      <w:bookmarkEnd w:id="296"/>
      <w:bookmarkStart w:id="297" w:name="_Toc184310322"/>
      <w:bookmarkEnd w:id="297"/>
      <w:bookmarkStart w:id="298" w:name="_Toc184313307"/>
      <w:bookmarkEnd w:id="298"/>
      <w:bookmarkStart w:id="299" w:name="_Toc184310307"/>
      <w:bookmarkEnd w:id="299"/>
      <w:bookmarkStart w:id="300" w:name="_Toc184310292"/>
      <w:bookmarkEnd w:id="300"/>
      <w:bookmarkStart w:id="301" w:name="_Toc184308066"/>
      <w:bookmarkEnd w:id="301"/>
      <w:bookmarkStart w:id="302" w:name="_Toc184308074"/>
      <w:bookmarkEnd w:id="302"/>
      <w:bookmarkStart w:id="303" w:name="_Toc184314461"/>
      <w:bookmarkEnd w:id="303"/>
      <w:bookmarkStart w:id="304" w:name="_Toc184310300"/>
      <w:bookmarkEnd w:id="304"/>
      <w:bookmarkStart w:id="305" w:name="_Toc184312118"/>
      <w:bookmarkEnd w:id="305"/>
      <w:bookmarkStart w:id="306" w:name="_Toc184312108"/>
      <w:bookmarkEnd w:id="306"/>
      <w:bookmarkStart w:id="307" w:name="_Toc184312134"/>
      <w:bookmarkEnd w:id="307"/>
      <w:bookmarkStart w:id="308" w:name="_Toc184314448"/>
      <w:bookmarkEnd w:id="308"/>
      <w:bookmarkStart w:id="309" w:name="_Toc184308054"/>
      <w:bookmarkEnd w:id="309"/>
      <w:bookmarkStart w:id="310" w:name="_Toc184308044"/>
      <w:bookmarkEnd w:id="310"/>
      <w:bookmarkStart w:id="311" w:name="_Toc184313244"/>
      <w:bookmarkEnd w:id="311"/>
      <w:bookmarkStart w:id="312" w:name="_Toc184308037"/>
      <w:bookmarkEnd w:id="312"/>
      <w:bookmarkStart w:id="313" w:name="_Toc184312070"/>
      <w:bookmarkEnd w:id="313"/>
      <w:bookmarkStart w:id="314" w:name="_Toc184312121"/>
      <w:bookmarkEnd w:id="314"/>
      <w:bookmarkStart w:id="315" w:name="_Toc184310339"/>
      <w:bookmarkEnd w:id="315"/>
      <w:bookmarkStart w:id="316" w:name="_Toc184314424"/>
      <w:bookmarkEnd w:id="316"/>
      <w:bookmarkStart w:id="317" w:name="_Toc184313296"/>
      <w:bookmarkEnd w:id="317"/>
      <w:bookmarkStart w:id="318" w:name="_Toc184308062"/>
      <w:bookmarkEnd w:id="318"/>
      <w:bookmarkStart w:id="319" w:name="_Toc184313259"/>
      <w:bookmarkEnd w:id="319"/>
      <w:bookmarkStart w:id="320" w:name="_Toc184314462"/>
      <w:bookmarkEnd w:id="320"/>
      <w:bookmarkStart w:id="321" w:name="_Toc184314417"/>
      <w:bookmarkEnd w:id="321"/>
      <w:bookmarkStart w:id="322" w:name="_Toc184313308"/>
      <w:bookmarkEnd w:id="322"/>
      <w:bookmarkStart w:id="323" w:name="_Toc184314426"/>
      <w:bookmarkEnd w:id="323"/>
      <w:bookmarkStart w:id="324" w:name="_Toc184308093"/>
      <w:bookmarkEnd w:id="324"/>
      <w:bookmarkStart w:id="325" w:name="_Toc184310333"/>
      <w:bookmarkEnd w:id="325"/>
      <w:bookmarkStart w:id="326" w:name="_Toc184310320"/>
      <w:bookmarkEnd w:id="326"/>
      <w:bookmarkStart w:id="327" w:name="_Toc184308088"/>
      <w:bookmarkEnd w:id="327"/>
      <w:bookmarkStart w:id="328" w:name="_Toc184314432"/>
      <w:bookmarkEnd w:id="328"/>
      <w:bookmarkStart w:id="329" w:name="_Toc184310297"/>
      <w:bookmarkEnd w:id="329"/>
      <w:bookmarkStart w:id="330" w:name="_Toc184312131"/>
      <w:bookmarkEnd w:id="330"/>
      <w:bookmarkStart w:id="331" w:name="_Toc184313267"/>
      <w:bookmarkEnd w:id="331"/>
      <w:bookmarkStart w:id="332" w:name="_Toc184308060"/>
      <w:bookmarkEnd w:id="332"/>
      <w:bookmarkStart w:id="333" w:name="_Toc184308059"/>
      <w:bookmarkEnd w:id="333"/>
      <w:bookmarkStart w:id="334" w:name="_Toc184308051"/>
      <w:bookmarkEnd w:id="334"/>
      <w:bookmarkStart w:id="335" w:name="_Toc184314440"/>
      <w:bookmarkEnd w:id="335"/>
      <w:bookmarkStart w:id="336" w:name="_Toc184310323"/>
      <w:bookmarkEnd w:id="336"/>
      <w:bookmarkStart w:id="337" w:name="_Toc184312130"/>
      <w:bookmarkEnd w:id="337"/>
      <w:bookmarkStart w:id="338" w:name="_Toc184312117"/>
      <w:bookmarkEnd w:id="338"/>
      <w:bookmarkStart w:id="339" w:name="_Toc184310334"/>
      <w:bookmarkEnd w:id="339"/>
      <w:bookmarkStart w:id="340" w:name="_Toc184308063"/>
      <w:bookmarkEnd w:id="340"/>
      <w:bookmarkStart w:id="341" w:name="_Toc184314434"/>
      <w:bookmarkEnd w:id="341"/>
      <w:bookmarkStart w:id="342" w:name="_Toc184308048"/>
      <w:bookmarkEnd w:id="342"/>
      <w:bookmarkStart w:id="343" w:name="_Toc184308042"/>
      <w:bookmarkEnd w:id="343"/>
      <w:bookmarkStart w:id="344" w:name="_Toc184310279"/>
      <w:bookmarkEnd w:id="344"/>
      <w:bookmarkStart w:id="345" w:name="_Toc184312078"/>
      <w:bookmarkEnd w:id="345"/>
      <w:bookmarkStart w:id="346" w:name="_Toc184310283"/>
      <w:bookmarkEnd w:id="346"/>
      <w:bookmarkStart w:id="347" w:name="_Toc184313254"/>
      <w:bookmarkEnd w:id="347"/>
      <w:bookmarkStart w:id="348" w:name="_Toc184310304"/>
      <w:bookmarkEnd w:id="348"/>
      <w:bookmarkStart w:id="349" w:name="_Toc184308079"/>
      <w:bookmarkEnd w:id="349"/>
      <w:bookmarkStart w:id="350" w:name="_Toc184313245"/>
      <w:bookmarkEnd w:id="350"/>
      <w:bookmarkStart w:id="351" w:name="_Toc184314465"/>
      <w:bookmarkEnd w:id="351"/>
      <w:bookmarkStart w:id="352" w:name="_Toc184308092"/>
      <w:bookmarkEnd w:id="352"/>
      <w:bookmarkStart w:id="353" w:name="_Toc184310317"/>
      <w:bookmarkEnd w:id="353"/>
      <w:bookmarkStart w:id="354" w:name="_Toc184312114"/>
      <w:bookmarkEnd w:id="354"/>
      <w:bookmarkStart w:id="355" w:name="_Toc184313288"/>
      <w:bookmarkEnd w:id="355"/>
      <w:bookmarkStart w:id="356" w:name="_Toc184313274"/>
      <w:bookmarkEnd w:id="356"/>
      <w:bookmarkStart w:id="357" w:name="_Toc184313246"/>
      <w:bookmarkEnd w:id="357"/>
      <w:bookmarkStart w:id="358" w:name="_Toc184313261"/>
      <w:bookmarkEnd w:id="358"/>
      <w:bookmarkStart w:id="359" w:name="_Toc184308073"/>
      <w:bookmarkEnd w:id="359"/>
      <w:bookmarkStart w:id="360" w:name="_Toc184313251"/>
      <w:bookmarkEnd w:id="360"/>
      <w:bookmarkStart w:id="361" w:name="_Toc184310336"/>
      <w:bookmarkEnd w:id="361"/>
      <w:bookmarkStart w:id="362" w:name="_Toc184310311"/>
      <w:bookmarkEnd w:id="362"/>
      <w:bookmarkStart w:id="363" w:name="_Toc184312075"/>
      <w:bookmarkEnd w:id="363"/>
      <w:bookmarkStart w:id="364" w:name="_Toc184312094"/>
      <w:bookmarkEnd w:id="364"/>
      <w:bookmarkStart w:id="365" w:name="_Toc184310342"/>
      <w:bookmarkEnd w:id="365"/>
      <w:bookmarkStart w:id="366" w:name="_Toc184312120"/>
      <w:bookmarkEnd w:id="366"/>
      <w:bookmarkStart w:id="367" w:name="_Toc184313297"/>
      <w:bookmarkEnd w:id="367"/>
      <w:bookmarkStart w:id="368" w:name="_Toc184310298"/>
      <w:bookmarkEnd w:id="368"/>
      <w:bookmarkStart w:id="369" w:name="_Toc184312115"/>
      <w:bookmarkEnd w:id="369"/>
      <w:bookmarkStart w:id="370" w:name="_Toc184314482"/>
      <w:bookmarkEnd w:id="370"/>
      <w:bookmarkStart w:id="371" w:name="_Toc184314414"/>
      <w:bookmarkEnd w:id="371"/>
      <w:bookmarkStart w:id="372" w:name="_Toc184314416"/>
      <w:bookmarkEnd w:id="372"/>
      <w:bookmarkStart w:id="373" w:name="_Toc184313273"/>
      <w:bookmarkEnd w:id="373"/>
      <w:bookmarkStart w:id="374" w:name="_Toc184312128"/>
      <w:bookmarkEnd w:id="374"/>
      <w:bookmarkStart w:id="375" w:name="_Toc184308047"/>
      <w:bookmarkEnd w:id="375"/>
      <w:bookmarkStart w:id="376" w:name="_Toc184310324"/>
      <w:bookmarkEnd w:id="376"/>
      <w:bookmarkStart w:id="377" w:name="_Toc184312101"/>
      <w:bookmarkEnd w:id="377"/>
      <w:bookmarkStart w:id="378" w:name="_Toc184312136"/>
      <w:bookmarkEnd w:id="378"/>
      <w:bookmarkStart w:id="379" w:name="_Toc184312074"/>
      <w:bookmarkEnd w:id="379"/>
      <w:bookmarkStart w:id="380" w:name="_Toc184313304"/>
      <w:bookmarkEnd w:id="380"/>
      <w:bookmarkStart w:id="381" w:name="_Toc184314446"/>
      <w:bookmarkEnd w:id="381"/>
      <w:bookmarkStart w:id="382" w:name="_Toc184312109"/>
      <w:bookmarkEnd w:id="382"/>
      <w:bookmarkStart w:id="383" w:name="_Toc184310288"/>
      <w:bookmarkEnd w:id="383"/>
      <w:bookmarkStart w:id="384" w:name="_Toc184308036"/>
      <w:bookmarkEnd w:id="384"/>
      <w:bookmarkStart w:id="385" w:name="_Toc184310310"/>
      <w:bookmarkEnd w:id="385"/>
      <w:bookmarkStart w:id="386" w:name="_Toc184310272"/>
      <w:bookmarkEnd w:id="386"/>
      <w:bookmarkStart w:id="387" w:name="_Toc184313309"/>
      <w:bookmarkEnd w:id="387"/>
      <w:bookmarkStart w:id="388" w:name="_Toc184310329"/>
      <w:bookmarkEnd w:id="388"/>
      <w:bookmarkStart w:id="389" w:name="_Toc184308052"/>
      <w:bookmarkEnd w:id="389"/>
      <w:bookmarkStart w:id="390" w:name="_Toc184310294"/>
      <w:bookmarkEnd w:id="390"/>
      <w:bookmarkStart w:id="391" w:name="_Toc184308077"/>
      <w:bookmarkEnd w:id="391"/>
      <w:bookmarkStart w:id="392" w:name="_Toc184312068"/>
      <w:bookmarkEnd w:id="392"/>
      <w:bookmarkStart w:id="393" w:name="_Toc184314467"/>
      <w:bookmarkEnd w:id="393"/>
      <w:bookmarkStart w:id="394" w:name="_Toc184310335"/>
      <w:bookmarkEnd w:id="394"/>
      <w:bookmarkStart w:id="395" w:name="_Toc184312107"/>
      <w:bookmarkEnd w:id="395"/>
      <w:bookmarkStart w:id="396" w:name="_Toc184314442"/>
      <w:bookmarkEnd w:id="396"/>
      <w:bookmarkStart w:id="397" w:name="_Toc184308076"/>
      <w:bookmarkEnd w:id="397"/>
      <w:bookmarkStart w:id="398" w:name="_Toc184308090"/>
      <w:bookmarkEnd w:id="398"/>
      <w:bookmarkStart w:id="399" w:name="_Toc184312082"/>
      <w:bookmarkEnd w:id="399"/>
      <w:bookmarkStart w:id="400" w:name="_Toc184314459"/>
      <w:bookmarkEnd w:id="400"/>
      <w:r>
        <w:rPr>
          <w:rFonts w:hint="eastAsia" w:ascii="宋体" w:hAnsi="宋体" w:cs="宋体"/>
          <w:b/>
          <w:color w:val="0D0D0D" w:themeColor="text1" w:themeTint="F2"/>
          <w:sz w:val="36"/>
          <w:szCs w:val="36"/>
          <w14:textFill>
            <w14:solidFill>
              <w14:schemeClr w14:val="tx1">
                <w14:lumMod w14:val="95000"/>
                <w14:lumOff w14:val="5000"/>
              </w14:schemeClr>
            </w14:solidFill>
          </w14:textFill>
        </w:rPr>
        <w:t>评标办法</w:t>
      </w:r>
      <w:bookmarkEnd w:id="35"/>
    </w:p>
    <w:p w14:paraId="0908B3A4">
      <w:pPr>
        <w:snapToGrid w:val="0"/>
        <w:spacing w:after="0" w:line="360" w:lineRule="auto"/>
        <w:jc w:val="center"/>
        <w:rPr>
          <w:rFonts w:hint="eastAsia" w:ascii="宋体" w:hAnsi="宋体" w:cs="宋体"/>
          <w:b/>
          <w:color w:val="0D0D0D" w:themeColor="text1" w:themeTint="F2"/>
          <w:sz w:val="32"/>
          <w:szCs w:val="20"/>
          <w14:textFill>
            <w14:solidFill>
              <w14:schemeClr w14:val="tx1">
                <w14:lumMod w14:val="95000"/>
                <w14:lumOff w14:val="5000"/>
              </w14:schemeClr>
            </w14:solidFill>
          </w14:textFill>
        </w:rPr>
      </w:pPr>
      <w:r>
        <w:rPr>
          <w:rFonts w:hint="eastAsia" w:ascii="宋体" w:hAnsi="宋体" w:cs="宋体"/>
          <w:b/>
          <w:color w:val="0D0D0D" w:themeColor="text1" w:themeTint="F2"/>
          <w:sz w:val="32"/>
          <w:szCs w:val="20"/>
          <w14:textFill>
            <w14:solidFill>
              <w14:schemeClr w14:val="tx1">
                <w14:lumMod w14:val="95000"/>
                <w14:lumOff w14:val="5000"/>
              </w14:schemeClr>
            </w14:solidFill>
          </w14:textFill>
        </w:rPr>
        <w:t>评标办法前附表</w:t>
      </w:r>
    </w:p>
    <w:p w14:paraId="2DE04E81">
      <w:pPr>
        <w:spacing w:after="0" w:line="360" w:lineRule="auto"/>
        <w:ind w:firstLine="422"/>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资格审查表</w:t>
      </w:r>
    </w:p>
    <w:tbl>
      <w:tblPr>
        <w:tblStyle w:val="62"/>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867"/>
        <w:gridCol w:w="1717"/>
        <w:gridCol w:w="5133"/>
      </w:tblGrid>
      <w:tr w14:paraId="5D40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tcBorders>
              <w:top w:val="single" w:color="auto" w:sz="4" w:space="0"/>
              <w:left w:val="single" w:color="auto" w:sz="4" w:space="0"/>
              <w:bottom w:val="single" w:color="auto" w:sz="4" w:space="0"/>
              <w:right w:val="single" w:color="auto" w:sz="4" w:space="0"/>
            </w:tcBorders>
            <w:vAlign w:val="center"/>
          </w:tcPr>
          <w:p w14:paraId="11307FFC">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序号</w:t>
            </w:r>
          </w:p>
        </w:tc>
        <w:tc>
          <w:tcPr>
            <w:tcW w:w="1867" w:type="dxa"/>
            <w:tcBorders>
              <w:top w:val="single" w:color="auto" w:sz="4" w:space="0"/>
              <w:left w:val="single" w:color="auto" w:sz="4" w:space="0"/>
              <w:bottom w:val="single" w:color="auto" w:sz="4" w:space="0"/>
              <w:right w:val="single" w:color="auto" w:sz="4" w:space="0"/>
            </w:tcBorders>
            <w:vAlign w:val="center"/>
          </w:tcPr>
          <w:p w14:paraId="0CAAA737">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审查因素</w:t>
            </w:r>
          </w:p>
        </w:tc>
        <w:tc>
          <w:tcPr>
            <w:tcW w:w="1717" w:type="dxa"/>
            <w:tcBorders>
              <w:top w:val="single" w:color="auto" w:sz="4" w:space="0"/>
              <w:left w:val="single" w:color="auto" w:sz="4" w:space="0"/>
              <w:bottom w:val="single" w:color="auto" w:sz="4" w:space="0"/>
              <w:right w:val="single" w:color="auto" w:sz="4" w:space="0"/>
            </w:tcBorders>
            <w:vAlign w:val="center"/>
          </w:tcPr>
          <w:p w14:paraId="09DD9318">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审查内容</w:t>
            </w:r>
          </w:p>
        </w:tc>
        <w:tc>
          <w:tcPr>
            <w:tcW w:w="5133" w:type="dxa"/>
            <w:tcBorders>
              <w:top w:val="single" w:color="auto" w:sz="4" w:space="0"/>
              <w:left w:val="single" w:color="auto" w:sz="4" w:space="0"/>
              <w:bottom w:val="single" w:color="auto" w:sz="4" w:space="0"/>
              <w:right w:val="single" w:color="auto" w:sz="4" w:space="0"/>
            </w:tcBorders>
            <w:vAlign w:val="center"/>
          </w:tcPr>
          <w:p w14:paraId="1460B658">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审查标准</w:t>
            </w:r>
          </w:p>
        </w:tc>
      </w:tr>
      <w:tr w14:paraId="7B98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75" w:type="dxa"/>
            <w:tcBorders>
              <w:top w:val="single" w:color="auto" w:sz="4" w:space="0"/>
              <w:left w:val="single" w:color="auto" w:sz="4" w:space="0"/>
              <w:bottom w:val="single" w:color="auto" w:sz="4" w:space="0"/>
              <w:right w:val="single" w:color="auto" w:sz="4" w:space="0"/>
            </w:tcBorders>
            <w:vAlign w:val="center"/>
          </w:tcPr>
          <w:p w14:paraId="7DE88889">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w:t>
            </w:r>
          </w:p>
        </w:tc>
        <w:tc>
          <w:tcPr>
            <w:tcW w:w="1867" w:type="dxa"/>
            <w:tcBorders>
              <w:top w:val="single" w:color="auto" w:sz="4" w:space="0"/>
              <w:left w:val="single" w:color="auto" w:sz="4" w:space="0"/>
              <w:bottom w:val="single" w:color="auto" w:sz="4" w:space="0"/>
              <w:right w:val="single" w:color="auto" w:sz="4" w:space="0"/>
            </w:tcBorders>
            <w:vAlign w:val="center"/>
          </w:tcPr>
          <w:p w14:paraId="5CCAF417">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具有独立承担民事责任的能力</w:t>
            </w:r>
          </w:p>
        </w:tc>
        <w:tc>
          <w:tcPr>
            <w:tcW w:w="1717" w:type="dxa"/>
            <w:tcBorders>
              <w:top w:val="single" w:color="auto" w:sz="4" w:space="0"/>
              <w:left w:val="single" w:color="auto" w:sz="4" w:space="0"/>
              <w:bottom w:val="single" w:color="auto" w:sz="4" w:space="0"/>
              <w:right w:val="single" w:color="auto" w:sz="4" w:space="0"/>
            </w:tcBorders>
            <w:vAlign w:val="center"/>
          </w:tcPr>
          <w:p w14:paraId="71030E2A">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提供有效的营业执照副本（或事业法人登记证副本或其他登记证明材料）原件扫描件或者电子营业执照 </w:t>
            </w:r>
          </w:p>
        </w:tc>
        <w:tc>
          <w:tcPr>
            <w:tcW w:w="5133" w:type="dxa"/>
            <w:tcBorders>
              <w:top w:val="single" w:color="auto" w:sz="4" w:space="0"/>
              <w:left w:val="single" w:color="auto" w:sz="4" w:space="0"/>
              <w:bottom w:val="single" w:color="auto" w:sz="4" w:space="0"/>
              <w:right w:val="single" w:color="auto" w:sz="4" w:space="0"/>
            </w:tcBorders>
            <w:vAlign w:val="center"/>
          </w:tcPr>
          <w:p w14:paraId="1D434C1C">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（1）如供应商是企业（包括合伙企业），提供在工商部门注册的有效“企业法人营业执照”或“营业执照”；</w:t>
            </w:r>
          </w:p>
          <w:p w14:paraId="39CB828C">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（2）如供应商是事业单位，提供有效的“事业单位法人证书”；</w:t>
            </w:r>
          </w:p>
          <w:p w14:paraId="4F5C0D6D">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（3）如供应商是非企业专业服务机构的，提供执业许可证等证明文件；</w:t>
            </w:r>
          </w:p>
          <w:p w14:paraId="197BDCE7">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（4）如供应商是个体工商户，提供有效的“个体工商户营业执照”；</w:t>
            </w:r>
          </w:p>
          <w:p w14:paraId="3FD63647">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（5）如供应商是自然人，提供有效的自然人身份证明。</w:t>
            </w:r>
          </w:p>
          <w:p w14:paraId="17ED09A7">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注：以上材料需要复印件加盖公章（自然人则签字）。</w:t>
            </w:r>
          </w:p>
        </w:tc>
      </w:tr>
      <w:tr w14:paraId="3B70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5" w:type="dxa"/>
            <w:tcBorders>
              <w:top w:val="single" w:color="auto" w:sz="4" w:space="0"/>
              <w:left w:val="single" w:color="auto" w:sz="4" w:space="0"/>
              <w:bottom w:val="single" w:color="auto" w:sz="4" w:space="0"/>
              <w:right w:val="single" w:color="auto" w:sz="4" w:space="0"/>
            </w:tcBorders>
            <w:vAlign w:val="center"/>
          </w:tcPr>
          <w:p w14:paraId="12409350">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w:t>
            </w:r>
          </w:p>
        </w:tc>
        <w:tc>
          <w:tcPr>
            <w:tcW w:w="1867" w:type="dxa"/>
            <w:tcBorders>
              <w:top w:val="single" w:color="auto" w:sz="4" w:space="0"/>
              <w:left w:val="single" w:color="auto" w:sz="4" w:space="0"/>
              <w:bottom w:val="single" w:color="auto" w:sz="4" w:space="0"/>
              <w:right w:val="single" w:color="auto" w:sz="4" w:space="0"/>
            </w:tcBorders>
            <w:vAlign w:val="center"/>
          </w:tcPr>
          <w:p w14:paraId="5260252D">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满足《中华人民共和国政府采购法》第二十二条规定</w:t>
            </w:r>
          </w:p>
        </w:tc>
        <w:tc>
          <w:tcPr>
            <w:tcW w:w="1717" w:type="dxa"/>
            <w:tcBorders>
              <w:top w:val="single" w:color="auto" w:sz="4" w:space="0"/>
              <w:left w:val="single" w:color="auto" w:sz="4" w:space="0"/>
              <w:bottom w:val="single" w:color="auto" w:sz="4" w:space="0"/>
              <w:right w:val="single" w:color="auto" w:sz="4" w:space="0"/>
            </w:tcBorders>
            <w:vAlign w:val="center"/>
          </w:tcPr>
          <w:p w14:paraId="4D7F0344">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承诺函</w:t>
            </w:r>
          </w:p>
        </w:tc>
        <w:tc>
          <w:tcPr>
            <w:tcW w:w="5133" w:type="dxa"/>
            <w:tcBorders>
              <w:top w:val="single" w:color="auto" w:sz="4" w:space="0"/>
              <w:left w:val="single" w:color="auto" w:sz="4" w:space="0"/>
              <w:bottom w:val="single" w:color="auto" w:sz="4" w:space="0"/>
              <w:right w:val="single" w:color="auto" w:sz="4" w:space="0"/>
            </w:tcBorders>
            <w:vAlign w:val="center"/>
          </w:tcPr>
          <w:p w14:paraId="1CAD3254">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提供符合参加政府采购活动应当具备的一般条件的承诺函，格式附后。</w:t>
            </w:r>
          </w:p>
        </w:tc>
      </w:tr>
      <w:tr w14:paraId="57BA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75" w:type="dxa"/>
            <w:tcBorders>
              <w:top w:val="single" w:color="auto" w:sz="4" w:space="0"/>
              <w:left w:val="single" w:color="auto" w:sz="4" w:space="0"/>
              <w:bottom w:val="single" w:color="auto" w:sz="4" w:space="0"/>
              <w:right w:val="single" w:color="auto" w:sz="4" w:space="0"/>
            </w:tcBorders>
            <w:vAlign w:val="center"/>
          </w:tcPr>
          <w:p w14:paraId="66D92984">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w:t>
            </w:r>
          </w:p>
        </w:tc>
        <w:tc>
          <w:tcPr>
            <w:tcW w:w="1867" w:type="dxa"/>
            <w:tcBorders>
              <w:top w:val="single" w:color="auto" w:sz="4" w:space="0"/>
              <w:left w:val="single" w:color="auto" w:sz="4" w:space="0"/>
              <w:bottom w:val="single" w:color="auto" w:sz="4" w:space="0"/>
              <w:right w:val="single" w:color="auto" w:sz="4" w:space="0"/>
            </w:tcBorders>
            <w:vAlign w:val="center"/>
          </w:tcPr>
          <w:p w14:paraId="341AA8BC">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诚信记录</w:t>
            </w:r>
          </w:p>
        </w:tc>
        <w:tc>
          <w:tcPr>
            <w:tcW w:w="1717" w:type="dxa"/>
            <w:tcBorders>
              <w:top w:val="single" w:color="auto" w:sz="4" w:space="0"/>
              <w:left w:val="single" w:color="auto" w:sz="4" w:space="0"/>
              <w:bottom w:val="single" w:color="auto" w:sz="4" w:space="0"/>
              <w:right w:val="single" w:color="auto" w:sz="4" w:space="0"/>
            </w:tcBorders>
            <w:vAlign w:val="center"/>
          </w:tcPr>
          <w:p w14:paraId="7DC810D4">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供应商“信用中国”网站（www.creditchina.gov.cn）、中国政府采购网（www.ccgp.gov.cn）信用记录情况无不良记录。</w:t>
            </w:r>
          </w:p>
        </w:tc>
        <w:tc>
          <w:tcPr>
            <w:tcW w:w="5133" w:type="dxa"/>
            <w:tcBorders>
              <w:top w:val="single" w:color="auto" w:sz="4" w:space="0"/>
              <w:left w:val="single" w:color="auto" w:sz="4" w:space="0"/>
              <w:bottom w:val="single" w:color="auto" w:sz="4" w:space="0"/>
              <w:right w:val="single" w:color="auto" w:sz="4" w:space="0"/>
            </w:tcBorders>
            <w:vAlign w:val="center"/>
          </w:tcPr>
          <w:p w14:paraId="7F3AA1BA">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开标当日为准对供应商“信用中国”网站（www.creditchina.gov.cn）、中国政府采购网（www.ccgp.gov.cn）信用记录情况进行核实，未被列入失信被执行人、重大税收违法案件当事人名单、政府采购严重违法失信行为记录名单。</w:t>
            </w:r>
          </w:p>
          <w:p w14:paraId="075B6192">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794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75" w:type="dxa"/>
            <w:tcBorders>
              <w:top w:val="single" w:color="auto" w:sz="4" w:space="0"/>
              <w:left w:val="single" w:color="auto" w:sz="4" w:space="0"/>
              <w:bottom w:val="single" w:color="auto" w:sz="4" w:space="0"/>
              <w:right w:val="single" w:color="auto" w:sz="4" w:space="0"/>
            </w:tcBorders>
            <w:vAlign w:val="center"/>
          </w:tcPr>
          <w:p w14:paraId="3765EB35">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w:t>
            </w:r>
          </w:p>
        </w:tc>
        <w:tc>
          <w:tcPr>
            <w:tcW w:w="1867" w:type="dxa"/>
            <w:tcBorders>
              <w:top w:val="single" w:color="auto" w:sz="4" w:space="0"/>
              <w:left w:val="single" w:color="auto" w:sz="4" w:space="0"/>
              <w:bottom w:val="single" w:color="auto" w:sz="4" w:space="0"/>
              <w:right w:val="single" w:color="auto" w:sz="4" w:space="0"/>
            </w:tcBorders>
            <w:vAlign w:val="center"/>
          </w:tcPr>
          <w:p w14:paraId="5BFD3255">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联合体响应</w:t>
            </w:r>
          </w:p>
        </w:tc>
        <w:tc>
          <w:tcPr>
            <w:tcW w:w="1717" w:type="dxa"/>
            <w:tcBorders>
              <w:top w:val="single" w:color="auto" w:sz="4" w:space="0"/>
              <w:left w:val="single" w:color="auto" w:sz="4" w:space="0"/>
              <w:bottom w:val="single" w:color="auto" w:sz="4" w:space="0"/>
              <w:right w:val="single" w:color="auto" w:sz="4" w:space="0"/>
            </w:tcBorders>
            <w:vAlign w:val="center"/>
          </w:tcPr>
          <w:p w14:paraId="1B80DE2B">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非联合体响应</w:t>
            </w:r>
          </w:p>
        </w:tc>
        <w:tc>
          <w:tcPr>
            <w:tcW w:w="5133" w:type="dxa"/>
            <w:tcBorders>
              <w:top w:val="single" w:color="auto" w:sz="4" w:space="0"/>
              <w:left w:val="single" w:color="auto" w:sz="4" w:space="0"/>
              <w:bottom w:val="single" w:color="auto" w:sz="4" w:space="0"/>
              <w:right w:val="single" w:color="auto" w:sz="4" w:space="0"/>
            </w:tcBorders>
            <w:vAlign w:val="center"/>
          </w:tcPr>
          <w:p w14:paraId="39D7D1B1">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本项目不接受联合体响应</w:t>
            </w:r>
          </w:p>
        </w:tc>
      </w:tr>
    </w:tbl>
    <w:p w14:paraId="7E0FDEE1">
      <w:pPr>
        <w:spacing w:after="0" w:line="360" w:lineRule="auto"/>
        <w:ind w:firstLine="422"/>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注：</w:t>
      </w:r>
      <w:r>
        <w:rPr>
          <w:rFonts w:hint="eastAsia" w:ascii="宋体" w:hAnsi="宋体" w:cs="宋体"/>
          <w:b/>
          <w:bCs/>
          <w:color w:val="0D0D0D" w:themeColor="text1" w:themeTint="F2"/>
          <w:sz w:val="24"/>
          <w14:textFill>
            <w14:solidFill>
              <w14:schemeClr w14:val="tx1">
                <w14:lumMod w14:val="95000"/>
                <w14:lumOff w14:val="5000"/>
              </w14:schemeClr>
            </w14:solidFill>
          </w14:textFill>
        </w:rPr>
        <w:t>1、上述资格证明文件未按采购文件要求附入响应文件中的，资格性审查不合格。</w:t>
      </w:r>
    </w:p>
    <w:p w14:paraId="41E64CEF">
      <w:pPr>
        <w:spacing w:after="0" w:line="360" w:lineRule="auto"/>
        <w:ind w:firstLine="422"/>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2、上述审查项目中，任意一项不符合的，资格性审查不合格。</w:t>
      </w:r>
    </w:p>
    <w:p w14:paraId="3B223595">
      <w:pPr>
        <w:spacing w:after="0" w:line="360" w:lineRule="auto"/>
        <w:ind w:firstLine="422"/>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符合性审查表(可放弃关联)</w:t>
      </w:r>
    </w:p>
    <w:tbl>
      <w:tblPr>
        <w:tblStyle w:val="62"/>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45"/>
        <w:gridCol w:w="6150"/>
      </w:tblGrid>
      <w:tr w14:paraId="64BE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Pr>
          <w:p w14:paraId="2A6E56EB">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序号</w:t>
            </w:r>
          </w:p>
        </w:tc>
        <w:tc>
          <w:tcPr>
            <w:tcW w:w="2545" w:type="dxa"/>
          </w:tcPr>
          <w:p w14:paraId="66093B47">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审查项目</w:t>
            </w:r>
          </w:p>
        </w:tc>
        <w:tc>
          <w:tcPr>
            <w:tcW w:w="6150" w:type="dxa"/>
          </w:tcPr>
          <w:p w14:paraId="0B33FEB1">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要求</w:t>
            </w:r>
          </w:p>
        </w:tc>
      </w:tr>
      <w:tr w14:paraId="7E98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E74A1B7">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w:t>
            </w:r>
          </w:p>
        </w:tc>
        <w:tc>
          <w:tcPr>
            <w:tcW w:w="2545" w:type="dxa"/>
            <w:vAlign w:val="center"/>
          </w:tcPr>
          <w:p w14:paraId="5B6CEBA1">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投标文件的签署盖章</w:t>
            </w:r>
          </w:p>
        </w:tc>
        <w:tc>
          <w:tcPr>
            <w:tcW w:w="6150" w:type="dxa"/>
            <w:vAlign w:val="center"/>
          </w:tcPr>
          <w:p w14:paraId="7C986CF5">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按采购文件规定签字或盖章的。</w:t>
            </w:r>
          </w:p>
        </w:tc>
      </w:tr>
      <w:tr w14:paraId="2A07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4922132E">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w:t>
            </w:r>
          </w:p>
        </w:tc>
        <w:tc>
          <w:tcPr>
            <w:tcW w:w="2545" w:type="dxa"/>
            <w:vAlign w:val="center"/>
          </w:tcPr>
          <w:p w14:paraId="3B46AF71">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实质性条款响应</w:t>
            </w:r>
          </w:p>
        </w:tc>
        <w:tc>
          <w:tcPr>
            <w:tcW w:w="6150" w:type="dxa"/>
            <w:vAlign w:val="center"/>
          </w:tcPr>
          <w:p w14:paraId="21C552D3">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投标文件完全满足采购文件的实质性条款（即标注▲号条款）无负偏离的。</w:t>
            </w:r>
          </w:p>
        </w:tc>
      </w:tr>
      <w:tr w14:paraId="3132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274FA1E">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w:t>
            </w:r>
          </w:p>
        </w:tc>
        <w:tc>
          <w:tcPr>
            <w:tcW w:w="2545" w:type="dxa"/>
            <w:vAlign w:val="center"/>
          </w:tcPr>
          <w:p w14:paraId="0CAC3E86">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法人授权书</w:t>
            </w:r>
          </w:p>
        </w:tc>
        <w:tc>
          <w:tcPr>
            <w:tcW w:w="6150" w:type="dxa"/>
            <w:vAlign w:val="center"/>
          </w:tcPr>
          <w:p w14:paraId="46E74444">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提供有效的法定代表人证明书/法人授权委托书。</w:t>
            </w:r>
          </w:p>
        </w:tc>
      </w:tr>
      <w:tr w14:paraId="515A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20" w:type="dxa"/>
            <w:vAlign w:val="center"/>
          </w:tcPr>
          <w:p w14:paraId="01ADD8B7">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w:t>
            </w:r>
          </w:p>
        </w:tc>
        <w:tc>
          <w:tcPr>
            <w:tcW w:w="2545" w:type="dxa"/>
            <w:vAlign w:val="center"/>
          </w:tcPr>
          <w:p w14:paraId="055FA79F">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无效响应条款投标</w:t>
            </w:r>
          </w:p>
        </w:tc>
        <w:tc>
          <w:tcPr>
            <w:tcW w:w="6150" w:type="dxa"/>
            <w:vAlign w:val="center"/>
          </w:tcPr>
          <w:p w14:paraId="41AE28A6">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投标文件没有采购文件中规定的其它无效投标条款的。</w:t>
            </w:r>
          </w:p>
        </w:tc>
      </w:tr>
      <w:tr w14:paraId="28AB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F71320D">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w:t>
            </w:r>
          </w:p>
        </w:tc>
        <w:tc>
          <w:tcPr>
            <w:tcW w:w="2545" w:type="dxa"/>
            <w:vAlign w:val="center"/>
          </w:tcPr>
          <w:p w14:paraId="0499E016">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其他</w:t>
            </w:r>
          </w:p>
        </w:tc>
        <w:tc>
          <w:tcPr>
            <w:tcW w:w="6150" w:type="dxa"/>
            <w:vAlign w:val="center"/>
          </w:tcPr>
          <w:p w14:paraId="1E366AC9">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投标人无虚假应标、串通投标的情形。</w:t>
            </w:r>
          </w:p>
        </w:tc>
      </w:tr>
      <w:tr w14:paraId="53AF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1118F95">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w:t>
            </w:r>
          </w:p>
        </w:tc>
        <w:tc>
          <w:tcPr>
            <w:tcW w:w="2545" w:type="dxa"/>
            <w:vAlign w:val="center"/>
          </w:tcPr>
          <w:p w14:paraId="29BE2790">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其他</w:t>
            </w:r>
          </w:p>
        </w:tc>
        <w:tc>
          <w:tcPr>
            <w:tcW w:w="6150" w:type="dxa"/>
            <w:vAlign w:val="center"/>
          </w:tcPr>
          <w:p w14:paraId="7F009062">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按有关法律、法规、规章不属于投标无效的。</w:t>
            </w:r>
          </w:p>
        </w:tc>
      </w:tr>
    </w:tbl>
    <w:p w14:paraId="1F49325D">
      <w:pPr>
        <w:spacing w:after="0" w:line="360" w:lineRule="auto"/>
        <w:ind w:firstLine="422"/>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注：上述审查项目中，任意一项不符合的，符合性审查不合格。</w:t>
      </w:r>
    </w:p>
    <w:p w14:paraId="561DE982">
      <w:pPr>
        <w:spacing w:after="0" w:line="360" w:lineRule="auto"/>
        <w:ind w:firstLine="422"/>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评分表</w:t>
      </w:r>
    </w:p>
    <w:p w14:paraId="54940441">
      <w:pPr>
        <w:spacing w:line="360" w:lineRule="auto"/>
        <w:ind w:firstLine="422"/>
        <w:rPr>
          <w:rFonts w:cs="宋体"/>
          <w:b/>
          <w:bCs/>
          <w:szCs w:val="21"/>
        </w:rPr>
      </w:pPr>
      <w:r>
        <w:rPr>
          <w:rFonts w:hint="eastAsia" w:cs="宋体"/>
          <w:b/>
          <w:bCs/>
          <w:szCs w:val="21"/>
        </w:rPr>
        <w:t>投标人所投产品为小型或微型企业生产的，其投标报价扣除10%后参与评审（进口产品不适用）；</w:t>
      </w:r>
    </w:p>
    <w:p w14:paraId="4D741E42">
      <w:pPr>
        <w:spacing w:line="360" w:lineRule="auto"/>
        <w:ind w:firstLine="422"/>
        <w:rPr>
          <w:rFonts w:cs="宋体"/>
          <w:b/>
          <w:bCs/>
          <w:szCs w:val="21"/>
        </w:rPr>
      </w:pPr>
      <w:r>
        <w:rPr>
          <w:rFonts w:hint="eastAsia" w:cs="宋体"/>
          <w:b/>
          <w:bCs/>
          <w:szCs w:val="21"/>
        </w:rPr>
        <w:t>投标人所投产品为监狱企业生产的，其投标报价扣除10%后参与评审；</w:t>
      </w:r>
    </w:p>
    <w:p w14:paraId="7AB9B259">
      <w:pPr>
        <w:spacing w:line="360" w:lineRule="auto"/>
        <w:ind w:firstLine="422"/>
        <w:rPr>
          <w:rFonts w:cs="宋体"/>
          <w:b/>
          <w:bCs/>
          <w:szCs w:val="21"/>
        </w:rPr>
      </w:pPr>
      <w:r>
        <w:rPr>
          <w:rFonts w:hint="eastAsia" w:cs="宋体"/>
          <w:b/>
          <w:bCs/>
          <w:szCs w:val="21"/>
        </w:rPr>
        <w:t>投标人所投产品为残疾人福利性单位生产的，其投标报价扣除10%后参与评审；</w:t>
      </w:r>
    </w:p>
    <w:p w14:paraId="40FC0182">
      <w:pPr>
        <w:spacing w:line="360" w:lineRule="auto"/>
        <w:ind w:firstLine="422"/>
        <w:rPr>
          <w:rFonts w:hint="eastAsia" w:ascii="宋体" w:hAnsi="宋体" w:cs="宋体"/>
          <w:b/>
          <w:sz w:val="28"/>
          <w:szCs w:val="28"/>
        </w:rPr>
      </w:pPr>
      <w:r>
        <w:rPr>
          <w:rFonts w:hint="eastAsia" w:cs="宋体"/>
          <w:b/>
          <w:bCs/>
          <w:szCs w:val="21"/>
        </w:rPr>
        <w:t>残疾人福利性单位属于小型、微型企业的，不重复享受政策。</w:t>
      </w:r>
    </w:p>
    <w:tbl>
      <w:tblPr>
        <w:tblStyle w:val="62"/>
        <w:tblW w:w="9535"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33"/>
        <w:gridCol w:w="6912"/>
      </w:tblGrid>
      <w:tr w14:paraId="034F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90" w:type="dxa"/>
            <w:vAlign w:val="center"/>
          </w:tcPr>
          <w:p w14:paraId="1ED2B7C3">
            <w:pPr>
              <w:spacing w:after="0" w:line="360" w:lineRule="auto"/>
              <w:jc w:val="center"/>
              <w:textAlignment w:val="baseline"/>
              <w:rPr>
                <w:rFonts w:hint="eastAsia" w:ascii="宋体" w:hAnsi="宋体" w:cs="宋体"/>
                <w:b/>
                <w:sz w:val="24"/>
              </w:rPr>
            </w:pPr>
            <w:r>
              <w:rPr>
                <w:rFonts w:hint="eastAsia" w:ascii="宋体" w:hAnsi="宋体" w:cs="宋体"/>
                <w:b/>
                <w:sz w:val="24"/>
              </w:rPr>
              <w:t>评分项目</w:t>
            </w:r>
          </w:p>
        </w:tc>
        <w:tc>
          <w:tcPr>
            <w:tcW w:w="8245" w:type="dxa"/>
            <w:gridSpan w:val="2"/>
            <w:vAlign w:val="center"/>
          </w:tcPr>
          <w:p w14:paraId="14E07E06">
            <w:pPr>
              <w:spacing w:after="0" w:line="360" w:lineRule="auto"/>
              <w:jc w:val="center"/>
              <w:textAlignment w:val="baseline"/>
              <w:rPr>
                <w:rFonts w:hint="eastAsia" w:ascii="宋体" w:hAnsi="宋体" w:cs="宋体"/>
                <w:b/>
                <w:sz w:val="24"/>
              </w:rPr>
            </w:pPr>
            <w:r>
              <w:rPr>
                <w:rFonts w:hint="eastAsia" w:ascii="宋体" w:hAnsi="宋体" w:cs="宋体"/>
                <w:b/>
                <w:sz w:val="24"/>
              </w:rPr>
              <w:t>评分标准及细则</w:t>
            </w:r>
          </w:p>
        </w:tc>
      </w:tr>
      <w:tr w14:paraId="455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90" w:type="dxa"/>
            <w:vAlign w:val="center"/>
          </w:tcPr>
          <w:p w14:paraId="1612CD58">
            <w:pPr>
              <w:spacing w:after="0" w:line="360" w:lineRule="auto"/>
              <w:jc w:val="center"/>
              <w:rPr>
                <w:rFonts w:hint="eastAsia" w:ascii="宋体" w:hAnsi="宋体" w:cs="宋体"/>
                <w:b/>
                <w:sz w:val="24"/>
              </w:rPr>
            </w:pPr>
            <w:r>
              <w:rPr>
                <w:rFonts w:hint="eastAsia" w:ascii="宋体" w:hAnsi="宋体" w:cs="宋体"/>
                <w:b/>
                <w:sz w:val="24"/>
              </w:rPr>
              <w:t>投标报价（30分）</w:t>
            </w:r>
          </w:p>
        </w:tc>
        <w:tc>
          <w:tcPr>
            <w:tcW w:w="1333" w:type="dxa"/>
            <w:vAlign w:val="center"/>
          </w:tcPr>
          <w:p w14:paraId="6A5C759F">
            <w:pPr>
              <w:spacing w:after="0" w:line="360" w:lineRule="auto"/>
              <w:jc w:val="center"/>
              <w:rPr>
                <w:rFonts w:hint="eastAsia" w:ascii="宋体" w:hAnsi="宋体" w:cs="宋体"/>
                <w:b/>
                <w:sz w:val="24"/>
              </w:rPr>
            </w:pPr>
            <w:r>
              <w:rPr>
                <w:rFonts w:hint="eastAsia" w:ascii="宋体" w:hAnsi="宋体" w:cs="宋体"/>
                <w:b/>
                <w:sz w:val="24"/>
              </w:rPr>
              <w:t>价格分（30分）</w:t>
            </w:r>
          </w:p>
        </w:tc>
        <w:tc>
          <w:tcPr>
            <w:tcW w:w="6912" w:type="dxa"/>
            <w:vAlign w:val="center"/>
          </w:tcPr>
          <w:p w14:paraId="78193EA2">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评标基准价=满足招标文件要求的参与评审价格中的最低价；</w:t>
            </w:r>
          </w:p>
          <w:p w14:paraId="7B84BFF0">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评标基准价得分为满分。</w:t>
            </w:r>
          </w:p>
          <w:p w14:paraId="2EC45A64">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参与评审的价格=投标报价-小微企业价格扣除优惠值（10%）</w:t>
            </w:r>
          </w:p>
          <w:p w14:paraId="3DCC8013">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价格分=（评标基准价/参与评审的价格）×30</w:t>
            </w:r>
          </w:p>
          <w:p w14:paraId="695A3942">
            <w:pPr>
              <w:snapToGrid w:val="0"/>
              <w:spacing w:after="0" w:line="360" w:lineRule="auto"/>
              <w:jc w:val="left"/>
              <w:rPr>
                <w:rFonts w:hint="eastAsia" w:ascii="宋体" w:hAnsi="宋体" w:cs="宋体"/>
              </w:rPr>
            </w:pPr>
            <w:r>
              <w:rPr>
                <w:rFonts w:hint="eastAsia" w:ascii="宋体" w:hAnsi="宋体" w:cs="宋体"/>
                <w:bCs/>
                <w:sz w:val="24"/>
                <w:lang w:val="zh-CN"/>
              </w:rPr>
              <w:t>投标报价得分以四舍五入保留小数点后两位。</w:t>
            </w:r>
          </w:p>
        </w:tc>
      </w:tr>
      <w:tr w14:paraId="579F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90" w:type="dxa"/>
            <w:vMerge w:val="restart"/>
            <w:vAlign w:val="center"/>
          </w:tcPr>
          <w:p w14:paraId="30CCA68B">
            <w:pPr>
              <w:spacing w:after="0" w:line="360" w:lineRule="auto"/>
              <w:jc w:val="center"/>
              <w:rPr>
                <w:rFonts w:hint="eastAsia" w:ascii="宋体" w:hAnsi="宋体" w:cs="宋体"/>
                <w:b/>
                <w:sz w:val="24"/>
              </w:rPr>
            </w:pPr>
            <w:r>
              <w:rPr>
                <w:rFonts w:hint="eastAsia" w:ascii="宋体" w:hAnsi="宋体" w:cs="宋体"/>
                <w:b/>
                <w:sz w:val="24"/>
              </w:rPr>
              <w:t>技术资信（70分）</w:t>
            </w:r>
          </w:p>
        </w:tc>
        <w:tc>
          <w:tcPr>
            <w:tcW w:w="1333" w:type="dxa"/>
            <w:vAlign w:val="center"/>
          </w:tcPr>
          <w:p w14:paraId="361DEAF4">
            <w:pPr>
              <w:snapToGrid w:val="0"/>
              <w:spacing w:after="0" w:line="360" w:lineRule="auto"/>
              <w:jc w:val="center"/>
              <w:rPr>
                <w:rFonts w:hint="eastAsia" w:ascii="宋体" w:hAnsi="宋体" w:cs="宋体"/>
                <w:b/>
                <w:bCs/>
                <w:sz w:val="24"/>
              </w:rPr>
            </w:pPr>
            <w:r>
              <w:rPr>
                <w:rFonts w:hint="eastAsia" w:ascii="宋体" w:hAnsi="宋体" w:cs="宋体"/>
                <w:b/>
                <w:bCs/>
                <w:sz w:val="24"/>
              </w:rPr>
              <w:t>技术响应程度（30分）</w:t>
            </w:r>
          </w:p>
        </w:tc>
        <w:tc>
          <w:tcPr>
            <w:tcW w:w="6912" w:type="dxa"/>
            <w:vAlign w:val="center"/>
          </w:tcPr>
          <w:p w14:paraId="34CB5EEB">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w:t>
            </w:r>
            <w:r>
              <w:rPr>
                <w:rFonts w:hint="eastAsia" w:ascii="宋体" w:hAnsi="宋体" w:cs="宋体"/>
                <w:bCs/>
                <w:sz w:val="24"/>
              </w:rPr>
              <w:t>客观分</w:t>
            </w:r>
            <w:r>
              <w:rPr>
                <w:rFonts w:hint="eastAsia" w:ascii="宋体" w:hAnsi="宋体" w:cs="宋体"/>
                <w:bCs/>
                <w:sz w:val="24"/>
                <w:lang w:val="zh-CN"/>
              </w:rPr>
              <w:t>】根据采购需求</w:t>
            </w:r>
            <w:r>
              <w:rPr>
                <w:rFonts w:hint="eastAsia" w:ascii="宋体" w:hAnsi="宋体" w:cs="宋体"/>
                <w:bCs/>
                <w:sz w:val="24"/>
              </w:rPr>
              <w:t>中</w:t>
            </w:r>
            <w:r>
              <w:rPr>
                <w:rFonts w:hint="eastAsia" w:ascii="宋体" w:hAnsi="宋体" w:cs="宋体"/>
                <w:bCs/>
                <w:sz w:val="24"/>
                <w:lang w:val="zh-CN"/>
              </w:rPr>
              <w:t>技术指标主要功能要求，对所投产品的功能要求响应情况进行评议。</w:t>
            </w:r>
          </w:p>
          <w:p w14:paraId="790533C3">
            <w:pPr>
              <w:snapToGrid w:val="0"/>
              <w:spacing w:after="0" w:line="360" w:lineRule="auto"/>
              <w:jc w:val="left"/>
              <w:rPr>
                <w:rFonts w:hint="eastAsia" w:ascii="宋体" w:hAnsi="宋体" w:cs="宋体"/>
                <w:lang w:val="zh-CN"/>
              </w:rPr>
            </w:pPr>
            <w:r>
              <w:rPr>
                <w:rFonts w:hint="eastAsia" w:ascii="宋体" w:hAnsi="宋体" w:cs="宋体"/>
                <w:bCs/>
                <w:sz w:val="24"/>
                <w:lang w:val="zh-CN"/>
              </w:rPr>
              <w:t>所投产品完全满足或优于招标文件技术参数及要求的，得满分3</w:t>
            </w:r>
            <w:r>
              <w:rPr>
                <w:rFonts w:hint="eastAsia" w:ascii="宋体" w:hAnsi="宋体" w:cs="宋体"/>
                <w:bCs/>
                <w:sz w:val="24"/>
              </w:rPr>
              <w:t>0</w:t>
            </w:r>
            <w:r>
              <w:rPr>
                <w:rFonts w:hint="eastAsia" w:ascii="宋体" w:hAnsi="宋体" w:cs="宋体"/>
                <w:bCs/>
                <w:sz w:val="24"/>
                <w:lang w:val="zh-CN"/>
              </w:rPr>
              <w:t>分，每负偏离或不满足未带“</w:t>
            </w:r>
            <w:r>
              <w:rPr>
                <w:rFonts w:hint="eastAsia" w:ascii="宋体" w:hAnsi="宋体" w:cs="宋体"/>
                <w:kern w:val="0"/>
                <w:sz w:val="24"/>
              </w:rPr>
              <w:t>★</w:t>
            </w:r>
            <w:r>
              <w:rPr>
                <w:rFonts w:hint="eastAsia" w:ascii="宋体" w:hAnsi="宋体" w:cs="宋体"/>
                <w:bCs/>
                <w:sz w:val="24"/>
                <w:lang w:val="zh-CN"/>
              </w:rPr>
              <w:t>”的参数的扣1分，每负偏离一项带“</w:t>
            </w:r>
            <w:r>
              <w:rPr>
                <w:rFonts w:hint="eastAsia" w:ascii="宋体" w:hAnsi="宋体" w:cs="宋体"/>
                <w:bCs/>
                <w:sz w:val="24"/>
              </w:rPr>
              <w:t>★</w:t>
            </w:r>
            <w:r>
              <w:rPr>
                <w:rFonts w:hint="eastAsia" w:ascii="宋体" w:hAnsi="宋体" w:cs="宋体"/>
                <w:bCs/>
                <w:sz w:val="24"/>
                <w:lang w:val="zh-CN"/>
              </w:rPr>
              <w:t>”的参数扣3</w:t>
            </w:r>
            <w:r>
              <w:rPr>
                <w:rFonts w:hint="eastAsia" w:ascii="宋体" w:hAnsi="宋体" w:cs="宋体"/>
                <w:bCs/>
                <w:sz w:val="24"/>
              </w:rPr>
              <w:t>.5</w:t>
            </w:r>
            <w:r>
              <w:rPr>
                <w:rFonts w:hint="eastAsia" w:ascii="宋体" w:hAnsi="宋体" w:cs="宋体"/>
                <w:bCs/>
                <w:sz w:val="24"/>
                <w:lang w:val="zh-CN"/>
              </w:rPr>
              <w:t>分，当扣减分数≥</w:t>
            </w:r>
            <w:r>
              <w:rPr>
                <w:rFonts w:hint="eastAsia" w:ascii="宋体" w:hAnsi="宋体" w:cs="宋体"/>
                <w:bCs/>
                <w:sz w:val="24"/>
              </w:rPr>
              <w:t>30</w:t>
            </w:r>
            <w:r>
              <w:rPr>
                <w:rFonts w:hint="eastAsia" w:ascii="宋体" w:hAnsi="宋体" w:cs="宋体"/>
                <w:bCs/>
                <w:sz w:val="24"/>
                <w:lang w:val="zh-CN"/>
              </w:rPr>
              <w:t>分时，作无效投标处理。</w:t>
            </w:r>
          </w:p>
        </w:tc>
      </w:tr>
      <w:tr w14:paraId="5384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90" w:type="dxa"/>
            <w:vMerge w:val="continue"/>
            <w:vAlign w:val="center"/>
          </w:tcPr>
          <w:p w14:paraId="2352BD4E">
            <w:pPr>
              <w:spacing w:after="0" w:line="360" w:lineRule="auto"/>
              <w:jc w:val="center"/>
              <w:rPr>
                <w:rFonts w:hint="eastAsia" w:ascii="宋体" w:hAnsi="宋体" w:cs="宋体"/>
                <w:b/>
                <w:sz w:val="24"/>
              </w:rPr>
            </w:pPr>
          </w:p>
        </w:tc>
        <w:tc>
          <w:tcPr>
            <w:tcW w:w="1333" w:type="dxa"/>
            <w:vAlign w:val="center"/>
          </w:tcPr>
          <w:p w14:paraId="38351654">
            <w:pPr>
              <w:snapToGrid w:val="0"/>
              <w:spacing w:after="0" w:line="360" w:lineRule="auto"/>
              <w:jc w:val="center"/>
              <w:rPr>
                <w:rFonts w:hint="eastAsia" w:ascii="宋体" w:hAnsi="宋体" w:cs="宋体"/>
                <w:b/>
                <w:bCs/>
                <w:sz w:val="24"/>
              </w:rPr>
            </w:pPr>
            <w:r>
              <w:rPr>
                <w:rFonts w:hint="eastAsia" w:ascii="宋体" w:hAnsi="宋体" w:cs="宋体"/>
                <w:b/>
                <w:bCs/>
                <w:sz w:val="24"/>
              </w:rPr>
              <w:t>业绩（3分）</w:t>
            </w:r>
          </w:p>
        </w:tc>
        <w:tc>
          <w:tcPr>
            <w:tcW w:w="6912" w:type="dxa"/>
            <w:vAlign w:val="center"/>
          </w:tcPr>
          <w:p w14:paraId="67A668CF">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【客观分】</w:t>
            </w:r>
          </w:p>
          <w:p w14:paraId="760FB44C">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投标人或核心产品制造商具有自20</w:t>
            </w:r>
            <w:r>
              <w:rPr>
                <w:rFonts w:hint="eastAsia" w:ascii="宋体" w:hAnsi="宋体" w:cs="宋体"/>
                <w:bCs/>
                <w:sz w:val="24"/>
              </w:rPr>
              <w:t>23</w:t>
            </w:r>
            <w:r>
              <w:rPr>
                <w:rFonts w:hint="eastAsia" w:ascii="宋体" w:hAnsi="宋体" w:cs="宋体"/>
                <w:bCs/>
                <w:sz w:val="24"/>
                <w:lang w:val="zh-CN"/>
              </w:rPr>
              <w:t>年1月1日以来（以合同签订时间为准）同类合同业绩（以提供的合同扫描件为准）：每提供1份合同业绩得1分，最高得3分。</w:t>
            </w:r>
          </w:p>
        </w:tc>
      </w:tr>
      <w:tr w14:paraId="7E9C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90" w:type="dxa"/>
            <w:vMerge w:val="continue"/>
            <w:vAlign w:val="center"/>
          </w:tcPr>
          <w:p w14:paraId="27964C73">
            <w:pPr>
              <w:spacing w:after="0" w:line="360" w:lineRule="auto"/>
              <w:jc w:val="center"/>
              <w:rPr>
                <w:rFonts w:hint="eastAsia" w:ascii="宋体" w:hAnsi="宋体" w:cs="宋体"/>
                <w:b/>
                <w:sz w:val="24"/>
              </w:rPr>
            </w:pPr>
          </w:p>
        </w:tc>
        <w:tc>
          <w:tcPr>
            <w:tcW w:w="1333" w:type="dxa"/>
            <w:vAlign w:val="center"/>
          </w:tcPr>
          <w:p w14:paraId="4BFFA28E">
            <w:pPr>
              <w:snapToGrid w:val="0"/>
              <w:spacing w:after="0" w:line="360" w:lineRule="auto"/>
              <w:jc w:val="center"/>
              <w:rPr>
                <w:rFonts w:hint="eastAsia" w:ascii="宋体" w:hAnsi="宋体" w:cs="宋体"/>
                <w:b/>
                <w:bCs/>
                <w:sz w:val="24"/>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政策功能（1分）</w:t>
            </w:r>
          </w:p>
        </w:tc>
        <w:tc>
          <w:tcPr>
            <w:tcW w:w="6912" w:type="dxa"/>
            <w:vAlign w:val="center"/>
          </w:tcPr>
          <w:p w14:paraId="290C0611">
            <w:pPr>
              <w:snapToGrid w:val="0"/>
              <w:spacing w:after="0" w:line="360" w:lineRule="auto"/>
              <w:jc w:val="left"/>
              <w:rPr>
                <w:rFonts w:hint="eastAsia" w:ascii="宋体" w:hAnsi="宋体" w:cs="宋体"/>
                <w:bCs/>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【客观分】</w:t>
            </w:r>
          </w:p>
          <w:p w14:paraId="4D5183E8">
            <w:pPr>
              <w:snapToGrid w:val="0"/>
              <w:spacing w:after="0" w:line="360" w:lineRule="auto"/>
              <w:jc w:val="left"/>
              <w:rPr>
                <w:rFonts w:hint="eastAsia" w:ascii="宋体" w:hAnsi="宋体" w:cs="宋体"/>
                <w:bCs/>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1、所有投标产品属于《节能产品政府采购品目清单》范围的且具有国家确定的认证机构出具的、处于有效期之内的节能产品认证证书的得0.5分；</w:t>
            </w:r>
          </w:p>
          <w:p w14:paraId="4B3E2AEE">
            <w:pPr>
              <w:snapToGrid w:val="0"/>
              <w:spacing w:after="0" w:line="360" w:lineRule="auto"/>
              <w:jc w:val="left"/>
              <w:rPr>
                <w:rFonts w:hint="eastAsia" w:ascii="宋体" w:hAnsi="宋体" w:cs="宋体"/>
                <w:bCs/>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2、所有投标产品属于《环境标志产品政府采购品目清单》范围的且具有国家确定的认证机构出具的、处于有效期之内的环境标志产品认证证书的得0.5分。</w:t>
            </w:r>
          </w:p>
          <w:p w14:paraId="2B01C986">
            <w:pPr>
              <w:snapToGrid w:val="0"/>
              <w:spacing w:after="0" w:line="360" w:lineRule="auto"/>
              <w:jc w:val="left"/>
              <w:rPr>
                <w:rFonts w:hint="eastAsia" w:ascii="宋体" w:hAnsi="宋体" w:cs="宋体"/>
                <w:bCs/>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注：投标文件中必须同时提供以下资料：（1）提供政府采购品目清单相关内容页（并对相关内容作圈记），采购品目清单详见《关于印发环境标志产品政府采购品目清单的通知》（财库〔2019〕18号）和《关于印发节能产品政府采购品目清单的通知》（财库〔2019〕19号）。（2）《市场监管总局关于发布参与实施政府采购节能产品、环境标志产品认证机构名录的公告》中的认证机构出具的、处于有效期之内的节能产品/环境标志产品认证证书复印件并加盖公章。</w:t>
            </w:r>
          </w:p>
        </w:tc>
      </w:tr>
      <w:tr w14:paraId="64D0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90" w:type="dxa"/>
            <w:vMerge w:val="continue"/>
            <w:vAlign w:val="center"/>
          </w:tcPr>
          <w:p w14:paraId="63E6E1A1">
            <w:pPr>
              <w:spacing w:after="0" w:line="360" w:lineRule="auto"/>
              <w:jc w:val="center"/>
              <w:rPr>
                <w:rFonts w:hint="eastAsia" w:ascii="宋体" w:hAnsi="宋体" w:cs="宋体"/>
                <w:b/>
                <w:sz w:val="24"/>
              </w:rPr>
            </w:pPr>
          </w:p>
        </w:tc>
        <w:tc>
          <w:tcPr>
            <w:tcW w:w="1333" w:type="dxa"/>
            <w:vAlign w:val="center"/>
          </w:tcPr>
          <w:p w14:paraId="2B6ABBD3">
            <w:pPr>
              <w:snapToGrid w:val="0"/>
              <w:spacing w:after="0" w:line="360" w:lineRule="auto"/>
              <w:jc w:val="center"/>
              <w:rPr>
                <w:rFonts w:hint="eastAsia" w:ascii="宋体" w:hAnsi="宋体" w:cs="宋体"/>
                <w:b/>
                <w:bCs/>
                <w:sz w:val="24"/>
              </w:rPr>
            </w:pPr>
            <w:r>
              <w:rPr>
                <w:rFonts w:hint="eastAsia" w:ascii="宋体" w:hAnsi="宋体" w:cs="宋体"/>
                <w:b/>
                <w:bCs/>
                <w:sz w:val="24"/>
              </w:rPr>
              <w:t>供货方案（6分）</w:t>
            </w:r>
          </w:p>
        </w:tc>
        <w:tc>
          <w:tcPr>
            <w:tcW w:w="6912" w:type="dxa"/>
            <w:vAlign w:val="center"/>
          </w:tcPr>
          <w:p w14:paraId="38B45B6E">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【主观分】根据投标人提供的供货期限是否满足招标文件要求；交货方式是否切合实际；供货保障是否合理；供货流程要点是否明确；供货实施步骤是否清晰进行评议。</w:t>
            </w:r>
          </w:p>
          <w:p w14:paraId="7A245343">
            <w:pPr>
              <w:snapToGrid w:val="0"/>
              <w:spacing w:after="0" w:line="360" w:lineRule="auto"/>
              <w:jc w:val="left"/>
              <w:rPr>
                <w:rFonts w:hint="eastAsia" w:ascii="宋体" w:hAnsi="宋体" w:cs="宋体"/>
                <w:bCs/>
                <w:sz w:val="24"/>
              </w:rPr>
            </w:pPr>
            <w:r>
              <w:rPr>
                <w:rFonts w:hint="eastAsia" w:ascii="宋体" w:hAnsi="宋体" w:cs="宋体"/>
                <w:bCs/>
                <w:sz w:val="24"/>
              </w:rPr>
              <w:t>1）供货期完全满足招标文件要求，交货方式切合实际，供货保障流程合理且供货流程要点明确，供货实施步骤清晰，能提供有针对性的服务措施的得6分；</w:t>
            </w:r>
            <w:r>
              <w:rPr>
                <w:rFonts w:hint="eastAsia" w:ascii="宋体" w:hAnsi="宋体" w:cs="宋体"/>
                <w:bCs/>
                <w:sz w:val="24"/>
              </w:rPr>
              <w:br w:type="textWrapping"/>
            </w:r>
            <w:r>
              <w:rPr>
                <w:rFonts w:hint="eastAsia" w:ascii="宋体" w:hAnsi="宋体" w:cs="宋体"/>
                <w:bCs/>
                <w:sz w:val="24"/>
              </w:rPr>
              <w:t>2）供货期满足招标文件要求，交货方式切合实际，供货保障流程合理且供货流程要点明确，供货实施步骤清晰，能提供比较有针对性的服务措施的得5分；</w:t>
            </w:r>
          </w:p>
          <w:p w14:paraId="5E9B3C68">
            <w:pPr>
              <w:snapToGrid w:val="0"/>
              <w:spacing w:after="0" w:line="360" w:lineRule="auto"/>
              <w:jc w:val="left"/>
              <w:rPr>
                <w:rFonts w:hint="eastAsia" w:ascii="宋体" w:hAnsi="宋体" w:cs="宋体"/>
                <w:bCs/>
                <w:sz w:val="24"/>
              </w:rPr>
            </w:pPr>
            <w:r>
              <w:rPr>
                <w:rFonts w:hint="eastAsia" w:ascii="宋体" w:hAnsi="宋体" w:cs="宋体"/>
                <w:bCs/>
                <w:sz w:val="24"/>
              </w:rPr>
              <w:t>3）方案内容符合本项目供货要求，实行上基本合理可行的得4分；</w:t>
            </w:r>
          </w:p>
          <w:p w14:paraId="0469406B">
            <w:pPr>
              <w:snapToGrid w:val="0"/>
              <w:spacing w:after="0" w:line="360" w:lineRule="auto"/>
              <w:jc w:val="left"/>
              <w:rPr>
                <w:rFonts w:hint="eastAsia" w:ascii="宋体" w:hAnsi="宋体" w:cs="宋体"/>
                <w:bCs/>
                <w:sz w:val="24"/>
              </w:rPr>
            </w:pPr>
            <w:r>
              <w:rPr>
                <w:rFonts w:hint="eastAsia" w:ascii="宋体" w:hAnsi="宋体" w:cs="宋体"/>
                <w:bCs/>
                <w:sz w:val="24"/>
              </w:rPr>
              <w:t>4）方案内容基本符合本项目的供货要求，实行上基本合理可行的得3分；</w:t>
            </w:r>
          </w:p>
          <w:p w14:paraId="54D90C28">
            <w:pPr>
              <w:snapToGrid w:val="0"/>
              <w:spacing w:after="0" w:line="360" w:lineRule="auto"/>
              <w:jc w:val="left"/>
              <w:rPr>
                <w:rFonts w:hint="eastAsia" w:ascii="宋体" w:hAnsi="宋体" w:cs="宋体"/>
                <w:bCs/>
                <w:sz w:val="24"/>
              </w:rPr>
            </w:pPr>
            <w:r>
              <w:rPr>
                <w:rFonts w:hint="eastAsia" w:ascii="宋体" w:hAnsi="宋体" w:cs="宋体"/>
                <w:bCs/>
                <w:sz w:val="24"/>
              </w:rPr>
              <w:t>5）方案内容基本符合本项目的供货要求，但是实行上略有欠缺的得2分；</w:t>
            </w:r>
          </w:p>
          <w:p w14:paraId="25B438B8">
            <w:pPr>
              <w:snapToGrid w:val="0"/>
              <w:spacing w:after="0" w:line="360" w:lineRule="auto"/>
              <w:jc w:val="left"/>
              <w:rPr>
                <w:rFonts w:hint="eastAsia" w:ascii="宋体" w:hAnsi="宋体" w:cs="宋体"/>
                <w:bCs/>
                <w:sz w:val="24"/>
              </w:rPr>
            </w:pPr>
            <w:r>
              <w:rPr>
                <w:rFonts w:hint="eastAsia" w:ascii="宋体" w:hAnsi="宋体" w:cs="宋体"/>
                <w:bCs/>
                <w:sz w:val="24"/>
              </w:rPr>
              <w:t>6）方案内容不完整，内容不充分，与本项目货物供应要求有差距的得1分；</w:t>
            </w:r>
          </w:p>
          <w:p w14:paraId="0DF0AAB0">
            <w:pPr>
              <w:pStyle w:val="32"/>
              <w:spacing w:after="0" w:line="360" w:lineRule="auto"/>
              <w:rPr>
                <w:rFonts w:hint="eastAsia" w:hAnsi="宋体" w:cs="宋体"/>
              </w:rPr>
            </w:pPr>
            <w:r>
              <w:rPr>
                <w:rFonts w:hint="eastAsia" w:hAnsi="宋体" w:cs="宋体"/>
                <w:bCs/>
                <w:sz w:val="24"/>
              </w:rPr>
              <w:t>7）未提供相关内容的不得分。</w:t>
            </w:r>
          </w:p>
        </w:tc>
      </w:tr>
      <w:tr w14:paraId="6282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0" w:type="dxa"/>
            <w:vMerge w:val="continue"/>
            <w:vAlign w:val="center"/>
          </w:tcPr>
          <w:p w14:paraId="3933A538">
            <w:pPr>
              <w:spacing w:after="0" w:line="360" w:lineRule="auto"/>
              <w:jc w:val="center"/>
              <w:rPr>
                <w:rFonts w:hint="eastAsia" w:ascii="宋体" w:hAnsi="宋体" w:cs="宋体"/>
                <w:b/>
                <w:sz w:val="24"/>
              </w:rPr>
            </w:pPr>
          </w:p>
        </w:tc>
        <w:tc>
          <w:tcPr>
            <w:tcW w:w="1333" w:type="dxa"/>
            <w:vAlign w:val="center"/>
          </w:tcPr>
          <w:p w14:paraId="0D5614A9">
            <w:pPr>
              <w:snapToGrid w:val="0"/>
              <w:spacing w:after="0" w:line="360" w:lineRule="auto"/>
              <w:rPr>
                <w:rFonts w:hint="eastAsia" w:ascii="宋体" w:hAnsi="宋体" w:cs="宋体"/>
                <w:b/>
                <w:bCs/>
                <w:sz w:val="24"/>
              </w:rPr>
            </w:pPr>
            <w:r>
              <w:rPr>
                <w:rFonts w:hint="eastAsia" w:ascii="宋体" w:hAnsi="宋体" w:cs="宋体"/>
                <w:b/>
                <w:bCs/>
                <w:sz w:val="24"/>
              </w:rPr>
              <w:t>进度保障措施（5分）</w:t>
            </w:r>
          </w:p>
        </w:tc>
        <w:tc>
          <w:tcPr>
            <w:tcW w:w="6912" w:type="dxa"/>
            <w:vAlign w:val="center"/>
          </w:tcPr>
          <w:p w14:paraId="3A635D87">
            <w:pPr>
              <w:snapToGrid w:val="0"/>
              <w:spacing w:after="0" w:line="360" w:lineRule="auto"/>
              <w:jc w:val="left"/>
              <w:rPr>
                <w:rFonts w:hint="eastAsia" w:ascii="宋体" w:hAnsi="宋体" w:cs="宋体"/>
                <w:bCs/>
                <w:sz w:val="24"/>
              </w:rPr>
            </w:pPr>
            <w:r>
              <w:rPr>
                <w:rFonts w:ascii="宋体" w:hAnsi="宋体" w:cs="宋体"/>
                <w:bCs/>
                <w:sz w:val="24"/>
              </w:rPr>
              <w:t>【主观分】</w:t>
            </w:r>
            <w:r>
              <w:rPr>
                <w:rFonts w:hint="eastAsia" w:ascii="宋体" w:hAnsi="宋体" w:cs="宋体"/>
                <w:bCs/>
                <w:sz w:val="24"/>
                <w:lang w:val="zh-CN"/>
              </w:rPr>
              <w:t>根据投标人提供的进度保障措施是否满足招标文件要求进行评议。</w:t>
            </w:r>
          </w:p>
          <w:p w14:paraId="1107DE7C">
            <w:pPr>
              <w:snapToGrid w:val="0"/>
              <w:spacing w:after="0" w:line="360" w:lineRule="auto"/>
              <w:jc w:val="left"/>
              <w:rPr>
                <w:rFonts w:hint="eastAsia" w:ascii="宋体" w:hAnsi="宋体" w:cs="宋体"/>
                <w:bCs/>
                <w:sz w:val="24"/>
                <w:lang w:val="zh-CN"/>
              </w:rPr>
            </w:pPr>
            <w:r>
              <w:rPr>
                <w:rFonts w:ascii="宋体" w:hAnsi="宋体" w:cs="宋体"/>
                <w:bCs/>
                <w:sz w:val="24"/>
              </w:rPr>
              <w:t>1）</w:t>
            </w:r>
            <w:r>
              <w:rPr>
                <w:rFonts w:hint="eastAsia" w:ascii="宋体" w:hAnsi="宋体" w:cs="宋体"/>
                <w:bCs/>
                <w:sz w:val="24"/>
                <w:lang w:val="zh-CN"/>
              </w:rPr>
              <w:t>进度保障措施内容齐全、完整，操作性强，科学、合理的得</w:t>
            </w:r>
            <w:r>
              <w:rPr>
                <w:rFonts w:hint="eastAsia" w:ascii="宋体" w:hAnsi="宋体" w:cs="宋体"/>
                <w:bCs/>
                <w:sz w:val="24"/>
              </w:rPr>
              <w:t>5</w:t>
            </w:r>
            <w:r>
              <w:rPr>
                <w:rFonts w:hint="eastAsia" w:ascii="宋体" w:hAnsi="宋体" w:cs="宋体"/>
                <w:bCs/>
                <w:sz w:val="24"/>
                <w:lang w:val="zh-CN"/>
              </w:rPr>
              <w:t>分；</w:t>
            </w:r>
          </w:p>
          <w:p w14:paraId="75EEF7BC">
            <w:pPr>
              <w:snapToGrid w:val="0"/>
              <w:spacing w:after="0" w:line="360" w:lineRule="auto"/>
              <w:jc w:val="left"/>
              <w:rPr>
                <w:rFonts w:hint="eastAsia" w:ascii="宋体" w:hAnsi="宋体" w:cs="宋体"/>
                <w:lang w:val="zh-CN"/>
              </w:rPr>
            </w:pPr>
            <w:r>
              <w:rPr>
                <w:rFonts w:hint="eastAsia" w:ascii="宋体" w:hAnsi="宋体" w:cs="宋体"/>
                <w:bCs/>
                <w:sz w:val="24"/>
              </w:rPr>
              <w:t>2）</w:t>
            </w:r>
            <w:r>
              <w:rPr>
                <w:rFonts w:hint="eastAsia" w:ascii="宋体" w:hAnsi="宋体" w:cs="宋体"/>
                <w:bCs/>
                <w:sz w:val="24"/>
                <w:lang w:val="zh-CN"/>
              </w:rPr>
              <w:t>进度保障措施内容</w:t>
            </w:r>
            <w:r>
              <w:rPr>
                <w:rFonts w:hint="eastAsia" w:ascii="宋体" w:hAnsi="宋体" w:cs="宋体"/>
                <w:bCs/>
                <w:sz w:val="24"/>
              </w:rPr>
              <w:t>基本</w:t>
            </w:r>
            <w:r>
              <w:rPr>
                <w:rFonts w:hint="eastAsia" w:ascii="宋体" w:hAnsi="宋体" w:cs="宋体"/>
                <w:bCs/>
                <w:sz w:val="24"/>
                <w:lang w:val="zh-CN"/>
              </w:rPr>
              <w:t>齐全、完整，操作性强，科学、合理的得</w:t>
            </w:r>
            <w:r>
              <w:rPr>
                <w:rFonts w:hint="eastAsia" w:ascii="宋体" w:hAnsi="宋体" w:cs="宋体"/>
                <w:bCs/>
                <w:sz w:val="24"/>
              </w:rPr>
              <w:t>4</w:t>
            </w:r>
            <w:r>
              <w:rPr>
                <w:rFonts w:hint="eastAsia" w:ascii="宋体" w:hAnsi="宋体" w:cs="宋体"/>
                <w:bCs/>
                <w:sz w:val="24"/>
                <w:lang w:val="zh-CN"/>
              </w:rPr>
              <w:t>分；</w:t>
            </w:r>
          </w:p>
          <w:p w14:paraId="6BA2EC71">
            <w:pPr>
              <w:snapToGrid w:val="0"/>
              <w:spacing w:after="0" w:line="360" w:lineRule="auto"/>
              <w:jc w:val="left"/>
              <w:rPr>
                <w:rFonts w:hint="eastAsia" w:ascii="宋体" w:hAnsi="宋体" w:cs="宋体"/>
                <w:bCs/>
                <w:sz w:val="24"/>
                <w:lang w:val="zh-CN"/>
              </w:rPr>
            </w:pPr>
            <w:r>
              <w:rPr>
                <w:rFonts w:hint="eastAsia" w:ascii="宋体" w:hAnsi="宋体" w:cs="宋体"/>
                <w:bCs/>
                <w:sz w:val="24"/>
              </w:rPr>
              <w:t>3）</w:t>
            </w:r>
            <w:r>
              <w:rPr>
                <w:rFonts w:hint="eastAsia" w:ascii="宋体" w:hAnsi="宋体" w:cs="宋体"/>
                <w:bCs/>
                <w:sz w:val="24"/>
                <w:lang w:val="zh-CN"/>
              </w:rPr>
              <w:t>进度保障措施内容基本完整、操作性及合理性较为一般的得</w:t>
            </w:r>
            <w:r>
              <w:rPr>
                <w:rFonts w:hint="eastAsia" w:ascii="宋体" w:hAnsi="宋体" w:cs="宋体"/>
                <w:bCs/>
                <w:sz w:val="24"/>
              </w:rPr>
              <w:t>3</w:t>
            </w:r>
            <w:r>
              <w:rPr>
                <w:rFonts w:hint="eastAsia" w:ascii="宋体" w:hAnsi="宋体" w:cs="宋体"/>
                <w:bCs/>
                <w:sz w:val="24"/>
                <w:lang w:val="zh-CN"/>
              </w:rPr>
              <w:t>分；</w:t>
            </w:r>
          </w:p>
          <w:p w14:paraId="6455A2B6">
            <w:pPr>
              <w:snapToGrid w:val="0"/>
              <w:spacing w:after="0" w:line="360" w:lineRule="auto"/>
              <w:jc w:val="left"/>
              <w:rPr>
                <w:rFonts w:hint="eastAsia" w:ascii="宋体" w:hAnsi="宋体" w:cs="宋体"/>
                <w:bCs/>
                <w:sz w:val="24"/>
                <w:lang w:val="zh-CN"/>
              </w:rPr>
            </w:pPr>
            <w:r>
              <w:rPr>
                <w:rFonts w:hint="eastAsia" w:ascii="宋体" w:hAnsi="宋体" w:cs="宋体"/>
                <w:bCs/>
                <w:sz w:val="24"/>
              </w:rPr>
              <w:t>4）</w:t>
            </w:r>
            <w:r>
              <w:rPr>
                <w:rFonts w:hint="eastAsia" w:ascii="宋体" w:hAnsi="宋体" w:cs="宋体"/>
                <w:bCs/>
                <w:sz w:val="24"/>
                <w:lang w:val="zh-CN"/>
              </w:rPr>
              <w:t>进度保障措施内容</w:t>
            </w:r>
            <w:r>
              <w:rPr>
                <w:rFonts w:hint="eastAsia" w:ascii="宋体" w:hAnsi="宋体" w:cs="宋体"/>
                <w:bCs/>
                <w:sz w:val="24"/>
              </w:rPr>
              <w:t>不</w:t>
            </w:r>
            <w:r>
              <w:rPr>
                <w:rFonts w:hint="eastAsia" w:ascii="宋体" w:hAnsi="宋体" w:cs="宋体"/>
                <w:bCs/>
                <w:sz w:val="24"/>
                <w:lang w:val="zh-CN"/>
              </w:rPr>
              <w:t>完整、操作性及合理性较为一般的得</w:t>
            </w:r>
            <w:r>
              <w:rPr>
                <w:rFonts w:hint="eastAsia" w:ascii="宋体" w:hAnsi="宋体" w:cs="宋体"/>
                <w:bCs/>
                <w:sz w:val="24"/>
              </w:rPr>
              <w:t>2</w:t>
            </w:r>
            <w:r>
              <w:rPr>
                <w:rFonts w:hint="eastAsia" w:ascii="宋体" w:hAnsi="宋体" w:cs="宋体"/>
                <w:bCs/>
                <w:sz w:val="24"/>
                <w:lang w:val="zh-CN"/>
              </w:rPr>
              <w:t>分；</w:t>
            </w:r>
          </w:p>
          <w:p w14:paraId="444FFD1A">
            <w:pPr>
              <w:snapToGrid w:val="0"/>
              <w:spacing w:after="0" w:line="360" w:lineRule="auto"/>
              <w:jc w:val="left"/>
              <w:rPr>
                <w:rFonts w:hint="eastAsia" w:ascii="宋体" w:hAnsi="宋体" w:cs="宋体"/>
                <w:lang w:val="zh-CN"/>
              </w:rPr>
            </w:pPr>
            <w:r>
              <w:rPr>
                <w:rFonts w:hint="eastAsia" w:ascii="宋体" w:hAnsi="宋体" w:cs="宋体"/>
                <w:bCs/>
                <w:sz w:val="24"/>
              </w:rPr>
              <w:t>5）</w:t>
            </w:r>
            <w:r>
              <w:rPr>
                <w:rFonts w:hint="eastAsia" w:ascii="宋体" w:hAnsi="宋体" w:cs="宋体"/>
                <w:bCs/>
                <w:sz w:val="24"/>
                <w:lang w:val="zh-CN"/>
              </w:rPr>
              <w:t>进度保障措施内容</w:t>
            </w:r>
            <w:r>
              <w:rPr>
                <w:rFonts w:hint="eastAsia" w:ascii="宋体" w:hAnsi="宋体" w:cs="宋体"/>
                <w:bCs/>
                <w:sz w:val="24"/>
              </w:rPr>
              <w:t>不</w:t>
            </w:r>
            <w:r>
              <w:rPr>
                <w:rFonts w:hint="eastAsia" w:ascii="宋体" w:hAnsi="宋体" w:cs="宋体"/>
                <w:bCs/>
                <w:sz w:val="24"/>
                <w:lang w:val="zh-CN"/>
              </w:rPr>
              <w:t>完整，</w:t>
            </w:r>
            <w:r>
              <w:rPr>
                <w:rFonts w:hint="eastAsia" w:ascii="宋体" w:hAnsi="宋体" w:cs="宋体"/>
                <w:bCs/>
                <w:sz w:val="24"/>
              </w:rPr>
              <w:t>一定程度影响</w:t>
            </w:r>
            <w:r>
              <w:rPr>
                <w:rFonts w:hint="eastAsia" w:ascii="宋体" w:hAnsi="宋体" w:cs="宋体"/>
                <w:bCs/>
                <w:sz w:val="24"/>
                <w:lang w:val="zh-CN"/>
              </w:rPr>
              <w:t>操作性及合理性的得</w:t>
            </w:r>
            <w:r>
              <w:rPr>
                <w:rFonts w:hint="eastAsia" w:ascii="宋体" w:hAnsi="宋体" w:cs="宋体"/>
                <w:bCs/>
                <w:sz w:val="24"/>
              </w:rPr>
              <w:t>1</w:t>
            </w:r>
            <w:r>
              <w:rPr>
                <w:rFonts w:hint="eastAsia" w:ascii="宋体" w:hAnsi="宋体" w:cs="宋体"/>
                <w:bCs/>
                <w:sz w:val="24"/>
                <w:lang w:val="zh-CN"/>
              </w:rPr>
              <w:t>分；</w:t>
            </w:r>
          </w:p>
          <w:p w14:paraId="4BADB83E">
            <w:pPr>
              <w:snapToGrid w:val="0"/>
              <w:spacing w:after="0" w:line="360" w:lineRule="auto"/>
              <w:jc w:val="left"/>
              <w:rPr>
                <w:rFonts w:hint="eastAsia" w:ascii="宋体" w:hAnsi="宋体" w:cs="宋体"/>
                <w:bCs/>
                <w:sz w:val="24"/>
                <w:lang w:val="zh-CN"/>
              </w:rPr>
            </w:pPr>
            <w:r>
              <w:rPr>
                <w:rFonts w:hint="eastAsia" w:ascii="宋体" w:hAnsi="宋体" w:cs="宋体"/>
                <w:bCs/>
                <w:sz w:val="24"/>
              </w:rPr>
              <w:t>6）</w:t>
            </w:r>
            <w:r>
              <w:rPr>
                <w:rFonts w:hint="eastAsia" w:ascii="宋体" w:hAnsi="宋体" w:cs="宋体"/>
                <w:bCs/>
                <w:sz w:val="24"/>
                <w:lang w:val="zh-CN"/>
              </w:rPr>
              <w:t>未提供进度保障措施的不得分。</w:t>
            </w:r>
          </w:p>
        </w:tc>
      </w:tr>
      <w:tr w14:paraId="55A8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1290" w:type="dxa"/>
            <w:vMerge w:val="continue"/>
            <w:vAlign w:val="center"/>
          </w:tcPr>
          <w:p w14:paraId="3278ADE7">
            <w:pPr>
              <w:widowControl/>
              <w:spacing w:after="0" w:line="360" w:lineRule="auto"/>
              <w:rPr>
                <w:rFonts w:hint="eastAsia" w:ascii="宋体" w:hAnsi="宋体" w:cs="宋体"/>
                <w:sz w:val="24"/>
              </w:rPr>
            </w:pPr>
          </w:p>
        </w:tc>
        <w:tc>
          <w:tcPr>
            <w:tcW w:w="1333" w:type="dxa"/>
            <w:vAlign w:val="center"/>
          </w:tcPr>
          <w:p w14:paraId="5AB44837">
            <w:pPr>
              <w:snapToGrid w:val="0"/>
              <w:spacing w:after="0" w:line="360" w:lineRule="auto"/>
              <w:jc w:val="center"/>
              <w:rPr>
                <w:rFonts w:hint="eastAsia" w:ascii="宋体" w:hAnsi="宋体" w:cs="宋体"/>
                <w:b/>
                <w:bCs/>
                <w:sz w:val="24"/>
              </w:rPr>
            </w:pPr>
            <w:r>
              <w:rPr>
                <w:rFonts w:hint="eastAsia" w:ascii="宋体" w:hAnsi="宋体" w:cs="宋体"/>
                <w:b/>
                <w:bCs/>
                <w:sz w:val="24"/>
              </w:rPr>
              <w:t>培训方案（5分）</w:t>
            </w:r>
          </w:p>
        </w:tc>
        <w:tc>
          <w:tcPr>
            <w:tcW w:w="6912" w:type="dxa"/>
            <w:vAlign w:val="center"/>
          </w:tcPr>
          <w:p w14:paraId="514342E4">
            <w:pPr>
              <w:snapToGrid w:val="0"/>
              <w:spacing w:after="0" w:line="360" w:lineRule="auto"/>
              <w:jc w:val="left"/>
              <w:rPr>
                <w:rFonts w:hint="eastAsia" w:ascii="宋体" w:hAnsi="宋体" w:cs="宋体"/>
                <w:bCs/>
                <w:sz w:val="24"/>
                <w:lang w:val="zh-CN"/>
              </w:rPr>
            </w:pPr>
            <w:r>
              <w:rPr>
                <w:rFonts w:ascii="宋体" w:hAnsi="宋体" w:cs="宋体"/>
                <w:sz w:val="24"/>
                <w:lang w:val="zh-CN"/>
              </w:rPr>
              <w:t>【主观分】</w:t>
            </w:r>
            <w:r>
              <w:rPr>
                <w:rFonts w:hint="eastAsia" w:ascii="宋体" w:hAnsi="宋体" w:cs="宋体"/>
                <w:bCs/>
                <w:sz w:val="24"/>
                <w:lang w:val="zh-CN"/>
              </w:rPr>
              <w:t>根据投标人提供的培训方案包括培训内容、培训方式以及让操作人员会操作或使用系统功能的措施进行综合评议：</w:t>
            </w:r>
          </w:p>
          <w:p w14:paraId="1C6A07A9">
            <w:pPr>
              <w:snapToGrid w:val="0"/>
              <w:spacing w:after="0" w:line="360" w:lineRule="auto"/>
              <w:jc w:val="left"/>
              <w:rPr>
                <w:rFonts w:hint="eastAsia" w:ascii="宋体" w:hAnsi="宋体" w:cs="宋体"/>
                <w:bCs/>
                <w:sz w:val="24"/>
              </w:rPr>
            </w:pPr>
            <w:r>
              <w:rPr>
                <w:rFonts w:hint="eastAsia" w:ascii="宋体" w:hAnsi="宋体" w:cs="宋体"/>
                <w:bCs/>
                <w:sz w:val="24"/>
              </w:rPr>
              <w:t>1）人员培训方案与采购人实际相结合，培训时间安排合理，培训内容符合货物使用要求，培训次数能确保设备实际使用人灵活使用且场地安排合理的得5分；</w:t>
            </w:r>
          </w:p>
          <w:p w14:paraId="2AB4A847">
            <w:pPr>
              <w:snapToGrid w:val="0"/>
              <w:spacing w:after="0" w:line="360" w:lineRule="auto"/>
              <w:jc w:val="left"/>
              <w:rPr>
                <w:rFonts w:hint="eastAsia" w:ascii="宋体" w:hAnsi="宋体" w:cs="宋体"/>
                <w:bCs/>
                <w:sz w:val="24"/>
              </w:rPr>
            </w:pPr>
            <w:r>
              <w:rPr>
                <w:rFonts w:hint="eastAsia" w:ascii="宋体" w:hAnsi="宋体" w:cs="宋体"/>
                <w:bCs/>
                <w:sz w:val="24"/>
              </w:rPr>
              <w:t>2）人员培训方案与采购人实际相结合，培训时间安排较合理，培训内容较符合货物使用要求，培训次数能确保设备实际使用人灵活使用且场地安排较合理的得4分；</w:t>
            </w:r>
          </w:p>
          <w:p w14:paraId="6FA86303">
            <w:pPr>
              <w:snapToGrid w:val="0"/>
              <w:spacing w:after="0" w:line="360" w:lineRule="auto"/>
              <w:jc w:val="left"/>
              <w:rPr>
                <w:rFonts w:hint="eastAsia" w:ascii="宋体" w:hAnsi="宋体" w:cs="宋体"/>
                <w:bCs/>
                <w:sz w:val="24"/>
              </w:rPr>
            </w:pPr>
            <w:r>
              <w:rPr>
                <w:rFonts w:hint="eastAsia" w:ascii="宋体" w:hAnsi="宋体" w:cs="宋体"/>
                <w:bCs/>
                <w:sz w:val="24"/>
              </w:rPr>
              <w:t>3）人员培训方案时间安排基本合理，培训内容基本符合货物使用要求，培训次数基本能确保设备实际使用人操作的得3分；</w:t>
            </w:r>
          </w:p>
          <w:p w14:paraId="29EB6546">
            <w:pPr>
              <w:snapToGrid w:val="0"/>
              <w:spacing w:after="0" w:line="360" w:lineRule="auto"/>
              <w:jc w:val="left"/>
              <w:rPr>
                <w:rFonts w:hint="eastAsia" w:ascii="宋体" w:hAnsi="宋体" w:cs="宋体"/>
                <w:bCs/>
                <w:sz w:val="24"/>
              </w:rPr>
            </w:pPr>
            <w:r>
              <w:rPr>
                <w:rFonts w:hint="eastAsia" w:ascii="宋体" w:hAnsi="宋体" w:cs="宋体"/>
                <w:bCs/>
                <w:sz w:val="24"/>
              </w:rPr>
              <w:t>4）人员培训方案不够符合采购需求，培训内容缺少针对性内容的得2分；</w:t>
            </w:r>
          </w:p>
          <w:p w14:paraId="4698F995">
            <w:pPr>
              <w:snapToGrid w:val="0"/>
              <w:spacing w:after="0" w:line="360" w:lineRule="auto"/>
              <w:jc w:val="left"/>
              <w:rPr>
                <w:rFonts w:hint="eastAsia" w:ascii="宋体" w:hAnsi="宋体" w:cs="宋体"/>
                <w:bCs/>
                <w:sz w:val="24"/>
              </w:rPr>
            </w:pPr>
            <w:r>
              <w:rPr>
                <w:rFonts w:hint="eastAsia" w:ascii="宋体" w:hAnsi="宋体" w:cs="宋体"/>
                <w:bCs/>
                <w:sz w:val="24"/>
              </w:rPr>
              <w:t>5）人员培训方案没有结合采购需求，培训内容敷衍，没有相应培训场地且培训时间不合理的得1分；</w:t>
            </w:r>
          </w:p>
          <w:p w14:paraId="75ABAA15">
            <w:pPr>
              <w:snapToGrid w:val="0"/>
              <w:spacing w:after="0" w:line="360" w:lineRule="auto"/>
              <w:jc w:val="left"/>
              <w:rPr>
                <w:rFonts w:hint="eastAsia" w:ascii="宋体" w:hAnsi="宋体" w:cs="宋体"/>
                <w:lang w:val="zh-CN"/>
              </w:rPr>
            </w:pPr>
            <w:r>
              <w:rPr>
                <w:rFonts w:hint="eastAsia" w:ascii="宋体" w:hAnsi="宋体" w:cs="宋体"/>
                <w:bCs/>
                <w:sz w:val="24"/>
              </w:rPr>
              <w:t>6）未提供相关内容的不得分。</w:t>
            </w:r>
          </w:p>
        </w:tc>
      </w:tr>
      <w:tr w14:paraId="4F86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90" w:type="dxa"/>
            <w:vMerge w:val="continue"/>
            <w:vAlign w:val="center"/>
          </w:tcPr>
          <w:p w14:paraId="4C11E548">
            <w:pPr>
              <w:widowControl/>
              <w:spacing w:after="0" w:line="360" w:lineRule="auto"/>
              <w:rPr>
                <w:rFonts w:hint="eastAsia" w:ascii="宋体" w:hAnsi="宋体" w:cs="宋体"/>
                <w:sz w:val="24"/>
              </w:rPr>
            </w:pPr>
          </w:p>
        </w:tc>
        <w:tc>
          <w:tcPr>
            <w:tcW w:w="1333" w:type="dxa"/>
            <w:vAlign w:val="center"/>
          </w:tcPr>
          <w:p w14:paraId="6595CD93">
            <w:pPr>
              <w:snapToGrid w:val="0"/>
              <w:spacing w:after="0" w:line="360" w:lineRule="auto"/>
              <w:jc w:val="center"/>
              <w:rPr>
                <w:rFonts w:hint="eastAsia" w:ascii="宋体" w:hAnsi="宋体" w:cs="宋体"/>
                <w:b/>
                <w:bCs/>
                <w:sz w:val="24"/>
              </w:rPr>
            </w:pPr>
            <w:r>
              <w:rPr>
                <w:rFonts w:hint="eastAsia" w:ascii="宋体" w:hAnsi="宋体" w:cs="宋体"/>
                <w:b/>
                <w:bCs/>
                <w:sz w:val="24"/>
              </w:rPr>
              <w:t>供货、安装、调试（5分）</w:t>
            </w:r>
          </w:p>
        </w:tc>
        <w:tc>
          <w:tcPr>
            <w:tcW w:w="6912" w:type="dxa"/>
            <w:vAlign w:val="center"/>
          </w:tcPr>
          <w:p w14:paraId="3EFC791D">
            <w:pPr>
              <w:snapToGrid w:val="0"/>
              <w:spacing w:after="0" w:line="360" w:lineRule="auto"/>
              <w:jc w:val="left"/>
              <w:rPr>
                <w:rFonts w:hint="eastAsia" w:ascii="宋体" w:hAnsi="宋体" w:cs="宋体"/>
                <w:bCs/>
                <w:sz w:val="24"/>
                <w:lang w:val="zh-CN"/>
              </w:rPr>
            </w:pPr>
            <w:r>
              <w:rPr>
                <w:rFonts w:hint="eastAsia" w:ascii="宋体" w:hAnsi="宋体" w:cs="宋体"/>
                <w:bCs/>
                <w:sz w:val="24"/>
                <w:lang w:val="zh-CN"/>
              </w:rPr>
              <w:t>【主观分】根据对供货方案、现场安装、调试方案可行性、合理性和可操作性进行评分；</w:t>
            </w:r>
          </w:p>
          <w:p w14:paraId="76BF18E9">
            <w:pPr>
              <w:snapToGrid w:val="0"/>
              <w:spacing w:after="0" w:line="360" w:lineRule="auto"/>
              <w:jc w:val="left"/>
              <w:rPr>
                <w:rFonts w:hint="eastAsia" w:ascii="宋体" w:hAnsi="宋体" w:cs="宋体"/>
                <w:bCs/>
                <w:sz w:val="24"/>
              </w:rPr>
            </w:pPr>
            <w:r>
              <w:rPr>
                <w:rFonts w:hint="eastAsia" w:ascii="宋体" w:hAnsi="宋体" w:cs="宋体"/>
                <w:bCs/>
                <w:sz w:val="24"/>
              </w:rPr>
              <w:t>1）安装方案得当，安装人员配置贴合实际需求，调试要求明确，且开箱测试方式科学，产品调试方案合理，能确保货物正常安装及验收的得5分；</w:t>
            </w:r>
            <w:r>
              <w:rPr>
                <w:rFonts w:hint="eastAsia" w:ascii="宋体" w:hAnsi="宋体" w:cs="宋体"/>
                <w:bCs/>
                <w:sz w:val="24"/>
              </w:rPr>
              <w:br w:type="textWrapping"/>
            </w:r>
            <w:r>
              <w:rPr>
                <w:rFonts w:hint="eastAsia" w:ascii="宋体" w:hAnsi="宋体" w:cs="宋体"/>
                <w:bCs/>
                <w:sz w:val="24"/>
              </w:rPr>
              <w:t>2）安装方案及安装人员配置基本贴合实际需求，调试要求基本明确，开箱测试方式基本合理可行的得4分；</w:t>
            </w:r>
            <w:r>
              <w:rPr>
                <w:rFonts w:hint="eastAsia" w:ascii="宋体" w:hAnsi="宋体" w:cs="宋体"/>
                <w:bCs/>
                <w:sz w:val="24"/>
              </w:rPr>
              <w:br w:type="textWrapping"/>
            </w:r>
            <w:r>
              <w:rPr>
                <w:rFonts w:hint="eastAsia" w:ascii="宋体" w:hAnsi="宋体" w:cs="宋体"/>
                <w:bCs/>
                <w:sz w:val="24"/>
              </w:rPr>
              <w:t>3）安装方案及安装人员配置基本符合采购人实际，但调试要求不够明确、开箱测试方式不够可行的得3分；</w:t>
            </w:r>
            <w:r>
              <w:rPr>
                <w:rFonts w:hint="eastAsia" w:ascii="宋体" w:hAnsi="宋体" w:cs="宋体"/>
                <w:bCs/>
                <w:sz w:val="24"/>
              </w:rPr>
              <w:br w:type="textWrapping"/>
            </w:r>
            <w:r>
              <w:rPr>
                <w:rFonts w:hint="eastAsia" w:ascii="宋体" w:hAnsi="宋体" w:cs="宋体"/>
                <w:bCs/>
                <w:sz w:val="24"/>
              </w:rPr>
              <w:t>4）安装与调试方案不够符合项目实际要求，且存在一定缺项的得2分；</w:t>
            </w:r>
            <w:r>
              <w:rPr>
                <w:rFonts w:hint="eastAsia" w:ascii="宋体" w:hAnsi="宋体" w:cs="宋体"/>
                <w:bCs/>
                <w:sz w:val="24"/>
              </w:rPr>
              <w:br w:type="textWrapping"/>
            </w:r>
            <w:r>
              <w:rPr>
                <w:rFonts w:hint="eastAsia" w:ascii="宋体" w:hAnsi="宋体" w:cs="宋体"/>
                <w:bCs/>
                <w:sz w:val="24"/>
              </w:rPr>
              <w:t>5）安装与调试方案存在明显缺项，实行上有困难的得1分；</w:t>
            </w:r>
          </w:p>
          <w:p w14:paraId="1C2B9882">
            <w:pPr>
              <w:snapToGrid w:val="0"/>
              <w:spacing w:after="0" w:line="360" w:lineRule="auto"/>
              <w:jc w:val="left"/>
              <w:rPr>
                <w:rFonts w:hint="eastAsia" w:ascii="宋体" w:hAnsi="宋体" w:cs="宋体"/>
                <w:bCs/>
                <w:sz w:val="24"/>
              </w:rPr>
            </w:pPr>
            <w:r>
              <w:rPr>
                <w:rFonts w:hint="eastAsia" w:ascii="宋体" w:hAnsi="宋体" w:cs="宋体"/>
                <w:bCs/>
                <w:sz w:val="24"/>
              </w:rPr>
              <w:t>6）未提供相关内容的不得分。</w:t>
            </w:r>
          </w:p>
        </w:tc>
      </w:tr>
      <w:tr w14:paraId="2866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290" w:type="dxa"/>
            <w:vMerge w:val="continue"/>
            <w:vAlign w:val="center"/>
          </w:tcPr>
          <w:p w14:paraId="76466935">
            <w:pPr>
              <w:widowControl/>
              <w:spacing w:after="0" w:line="360" w:lineRule="auto"/>
              <w:rPr>
                <w:rFonts w:hint="eastAsia" w:ascii="宋体" w:hAnsi="宋体" w:cs="宋体"/>
                <w:sz w:val="24"/>
              </w:rPr>
            </w:pPr>
          </w:p>
        </w:tc>
        <w:tc>
          <w:tcPr>
            <w:tcW w:w="1333" w:type="dxa"/>
            <w:vAlign w:val="center"/>
          </w:tcPr>
          <w:p w14:paraId="063F1FC0">
            <w:pPr>
              <w:snapToGrid w:val="0"/>
              <w:spacing w:after="0" w:line="360" w:lineRule="auto"/>
              <w:jc w:val="center"/>
              <w:rPr>
                <w:rFonts w:hint="eastAsia" w:ascii="宋体" w:hAnsi="宋体" w:cs="宋体"/>
                <w:b/>
                <w:bCs/>
                <w:sz w:val="24"/>
              </w:rPr>
            </w:pPr>
            <w:r>
              <w:rPr>
                <w:rFonts w:hint="eastAsia" w:ascii="宋体" w:hAnsi="宋体" w:cs="宋体"/>
                <w:b/>
                <w:bCs/>
                <w:sz w:val="24"/>
              </w:rPr>
              <w:t>故障应急处理方案（5分）</w:t>
            </w:r>
          </w:p>
        </w:tc>
        <w:tc>
          <w:tcPr>
            <w:tcW w:w="6912" w:type="dxa"/>
            <w:vAlign w:val="center"/>
          </w:tcPr>
          <w:p w14:paraId="3EB1C837">
            <w:pPr>
              <w:snapToGrid w:val="0"/>
              <w:spacing w:after="0" w:line="360" w:lineRule="auto"/>
              <w:jc w:val="left"/>
              <w:rPr>
                <w:rFonts w:hint="eastAsia" w:ascii="宋体" w:hAnsi="宋体" w:cs="宋体"/>
                <w:bCs/>
                <w:sz w:val="24"/>
                <w:lang w:val="zh-CN"/>
              </w:rPr>
            </w:pPr>
            <w:r>
              <w:rPr>
                <w:rFonts w:ascii="宋体" w:hAnsi="宋体" w:cs="宋体"/>
                <w:sz w:val="24"/>
                <w:lang w:val="zh-CN"/>
              </w:rPr>
              <w:t>【主观分】</w:t>
            </w:r>
            <w:r>
              <w:rPr>
                <w:rFonts w:hint="eastAsia" w:ascii="宋体" w:hAnsi="宋体" w:cs="宋体"/>
                <w:bCs/>
                <w:sz w:val="24"/>
                <w:lang w:val="zh-CN"/>
              </w:rPr>
              <w:t>根据投标人提供的故障应急处理方案包含设备运行环境出现故障或意外情况导致不能正常运行时，针对不同故障级别的响应时间和响应内容进行综合评议：</w:t>
            </w:r>
          </w:p>
          <w:p w14:paraId="455ABA0D">
            <w:pPr>
              <w:snapToGrid w:val="0"/>
              <w:spacing w:after="0" w:line="360" w:lineRule="auto"/>
              <w:jc w:val="left"/>
              <w:rPr>
                <w:rFonts w:hint="eastAsia" w:ascii="宋体" w:hAnsi="宋体" w:cs="宋体"/>
                <w:bCs/>
                <w:sz w:val="24"/>
                <w:lang w:val="zh-CN"/>
              </w:rPr>
            </w:pPr>
            <w:r>
              <w:rPr>
                <w:rFonts w:hint="eastAsia" w:ascii="宋体" w:hAnsi="宋体" w:cs="宋体"/>
                <w:bCs/>
                <w:sz w:val="24"/>
              </w:rPr>
              <w:t>1）</w:t>
            </w:r>
            <w:r>
              <w:rPr>
                <w:rFonts w:hint="eastAsia" w:ascii="宋体" w:hAnsi="宋体" w:cs="宋体"/>
                <w:bCs/>
                <w:sz w:val="24"/>
                <w:lang w:val="zh-CN"/>
              </w:rPr>
              <w:t>故障应急处理方案内容全面，响应迅速、针对性强的得</w:t>
            </w:r>
            <w:r>
              <w:rPr>
                <w:rFonts w:hint="eastAsia" w:ascii="宋体" w:hAnsi="宋体" w:cs="宋体"/>
                <w:bCs/>
                <w:sz w:val="24"/>
              </w:rPr>
              <w:t>5</w:t>
            </w:r>
            <w:r>
              <w:rPr>
                <w:rFonts w:hint="eastAsia" w:ascii="宋体" w:hAnsi="宋体" w:cs="宋体"/>
                <w:bCs/>
                <w:sz w:val="24"/>
                <w:lang w:val="zh-CN"/>
              </w:rPr>
              <w:t>分；</w:t>
            </w:r>
          </w:p>
          <w:p w14:paraId="44A056EB">
            <w:pPr>
              <w:snapToGrid w:val="0"/>
              <w:spacing w:after="0" w:line="360" w:lineRule="auto"/>
              <w:jc w:val="left"/>
              <w:rPr>
                <w:rFonts w:hint="eastAsia" w:ascii="宋体" w:hAnsi="宋体" w:cs="宋体"/>
                <w:bCs/>
                <w:sz w:val="24"/>
                <w:lang w:val="zh-CN"/>
              </w:rPr>
            </w:pPr>
            <w:r>
              <w:rPr>
                <w:rFonts w:hint="eastAsia" w:ascii="宋体" w:hAnsi="宋体" w:cs="宋体"/>
                <w:bCs/>
                <w:sz w:val="24"/>
              </w:rPr>
              <w:t>2）</w:t>
            </w:r>
            <w:r>
              <w:rPr>
                <w:rFonts w:hint="eastAsia" w:ascii="宋体" w:hAnsi="宋体" w:cs="宋体"/>
                <w:bCs/>
                <w:sz w:val="24"/>
                <w:lang w:val="zh-CN"/>
              </w:rPr>
              <w:t>故障应急处理方案内容完整，响应及时、针对性基本满足采购需求的得</w:t>
            </w:r>
            <w:r>
              <w:rPr>
                <w:rFonts w:hint="eastAsia" w:ascii="宋体" w:hAnsi="宋体" w:cs="宋体"/>
                <w:bCs/>
                <w:sz w:val="24"/>
              </w:rPr>
              <w:t>4</w:t>
            </w:r>
            <w:r>
              <w:rPr>
                <w:rFonts w:hint="eastAsia" w:ascii="宋体" w:hAnsi="宋体" w:cs="宋体"/>
                <w:bCs/>
                <w:sz w:val="24"/>
                <w:lang w:val="zh-CN"/>
              </w:rPr>
              <w:t>分；</w:t>
            </w:r>
          </w:p>
          <w:p w14:paraId="5633592D">
            <w:pPr>
              <w:snapToGrid w:val="0"/>
              <w:spacing w:after="0" w:line="360" w:lineRule="auto"/>
              <w:jc w:val="left"/>
              <w:rPr>
                <w:rFonts w:hint="eastAsia" w:ascii="宋体" w:hAnsi="宋体" w:cs="宋体"/>
                <w:bCs/>
                <w:sz w:val="24"/>
              </w:rPr>
            </w:pPr>
            <w:r>
              <w:rPr>
                <w:rFonts w:hint="eastAsia" w:ascii="宋体" w:hAnsi="宋体" w:cs="宋体"/>
                <w:bCs/>
                <w:sz w:val="24"/>
              </w:rPr>
              <w:t>3）</w:t>
            </w:r>
            <w:r>
              <w:rPr>
                <w:rFonts w:hint="eastAsia" w:ascii="宋体" w:hAnsi="宋体" w:cs="宋体"/>
                <w:bCs/>
                <w:sz w:val="24"/>
                <w:lang w:val="zh-CN"/>
              </w:rPr>
              <w:t>故障应急处理方案内容</w:t>
            </w:r>
            <w:r>
              <w:rPr>
                <w:rFonts w:hint="eastAsia" w:ascii="宋体" w:hAnsi="宋体" w:cs="宋体"/>
                <w:bCs/>
                <w:sz w:val="24"/>
              </w:rPr>
              <w:t>基本</w:t>
            </w:r>
            <w:r>
              <w:rPr>
                <w:rFonts w:hint="eastAsia" w:ascii="宋体" w:hAnsi="宋体" w:cs="宋体"/>
                <w:bCs/>
                <w:sz w:val="24"/>
                <w:lang w:val="zh-CN"/>
              </w:rPr>
              <w:t>完整</w:t>
            </w:r>
            <w:r>
              <w:rPr>
                <w:rFonts w:hint="eastAsia" w:ascii="宋体" w:hAnsi="宋体" w:cs="宋体"/>
                <w:bCs/>
                <w:sz w:val="24"/>
              </w:rPr>
              <w:t>基本满足采购需求的得3分；</w:t>
            </w:r>
          </w:p>
          <w:p w14:paraId="0AF0EB18">
            <w:pPr>
              <w:snapToGrid w:val="0"/>
              <w:spacing w:after="0" w:line="360" w:lineRule="auto"/>
              <w:jc w:val="left"/>
              <w:rPr>
                <w:rFonts w:hint="eastAsia" w:ascii="宋体" w:hAnsi="宋体" w:cs="宋体"/>
                <w:bCs/>
                <w:sz w:val="24"/>
                <w:lang w:val="zh-CN"/>
              </w:rPr>
            </w:pPr>
            <w:r>
              <w:rPr>
                <w:rFonts w:hint="eastAsia" w:ascii="宋体" w:hAnsi="宋体" w:cs="宋体"/>
                <w:bCs/>
                <w:sz w:val="24"/>
              </w:rPr>
              <w:t>4）</w:t>
            </w:r>
            <w:r>
              <w:rPr>
                <w:rFonts w:hint="eastAsia" w:ascii="宋体" w:hAnsi="宋体" w:cs="宋体"/>
                <w:bCs/>
                <w:sz w:val="24"/>
                <w:lang w:val="zh-CN"/>
              </w:rPr>
              <w:t>故障应急处理方案内容不完整但尚不影响履约的得</w:t>
            </w:r>
            <w:r>
              <w:rPr>
                <w:rFonts w:hint="eastAsia" w:ascii="宋体" w:hAnsi="宋体" w:cs="宋体"/>
                <w:bCs/>
                <w:sz w:val="24"/>
              </w:rPr>
              <w:t>2</w:t>
            </w:r>
            <w:r>
              <w:rPr>
                <w:rFonts w:hint="eastAsia" w:ascii="宋体" w:hAnsi="宋体" w:cs="宋体"/>
                <w:bCs/>
                <w:sz w:val="24"/>
                <w:lang w:val="zh-CN"/>
              </w:rPr>
              <w:t>分；</w:t>
            </w:r>
          </w:p>
          <w:p w14:paraId="57779FBB">
            <w:pPr>
              <w:snapToGrid w:val="0"/>
              <w:spacing w:after="0" w:line="360" w:lineRule="auto"/>
              <w:jc w:val="left"/>
              <w:rPr>
                <w:rFonts w:hint="eastAsia" w:ascii="宋体" w:hAnsi="宋体" w:cs="宋体"/>
                <w:lang w:val="zh-CN"/>
              </w:rPr>
            </w:pPr>
            <w:r>
              <w:rPr>
                <w:rFonts w:hint="eastAsia" w:ascii="宋体" w:hAnsi="宋体" w:cs="宋体"/>
                <w:bCs/>
                <w:sz w:val="24"/>
              </w:rPr>
              <w:t>5）</w:t>
            </w:r>
            <w:r>
              <w:rPr>
                <w:rFonts w:hint="eastAsia" w:ascii="宋体" w:hAnsi="宋体" w:cs="宋体"/>
                <w:bCs/>
                <w:sz w:val="24"/>
                <w:lang w:val="zh-CN"/>
              </w:rPr>
              <w:t>故障应急处理方案内容不完整</w:t>
            </w:r>
            <w:r>
              <w:rPr>
                <w:rFonts w:hint="eastAsia" w:ascii="宋体" w:hAnsi="宋体" w:cs="宋体"/>
                <w:bCs/>
                <w:sz w:val="24"/>
              </w:rPr>
              <w:t>且且一定程度</w:t>
            </w:r>
            <w:r>
              <w:rPr>
                <w:rFonts w:hint="eastAsia" w:ascii="宋体" w:hAnsi="宋体" w:cs="宋体"/>
                <w:bCs/>
                <w:sz w:val="24"/>
                <w:lang w:val="zh-CN"/>
              </w:rPr>
              <w:t>影响履约的得</w:t>
            </w:r>
            <w:r>
              <w:rPr>
                <w:rFonts w:hint="eastAsia" w:ascii="宋体" w:hAnsi="宋体" w:cs="宋体"/>
                <w:bCs/>
                <w:sz w:val="24"/>
              </w:rPr>
              <w:t>1</w:t>
            </w:r>
            <w:r>
              <w:rPr>
                <w:rFonts w:hint="eastAsia" w:ascii="宋体" w:hAnsi="宋体" w:cs="宋体"/>
                <w:bCs/>
                <w:sz w:val="24"/>
                <w:lang w:val="zh-CN"/>
              </w:rPr>
              <w:t>分；</w:t>
            </w:r>
          </w:p>
          <w:p w14:paraId="2337A2A0">
            <w:pPr>
              <w:snapToGrid w:val="0"/>
              <w:spacing w:after="0" w:line="360" w:lineRule="auto"/>
              <w:jc w:val="left"/>
              <w:rPr>
                <w:rFonts w:hint="eastAsia" w:ascii="宋体" w:hAnsi="宋体" w:cs="宋体"/>
                <w:bCs/>
                <w:sz w:val="24"/>
              </w:rPr>
            </w:pPr>
            <w:r>
              <w:rPr>
                <w:rFonts w:hint="eastAsia" w:ascii="宋体" w:hAnsi="宋体" w:cs="宋体"/>
                <w:bCs/>
                <w:sz w:val="24"/>
              </w:rPr>
              <w:t>6）</w:t>
            </w:r>
            <w:r>
              <w:rPr>
                <w:rFonts w:hint="eastAsia" w:ascii="宋体" w:hAnsi="宋体" w:cs="宋体"/>
                <w:bCs/>
                <w:sz w:val="24"/>
                <w:lang w:val="zh-CN"/>
              </w:rPr>
              <w:t>未提供故障应急处理方案的不得分。</w:t>
            </w:r>
          </w:p>
        </w:tc>
      </w:tr>
      <w:tr w14:paraId="4646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1290" w:type="dxa"/>
            <w:vMerge w:val="continue"/>
            <w:vAlign w:val="center"/>
          </w:tcPr>
          <w:p w14:paraId="02DCB48F">
            <w:pPr>
              <w:widowControl/>
              <w:spacing w:after="0" w:line="360" w:lineRule="auto"/>
              <w:rPr>
                <w:rFonts w:hint="eastAsia" w:ascii="宋体" w:hAnsi="宋体" w:cs="宋体"/>
                <w:sz w:val="24"/>
              </w:rPr>
            </w:pPr>
          </w:p>
        </w:tc>
        <w:tc>
          <w:tcPr>
            <w:tcW w:w="1333" w:type="dxa"/>
            <w:vMerge w:val="restart"/>
            <w:vAlign w:val="center"/>
          </w:tcPr>
          <w:p w14:paraId="6807790F">
            <w:pPr>
              <w:snapToGrid w:val="0"/>
              <w:spacing w:after="0" w:line="360" w:lineRule="auto"/>
              <w:jc w:val="center"/>
              <w:rPr>
                <w:rFonts w:hint="eastAsia" w:ascii="宋体" w:hAnsi="宋体" w:cs="宋体"/>
                <w:b/>
                <w:bCs/>
                <w:sz w:val="24"/>
              </w:rPr>
            </w:pPr>
            <w:r>
              <w:rPr>
                <w:rFonts w:hint="eastAsia" w:ascii="宋体" w:hAnsi="宋体" w:cs="宋体"/>
                <w:b/>
                <w:bCs/>
                <w:sz w:val="24"/>
              </w:rPr>
              <w:t>售后服务方案（10分）</w:t>
            </w:r>
          </w:p>
        </w:tc>
        <w:tc>
          <w:tcPr>
            <w:tcW w:w="6912" w:type="dxa"/>
            <w:vAlign w:val="center"/>
          </w:tcPr>
          <w:p w14:paraId="01BC2D9D">
            <w:pPr>
              <w:snapToGrid w:val="0"/>
              <w:spacing w:after="0" w:line="360" w:lineRule="auto"/>
              <w:jc w:val="left"/>
              <w:rPr>
                <w:rFonts w:hint="eastAsia" w:ascii="宋体" w:hAnsi="宋体" w:cs="宋体"/>
                <w:bCs/>
                <w:sz w:val="24"/>
              </w:rPr>
            </w:pPr>
            <w:r>
              <w:rPr>
                <w:rFonts w:hint="eastAsia" w:ascii="宋体" w:hAnsi="宋体" w:cs="宋体"/>
                <w:bCs/>
                <w:sz w:val="24"/>
                <w:lang w:val="zh-CN"/>
              </w:rPr>
              <w:t>【主观分】根据投标人</w:t>
            </w:r>
            <w:r>
              <w:rPr>
                <w:rFonts w:hint="eastAsia" w:ascii="宋体" w:hAnsi="宋体" w:cs="宋体"/>
                <w:bCs/>
                <w:sz w:val="24"/>
              </w:rPr>
              <w:t>提供的服务承诺，需包含但不限于以下要点：①服务内容；②服务流程；③技术支持；④服务体系；⑤退换货品承诺进行评议：</w:t>
            </w:r>
          </w:p>
          <w:p w14:paraId="2B2E9F80">
            <w:pPr>
              <w:snapToGrid w:val="0"/>
              <w:spacing w:after="0" w:line="360" w:lineRule="auto"/>
              <w:jc w:val="left"/>
              <w:rPr>
                <w:rFonts w:hint="eastAsia" w:ascii="宋体" w:hAnsi="宋体" w:cs="宋体"/>
                <w:bCs/>
                <w:sz w:val="24"/>
              </w:rPr>
            </w:pPr>
            <w:r>
              <w:rPr>
                <w:rFonts w:hint="eastAsia" w:ascii="宋体" w:hAnsi="宋体" w:cs="宋体"/>
                <w:bCs/>
                <w:sz w:val="24"/>
              </w:rPr>
              <w:t>1）</w:t>
            </w:r>
            <w:r>
              <w:rPr>
                <w:rFonts w:ascii="宋体" w:hAnsi="宋体" w:cs="宋体"/>
                <w:bCs/>
                <w:sz w:val="24"/>
              </w:rPr>
              <w:t>各项服务承诺能与</w:t>
            </w:r>
            <w:r>
              <w:rPr>
                <w:rFonts w:hint="eastAsia" w:ascii="宋体" w:hAnsi="宋体" w:cs="宋体"/>
                <w:bCs/>
                <w:sz w:val="24"/>
              </w:rPr>
              <w:t>采购人</w:t>
            </w:r>
            <w:r>
              <w:rPr>
                <w:rFonts w:ascii="宋体" w:hAnsi="宋体" w:cs="宋体"/>
                <w:bCs/>
                <w:sz w:val="24"/>
              </w:rPr>
              <w:t>实际相结合，能提供实质性承诺及保障措施，能有效保证货物正常使用的得</w:t>
            </w:r>
            <w:r>
              <w:rPr>
                <w:rFonts w:hint="eastAsia" w:ascii="宋体" w:hAnsi="宋体" w:cs="宋体"/>
                <w:bCs/>
                <w:sz w:val="24"/>
              </w:rPr>
              <w:t>4</w:t>
            </w:r>
            <w:r>
              <w:rPr>
                <w:rFonts w:ascii="宋体" w:hAnsi="宋体" w:cs="宋体"/>
                <w:bCs/>
                <w:sz w:val="24"/>
              </w:rPr>
              <w:t>分；</w:t>
            </w:r>
          </w:p>
          <w:p w14:paraId="36A9C593">
            <w:pPr>
              <w:snapToGrid w:val="0"/>
              <w:spacing w:after="0" w:line="360" w:lineRule="auto"/>
              <w:jc w:val="left"/>
              <w:rPr>
                <w:rFonts w:hint="eastAsia" w:ascii="宋体" w:hAnsi="宋体" w:cs="宋体"/>
                <w:bCs/>
                <w:sz w:val="24"/>
              </w:rPr>
            </w:pPr>
            <w:r>
              <w:rPr>
                <w:rFonts w:hint="eastAsia" w:ascii="宋体" w:hAnsi="宋体" w:cs="宋体"/>
                <w:bCs/>
                <w:sz w:val="24"/>
              </w:rPr>
              <w:t>2）</w:t>
            </w:r>
            <w:r>
              <w:rPr>
                <w:rFonts w:ascii="宋体" w:hAnsi="宋体" w:cs="宋体"/>
                <w:bCs/>
                <w:sz w:val="24"/>
              </w:rPr>
              <w:t>各项服务承诺与</w:t>
            </w:r>
            <w:r>
              <w:rPr>
                <w:rFonts w:hint="eastAsia" w:ascii="宋体" w:hAnsi="宋体" w:cs="宋体"/>
                <w:bCs/>
                <w:sz w:val="24"/>
              </w:rPr>
              <w:t>采购人</w:t>
            </w:r>
            <w:r>
              <w:rPr>
                <w:rFonts w:ascii="宋体" w:hAnsi="宋体" w:cs="宋体"/>
                <w:bCs/>
                <w:sz w:val="24"/>
              </w:rPr>
              <w:t>实际基本相结合，但承诺及保障只能基本符合货物实际使用情况，基本满足</w:t>
            </w:r>
            <w:r>
              <w:rPr>
                <w:rFonts w:hint="eastAsia" w:ascii="宋体" w:hAnsi="宋体" w:cs="宋体"/>
                <w:bCs/>
                <w:sz w:val="24"/>
              </w:rPr>
              <w:t>采购人</w:t>
            </w:r>
            <w:r>
              <w:rPr>
                <w:rFonts w:ascii="宋体" w:hAnsi="宋体" w:cs="宋体"/>
                <w:bCs/>
                <w:sz w:val="24"/>
              </w:rPr>
              <w:t>使用要求的得</w:t>
            </w:r>
            <w:r>
              <w:rPr>
                <w:rFonts w:hint="eastAsia" w:ascii="宋体" w:hAnsi="宋体" w:cs="宋体"/>
                <w:bCs/>
                <w:sz w:val="24"/>
              </w:rPr>
              <w:t>3</w:t>
            </w:r>
            <w:r>
              <w:rPr>
                <w:rFonts w:ascii="宋体" w:hAnsi="宋体" w:cs="宋体"/>
                <w:bCs/>
                <w:sz w:val="24"/>
              </w:rPr>
              <w:t>分；</w:t>
            </w:r>
          </w:p>
          <w:p w14:paraId="2A0D5B3D">
            <w:pPr>
              <w:snapToGrid w:val="0"/>
              <w:spacing w:after="0" w:line="360" w:lineRule="auto"/>
              <w:jc w:val="left"/>
              <w:rPr>
                <w:rFonts w:hint="eastAsia" w:ascii="宋体" w:hAnsi="宋体" w:cs="宋体"/>
                <w:bCs/>
                <w:sz w:val="24"/>
              </w:rPr>
            </w:pPr>
            <w:r>
              <w:rPr>
                <w:rFonts w:hint="eastAsia" w:ascii="宋体" w:hAnsi="宋体" w:cs="宋体"/>
                <w:bCs/>
                <w:sz w:val="24"/>
              </w:rPr>
              <w:t>3）</w:t>
            </w:r>
            <w:r>
              <w:rPr>
                <w:rFonts w:ascii="宋体" w:hAnsi="宋体" w:cs="宋体"/>
                <w:bCs/>
                <w:sz w:val="24"/>
              </w:rPr>
              <w:t>各项服务承诺与</w:t>
            </w:r>
            <w:r>
              <w:rPr>
                <w:rFonts w:hint="eastAsia" w:ascii="宋体" w:hAnsi="宋体" w:cs="宋体"/>
                <w:bCs/>
                <w:sz w:val="24"/>
              </w:rPr>
              <w:t>采购人</w:t>
            </w:r>
            <w:r>
              <w:rPr>
                <w:rFonts w:ascii="宋体" w:hAnsi="宋体" w:cs="宋体"/>
                <w:bCs/>
                <w:sz w:val="24"/>
              </w:rPr>
              <w:t>实际欠符合，承诺及保障欠符合货物实际使用情况，</w:t>
            </w:r>
            <w:r>
              <w:rPr>
                <w:rFonts w:hint="eastAsia" w:ascii="宋体" w:hAnsi="宋体" w:cs="宋体"/>
                <w:bCs/>
                <w:sz w:val="24"/>
              </w:rPr>
              <w:t>不够</w:t>
            </w:r>
            <w:r>
              <w:rPr>
                <w:rFonts w:ascii="宋体" w:hAnsi="宋体" w:cs="宋体"/>
                <w:bCs/>
                <w:sz w:val="24"/>
              </w:rPr>
              <w:t>满足</w:t>
            </w:r>
            <w:r>
              <w:rPr>
                <w:rFonts w:hint="eastAsia" w:ascii="宋体" w:hAnsi="宋体" w:cs="宋体"/>
                <w:bCs/>
                <w:sz w:val="24"/>
              </w:rPr>
              <w:t>采购人</w:t>
            </w:r>
            <w:r>
              <w:rPr>
                <w:rFonts w:ascii="宋体" w:hAnsi="宋体" w:cs="宋体"/>
                <w:bCs/>
                <w:sz w:val="24"/>
              </w:rPr>
              <w:t>使用要求的得</w:t>
            </w:r>
            <w:r>
              <w:rPr>
                <w:rFonts w:hint="eastAsia" w:ascii="宋体" w:hAnsi="宋体" w:cs="宋体"/>
                <w:bCs/>
                <w:sz w:val="24"/>
              </w:rPr>
              <w:t>2</w:t>
            </w:r>
            <w:r>
              <w:rPr>
                <w:rFonts w:ascii="宋体" w:hAnsi="宋体" w:cs="宋体"/>
                <w:bCs/>
                <w:sz w:val="24"/>
              </w:rPr>
              <w:t>分；</w:t>
            </w:r>
          </w:p>
          <w:p w14:paraId="5D720DE6">
            <w:pPr>
              <w:snapToGrid w:val="0"/>
              <w:spacing w:after="0" w:line="360" w:lineRule="auto"/>
              <w:jc w:val="left"/>
              <w:rPr>
                <w:rFonts w:hint="eastAsia" w:ascii="宋体" w:hAnsi="宋体" w:cs="宋体"/>
                <w:bCs/>
                <w:sz w:val="24"/>
              </w:rPr>
            </w:pPr>
            <w:r>
              <w:rPr>
                <w:rFonts w:hint="eastAsia" w:ascii="宋体" w:hAnsi="宋体" w:cs="宋体"/>
                <w:bCs/>
                <w:sz w:val="24"/>
              </w:rPr>
              <w:t>4）</w:t>
            </w:r>
            <w:r>
              <w:rPr>
                <w:rFonts w:ascii="宋体" w:hAnsi="宋体" w:cs="宋体"/>
                <w:bCs/>
                <w:sz w:val="24"/>
              </w:rPr>
              <w:t>服务承诺和保障措施与</w:t>
            </w:r>
            <w:r>
              <w:rPr>
                <w:rFonts w:hint="eastAsia" w:ascii="宋体" w:hAnsi="宋体" w:cs="宋体"/>
                <w:bCs/>
                <w:sz w:val="24"/>
              </w:rPr>
              <w:t>采购人</w:t>
            </w:r>
            <w:r>
              <w:rPr>
                <w:rFonts w:ascii="宋体" w:hAnsi="宋体" w:cs="宋体"/>
                <w:bCs/>
                <w:sz w:val="24"/>
              </w:rPr>
              <w:t>实际需求存在巨大偏差，会严重影响货物正常使用的得</w:t>
            </w:r>
            <w:r>
              <w:rPr>
                <w:rFonts w:hint="eastAsia" w:ascii="宋体" w:hAnsi="宋体" w:cs="宋体"/>
                <w:bCs/>
                <w:sz w:val="24"/>
              </w:rPr>
              <w:t>1</w:t>
            </w:r>
            <w:r>
              <w:rPr>
                <w:rFonts w:ascii="宋体" w:hAnsi="宋体" w:cs="宋体"/>
                <w:bCs/>
                <w:sz w:val="24"/>
              </w:rPr>
              <w:t>分。</w:t>
            </w:r>
          </w:p>
          <w:p w14:paraId="7B8C091E">
            <w:pPr>
              <w:snapToGrid w:val="0"/>
              <w:spacing w:after="0" w:line="360" w:lineRule="auto"/>
              <w:jc w:val="left"/>
              <w:rPr>
                <w:rFonts w:hint="eastAsia" w:ascii="宋体" w:hAnsi="宋体" w:cs="宋体"/>
                <w:bCs/>
                <w:sz w:val="24"/>
                <w:lang w:val="zh-CN"/>
              </w:rPr>
            </w:pPr>
            <w:r>
              <w:rPr>
                <w:rFonts w:hint="eastAsia" w:ascii="宋体" w:hAnsi="宋体" w:cs="宋体"/>
                <w:bCs/>
                <w:sz w:val="24"/>
              </w:rPr>
              <w:t>5）</w:t>
            </w:r>
            <w:r>
              <w:rPr>
                <w:rFonts w:ascii="宋体" w:hAnsi="宋体" w:cs="宋体"/>
                <w:bCs/>
                <w:sz w:val="24"/>
              </w:rPr>
              <w:t>未提供相关内容的不得分。</w:t>
            </w:r>
          </w:p>
        </w:tc>
      </w:tr>
      <w:tr w14:paraId="5729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290" w:type="dxa"/>
            <w:vMerge w:val="continue"/>
            <w:vAlign w:val="center"/>
          </w:tcPr>
          <w:p w14:paraId="22233F1C">
            <w:pPr>
              <w:widowControl/>
              <w:spacing w:after="0" w:line="360" w:lineRule="auto"/>
              <w:rPr>
                <w:rFonts w:hint="eastAsia" w:ascii="宋体" w:hAnsi="宋体" w:cs="宋体"/>
                <w:sz w:val="24"/>
              </w:rPr>
            </w:pPr>
          </w:p>
        </w:tc>
        <w:tc>
          <w:tcPr>
            <w:tcW w:w="1333" w:type="dxa"/>
            <w:vMerge w:val="continue"/>
            <w:vAlign w:val="center"/>
          </w:tcPr>
          <w:p w14:paraId="3D38E3FF">
            <w:pPr>
              <w:snapToGrid w:val="0"/>
              <w:spacing w:after="0" w:line="360" w:lineRule="auto"/>
              <w:jc w:val="center"/>
              <w:rPr>
                <w:rFonts w:hint="eastAsia" w:ascii="宋体" w:hAnsi="宋体" w:cs="宋体"/>
                <w:b/>
                <w:bCs/>
                <w:sz w:val="24"/>
              </w:rPr>
            </w:pPr>
          </w:p>
        </w:tc>
        <w:tc>
          <w:tcPr>
            <w:tcW w:w="6912" w:type="dxa"/>
            <w:vAlign w:val="center"/>
          </w:tcPr>
          <w:p w14:paraId="4A8F8AC6">
            <w:pPr>
              <w:snapToGrid w:val="0"/>
              <w:spacing w:after="0" w:line="360" w:lineRule="auto"/>
              <w:jc w:val="left"/>
              <w:rPr>
                <w:rFonts w:hint="eastAsia" w:ascii="宋体" w:hAnsi="宋体" w:cs="宋体"/>
                <w:sz w:val="24"/>
                <w:lang w:val="zh-CN"/>
              </w:rPr>
            </w:pPr>
            <w:r>
              <w:rPr>
                <w:rFonts w:ascii="宋体" w:hAnsi="宋体" w:cs="宋体"/>
                <w:sz w:val="24"/>
                <w:lang w:val="zh-CN"/>
              </w:rPr>
              <w:t>【主观分】</w:t>
            </w:r>
          </w:p>
          <w:p w14:paraId="7FCB9F4C">
            <w:pPr>
              <w:snapToGrid w:val="0"/>
              <w:spacing w:after="0" w:line="360" w:lineRule="auto"/>
              <w:jc w:val="left"/>
              <w:rPr>
                <w:rFonts w:hint="eastAsia" w:ascii="宋体" w:hAnsi="宋体" w:cs="宋体"/>
                <w:bCs/>
                <w:sz w:val="24"/>
              </w:rPr>
            </w:pPr>
            <w:r>
              <w:rPr>
                <w:rFonts w:hint="eastAsia" w:ascii="宋体" w:hAnsi="宋体" w:cs="宋体"/>
                <w:bCs/>
                <w:sz w:val="24"/>
                <w:lang w:val="zh-CN"/>
              </w:rPr>
              <w:t>根据投标人</w:t>
            </w:r>
            <w:r>
              <w:rPr>
                <w:rFonts w:hint="eastAsia" w:ascii="宋体" w:hAnsi="宋体" w:cs="宋体"/>
                <w:bCs/>
                <w:sz w:val="24"/>
              </w:rPr>
              <w:t>提供的售后服务流程：售后接收处理和反馈（包括方式、具体步骤等）、故障诊断及现场维修服务（包括具体步骤、服务标准等）、反馈意见收集及定期回访（包括频次、方式、目的等）进行评议：</w:t>
            </w:r>
          </w:p>
          <w:p w14:paraId="41AB30DA">
            <w:pPr>
              <w:widowControl/>
              <w:adjustRightInd/>
              <w:snapToGrid w:val="0"/>
              <w:spacing w:after="0" w:line="360" w:lineRule="auto"/>
              <w:rPr>
                <w:rFonts w:hint="eastAsia" w:ascii="宋体" w:hAnsi="宋体" w:cs="宋体"/>
                <w:bCs/>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1）售后服务体系完善，服务方案考虑详实具体，售后服务团队配置充足合理、提供售后服务热线电话的得</w:t>
            </w:r>
            <w:r>
              <w:rPr>
                <w:rFonts w:hint="eastAsia" w:ascii="宋体" w:hAnsi="宋体" w:cs="宋体"/>
                <w:bCs/>
                <w:color w:val="0D0D0D" w:themeColor="text1" w:themeTint="F2"/>
                <w:sz w:val="24"/>
                <w14:textFill>
                  <w14:solidFill>
                    <w14:schemeClr w14:val="tx1">
                      <w14:lumMod w14:val="95000"/>
                      <w14:lumOff w14:val="5000"/>
                    </w14:schemeClr>
                  </w14:solidFill>
                </w14:textFill>
              </w:rPr>
              <w:t>3</w:t>
            </w: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分；</w:t>
            </w:r>
          </w:p>
          <w:p w14:paraId="5F7DF9FA">
            <w:pPr>
              <w:widowControl/>
              <w:adjustRightInd/>
              <w:snapToGrid w:val="0"/>
              <w:spacing w:after="0" w:line="360" w:lineRule="auto"/>
              <w:rPr>
                <w:rFonts w:hint="eastAsia" w:ascii="宋体" w:hAnsi="宋体" w:cs="宋体"/>
                <w:bCs/>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2）售后服务体系较为完善，对后续设备操作起到一定推动性作用，售后服务团队配置基本满足项目需求，未提供售后服务热线电话的得</w:t>
            </w:r>
            <w:r>
              <w:rPr>
                <w:rFonts w:hint="eastAsia" w:ascii="宋体" w:hAnsi="宋体" w:cs="宋体"/>
                <w:bCs/>
                <w:color w:val="0D0D0D" w:themeColor="text1" w:themeTint="F2"/>
                <w:sz w:val="24"/>
                <w14:textFill>
                  <w14:solidFill>
                    <w14:schemeClr w14:val="tx1">
                      <w14:lumMod w14:val="95000"/>
                      <w14:lumOff w14:val="5000"/>
                    </w14:schemeClr>
                  </w14:solidFill>
                </w14:textFill>
              </w:rPr>
              <w:t>2</w:t>
            </w: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分；</w:t>
            </w:r>
          </w:p>
          <w:p w14:paraId="7EEBE367">
            <w:pPr>
              <w:widowControl/>
              <w:adjustRightInd/>
              <w:snapToGrid w:val="0"/>
              <w:spacing w:after="0" w:line="360" w:lineRule="auto"/>
              <w:rPr>
                <w:rFonts w:hint="eastAsia" w:ascii="宋体" w:hAnsi="宋体" w:cs="宋体"/>
                <w:bCs/>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lang w:val="zh-CN"/>
                <w14:textFill>
                  <w14:solidFill>
                    <w14:schemeClr w14:val="tx1">
                      <w14:lumMod w14:val="95000"/>
                      <w14:lumOff w14:val="5000"/>
                    </w14:schemeClr>
                  </w14:solidFill>
                </w14:textFill>
              </w:rPr>
              <w:t>3）售后服务不够完善、与采购人需求存在偏差，可能影响采购人对后续设备实际操作，售后服务团队配置不足，未提供售后服务热线电话的得1分；</w:t>
            </w:r>
          </w:p>
          <w:p w14:paraId="3A7FE2BA">
            <w:pPr>
              <w:snapToGrid w:val="0"/>
              <w:spacing w:after="0" w:line="360" w:lineRule="auto"/>
              <w:jc w:val="left"/>
              <w:rPr>
                <w:rFonts w:hint="eastAsia" w:ascii="宋体" w:hAnsi="宋体" w:cs="宋体"/>
                <w:bCs/>
                <w:sz w:val="24"/>
                <w:lang w:val="zh-CN"/>
              </w:rPr>
            </w:pPr>
            <w:r>
              <w:rPr>
                <w:rFonts w:hint="eastAsia" w:ascii="宋体" w:hAnsi="宋体" w:cs="宋体"/>
                <w:bCs/>
                <w:sz w:val="24"/>
              </w:rPr>
              <w:t>4）未提供相关内容的不得分。</w:t>
            </w:r>
          </w:p>
        </w:tc>
      </w:tr>
      <w:tr w14:paraId="244B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90" w:type="dxa"/>
            <w:vMerge w:val="continue"/>
            <w:vAlign w:val="center"/>
          </w:tcPr>
          <w:p w14:paraId="76DA6044">
            <w:pPr>
              <w:widowControl/>
              <w:spacing w:after="0" w:line="360" w:lineRule="auto"/>
              <w:rPr>
                <w:rFonts w:hint="eastAsia" w:ascii="宋体" w:hAnsi="宋体" w:cs="宋体"/>
                <w:sz w:val="24"/>
              </w:rPr>
            </w:pPr>
          </w:p>
        </w:tc>
        <w:tc>
          <w:tcPr>
            <w:tcW w:w="1333" w:type="dxa"/>
            <w:vMerge w:val="continue"/>
            <w:vAlign w:val="center"/>
          </w:tcPr>
          <w:p w14:paraId="32AC140E">
            <w:pPr>
              <w:snapToGrid w:val="0"/>
              <w:spacing w:after="0" w:line="360" w:lineRule="auto"/>
              <w:jc w:val="center"/>
              <w:rPr>
                <w:rFonts w:hint="eastAsia" w:ascii="宋体" w:hAnsi="宋体" w:cs="宋体"/>
                <w:b/>
                <w:bCs/>
                <w:sz w:val="24"/>
              </w:rPr>
            </w:pPr>
          </w:p>
        </w:tc>
        <w:tc>
          <w:tcPr>
            <w:tcW w:w="6912" w:type="dxa"/>
            <w:vAlign w:val="center"/>
          </w:tcPr>
          <w:p w14:paraId="0E8A209A">
            <w:pPr>
              <w:snapToGrid w:val="0"/>
              <w:spacing w:after="0" w:line="360" w:lineRule="auto"/>
              <w:jc w:val="left"/>
              <w:rPr>
                <w:rFonts w:hint="eastAsia" w:ascii="宋体" w:hAnsi="宋体" w:cs="宋体"/>
                <w:sz w:val="24"/>
                <w:lang w:val="zh-CN"/>
              </w:rPr>
            </w:pPr>
            <w:r>
              <w:rPr>
                <w:rFonts w:ascii="宋体" w:hAnsi="宋体" w:cs="宋体"/>
                <w:sz w:val="24"/>
                <w:lang w:val="zh-CN"/>
              </w:rPr>
              <w:t>【</w:t>
            </w:r>
            <w:r>
              <w:rPr>
                <w:rFonts w:ascii="宋体" w:hAnsi="宋体" w:cs="宋体"/>
                <w:sz w:val="24"/>
              </w:rPr>
              <w:t>客</w:t>
            </w:r>
            <w:r>
              <w:rPr>
                <w:rFonts w:ascii="宋体" w:hAnsi="宋体" w:cs="宋体"/>
                <w:sz w:val="24"/>
                <w:lang w:val="zh-CN"/>
              </w:rPr>
              <w:t>观分】</w:t>
            </w:r>
          </w:p>
          <w:p w14:paraId="64115A4F">
            <w:pPr>
              <w:snapToGrid w:val="0"/>
              <w:spacing w:after="0" w:line="360" w:lineRule="auto"/>
              <w:jc w:val="left"/>
              <w:rPr>
                <w:rFonts w:hint="eastAsia" w:ascii="宋体" w:hAnsi="宋体" w:cs="宋体"/>
                <w:bCs/>
                <w:sz w:val="24"/>
              </w:rPr>
            </w:pPr>
            <w:r>
              <w:rPr>
                <w:rFonts w:hint="eastAsia" w:ascii="宋体" w:hAnsi="宋体" w:cs="宋体"/>
                <w:bCs/>
                <w:sz w:val="24"/>
              </w:rPr>
              <w:t>3）本项目整体质保服务期至少为叁年根据采购需求填写，承诺整体质保服务期在叁年基础上每增加1年加1分，最高3分。</w:t>
            </w:r>
          </w:p>
          <w:p w14:paraId="08C2628B">
            <w:pPr>
              <w:snapToGrid w:val="0"/>
              <w:spacing w:after="0" w:line="360" w:lineRule="auto"/>
              <w:jc w:val="left"/>
              <w:rPr>
                <w:rFonts w:hint="eastAsia" w:ascii="宋体" w:hAnsi="宋体" w:cs="宋体"/>
                <w:sz w:val="24"/>
                <w:lang w:val="zh-CN"/>
              </w:rPr>
            </w:pPr>
            <w:r>
              <w:rPr>
                <w:rFonts w:hint="eastAsia" w:ascii="宋体" w:hAnsi="宋体" w:cs="宋体"/>
                <w:b/>
                <w:sz w:val="24"/>
              </w:rPr>
              <w:t>提供承诺书，格式自拟，未提供承诺书不得分。</w:t>
            </w:r>
          </w:p>
        </w:tc>
      </w:tr>
    </w:tbl>
    <w:p w14:paraId="7029CD39">
      <w:pPr>
        <w:pStyle w:val="58"/>
        <w:spacing w:after="0"/>
        <w:jc w:val="left"/>
        <w:rPr>
          <w:color w:val="0D0D0D" w:themeColor="text1" w:themeTint="F2"/>
          <w:lang w:val="en-US"/>
          <w14:textFill>
            <w14:solidFill>
              <w14:schemeClr w14:val="tx1">
                <w14:lumMod w14:val="95000"/>
                <w14:lumOff w14:val="5000"/>
              </w14:schemeClr>
            </w14:solidFill>
          </w14:textFill>
        </w:rPr>
      </w:pPr>
      <w:r>
        <w:rPr>
          <w:rFonts w:hint="eastAsia" w:ascii="宋体" w:hAnsi="宋体" w:cs="宋体"/>
          <w:color w:val="0D0D0D" w:themeColor="text1" w:themeTint="F2"/>
          <w:sz w:val="20"/>
          <w:shd w:val="clear" w:color="auto" w:fill="FFFFFF"/>
          <w14:textFill>
            <w14:solidFill>
              <w14:schemeClr w14:val="tx1">
                <w14:lumMod w14:val="95000"/>
                <w14:lumOff w14:val="5000"/>
              </w14:schemeClr>
            </w14:solidFill>
          </w14:textFill>
        </w:rPr>
        <w:t>*</w:t>
      </w:r>
      <w:r>
        <w:rPr>
          <w:rFonts w:hint="eastAsia" w:ascii="宋体" w:hAnsi="宋体" w:cs="宋体"/>
          <w:color w:val="0D0D0D" w:themeColor="text1" w:themeTint="F2"/>
          <w14:textFill>
            <w14:solidFill>
              <w14:schemeClr w14:val="tx1">
                <w14:lumMod w14:val="95000"/>
                <w14:lumOff w14:val="5000"/>
              </w14:schemeClr>
            </w14:solidFill>
          </w14:textFill>
        </w:rPr>
        <w:t>备注：投标人编制投标文件（商务技术文件部分）时，建议按此目录（序号和内容）提供评标标准相应的商务技术资料。</w:t>
      </w:r>
    </w:p>
    <w:p w14:paraId="0EB2F84C">
      <w:pPr>
        <w:pStyle w:val="58"/>
        <w:spacing w:after="0"/>
        <w:rPr>
          <w:color w:val="0D0D0D" w:themeColor="text1" w:themeTint="F2"/>
          <w:lang w:val="en-US"/>
          <w14:textFill>
            <w14:solidFill>
              <w14:schemeClr w14:val="tx1">
                <w14:lumMod w14:val="95000"/>
                <w14:lumOff w14:val="5000"/>
              </w14:schemeClr>
            </w14:solidFill>
          </w14:textFill>
        </w:rPr>
      </w:pPr>
    </w:p>
    <w:p w14:paraId="02EC475E">
      <w:pPr>
        <w:snapToGrid w:val="0"/>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一、评标方法</w:t>
      </w:r>
    </w:p>
    <w:p w14:paraId="3D7A86C3">
      <w:pPr>
        <w:adjustRightInd/>
        <w:spacing w:after="0" w:line="360" w:lineRule="auto"/>
        <w:ind w:firstLine="472" w:firstLineChars="196"/>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14:textFill>
            <w14:solidFill>
              <w14:schemeClr w14:val="tx1">
                <w14:lumMod w14:val="95000"/>
                <w14:lumOff w14:val="5000"/>
              </w14:schemeClr>
            </w14:solidFill>
          </w14:textFill>
        </w:rPr>
        <w:t>1.本项目采用综合评分法。</w:t>
      </w:r>
      <w:r>
        <w:rPr>
          <w:rFonts w:hint="eastAsia" w:ascii="宋体" w:hAnsi="宋体" w:cs="宋体"/>
          <w:color w:val="0D0D0D" w:themeColor="text1" w:themeTint="F2"/>
          <w:kern w:val="0"/>
          <w:sz w:val="24"/>
          <w14:textFill>
            <w14:solidFill>
              <w14:schemeClr w14:val="tx1">
                <w14:lumMod w14:val="95000"/>
                <w14:lumOff w14:val="5000"/>
              </w14:schemeClr>
            </w14:solidFill>
          </w14:textFill>
        </w:rPr>
        <w:t>综合评分法，是指投标文件满足招标文件全部实质性要求，且按照评审因素的量化指标评审得分最高的投标人为中标候选人的评标方法。</w:t>
      </w:r>
    </w:p>
    <w:p w14:paraId="2090C7BA">
      <w:pPr>
        <w:adjustRightInd/>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二、评标标准</w:t>
      </w:r>
    </w:p>
    <w:p w14:paraId="6D4AEFBA">
      <w:pPr>
        <w:spacing w:after="0" w:line="360" w:lineRule="auto"/>
        <w:ind w:firstLine="472" w:firstLineChars="196"/>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2.评标标准：</w:t>
      </w:r>
      <w:r>
        <w:rPr>
          <w:rFonts w:hint="eastAsia" w:ascii="宋体" w:hAnsi="宋体" w:cs="宋体"/>
          <w:color w:val="0D0D0D" w:themeColor="text1" w:themeTint="F2"/>
          <w:kern w:val="0"/>
          <w:sz w:val="24"/>
          <w14:textFill>
            <w14:solidFill>
              <w14:schemeClr w14:val="tx1">
                <w14:lumMod w14:val="95000"/>
                <w14:lumOff w14:val="5000"/>
              </w14:schemeClr>
            </w14:solidFill>
          </w14:textFill>
        </w:rPr>
        <w:t>见评标办法前附表。</w:t>
      </w:r>
    </w:p>
    <w:p w14:paraId="6EDBA582">
      <w:pPr>
        <w:spacing w:after="0" w:line="360" w:lineRule="auto"/>
        <w:outlineLvl w:val="0"/>
        <w:rPr>
          <w:rFonts w:hint="eastAsia" w:ascii="宋体" w:hAnsi="宋体" w:cs="宋体"/>
          <w:b/>
          <w:color w:val="0D0D0D" w:themeColor="text1" w:themeTint="F2"/>
          <w:sz w:val="24"/>
          <w14:textFill>
            <w14:solidFill>
              <w14:schemeClr w14:val="tx1">
                <w14:lumMod w14:val="95000"/>
                <w14:lumOff w14:val="5000"/>
              </w14:schemeClr>
            </w14:solidFill>
          </w14:textFill>
        </w:rPr>
      </w:pPr>
      <w:bookmarkStart w:id="401" w:name="_Toc12759"/>
      <w:r>
        <w:rPr>
          <w:rFonts w:hint="eastAsia" w:ascii="宋体" w:hAnsi="宋体" w:cs="宋体"/>
          <w:b/>
          <w:color w:val="0D0D0D" w:themeColor="text1" w:themeTint="F2"/>
          <w:sz w:val="24"/>
          <w14:textFill>
            <w14:solidFill>
              <w14:schemeClr w14:val="tx1">
                <w14:lumMod w14:val="95000"/>
                <w14:lumOff w14:val="5000"/>
              </w14:schemeClr>
            </w14:solidFill>
          </w14:textFill>
        </w:rPr>
        <w:t>三、评标程序</w:t>
      </w:r>
      <w:bookmarkEnd w:id="401"/>
    </w:p>
    <w:p w14:paraId="7B695EA4">
      <w:pPr>
        <w:spacing w:after="0" w:line="360" w:lineRule="auto"/>
        <w:ind w:firstLine="472" w:firstLineChars="196"/>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14:textFill>
            <w14:solidFill>
              <w14:schemeClr w14:val="tx1">
                <w14:lumMod w14:val="95000"/>
                <w14:lumOff w14:val="5000"/>
              </w14:schemeClr>
            </w14:solidFill>
          </w14:textFill>
        </w:rPr>
        <w:t>3.1符合性审查。</w:t>
      </w:r>
      <w:r>
        <w:rPr>
          <w:rFonts w:hint="eastAsia" w:ascii="宋体" w:hAnsi="宋体" w:cs="宋体"/>
          <w:color w:val="0D0D0D" w:themeColor="text1" w:themeTint="F2"/>
          <w:kern w:val="0"/>
          <w:sz w:val="24"/>
          <w14:textFill>
            <w14:solidFill>
              <w14:schemeClr w14:val="tx1">
                <w14:lumMod w14:val="95000"/>
                <w14:lumOff w14:val="5000"/>
              </w14:schemeClr>
            </w14:solidFill>
          </w14:textFill>
        </w:rPr>
        <w:t>评标委员会应当对符合资格的投标人的投标文件进行符合性审查，以确定其是否满足招标文件的实质性要求。不满足招标文件的实质性要求的，投标无效。</w:t>
      </w:r>
    </w:p>
    <w:p w14:paraId="1460A182">
      <w:pPr>
        <w:spacing w:after="0" w:line="360" w:lineRule="auto"/>
        <w:ind w:firstLine="472" w:firstLineChars="196"/>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14:textFill>
            <w14:solidFill>
              <w14:schemeClr w14:val="tx1">
                <w14:lumMod w14:val="95000"/>
                <w14:lumOff w14:val="5000"/>
              </w14:schemeClr>
            </w14:solidFill>
          </w14:textFill>
        </w:rPr>
        <w:t>3.2 比较与评价。</w:t>
      </w:r>
      <w:r>
        <w:rPr>
          <w:rFonts w:hint="eastAsia" w:ascii="宋体" w:hAnsi="宋体" w:cs="宋体"/>
          <w:color w:val="0D0D0D" w:themeColor="text1" w:themeTint="F2"/>
          <w:kern w:val="0"/>
          <w:sz w:val="24"/>
          <w14:textFill>
            <w14:solidFill>
              <w14:schemeClr w14:val="tx1">
                <w14:lumMod w14:val="95000"/>
                <w14:lumOff w14:val="5000"/>
              </w14:schemeClr>
            </w14:solidFill>
          </w14:textFill>
        </w:rPr>
        <w:t>评标委员会应当按照招标文件中规定的评标方法和标准，对符合性审查合格的投标文件进行商务和技术评估，综合比较与评价。</w:t>
      </w:r>
    </w:p>
    <w:p w14:paraId="5A20A94E">
      <w:pPr>
        <w:spacing w:after="0" w:line="360" w:lineRule="auto"/>
        <w:ind w:firstLine="472" w:firstLineChars="196"/>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14:textFill>
            <w14:solidFill>
              <w14:schemeClr w14:val="tx1">
                <w14:lumMod w14:val="95000"/>
                <w14:lumOff w14:val="5000"/>
              </w14:schemeClr>
            </w14:solidFill>
          </w14:textFill>
        </w:rPr>
        <w:t>3.3汇总商务技术得分。</w:t>
      </w:r>
      <w:r>
        <w:rPr>
          <w:rFonts w:hint="eastAsia" w:ascii="宋体" w:hAnsi="宋体" w:cs="宋体"/>
          <w:color w:val="0D0D0D" w:themeColor="text1" w:themeTint="F2"/>
          <w:kern w:val="0"/>
          <w:sz w:val="24"/>
          <w14:textFill>
            <w14:solidFill>
              <w14:schemeClr w14:val="tx1">
                <w14:lumMod w14:val="95000"/>
                <w14:lumOff w14:val="5000"/>
              </w14:schemeClr>
            </w14:solidFill>
          </w14:textFill>
        </w:rPr>
        <w:t>评标委员会各成员应当独立对每个投标人的商务和技术文件进行评价，并汇总商务技术得分情况。</w:t>
      </w:r>
    </w:p>
    <w:p w14:paraId="320BEE34">
      <w:pPr>
        <w:spacing w:after="0" w:line="360" w:lineRule="auto"/>
        <w:ind w:firstLine="472" w:firstLineChars="196"/>
        <w:rPr>
          <w:rFonts w:hint="eastAsia" w:ascii="宋体" w:hAnsi="宋体" w:cs="宋体"/>
          <w:b/>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14:textFill>
            <w14:solidFill>
              <w14:schemeClr w14:val="tx1">
                <w14:lumMod w14:val="95000"/>
                <w14:lumOff w14:val="5000"/>
              </w14:schemeClr>
            </w14:solidFill>
          </w14:textFill>
        </w:rPr>
        <w:t>3.4报价评审。</w:t>
      </w:r>
    </w:p>
    <w:p w14:paraId="0EBE04B4">
      <w:pPr>
        <w:pStyle w:val="136"/>
        <w:spacing w:before="0" w:after="0"/>
        <w:ind w:firstLine="508" w:firstLineChars="212"/>
        <w:rPr>
          <w:rFonts w:hint="eastAsia"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3.4.1投标文件报价出现前后不一致的，按照下列规定修正：</w:t>
      </w:r>
    </w:p>
    <w:p w14:paraId="2AC72FA1">
      <w:pPr>
        <w:pStyle w:val="136"/>
        <w:spacing w:before="0" w:after="0"/>
        <w:ind w:firstLine="48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3.4.1.1投标文件中开标一览表(报价表)内容与投标文件中相应内容不一致的，以开标一览表(报价表)为准;</w:t>
      </w:r>
    </w:p>
    <w:p w14:paraId="367AFCD8">
      <w:pPr>
        <w:pStyle w:val="136"/>
        <w:spacing w:before="0" w:after="0"/>
        <w:ind w:firstLine="48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3.4.1.2大写金额和小写金额不一致的，以大写金额为准;</w:t>
      </w:r>
    </w:p>
    <w:p w14:paraId="2742BDA4">
      <w:pPr>
        <w:pStyle w:val="136"/>
        <w:spacing w:before="0" w:after="0"/>
        <w:ind w:firstLine="48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3.4.1.3单价金额小数点或者百分比有明显错位的，以开标一览表的总价为准，并修改单价;</w:t>
      </w:r>
    </w:p>
    <w:p w14:paraId="467207E2">
      <w:pPr>
        <w:pStyle w:val="136"/>
        <w:spacing w:before="0" w:after="0"/>
        <w:ind w:firstLine="48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3.4.1.4总价金额与按单价汇总金额不一致的，以单价金额计算结果为准。</w:t>
      </w:r>
    </w:p>
    <w:p w14:paraId="1FA531A2">
      <w:pPr>
        <w:pStyle w:val="136"/>
        <w:spacing w:before="0" w:after="0"/>
        <w:ind w:firstLine="48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1F6DE719">
      <w:pPr>
        <w:snapToGrid w:val="0"/>
        <w:spacing w:after="0" w:line="360" w:lineRule="auto"/>
        <w:ind w:firstLine="480" w:firstLineChars="200"/>
        <w:jc w:val="left"/>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3.4.2投标文件出现不是唯一的、有选择性投标报价的，投标无效。</w:t>
      </w:r>
    </w:p>
    <w:p w14:paraId="56477C5A">
      <w:pPr>
        <w:snapToGrid w:val="0"/>
        <w:spacing w:after="0" w:line="360" w:lineRule="auto"/>
        <w:ind w:firstLine="480" w:firstLineChars="200"/>
        <w:jc w:val="left"/>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3.4.3投标报价超过招标文件中规定的预算金额或者最高限价的，投标无效。</w:t>
      </w:r>
    </w:p>
    <w:p w14:paraId="0F7A7379">
      <w:pPr>
        <w:pStyle w:val="136"/>
        <w:spacing w:before="0" w:after="0"/>
        <w:ind w:firstLine="482"/>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3.4.4政府采购评审中出现下列情形之一的，评审委员会应当启动异常低价投标（响应）审查程序：</w:t>
      </w:r>
    </w:p>
    <w:p w14:paraId="67AC9636">
      <w:pPr>
        <w:pStyle w:val="136"/>
        <w:spacing w:before="0" w:after="0"/>
        <w:ind w:firstLine="482"/>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3.4.4.1投标（响应）报价低于全部通过符合性审查供应商投标（响应）报价平均值50%的，即投标（响应）报价&lt;全部通过符合性审查供应商投标（响应）报价平均值×50%；</w:t>
      </w:r>
    </w:p>
    <w:p w14:paraId="630B8ABA">
      <w:pPr>
        <w:pStyle w:val="136"/>
        <w:spacing w:before="0" w:after="0"/>
        <w:ind w:firstLine="482"/>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3.4.4.2投标（响应）报价低于通过符合性审查的次低报价供应商投标（响应）报价50%的，即投标（响应）报价&lt;通过符合性审查的次低报价供应商投标（响应）报价×50%；</w:t>
      </w:r>
    </w:p>
    <w:p w14:paraId="4CD5FE1A">
      <w:pPr>
        <w:pStyle w:val="136"/>
        <w:spacing w:before="0" w:after="0"/>
        <w:ind w:firstLine="482"/>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3.4.4.3投标（响应）报价低于采购项目最高限价45%的，即投标（响应）报价&lt;采购项目最高限价×45%；</w:t>
      </w:r>
    </w:p>
    <w:p w14:paraId="488200F0">
      <w:pPr>
        <w:pStyle w:val="136"/>
        <w:spacing w:before="0" w:after="0"/>
        <w:ind w:firstLine="482"/>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3.4.4.4评审委员会基于专业判断，认为供应商报价过低，有可能影响产品质量或者不能诚信履约的其他情形。</w:t>
      </w:r>
    </w:p>
    <w:p w14:paraId="3E6ADAB1">
      <w:pPr>
        <w:pStyle w:val="136"/>
        <w:spacing w:before="0" w:after="0"/>
        <w:ind w:firstLine="482"/>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相关法律法规对供应商报价有规定的，从其规定。</w:t>
      </w:r>
    </w:p>
    <w:p w14:paraId="24549A89">
      <w:pPr>
        <w:pStyle w:val="136"/>
        <w:spacing w:before="0" w:after="0"/>
        <w:ind w:firstLine="482"/>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评审委员会启动异常低价投标（响应）审查后，属于前述第3.4.4.1项至第3.4.4.4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3.4.4.3项情形，供应商已随投标（响应）文件一并提交相关书面说明及必要的证明材料的，在评审现场可不再重复提交。</w:t>
      </w:r>
    </w:p>
    <w:p w14:paraId="5CB93244">
      <w:pPr>
        <w:pStyle w:val="136"/>
        <w:spacing w:before="0" w:after="0"/>
        <w:ind w:firstLine="480" w:firstLineChars="0"/>
        <w:rPr>
          <w:rFonts w:hint="eastAsia" w:ascii="宋体" w:hAnsi="宋体" w:cs="宋体"/>
          <w:b/>
          <w:bCs/>
          <w:kern w:val="0"/>
          <w:szCs w:val="24"/>
        </w:rPr>
      </w:pPr>
      <w:r>
        <w:rPr>
          <w:rFonts w:hint="eastAsia" w:ascii="宋体" w:hAnsi="宋体" w:cs="宋体"/>
          <w:b/>
          <w:bCs/>
          <w:kern w:val="0"/>
          <w:szCs w:val="24"/>
        </w:rPr>
        <w:t>评审委员会依据专业经验，参考同类项目中标（成交）价格、类似产品市场价格水平、行业人工费用标准、国家有关部门指导行业协会发布的行业平均成本等情况，对报价合理性进行判断,供应商应当提供的是“同类项目中标（成交）价格、类似产品市场价格水平、行业人工费用标准、国家有关部门指导行业协会发布的行业平均成本等”相关证明材料,投标（响应）供应商不能提供书面说明、证明材料，或者提供的书面说明、证明材料不能证明其报价合理性的，评审委员会应当将其作为无效投标（响应）处理。评审委员会借助互联网等渠道查询相关信息的，应当严格遵守评审工作纪律，不得实施影响评审公正的行为。</w:t>
      </w:r>
    </w:p>
    <w:p w14:paraId="47CA32E5">
      <w:pPr>
        <w:pStyle w:val="136"/>
        <w:spacing w:before="0" w:after="0"/>
        <w:ind w:firstLine="482"/>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4"/>
          <w14:textFill>
            <w14:solidFill>
              <w14:schemeClr w14:val="tx1">
                <w14:lumMod w14:val="95000"/>
                <w14:lumOff w14:val="5000"/>
              </w14:schemeClr>
            </w14:solidFill>
          </w14:textFill>
        </w:rPr>
        <w:t>异常低价投标（响应）审查的启动原因、审查意见和审查结果应当在评审报告中记录，并随供应商提供的相关书面说明及证明材料，以及评审委员会有关互联网浏览、查询历史一并归档。</w:t>
      </w:r>
    </w:p>
    <w:p w14:paraId="330F4D04">
      <w:pPr>
        <w:pStyle w:val="136"/>
        <w:spacing w:before="0" w:after="0"/>
        <w:ind w:firstLine="480"/>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Cs w:val="24"/>
          <w14:textFill>
            <w14:solidFill>
              <w14:schemeClr w14:val="tx1">
                <w14:lumMod w14:val="95000"/>
                <w14:lumOff w14:val="5000"/>
              </w14:schemeClr>
            </w14:solidFill>
          </w14:textFill>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D0A536A">
      <w:pPr>
        <w:spacing w:after="0" w:line="360" w:lineRule="auto"/>
        <w:ind w:firstLine="482"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14:textFill>
            <w14:solidFill>
              <w14:schemeClr w14:val="tx1">
                <w14:lumMod w14:val="95000"/>
                <w14:lumOff w14:val="5000"/>
              </w14:schemeClr>
            </w14:solidFill>
          </w14:textFill>
        </w:rPr>
        <w:t>3.5排序与推荐。</w:t>
      </w:r>
      <w:r>
        <w:rPr>
          <w:rFonts w:hint="eastAsia" w:ascii="宋体" w:hAnsi="宋体" w:cs="宋体"/>
          <w:color w:val="0D0D0D" w:themeColor="text1" w:themeTint="F2"/>
          <w:kern w:val="0"/>
          <w:sz w:val="24"/>
          <w14:textFill>
            <w14:solidFill>
              <w14:schemeClr w14:val="tx1">
                <w14:lumMod w14:val="95000"/>
                <w14:lumOff w14:val="5000"/>
              </w14:schemeClr>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02EF5DB">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供应商推荐资格；评审得分相同的，采取随机抽取方式确定，其他同品牌投标人不作为中标候选人。</w:t>
      </w:r>
    </w:p>
    <w:p w14:paraId="649A9F35">
      <w:pPr>
        <w:spacing w:after="0" w:line="360" w:lineRule="auto"/>
        <w:ind w:firstLine="472" w:firstLineChars="196"/>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14:textFill>
            <w14:solidFill>
              <w14:schemeClr w14:val="tx1">
                <w14:lumMod w14:val="95000"/>
                <w14:lumOff w14:val="5000"/>
              </w14:schemeClr>
            </w14:solidFill>
          </w14:textFill>
        </w:rPr>
        <w:t>3.6编写评标报告。</w:t>
      </w:r>
      <w:r>
        <w:rPr>
          <w:rFonts w:hint="eastAsia" w:ascii="宋体" w:hAnsi="宋体" w:cs="宋体"/>
          <w:color w:val="0D0D0D" w:themeColor="text1" w:themeTint="F2"/>
          <w:kern w:val="0"/>
          <w:sz w:val="24"/>
          <w14:textFill>
            <w14:solidFill>
              <w14:schemeClr w14:val="tx1">
                <w14:lumMod w14:val="95000"/>
                <w14:lumOff w14:val="5000"/>
              </w14:schemeClr>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ADAAD7E">
      <w:pPr>
        <w:spacing w:after="0" w:line="360" w:lineRule="auto"/>
        <w:outlineLvl w:val="0"/>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四、评标中的其他事项</w:t>
      </w:r>
    </w:p>
    <w:p w14:paraId="523E6A34">
      <w:pPr>
        <w:pStyle w:val="136"/>
        <w:spacing w:before="0" w:after="0"/>
        <w:ind w:firstLine="472" w:firstLineChars="196"/>
        <w:rPr>
          <w:rFonts w:hint="eastAsia" w:ascii="宋体" w:hAnsi="宋体" w:cs="宋体"/>
          <w:color w:val="0D0D0D" w:themeColor="text1" w:themeTint="F2"/>
          <w:kern w:val="0"/>
          <w:szCs w:val="24"/>
          <w14:textFill>
            <w14:solidFill>
              <w14:schemeClr w14:val="tx1">
                <w14:lumMod w14:val="95000"/>
                <w14:lumOff w14:val="5000"/>
              </w14:schemeClr>
            </w14:solidFill>
          </w14:textFill>
        </w:rPr>
      </w:pPr>
      <w:r>
        <w:rPr>
          <w:rFonts w:hint="eastAsia" w:ascii="宋体" w:hAnsi="宋体" w:cs="宋体"/>
          <w:b/>
          <w:color w:val="0D0D0D" w:themeColor="text1" w:themeTint="F2"/>
          <w:kern w:val="0"/>
          <w:szCs w:val="24"/>
          <w14:textFill>
            <w14:solidFill>
              <w14:schemeClr w14:val="tx1">
                <w14:lumMod w14:val="95000"/>
                <w14:lumOff w14:val="5000"/>
              </w14:schemeClr>
            </w14:solidFill>
          </w14:textFill>
        </w:rPr>
        <w:t>4.1投标人澄清、说明或者补正。</w:t>
      </w:r>
      <w:r>
        <w:rPr>
          <w:rFonts w:hint="eastAsia" w:ascii="宋体" w:hAnsi="宋体" w:cs="宋体"/>
          <w:color w:val="0D0D0D" w:themeColor="text1" w:themeTint="F2"/>
          <w:kern w:val="0"/>
          <w:szCs w:val="24"/>
          <w14:textFill>
            <w14:solidFill>
              <w14:schemeClr w14:val="tx1">
                <w14:lumMod w14:val="95000"/>
                <w14:lumOff w14:val="5000"/>
              </w14:schemeClr>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F7D25E8">
      <w:pPr>
        <w:pStyle w:val="24"/>
        <w:spacing w:after="0" w:line="360" w:lineRule="auto"/>
        <w:ind w:left="954" w:leftChars="226" w:hanging="479" w:firstLineChars="0"/>
        <w:rPr>
          <w:rFonts w:hint="eastAsia" w:cs="宋体"/>
          <w:color w:val="0D0D0D" w:themeColor="text1" w:themeTint="F2"/>
          <w:szCs w:val="21"/>
          <w14:textFill>
            <w14:solidFill>
              <w14:schemeClr w14:val="tx1">
                <w14:lumMod w14:val="95000"/>
                <w14:lumOff w14:val="5000"/>
              </w14:schemeClr>
            </w14:solidFill>
          </w14:textFill>
        </w:rPr>
      </w:pPr>
      <w:r>
        <w:rPr>
          <w:rFonts w:hint="eastAsia" w:cs="宋体"/>
          <w:b/>
          <w:color w:val="0D0D0D" w:themeColor="text1" w:themeTint="F2"/>
          <w:kern w:val="0"/>
          <w14:textFill>
            <w14:solidFill>
              <w14:schemeClr w14:val="tx1">
                <w14:lumMod w14:val="95000"/>
                <w14:lumOff w14:val="5000"/>
              </w14:schemeClr>
            </w14:solidFill>
          </w14:textFill>
        </w:rPr>
        <w:t>4.2投标无效。</w:t>
      </w:r>
      <w:r>
        <w:rPr>
          <w:rFonts w:hint="eastAsia" w:cs="宋体"/>
          <w:color w:val="0D0D0D" w:themeColor="text1" w:themeTint="F2"/>
          <w:szCs w:val="21"/>
          <w14:textFill>
            <w14:solidFill>
              <w14:schemeClr w14:val="tx1">
                <w14:lumMod w14:val="95000"/>
                <w14:lumOff w14:val="5000"/>
              </w14:schemeClr>
            </w14:solidFill>
          </w14:textFill>
        </w:rPr>
        <w:t>有下列情形之一的，投标无效：</w:t>
      </w:r>
    </w:p>
    <w:p w14:paraId="3F240707">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4.2.1投标人不具备招标文件中规定的资格要求的（投标人未提供有效的资格文件的，视为投标人不具备招标文件中规定的资格要求）；</w:t>
      </w:r>
    </w:p>
    <w:p w14:paraId="642E77E6">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4.2.2投标文件未按照招标文件要求签署、盖章的；</w:t>
      </w:r>
    </w:p>
    <w:p w14:paraId="65BAA305">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4.2.3采购人拟采购的产品属于政府强制采购的节能产品品目清单范围的，投标人相应的投标产品未获得国家确定的认证机构出具的、处于有效期之内的节能产品认证证书的；</w:t>
      </w:r>
    </w:p>
    <w:p w14:paraId="440CE94F">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4.2.4投标文件含有采购人不能接受的附加条件的；</w:t>
      </w:r>
    </w:p>
    <w:p w14:paraId="3E5F4428">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4.2.5投标文件中承诺的投标有效期少于招标文件中载明的投标有效期的；</w:t>
      </w:r>
    </w:p>
    <w:p w14:paraId="67C67ECE">
      <w:pPr>
        <w:snapToGrid w:val="0"/>
        <w:spacing w:after="0" w:line="360" w:lineRule="auto"/>
        <w:ind w:firstLine="120" w:firstLineChars="50"/>
        <w:jc w:val="left"/>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4.2.6投标文件出现不是唯一的、有选择性投标报价的;</w:t>
      </w:r>
    </w:p>
    <w:p w14:paraId="44FBA197">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4.2.7投标报价超过招标文件中规定的预算金额或者最高限价的;</w:t>
      </w:r>
    </w:p>
    <w:p w14:paraId="04730842">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4.2.8报价明显低于其他通过符合性审查投标人的报价，有可能影响产品质量或者不能诚信履约的，未能按要求提供书面说明或者提交相关证明材料，不能证明其报价合理性的;</w:t>
      </w:r>
    </w:p>
    <w:p w14:paraId="4C107CC1">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4.2.9投标人对根据修正原则修正后的报价不确认的；</w:t>
      </w:r>
    </w:p>
    <w:p w14:paraId="2F8EDB78">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4.2.10投标人提供虚假材料投标的；</w:t>
      </w:r>
    </w:p>
    <w:p w14:paraId="16865EE4">
      <w:pPr>
        <w:spacing w:after="0" w:line="360" w:lineRule="auto"/>
        <w:ind w:firstLine="240" w:firstLineChars="1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4.2.11投标人有恶意串通、妨碍其他投标人的竞争行为、损害采购人或者其他投标人的合法权益情形的；</w:t>
      </w:r>
    </w:p>
    <w:p w14:paraId="3BF31191">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4.2.12投标人仅提交备份投标文件，未在电子交易平台传输递交投标文件的，投标无效；</w:t>
      </w:r>
    </w:p>
    <w:p w14:paraId="76F5BF1D">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4.2.13 不同投标人的电子投标（响应）文件上传计算机的网卡MAC地址或硬盘序列号等硬件信息相同的；</w:t>
      </w:r>
    </w:p>
    <w:p w14:paraId="4CB1BAC3">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4.2.14上传的电子投标（响应）文件若出现使用本项目其他投标（响应）供应商的数字证书加密的，或者加盖本项目其他投标（响应）供应商的电子印章的；</w:t>
      </w:r>
    </w:p>
    <w:p w14:paraId="5956B529">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4.2.15不同投标人的投标（响应）文件的内容存在三处（含）以上错误一致的；</w:t>
      </w:r>
    </w:p>
    <w:p w14:paraId="6E70DC6E">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4.2.16不同投标人联系人为同一人或不同联系人的联系电话一致的。</w:t>
      </w:r>
    </w:p>
    <w:p w14:paraId="7AC54F6F">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4.2.17法律、法规、规章（适用本市的）及省级以上规范性文件（适用本市的）规定的其他无效情形。</w:t>
      </w:r>
    </w:p>
    <w:p w14:paraId="7E854FAE">
      <w:pPr>
        <w:pStyle w:val="24"/>
        <w:snapToGrid w:val="0"/>
        <w:spacing w:after="0" w:line="360" w:lineRule="auto"/>
        <w:ind w:firstLine="472" w:firstLineChars="196"/>
        <w:rPr>
          <w:rFonts w:hint="eastAsia" w:cs="宋体"/>
          <w:color w:val="0D0D0D" w:themeColor="text1" w:themeTint="F2"/>
          <w14:textFill>
            <w14:solidFill>
              <w14:schemeClr w14:val="tx1">
                <w14:lumMod w14:val="95000"/>
                <w14:lumOff w14:val="5000"/>
              </w14:schemeClr>
            </w14:solidFill>
          </w14:textFill>
        </w:rPr>
      </w:pPr>
      <w:r>
        <w:rPr>
          <w:rFonts w:hint="eastAsia" w:cs="宋体"/>
          <w:b/>
          <w:color w:val="0D0D0D" w:themeColor="text1" w:themeTint="F2"/>
          <w14:textFill>
            <w14:solidFill>
              <w14:schemeClr w14:val="tx1">
                <w14:lumMod w14:val="95000"/>
                <w14:lumOff w14:val="5000"/>
              </w14:schemeClr>
            </w14:solidFill>
          </w14:textFill>
        </w:rPr>
        <w:t>5.废标。</w:t>
      </w:r>
      <w:r>
        <w:rPr>
          <w:rFonts w:hint="eastAsia" w:cs="宋体"/>
          <w:color w:val="0D0D0D" w:themeColor="text1" w:themeTint="F2"/>
          <w14:textFill>
            <w14:solidFill>
              <w14:schemeClr w14:val="tx1">
                <w14:lumMod w14:val="95000"/>
                <w14:lumOff w14:val="5000"/>
              </w14:schemeClr>
            </w14:solidFill>
          </w14:textFill>
        </w:rPr>
        <w:t>根据《中华人民共和国政府采购法》第三十六条之规定，在采购中，出现下列情形之一的，应予废标：</w:t>
      </w:r>
    </w:p>
    <w:p w14:paraId="5B4EB7E0">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5.1符合专业条件的供应商或者对招标文件作实质响应的供应商不足3家的；</w:t>
      </w:r>
    </w:p>
    <w:p w14:paraId="75F0FB57">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5.2出现影响采购公正的违法、违规行为的；</w:t>
      </w:r>
    </w:p>
    <w:p w14:paraId="38E7392F">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5.3投标人的报价均超过了采购预算，采购人不能支付的；</w:t>
      </w:r>
    </w:p>
    <w:p w14:paraId="19898E3A">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5.4因重大变故，采购任务取消的。</w:t>
      </w:r>
    </w:p>
    <w:p w14:paraId="4D220BDB">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废标后，采购代理机构应当将废标理由通知所有投标人。</w:t>
      </w:r>
    </w:p>
    <w:p w14:paraId="2E2DA0A9">
      <w:pPr>
        <w:pStyle w:val="24"/>
        <w:snapToGrid w:val="0"/>
        <w:spacing w:after="0" w:line="360" w:lineRule="auto"/>
        <w:ind w:firstLine="422" w:firstLineChars="175"/>
        <w:rPr>
          <w:rFonts w:hint="eastAsia" w:cs="宋体"/>
          <w:color w:val="0D0D0D" w:themeColor="text1" w:themeTint="F2"/>
          <w14:textFill>
            <w14:solidFill>
              <w14:schemeClr w14:val="tx1">
                <w14:lumMod w14:val="95000"/>
                <w14:lumOff w14:val="5000"/>
              </w14:schemeClr>
            </w14:solidFill>
          </w14:textFill>
        </w:rPr>
      </w:pPr>
      <w:r>
        <w:rPr>
          <w:rFonts w:hint="eastAsia" w:cs="宋体"/>
          <w:b/>
          <w:color w:val="0D0D0D" w:themeColor="text1" w:themeTint="F2"/>
          <w14:textFill>
            <w14:solidFill>
              <w14:schemeClr w14:val="tx1">
                <w14:lumMod w14:val="95000"/>
                <w14:lumOff w14:val="5000"/>
              </w14:schemeClr>
            </w14:solidFill>
          </w14:textFill>
        </w:rPr>
        <w:t>6.修改招标文件，重新组织采购活动。</w:t>
      </w:r>
      <w:r>
        <w:rPr>
          <w:rFonts w:hint="eastAsia" w:cs="宋体"/>
          <w:color w:val="0D0D0D" w:themeColor="text1" w:themeTint="F2"/>
          <w14:textFill>
            <w14:solidFill>
              <w14:schemeClr w14:val="tx1">
                <w14:lumMod w14:val="95000"/>
                <w14:lumOff w14:val="5000"/>
              </w14:schemeClr>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27792D8A">
      <w:pPr>
        <w:pStyle w:val="24"/>
        <w:snapToGrid w:val="0"/>
        <w:spacing w:after="0" w:line="360" w:lineRule="auto"/>
        <w:ind w:firstLine="482"/>
        <w:rPr>
          <w:rFonts w:hint="eastAsia" w:cs="宋体"/>
          <w:color w:val="0D0D0D" w:themeColor="text1" w:themeTint="F2"/>
          <w14:textFill>
            <w14:solidFill>
              <w14:schemeClr w14:val="tx1">
                <w14:lumMod w14:val="95000"/>
                <w14:lumOff w14:val="5000"/>
              </w14:schemeClr>
            </w14:solidFill>
          </w14:textFill>
        </w:rPr>
      </w:pPr>
      <w:r>
        <w:rPr>
          <w:rFonts w:hint="eastAsia" w:cs="宋体"/>
          <w:b/>
          <w:color w:val="0D0D0D" w:themeColor="text1" w:themeTint="F2"/>
          <w:kern w:val="0"/>
          <w14:textFill>
            <w14:solidFill>
              <w14:schemeClr w14:val="tx1">
                <w14:lumMod w14:val="95000"/>
                <w14:lumOff w14:val="5000"/>
              </w14:schemeClr>
            </w14:solidFill>
          </w14:textFill>
        </w:rPr>
        <w:t>7.重新开展采购。</w:t>
      </w:r>
      <w:r>
        <w:rPr>
          <w:rFonts w:hint="eastAsia" w:cs="宋体"/>
          <w:color w:val="0D0D0D" w:themeColor="text1" w:themeTint="F2"/>
          <w14:textFill>
            <w14:solidFill>
              <w14:schemeClr w14:val="tx1">
                <w14:lumMod w14:val="95000"/>
                <w14:lumOff w14:val="5000"/>
              </w14:schemeClr>
            </w14:solidFill>
          </w14:textFill>
        </w:rPr>
        <w:t>有政府采购法第七十一条、第七十二条规定的违法行为之一，影响或者可能影响中标结果的，依照下列规定处理：</w:t>
      </w:r>
    </w:p>
    <w:p w14:paraId="6ED4DF2C">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7.1未确定中标供应商的，终止本次政府采购活动，重新开展政府采购活动。</w:t>
      </w:r>
    </w:p>
    <w:p w14:paraId="7782853B">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7.2已确定中标供应商但尚未签订政府采购合同的，中标结果无效，从合格的中标候选人中另行确定中标供应商；没有合格的中标候选人的，重新开展政府采购活动。</w:t>
      </w:r>
    </w:p>
    <w:p w14:paraId="653E1826">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7.3政府采购合同已签订但尚未履行的，撤销合同，从合格的中标候选人中另行确定中标供应商；没有合格的中标候选人的，重新开展政府采购活动。</w:t>
      </w:r>
    </w:p>
    <w:p w14:paraId="1A31636A">
      <w:pPr>
        <w:pStyle w:val="24"/>
        <w:snapToGrid w:val="0"/>
        <w:spacing w:after="0" w:line="360" w:lineRule="auto"/>
        <w:rPr>
          <w:rFonts w:hint="eastAsia" w:cs="宋体"/>
          <w:color w:val="0D0D0D" w:themeColor="text1" w:themeTint="F2"/>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7.4政府采购合同已经履行，给采购人、供应商造成损失的，由责任人承担赔偿责任。</w:t>
      </w:r>
    </w:p>
    <w:p w14:paraId="73BFABC7">
      <w:pPr>
        <w:pStyle w:val="24"/>
        <w:snapToGrid w:val="0"/>
        <w:spacing w:after="0" w:line="360" w:lineRule="auto"/>
        <w:rPr>
          <w:rFonts w:hint="eastAsia" w:cs="宋体"/>
          <w:b/>
          <w:color w:val="0D0D0D" w:themeColor="text1" w:themeTint="F2"/>
          <w:sz w:val="36"/>
          <w:szCs w:val="36"/>
          <w14:textFill>
            <w14:solidFill>
              <w14:schemeClr w14:val="tx1">
                <w14:lumMod w14:val="95000"/>
                <w14:lumOff w14:val="5000"/>
              </w14:schemeClr>
            </w14:solidFill>
          </w14:textFill>
        </w:rPr>
      </w:pPr>
      <w:r>
        <w:rPr>
          <w:rFonts w:hint="eastAsia" w:cs="宋体"/>
          <w:color w:val="0D0D0D" w:themeColor="text1" w:themeTint="F2"/>
          <w14:textFill>
            <w14:solidFill>
              <w14:schemeClr w14:val="tx1">
                <w14:lumMod w14:val="95000"/>
                <w14:lumOff w14:val="5000"/>
              </w14:schemeClr>
            </w14:solidFill>
          </w14:textFill>
        </w:rPr>
        <w:t>7.5政府采购当事人有其他违反政府采购法或者政府采购法实施条例等法律法规规定的行为，经改正后仍然影响或者可能影响中标结果或者依法被认定为中标无效的，依照7.1-7.4规定处理。</w:t>
      </w:r>
      <w:bookmarkEnd w:id="34"/>
      <w:bookmarkStart w:id="402" w:name="_Toc86217003"/>
      <w:bookmarkStart w:id="403" w:name="第五部分"/>
    </w:p>
    <w:p w14:paraId="1B2DDC12">
      <w:pPr>
        <w:spacing w:after="0"/>
        <w:rPr>
          <w:rFonts w:hint="eastAsia" w:ascii="宋体" w:hAnsi="宋体" w:cs="宋体"/>
          <w:b/>
          <w:color w:val="0D0D0D" w:themeColor="text1" w:themeTint="F2"/>
          <w:sz w:val="36"/>
          <w:szCs w:val="36"/>
          <w14:textFill>
            <w14:solidFill>
              <w14:schemeClr w14:val="tx1">
                <w14:lumMod w14:val="95000"/>
                <w14:lumOff w14:val="5000"/>
              </w14:schemeClr>
            </w14:solidFill>
          </w14:textFill>
        </w:rPr>
      </w:pPr>
      <w:r>
        <w:rPr>
          <w:rFonts w:hint="eastAsia" w:ascii="宋体" w:hAnsi="宋体" w:cs="宋体"/>
          <w:b/>
          <w:color w:val="0D0D0D" w:themeColor="text1" w:themeTint="F2"/>
          <w:sz w:val="36"/>
          <w:szCs w:val="36"/>
          <w14:textFill>
            <w14:solidFill>
              <w14:schemeClr w14:val="tx1">
                <w14:lumMod w14:val="95000"/>
                <w14:lumOff w14:val="5000"/>
              </w14:schemeClr>
            </w14:solidFill>
          </w14:textFill>
        </w:rPr>
        <w:br w:type="page"/>
      </w:r>
    </w:p>
    <w:p w14:paraId="49604BDF">
      <w:pPr>
        <w:spacing w:line="360" w:lineRule="auto"/>
        <w:ind w:left="720" w:leftChars="343" w:firstLine="1084" w:firstLineChars="300"/>
        <w:outlineLvl w:val="0"/>
        <w:rPr>
          <w:rFonts w:hint="eastAsia" w:ascii="宋体" w:hAnsi="宋体" w:cs="宋体"/>
          <w:b/>
          <w:color w:val="0D0D0D" w:themeColor="text1" w:themeTint="F2"/>
          <w:sz w:val="36"/>
          <w:szCs w:val="36"/>
          <w14:textFill>
            <w14:solidFill>
              <w14:schemeClr w14:val="tx1">
                <w14:lumMod w14:val="95000"/>
                <w14:lumOff w14:val="5000"/>
              </w14:schemeClr>
            </w14:solidFill>
          </w14:textFill>
        </w:rPr>
      </w:pPr>
      <w:bookmarkStart w:id="404" w:name="_Toc8900"/>
      <w:r>
        <w:rPr>
          <w:rFonts w:hint="eastAsia" w:ascii="宋体" w:hAnsi="宋体" w:cs="宋体"/>
          <w:b/>
          <w:color w:val="0D0D0D" w:themeColor="text1" w:themeTint="F2"/>
          <w:sz w:val="36"/>
          <w:szCs w:val="36"/>
          <w14:textFill>
            <w14:solidFill>
              <w14:schemeClr w14:val="tx1">
                <w14:lumMod w14:val="95000"/>
                <w14:lumOff w14:val="5000"/>
              </w14:schemeClr>
            </w14:solidFill>
          </w14:textFill>
        </w:rPr>
        <w:t>第五部分 拟签订的参考合同文本</w:t>
      </w:r>
      <w:bookmarkEnd w:id="404"/>
    </w:p>
    <w:p w14:paraId="0E4B7FBC">
      <w:pPr>
        <w:spacing w:before="120" w:beforeLines="50" w:after="120" w:afterLines="50" w:line="360" w:lineRule="auto"/>
        <w:ind w:firstLine="6240" w:firstLineChars="26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合同编号：</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p>
    <w:p w14:paraId="016FFAFC">
      <w:pPr>
        <w:spacing w:after="0" w:line="360" w:lineRule="auto"/>
        <w:ind w:firstLine="480" w:firstLineChars="200"/>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甲方（采购方）：</w:t>
      </w:r>
      <w:r>
        <w:rPr>
          <w:rStyle w:val="70"/>
          <w:rFonts w:hint="eastAsia" w:ascii="宋体" w:hAnsi="宋体" w:cs="宋体"/>
          <w:color w:val="0D0D0D" w:themeColor="text1" w:themeTint="F2"/>
          <w:sz w:val="24"/>
          <w:u w:val="single"/>
          <w:shd w:val="clear" w:color="auto" w:fill="FFFFFF"/>
          <w14:textFill>
            <w14:solidFill>
              <w14:schemeClr w14:val="tx1">
                <w14:lumMod w14:val="95000"/>
                <w14:lumOff w14:val="5000"/>
              </w14:schemeClr>
            </w14:solidFill>
          </w14:textFill>
        </w:rPr>
        <w:t>浙江工商职业技术学院</w:t>
      </w:r>
    </w:p>
    <w:p w14:paraId="3FFC450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乙方（供应商）：</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w:t>
      </w:r>
    </w:p>
    <w:p w14:paraId="4BF1E3B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基于公开招标采购结果（项目名称：</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浙江工商职业技术学院工业设计区域特色产业学生创新实训室</w:t>
      </w:r>
      <w:r>
        <w:rPr>
          <w:rFonts w:hint="eastAsia" w:ascii="宋体" w:hAnsi="宋体" w:cs="宋体"/>
          <w:color w:val="0D0D0D" w:themeColor="text1" w:themeTint="F2"/>
          <w:sz w:val="24"/>
          <w14:textFill>
            <w14:solidFill>
              <w14:schemeClr w14:val="tx1">
                <w14:lumMod w14:val="95000"/>
                <w14:lumOff w14:val="5000"/>
              </w14:schemeClr>
            </w14:solidFill>
          </w14:textFill>
        </w:rPr>
        <w:t>），本合同甲方向乙方采购一批仪器设备及相应软件。甲乙双方就有关事宜，经平等协商，在真实、充分地表达各自意愿的基础上，根据《中华人民共和国民法典》的规定，订立本合同，并由双方共同恪守。</w:t>
      </w:r>
    </w:p>
    <w:p w14:paraId="19B96FD9">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一、合同标的</w:t>
      </w:r>
    </w:p>
    <w:tbl>
      <w:tblPr>
        <w:tblStyle w:val="62"/>
        <w:tblW w:w="94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16"/>
        <w:gridCol w:w="1066"/>
        <w:gridCol w:w="806"/>
        <w:gridCol w:w="1178"/>
        <w:gridCol w:w="851"/>
        <w:gridCol w:w="850"/>
        <w:gridCol w:w="881"/>
        <w:gridCol w:w="1104"/>
        <w:gridCol w:w="876"/>
      </w:tblGrid>
      <w:tr w14:paraId="75E7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26" w:type="dxa"/>
            <w:tcBorders>
              <w:top w:val="single" w:color="auto" w:sz="4" w:space="0"/>
              <w:left w:val="single" w:color="auto" w:sz="4" w:space="0"/>
              <w:bottom w:val="single" w:color="auto" w:sz="4" w:space="0"/>
              <w:right w:val="single" w:color="auto" w:sz="4" w:space="0"/>
            </w:tcBorders>
            <w:vAlign w:val="center"/>
          </w:tcPr>
          <w:p w14:paraId="7A048A2E">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序号</w:t>
            </w:r>
          </w:p>
        </w:tc>
        <w:tc>
          <w:tcPr>
            <w:tcW w:w="1116" w:type="dxa"/>
            <w:tcBorders>
              <w:top w:val="single" w:color="auto" w:sz="4" w:space="0"/>
              <w:left w:val="single" w:color="auto" w:sz="4" w:space="0"/>
              <w:bottom w:val="single" w:color="auto" w:sz="4" w:space="0"/>
              <w:right w:val="single" w:color="auto" w:sz="4" w:space="0"/>
            </w:tcBorders>
            <w:vAlign w:val="center"/>
          </w:tcPr>
          <w:p w14:paraId="1B360950">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设备名称</w:t>
            </w:r>
          </w:p>
        </w:tc>
        <w:tc>
          <w:tcPr>
            <w:tcW w:w="1066" w:type="dxa"/>
            <w:tcBorders>
              <w:top w:val="single" w:color="auto" w:sz="4" w:space="0"/>
              <w:left w:val="single" w:color="auto" w:sz="4" w:space="0"/>
              <w:bottom w:val="single" w:color="auto" w:sz="4" w:space="0"/>
              <w:right w:val="single" w:color="auto" w:sz="4" w:space="0"/>
            </w:tcBorders>
            <w:vAlign w:val="center"/>
          </w:tcPr>
          <w:p w14:paraId="03100C9F">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商标品牌</w:t>
            </w:r>
          </w:p>
        </w:tc>
        <w:tc>
          <w:tcPr>
            <w:tcW w:w="806" w:type="dxa"/>
            <w:tcBorders>
              <w:top w:val="single" w:color="auto" w:sz="4" w:space="0"/>
              <w:left w:val="single" w:color="auto" w:sz="4" w:space="0"/>
              <w:bottom w:val="single" w:color="auto" w:sz="4" w:space="0"/>
              <w:right w:val="single" w:color="auto" w:sz="4" w:space="0"/>
            </w:tcBorders>
            <w:vAlign w:val="center"/>
          </w:tcPr>
          <w:p w14:paraId="19C0D8FA">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规格型号</w:t>
            </w:r>
          </w:p>
        </w:tc>
        <w:tc>
          <w:tcPr>
            <w:tcW w:w="1178" w:type="dxa"/>
            <w:tcBorders>
              <w:top w:val="single" w:color="auto" w:sz="4" w:space="0"/>
              <w:left w:val="single" w:color="auto" w:sz="4" w:space="0"/>
              <w:bottom w:val="single" w:color="auto" w:sz="4" w:space="0"/>
              <w:right w:val="single" w:color="auto" w:sz="4" w:space="0"/>
            </w:tcBorders>
            <w:vAlign w:val="center"/>
          </w:tcPr>
          <w:p w14:paraId="16509E8E">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生产厂家</w:t>
            </w:r>
          </w:p>
        </w:tc>
        <w:tc>
          <w:tcPr>
            <w:tcW w:w="851" w:type="dxa"/>
            <w:tcBorders>
              <w:top w:val="single" w:color="auto" w:sz="4" w:space="0"/>
              <w:left w:val="single" w:color="auto" w:sz="4" w:space="0"/>
              <w:bottom w:val="single" w:color="auto" w:sz="4" w:space="0"/>
              <w:right w:val="single" w:color="auto" w:sz="4" w:space="0"/>
            </w:tcBorders>
            <w:vAlign w:val="center"/>
          </w:tcPr>
          <w:p w14:paraId="2DDF6CC0">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数 量</w:t>
            </w:r>
          </w:p>
        </w:tc>
        <w:tc>
          <w:tcPr>
            <w:tcW w:w="850" w:type="dxa"/>
            <w:tcBorders>
              <w:top w:val="single" w:color="auto" w:sz="4" w:space="0"/>
              <w:left w:val="single" w:color="auto" w:sz="4" w:space="0"/>
              <w:bottom w:val="single" w:color="auto" w:sz="4" w:space="0"/>
              <w:right w:val="single" w:color="auto" w:sz="4" w:space="0"/>
            </w:tcBorders>
            <w:vAlign w:val="center"/>
          </w:tcPr>
          <w:p w14:paraId="6F5BE04F">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单价（元）</w:t>
            </w:r>
          </w:p>
        </w:tc>
        <w:tc>
          <w:tcPr>
            <w:tcW w:w="881" w:type="dxa"/>
            <w:tcBorders>
              <w:top w:val="single" w:color="auto" w:sz="4" w:space="0"/>
              <w:left w:val="single" w:color="auto" w:sz="4" w:space="0"/>
              <w:bottom w:val="single" w:color="auto" w:sz="4" w:space="0"/>
              <w:right w:val="single" w:color="auto" w:sz="4" w:space="0"/>
            </w:tcBorders>
            <w:vAlign w:val="center"/>
          </w:tcPr>
          <w:p w14:paraId="32B91962">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总金额（元）</w:t>
            </w:r>
          </w:p>
        </w:tc>
        <w:tc>
          <w:tcPr>
            <w:tcW w:w="1104" w:type="dxa"/>
            <w:tcBorders>
              <w:top w:val="single" w:color="auto" w:sz="4" w:space="0"/>
              <w:left w:val="single" w:color="auto" w:sz="4" w:space="0"/>
              <w:bottom w:val="single" w:color="auto" w:sz="4" w:space="0"/>
              <w:right w:val="single" w:color="auto" w:sz="4" w:space="0"/>
            </w:tcBorders>
            <w:vAlign w:val="center"/>
          </w:tcPr>
          <w:p w14:paraId="020F80A0">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质保期</w:t>
            </w:r>
          </w:p>
        </w:tc>
        <w:tc>
          <w:tcPr>
            <w:tcW w:w="876" w:type="dxa"/>
            <w:tcBorders>
              <w:top w:val="single" w:color="auto" w:sz="4" w:space="0"/>
              <w:left w:val="single" w:color="auto" w:sz="4" w:space="0"/>
              <w:bottom w:val="single" w:color="auto" w:sz="4" w:space="0"/>
              <w:right w:val="single" w:color="auto" w:sz="4" w:space="0"/>
            </w:tcBorders>
            <w:vAlign w:val="center"/>
          </w:tcPr>
          <w:p w14:paraId="27C61A32">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备注</w:t>
            </w:r>
          </w:p>
        </w:tc>
      </w:tr>
      <w:tr w14:paraId="77A9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6" w:type="dxa"/>
            <w:tcBorders>
              <w:top w:val="single" w:color="auto" w:sz="4" w:space="0"/>
              <w:left w:val="single" w:color="auto" w:sz="4" w:space="0"/>
              <w:bottom w:val="single" w:color="auto" w:sz="4" w:space="0"/>
              <w:right w:val="single" w:color="auto" w:sz="4" w:space="0"/>
            </w:tcBorders>
            <w:vAlign w:val="center"/>
          </w:tcPr>
          <w:p w14:paraId="56C2021C">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14:paraId="6BD7C376">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066" w:type="dxa"/>
            <w:tcBorders>
              <w:top w:val="single" w:color="auto" w:sz="4" w:space="0"/>
              <w:left w:val="single" w:color="auto" w:sz="4" w:space="0"/>
              <w:bottom w:val="single" w:color="auto" w:sz="4" w:space="0"/>
              <w:right w:val="single" w:color="auto" w:sz="4" w:space="0"/>
            </w:tcBorders>
            <w:vAlign w:val="center"/>
          </w:tcPr>
          <w:p w14:paraId="4F727728">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06" w:type="dxa"/>
            <w:tcBorders>
              <w:top w:val="single" w:color="auto" w:sz="4" w:space="0"/>
              <w:left w:val="single" w:color="auto" w:sz="4" w:space="0"/>
              <w:bottom w:val="single" w:color="auto" w:sz="4" w:space="0"/>
              <w:right w:val="single" w:color="auto" w:sz="4" w:space="0"/>
            </w:tcBorders>
            <w:vAlign w:val="center"/>
          </w:tcPr>
          <w:p w14:paraId="75522BF2">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78" w:type="dxa"/>
            <w:tcBorders>
              <w:top w:val="single" w:color="auto" w:sz="4" w:space="0"/>
              <w:left w:val="single" w:color="auto" w:sz="4" w:space="0"/>
              <w:bottom w:val="single" w:color="auto" w:sz="4" w:space="0"/>
              <w:right w:val="single" w:color="auto" w:sz="4" w:space="0"/>
            </w:tcBorders>
            <w:vAlign w:val="center"/>
          </w:tcPr>
          <w:p w14:paraId="6C6CCAC3">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24AB91C1">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650356C7">
            <w:pPr>
              <w:widowControl/>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81" w:type="dxa"/>
            <w:tcBorders>
              <w:top w:val="single" w:color="auto" w:sz="4" w:space="0"/>
              <w:left w:val="single" w:color="auto" w:sz="4" w:space="0"/>
              <w:bottom w:val="single" w:color="auto" w:sz="4" w:space="0"/>
              <w:right w:val="single" w:color="auto" w:sz="4" w:space="0"/>
            </w:tcBorders>
            <w:vAlign w:val="center"/>
          </w:tcPr>
          <w:p w14:paraId="4C24FCF0">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04" w:type="dxa"/>
            <w:tcBorders>
              <w:top w:val="single" w:color="auto" w:sz="4" w:space="0"/>
              <w:left w:val="single" w:color="auto" w:sz="4" w:space="0"/>
              <w:bottom w:val="single" w:color="auto" w:sz="4" w:space="0"/>
              <w:right w:val="single" w:color="auto" w:sz="4" w:space="0"/>
            </w:tcBorders>
            <w:vAlign w:val="center"/>
          </w:tcPr>
          <w:p w14:paraId="42086B90">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58134E20">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r>
      <w:tr w14:paraId="6B68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6" w:type="dxa"/>
            <w:tcBorders>
              <w:top w:val="single" w:color="auto" w:sz="4" w:space="0"/>
              <w:left w:val="single" w:color="auto" w:sz="4" w:space="0"/>
              <w:bottom w:val="single" w:color="auto" w:sz="4" w:space="0"/>
              <w:right w:val="single" w:color="auto" w:sz="4" w:space="0"/>
            </w:tcBorders>
            <w:vAlign w:val="center"/>
          </w:tcPr>
          <w:p w14:paraId="299E4C13">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14:paraId="38D94826">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066" w:type="dxa"/>
            <w:tcBorders>
              <w:top w:val="single" w:color="auto" w:sz="4" w:space="0"/>
              <w:left w:val="single" w:color="auto" w:sz="4" w:space="0"/>
              <w:bottom w:val="single" w:color="auto" w:sz="4" w:space="0"/>
              <w:right w:val="single" w:color="auto" w:sz="4" w:space="0"/>
            </w:tcBorders>
            <w:vAlign w:val="center"/>
          </w:tcPr>
          <w:p w14:paraId="02B1AC14">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06" w:type="dxa"/>
            <w:tcBorders>
              <w:top w:val="single" w:color="auto" w:sz="4" w:space="0"/>
              <w:left w:val="single" w:color="auto" w:sz="4" w:space="0"/>
              <w:bottom w:val="single" w:color="auto" w:sz="4" w:space="0"/>
              <w:right w:val="single" w:color="auto" w:sz="4" w:space="0"/>
            </w:tcBorders>
            <w:vAlign w:val="center"/>
          </w:tcPr>
          <w:p w14:paraId="75233FAC">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78" w:type="dxa"/>
            <w:tcBorders>
              <w:top w:val="single" w:color="auto" w:sz="4" w:space="0"/>
              <w:left w:val="single" w:color="auto" w:sz="4" w:space="0"/>
              <w:bottom w:val="single" w:color="auto" w:sz="4" w:space="0"/>
              <w:right w:val="single" w:color="auto" w:sz="4" w:space="0"/>
            </w:tcBorders>
            <w:vAlign w:val="center"/>
          </w:tcPr>
          <w:p w14:paraId="644EA378">
            <w:pPr>
              <w:pStyle w:val="32"/>
              <w:spacing w:after="0" w:line="360" w:lineRule="auto"/>
              <w:jc w:val="center"/>
              <w:rPr>
                <w:rFonts w:hint="eastAsia" w:hAnsi="宋体" w:cs="宋体"/>
                <w:color w:val="0D0D0D" w:themeColor="text1" w:themeTint="F2"/>
                <w:sz w:val="24"/>
                <w:szCs w:val="24"/>
                <w14:textFill>
                  <w14:solidFill>
                    <w14:schemeClr w14:val="tx1">
                      <w14:lumMod w14:val="95000"/>
                      <w14:lumOff w14:val="5000"/>
                    </w14:schemeClr>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37E2186C">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77CFBB4D">
            <w:pPr>
              <w:widowControl/>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81" w:type="dxa"/>
            <w:tcBorders>
              <w:top w:val="single" w:color="auto" w:sz="4" w:space="0"/>
              <w:left w:val="single" w:color="auto" w:sz="4" w:space="0"/>
              <w:bottom w:val="single" w:color="auto" w:sz="4" w:space="0"/>
              <w:right w:val="single" w:color="auto" w:sz="4" w:space="0"/>
            </w:tcBorders>
            <w:vAlign w:val="center"/>
          </w:tcPr>
          <w:p w14:paraId="77517187">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04" w:type="dxa"/>
            <w:tcBorders>
              <w:top w:val="single" w:color="auto" w:sz="4" w:space="0"/>
              <w:left w:val="single" w:color="auto" w:sz="4" w:space="0"/>
              <w:bottom w:val="single" w:color="auto" w:sz="4" w:space="0"/>
              <w:right w:val="single" w:color="auto" w:sz="4" w:space="0"/>
            </w:tcBorders>
            <w:vAlign w:val="center"/>
          </w:tcPr>
          <w:p w14:paraId="0A7D524A">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04CA994F">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r>
      <w:tr w14:paraId="4582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6" w:type="dxa"/>
            <w:tcBorders>
              <w:top w:val="single" w:color="auto" w:sz="4" w:space="0"/>
              <w:left w:val="single" w:color="auto" w:sz="4" w:space="0"/>
              <w:bottom w:val="single" w:color="auto" w:sz="4" w:space="0"/>
              <w:right w:val="single" w:color="auto" w:sz="4" w:space="0"/>
            </w:tcBorders>
            <w:vAlign w:val="center"/>
          </w:tcPr>
          <w:p w14:paraId="133641E5">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14:paraId="238AAEDB">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066" w:type="dxa"/>
            <w:tcBorders>
              <w:top w:val="single" w:color="auto" w:sz="4" w:space="0"/>
              <w:left w:val="single" w:color="auto" w:sz="4" w:space="0"/>
              <w:bottom w:val="single" w:color="auto" w:sz="4" w:space="0"/>
              <w:right w:val="single" w:color="auto" w:sz="4" w:space="0"/>
            </w:tcBorders>
            <w:vAlign w:val="center"/>
          </w:tcPr>
          <w:p w14:paraId="1A62D809">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06" w:type="dxa"/>
            <w:tcBorders>
              <w:top w:val="single" w:color="auto" w:sz="4" w:space="0"/>
              <w:left w:val="single" w:color="auto" w:sz="4" w:space="0"/>
              <w:bottom w:val="single" w:color="auto" w:sz="4" w:space="0"/>
              <w:right w:val="single" w:color="auto" w:sz="4" w:space="0"/>
            </w:tcBorders>
            <w:vAlign w:val="center"/>
          </w:tcPr>
          <w:p w14:paraId="5D0687E4">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78" w:type="dxa"/>
            <w:tcBorders>
              <w:top w:val="single" w:color="auto" w:sz="4" w:space="0"/>
              <w:left w:val="single" w:color="auto" w:sz="4" w:space="0"/>
              <w:bottom w:val="single" w:color="auto" w:sz="4" w:space="0"/>
              <w:right w:val="single" w:color="auto" w:sz="4" w:space="0"/>
            </w:tcBorders>
            <w:vAlign w:val="center"/>
          </w:tcPr>
          <w:p w14:paraId="5E981FA0">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0D022940">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6F533D9">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81" w:type="dxa"/>
            <w:tcBorders>
              <w:top w:val="single" w:color="auto" w:sz="4" w:space="0"/>
              <w:left w:val="single" w:color="auto" w:sz="4" w:space="0"/>
              <w:bottom w:val="single" w:color="auto" w:sz="4" w:space="0"/>
              <w:right w:val="single" w:color="auto" w:sz="4" w:space="0"/>
            </w:tcBorders>
            <w:vAlign w:val="center"/>
          </w:tcPr>
          <w:p w14:paraId="27D2DD22">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04" w:type="dxa"/>
            <w:tcBorders>
              <w:top w:val="single" w:color="auto" w:sz="4" w:space="0"/>
              <w:left w:val="single" w:color="auto" w:sz="4" w:space="0"/>
              <w:bottom w:val="single" w:color="auto" w:sz="4" w:space="0"/>
              <w:right w:val="single" w:color="auto" w:sz="4" w:space="0"/>
            </w:tcBorders>
            <w:vAlign w:val="center"/>
          </w:tcPr>
          <w:p w14:paraId="5F7A17E6">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69F3B562">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r>
      <w:tr w14:paraId="47B3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6" w:type="dxa"/>
            <w:tcBorders>
              <w:top w:val="single" w:color="auto" w:sz="4" w:space="0"/>
              <w:left w:val="single" w:color="auto" w:sz="4" w:space="0"/>
              <w:bottom w:val="single" w:color="auto" w:sz="4" w:space="0"/>
              <w:right w:val="single" w:color="auto" w:sz="4" w:space="0"/>
            </w:tcBorders>
            <w:vAlign w:val="center"/>
          </w:tcPr>
          <w:p w14:paraId="35CA1C0E">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14:paraId="25A319E8">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066" w:type="dxa"/>
            <w:tcBorders>
              <w:top w:val="single" w:color="auto" w:sz="4" w:space="0"/>
              <w:left w:val="single" w:color="auto" w:sz="4" w:space="0"/>
              <w:bottom w:val="single" w:color="auto" w:sz="4" w:space="0"/>
              <w:right w:val="single" w:color="auto" w:sz="4" w:space="0"/>
            </w:tcBorders>
            <w:vAlign w:val="center"/>
          </w:tcPr>
          <w:p w14:paraId="7D25A46E">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06" w:type="dxa"/>
            <w:tcBorders>
              <w:top w:val="single" w:color="auto" w:sz="4" w:space="0"/>
              <w:left w:val="single" w:color="auto" w:sz="4" w:space="0"/>
              <w:bottom w:val="single" w:color="auto" w:sz="4" w:space="0"/>
              <w:right w:val="single" w:color="auto" w:sz="4" w:space="0"/>
            </w:tcBorders>
            <w:vAlign w:val="center"/>
          </w:tcPr>
          <w:p w14:paraId="28221749">
            <w:pPr>
              <w:widowControl/>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78" w:type="dxa"/>
            <w:tcBorders>
              <w:top w:val="single" w:color="auto" w:sz="4" w:space="0"/>
              <w:left w:val="single" w:color="auto" w:sz="4" w:space="0"/>
              <w:bottom w:val="single" w:color="auto" w:sz="4" w:space="0"/>
              <w:right w:val="single" w:color="auto" w:sz="4" w:space="0"/>
            </w:tcBorders>
            <w:vAlign w:val="center"/>
          </w:tcPr>
          <w:p w14:paraId="3EE400CB">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4BFF4B34">
            <w:pPr>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BF4F378">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81" w:type="dxa"/>
            <w:tcBorders>
              <w:top w:val="single" w:color="auto" w:sz="4" w:space="0"/>
              <w:left w:val="single" w:color="auto" w:sz="4" w:space="0"/>
              <w:bottom w:val="single" w:color="auto" w:sz="4" w:space="0"/>
              <w:right w:val="single" w:color="auto" w:sz="4" w:space="0"/>
            </w:tcBorders>
            <w:vAlign w:val="center"/>
          </w:tcPr>
          <w:p w14:paraId="1F2CF373">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04" w:type="dxa"/>
            <w:tcBorders>
              <w:top w:val="single" w:color="auto" w:sz="4" w:space="0"/>
              <w:left w:val="single" w:color="auto" w:sz="4" w:space="0"/>
              <w:bottom w:val="single" w:color="auto" w:sz="4" w:space="0"/>
              <w:right w:val="single" w:color="auto" w:sz="4" w:space="0"/>
            </w:tcBorders>
            <w:vAlign w:val="center"/>
          </w:tcPr>
          <w:p w14:paraId="1A8446BD">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5F9A90D5">
            <w:pPr>
              <w:widowControl/>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tc>
      </w:tr>
      <w:tr w14:paraId="1AA9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2" w:type="dxa"/>
            <w:gridSpan w:val="2"/>
            <w:tcBorders>
              <w:top w:val="single" w:color="auto" w:sz="4" w:space="0"/>
              <w:left w:val="single" w:color="auto" w:sz="4" w:space="0"/>
              <w:bottom w:val="single" w:color="auto" w:sz="4" w:space="0"/>
              <w:right w:val="single" w:color="auto" w:sz="4" w:space="0"/>
            </w:tcBorders>
            <w:vAlign w:val="center"/>
          </w:tcPr>
          <w:p w14:paraId="3E4CFF7B">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总价（元）</w:t>
            </w:r>
          </w:p>
        </w:tc>
        <w:tc>
          <w:tcPr>
            <w:tcW w:w="7612" w:type="dxa"/>
            <w:gridSpan w:val="8"/>
            <w:tcBorders>
              <w:top w:val="single" w:color="auto" w:sz="4" w:space="0"/>
              <w:left w:val="single" w:color="auto" w:sz="4" w:space="0"/>
              <w:bottom w:val="single" w:color="auto" w:sz="4" w:space="0"/>
              <w:right w:val="single" w:color="auto" w:sz="4" w:space="0"/>
            </w:tcBorders>
            <w:vAlign w:val="center"/>
          </w:tcPr>
          <w:p w14:paraId="2AF1D5F2">
            <w:pPr>
              <w:widowControl/>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lang w:bidi="zh-CN"/>
                <w14:textFill>
                  <w14:solidFill>
                    <w14:schemeClr w14:val="tx1">
                      <w14:lumMod w14:val="95000"/>
                      <w14:lumOff w14:val="5000"/>
                    </w14:schemeClr>
                  </w14:solidFill>
                </w14:textFill>
              </w:rPr>
              <w:t>元整</w:t>
            </w:r>
            <w:r>
              <w:rPr>
                <w:rFonts w:hint="eastAsia" w:ascii="宋体" w:hAnsi="宋体" w:cs="宋体"/>
                <w:color w:val="0D0D0D" w:themeColor="text1" w:themeTint="F2"/>
                <w:sz w:val="24"/>
                <w14:textFill>
                  <w14:solidFill>
                    <w14:schemeClr w14:val="tx1">
                      <w14:lumMod w14:val="95000"/>
                      <w14:lumOff w14:val="5000"/>
                    </w14:schemeClr>
                  </w14:solidFill>
                </w14:textFill>
              </w:rPr>
              <w:t>（.00）</w:t>
            </w:r>
          </w:p>
        </w:tc>
      </w:tr>
    </w:tbl>
    <w:p w14:paraId="706B4692">
      <w:pPr>
        <w:pStyle w:val="24"/>
        <w:tabs>
          <w:tab w:val="left" w:pos="720"/>
        </w:tabs>
        <w:spacing w:after="0" w:line="360" w:lineRule="auto"/>
        <w:ind w:firstLine="482"/>
        <w:rPr>
          <w:rFonts w:hint="eastAsia" w:cs="宋体"/>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【备注：</w:t>
      </w:r>
      <w:r>
        <w:rPr>
          <w:rFonts w:hint="eastAsia" w:cs="宋体"/>
          <w:bCs/>
          <w:color w:val="0D0D0D" w:themeColor="text1" w:themeTint="F2"/>
          <w14:textFill>
            <w14:solidFill>
              <w14:schemeClr w14:val="tx1">
                <w14:lumMod w14:val="95000"/>
                <w14:lumOff w14:val="5000"/>
              </w14:schemeClr>
            </w14:solidFill>
          </w14:textFill>
        </w:rPr>
        <w:t>若有必配的、不另计价的附件和专用工具等，可列在备注项内。此外，若本合同第二条的内容不足以详尽描述（或需要强调的）设备功能和性能指标，可列在备注项或作为合同附件。】</w:t>
      </w:r>
    </w:p>
    <w:p w14:paraId="5E7F4AD2">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二、标的质量要求及供货范围</w:t>
      </w:r>
    </w:p>
    <w:p w14:paraId="546636D3">
      <w:pPr>
        <w:spacing w:after="0" w:line="360" w:lineRule="auto"/>
        <w:ind w:firstLine="480" w:firstLineChars="200"/>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（一）乙方所提供的设备必须满足以下全部要求：</w:t>
      </w:r>
    </w:p>
    <w:p w14:paraId="7052230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设备及其附件和专用工具符合相关的国家及行业产品的质量标准和技术规范，乙方供应的产品有国家标准的，应当符合国家标准及厂家标准、合同要求，没有国家标准的，适用行业标准及厂家标准、合同要求，同时存在以上标准的，按最严格的标准执行；没有以上标准的，按实现甲方合同目的的通用标准执行；</w:t>
      </w:r>
    </w:p>
    <w:p w14:paraId="1A15BBD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2.设备及其附件和专用工具符合甲方的采购文件、乙方的投标文件要求（此款仅适用于通过公开招标、邀请招标、谈判、竞争性磋商、单一来源、询价采购等方式采购的设备）；</w:t>
      </w:r>
    </w:p>
    <w:p w14:paraId="4ED44F9E">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3.设备及其附件和专用工具均不侵犯任何第三人的知识产权及其他合法权益；</w:t>
      </w:r>
    </w:p>
    <w:p w14:paraId="41FF4DCB">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4.设备及其附件和专用工具必须是全新、未使用过的原装产品；</w:t>
      </w:r>
    </w:p>
    <w:p w14:paraId="7A584613">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5.随设备及其附件和专用工具提供其出厂合格证书、使用说明书、原厂保修卡及其他原厂随机资料（下称随附文件）；</w:t>
      </w:r>
    </w:p>
    <w:p w14:paraId="2785453C">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6.设备及其附件和专用工具符合甲乙双方签字确认的其他相关承诺及协议，包括：</w:t>
      </w:r>
    </w:p>
    <w:p w14:paraId="3EBDCBD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1242B88D">
      <w:pPr>
        <w:spacing w:after="0" w:line="360" w:lineRule="auto"/>
        <w:ind w:firstLine="480" w:firstLineChars="200"/>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bCs/>
          <w:color w:val="0D0D0D" w:themeColor="text1" w:themeTint="F2"/>
          <w:sz w:val="24"/>
          <w14:textFill>
            <w14:solidFill>
              <w14:schemeClr w14:val="tx1">
                <w14:lumMod w14:val="95000"/>
                <w14:lumOff w14:val="5000"/>
              </w14:schemeClr>
            </w14:solidFill>
          </w14:textFill>
        </w:rPr>
        <w:t>。</w:t>
      </w:r>
    </w:p>
    <w:p w14:paraId="24AEB5D7">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7.</w:t>
      </w:r>
      <w:r>
        <w:rPr>
          <w:rFonts w:hint="eastAsia" w:ascii="宋体" w:hAnsi="宋体" w:cs="宋体"/>
          <w:color w:val="0D0D0D" w:themeColor="text1" w:themeTint="F2"/>
          <w:sz w:val="24"/>
          <w14:textFill>
            <w14:solidFill>
              <w14:schemeClr w14:val="tx1">
                <w14:lumMod w14:val="95000"/>
                <w14:lumOff w14:val="5000"/>
              </w14:schemeClr>
            </w14:solidFill>
          </w14:textFill>
        </w:rPr>
        <w:t>合同供货范围包括所有设备、技术资料、技术服务。但在执行合同过程中如发现有任何漏项和短缺，且在发货清单中并未列入而且确定不是卖方供货范围中应该有但属于满足合同附件对合同设备的性能保证值要求所必需的，均应由卖方负责将所短缺的设备、技术、资料、专用工具等补上，且不发生费用问题。</w:t>
      </w:r>
    </w:p>
    <w:p w14:paraId="5D82D0EC">
      <w:pPr>
        <w:spacing w:after="0" w:line="360" w:lineRule="auto"/>
        <w:ind w:firstLine="480" w:firstLineChars="200"/>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（二）乙方所提供的软件必须满足以下全部要求：</w:t>
      </w:r>
    </w:p>
    <w:p w14:paraId="7E95C313">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1.软件及其附件和专用工具符合相关的国家及行业产品的质量标准和技术规范；</w:t>
      </w:r>
    </w:p>
    <w:p w14:paraId="5269ABD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2.软件符合甲方的采购文件、乙方的投标文件要求（此款仅适用于通过公开招标、邀请招标、谈判、竞争性磋商、单一来源、询价采购等方式采购的软件）；</w:t>
      </w:r>
    </w:p>
    <w:p w14:paraId="3AF1F501">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3.软件及其附件和专用工具均不侵犯任何第三人的知识产权及其他合法权益；</w:t>
      </w:r>
    </w:p>
    <w:p w14:paraId="6F50ED0B">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4.软件及其附件和专用工具必须是全新、未使用过的原装产品。</w:t>
      </w:r>
    </w:p>
    <w:p w14:paraId="0EA2BC5B">
      <w:pPr>
        <w:spacing w:after="0" w:line="360" w:lineRule="auto"/>
        <w:ind w:left="420" w:leftChars="200"/>
        <w:rPr>
          <w:rStyle w:val="70"/>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w:t>
      </w:r>
      <w:r>
        <w:rPr>
          <w:rStyle w:val="70"/>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知识产权保证与许可：</w:t>
      </w:r>
    </w:p>
    <w:p w14:paraId="14209E31">
      <w:pPr>
        <w:spacing w:after="0" w:line="360" w:lineRule="auto"/>
        <w:ind w:firstLine="480" w:firstLineChars="200"/>
        <w:rPr>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pPr>
      <w:r>
        <w:rPr>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（1）乙方保证其为履行本合同而向甲方提供的产品（包括硬件、软件及文档）未侵犯任何第三方的知识产权。如发生任何第三方指控侵权，由乙方负责解决并承担全部法律责任及费用。</w:t>
      </w:r>
    </w:p>
    <w:p w14:paraId="42617AF1">
      <w:pPr>
        <w:spacing w:after="0" w:line="360" w:lineRule="auto"/>
        <w:ind w:firstLine="480" w:firstLineChars="200"/>
        <w:rPr>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pPr>
      <w:r>
        <w:rPr>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（2）</w:t>
      </w:r>
      <w:r>
        <w:rPr>
          <w:rStyle w:val="70"/>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对于乙方根据本合同为甲方定制开发的软件</w:t>
      </w:r>
      <w:r>
        <w:rPr>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，甲方享有该定制开发软件的永久使用权，并享有在原始软件基础上为自身目的进行修改、再开发所形成的衍生成果的知识产权。乙方应提供必要的技术资料和接口以支持甲方的二次开发。</w:t>
      </w:r>
    </w:p>
    <w:p w14:paraId="30B651C8">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（3）</w:t>
      </w:r>
      <w:r>
        <w:rPr>
          <w:rStyle w:val="70"/>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对于乙方提供的商用现货软件</w:t>
      </w:r>
      <w:r>
        <w:rPr>
          <w:rFonts w:hint="eastAsia" w:ascii="宋体" w:hAnsi="宋体" w:cs="宋体"/>
          <w:color w:val="0D0D0D" w:themeColor="text1" w:themeTint="F2"/>
          <w:sz w:val="24"/>
          <w:shd w:val="clear" w:color="auto" w:fill="FFFFFF"/>
          <w14:textFill>
            <w14:solidFill>
              <w14:schemeClr w14:val="tx1">
                <w14:lumMod w14:val="95000"/>
                <w14:lumOff w14:val="5000"/>
              </w14:schemeClr>
            </w14:solidFill>
          </w14:textFill>
        </w:rPr>
        <w:t>，乙方应授予甲方符合软件行业惯例的、永久的、不可转让的软件使用许可，以满足甲方内部教学、科研及管理之目的。具体许可范围（如用户数、安装站点等）应在合同附件中明确。</w:t>
      </w:r>
    </w:p>
    <w:p w14:paraId="5D6C4484">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三、合同金额和付款方式</w:t>
      </w:r>
    </w:p>
    <w:p w14:paraId="1D8D5425">
      <w:pPr>
        <w:spacing w:after="0" w:line="360" w:lineRule="auto"/>
        <w:ind w:firstLine="480" w:firstLineChars="200"/>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1.费用暂定含税总价人民币</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元整(￥ </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)，其中不含税金额为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元，税额为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元，税率</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bCs/>
          <w:color w:val="0D0D0D" w:themeColor="text1" w:themeTint="F2"/>
          <w:sz w:val="24"/>
          <w14:textFill>
            <w14:solidFill>
              <w14:schemeClr w14:val="tx1">
                <w14:lumMod w14:val="95000"/>
                <w14:lumOff w14:val="5000"/>
              </w14:schemeClr>
            </w14:solidFill>
          </w14:textFill>
        </w:rPr>
        <w:t>。</w:t>
      </w:r>
    </w:p>
    <w:p w14:paraId="51E1E143">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2.合同总金额包括设备（含附件和专用工具）及其技术资料、技术服务的价款、包装/运输费、保险费、安装/调试费、使用培训费及税费等全部费用。</w:t>
      </w:r>
    </w:p>
    <w:p w14:paraId="618BAEA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3.本合同签订后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个工作日内，乙方应向甲方支付合同总价</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（不超过1%）的履约保证金，甲方在验收合格后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个工作日内无息退还。乙方可以银行、保险公司出具的保函形式提交履约保证金。</w:t>
      </w:r>
    </w:p>
    <w:p w14:paraId="46B89C1B">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4.甲方应该按照以下方式向乙方支付合同经费：</w:t>
      </w:r>
    </w:p>
    <w:p w14:paraId="33498450">
      <w:pPr>
        <w:pStyle w:val="36"/>
        <w:spacing w:after="0"/>
        <w:ind w:firstLine="360" w:firstLineChars="150"/>
        <w:jc w:val="left"/>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（1）本合同签订后</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个工作日内，甲方向乙方支付合同总金额的</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 计人民币（大写）</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元整 </w:t>
      </w:r>
      <w:r>
        <w:rPr>
          <w:rFonts w:hint="eastAsia"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）作为预付款；</w:t>
      </w:r>
    </w:p>
    <w:p w14:paraId="2665B600">
      <w:pPr>
        <w:pStyle w:val="36"/>
        <w:spacing w:after="0"/>
        <w:ind w:left="210" w:leftChars="100" w:firstLine="120" w:firstLineChars="50"/>
        <w:jc w:val="left"/>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（2）安装调试、并经验收合格后，甲方收到乙方正规发票后的</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个工作日内，向乙方支付合同总金额的</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 计人民币（大写）</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w:t>
      </w:r>
    </w:p>
    <w:p w14:paraId="2703D5AC">
      <w:pPr>
        <w:pStyle w:val="36"/>
        <w:spacing w:after="0"/>
        <w:ind w:firstLine="360" w:firstLineChars="150"/>
        <w:jc w:val="left"/>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（3）余款计人民币（大写）</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   </w:t>
      </w:r>
      <w:r>
        <w:rPr>
          <w:rFonts w:hint="eastAsia"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    </w:t>
      </w:r>
      <w:r>
        <w:rPr>
          <w:rFonts w:hint="eastAsia" w:hAnsi="宋体" w:cs="宋体"/>
          <w:color w:val="0D0D0D" w:themeColor="text1" w:themeTint="F2"/>
          <w:sz w:val="24"/>
          <w:szCs w:val="24"/>
          <w14:textFill>
            <w14:solidFill>
              <w14:schemeClr w14:val="tx1">
                <w14:lumMod w14:val="95000"/>
                <w14:lumOff w14:val="5000"/>
              </w14:schemeClr>
            </w14:solidFill>
          </w14:textFill>
        </w:rPr>
        <w:t xml:space="preserve">），在验收合格之日起满 </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个月后</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hAnsi="宋体" w:cs="宋体"/>
          <w:color w:val="0D0D0D" w:themeColor="text1" w:themeTint="F2"/>
          <w:sz w:val="24"/>
          <w:szCs w:val="24"/>
          <w14:textFill>
            <w14:solidFill>
              <w14:schemeClr w14:val="tx1">
                <w14:lumMod w14:val="95000"/>
                <w14:lumOff w14:val="5000"/>
              </w14:schemeClr>
            </w14:solidFill>
          </w14:textFill>
        </w:rPr>
        <w:t>个工作日内，甲方在无未决重大质量索赔及乙方已履行全部质保义务的前提下，一次性无息付清。</w:t>
      </w:r>
    </w:p>
    <w:p w14:paraId="5928FFC0">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四、交货时间和地点及包装</w:t>
      </w:r>
    </w:p>
    <w:p w14:paraId="14E8418B">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1.乙方负责将设备运输至甲方指定的以下地点：</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2D272E57">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乙方应该将装箱清单、设备的附件、设备的专用工具以及设备的随附文件、技术资料等与设备一起装箱发运，并在发运后当天通知甲方。本合同中约定的计算机软件或信息系统等产品,包括软件程序、数据库、相关设计方案、使用文档及随配附件和工具等产品资料。产品的包装必须牢固, 乙方应在发运前对其产品进行满足运输距离、防潮、防震、防锈蚀和防破损装卸等要求包装，以保证安全运达甲方指定地点。</w:t>
      </w:r>
    </w:p>
    <w:p w14:paraId="532985F6">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3.设备及软件运抵甲方指定的地点并经甲方最终验收合格之前发生的灭失、毁损等风险和损失由乙方自行承担。</w:t>
      </w:r>
    </w:p>
    <w:p w14:paraId="7B051DB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4.乙方应该确保在</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年</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月</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日前向甲方交付全部设备并通过甲方的开箱验货，并确保全部设备在</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年</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月</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日前通过甲方的最终验收；否则，视为逾期交货。</w:t>
      </w:r>
    </w:p>
    <w:p w14:paraId="0E51A5D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乙方交付的所有货物要符合国家主管机关的规定，具有适合长途运输和装卸的坚固包装。包装应保证在运输、装卸过程中完好无损，并有减振、防冲击及防磨损措施。包装应按设备特点，按需要分别加上防潮、防锈、防腐蚀的保护措施，以保证货物在没有任何损坏和腐蚀的情况下安全运抵设备安装现场。设备装货和包装前，乙方负责对其进行检查和清理，不留异物，并保证零部件齐全。</w:t>
      </w:r>
    </w:p>
    <w:p w14:paraId="6D52D62E">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凡由于乙方包装或保管不善致使货物遇到损坏或丢失时，不论在何时何地发现，一经证实，乙方均应按本合同质保期相关规定负责及时修理、更换。在运输中发现货物损坏和丢失时，乙方应负责与承运部门及保险公司交涉，甲方不负责运输过程中发生的一切费用及责任，同时乙方应尽快向甲方补供货物。</w:t>
      </w:r>
    </w:p>
    <w:p w14:paraId="1DEF96B4">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五、开箱验货、安装、调试、使用培训和验收</w:t>
      </w:r>
    </w:p>
    <w:p w14:paraId="0B7531C3">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1.开箱验货：</w:t>
      </w:r>
      <w:r>
        <w:rPr>
          <w:rFonts w:hint="eastAsia" w:ascii="宋体" w:hAnsi="宋体" w:cs="宋体"/>
          <w:color w:val="0D0D0D" w:themeColor="text1" w:themeTint="F2"/>
          <w:sz w:val="24"/>
          <w14:textFill>
            <w14:solidFill>
              <w14:schemeClr w14:val="tx1">
                <w14:lumMod w14:val="95000"/>
                <w14:lumOff w14:val="5000"/>
              </w14:schemeClr>
            </w14:solidFill>
          </w14:textFill>
        </w:rPr>
        <w:t>设备运抵甲方指定场地后，乙方应提前</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个工作日向甲方提出验货申请，甲方在设备运抵甲方指定地点之日起</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组织双方人员共同进行开箱验货。如甲方认为必要，乙方应派遣检验人员参加现场检验工作，如检验时，乙方人员未按时赴现场，甲方有权自行开箱检验，检验结果和记录对双方同样有效，并作为甲方向乙方提出索赔的有效证据。未能通过开箱验货的，限期</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天内完成整改，相关费用由乙方承担；整改仍达不到要求的，甲方有权退货。</w:t>
      </w:r>
    </w:p>
    <w:p w14:paraId="2A02CC6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开箱验货不合格包括但不限于以下情形：（1）设备包装有明显破损，有可能影响设备正常使用的；（2）设备有破损，将影响正常使用的；（3）设备品名及数量等与本合同第一条内容不一致的；（4）乙方在开箱验货时未向甲方提供设备的附件、专用工具或随附文件、技术资料的；（5）设备不符合本合同第一条所列其他要求和第二条所列质量要求的。</w:t>
      </w:r>
    </w:p>
    <w:p w14:paraId="4869291F">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2.设备、软件的安装/调试：</w:t>
      </w:r>
      <w:r>
        <w:rPr>
          <w:rFonts w:hint="eastAsia" w:ascii="宋体" w:hAnsi="宋体" w:cs="宋体"/>
          <w:color w:val="0D0D0D" w:themeColor="text1" w:themeTint="F2"/>
          <w:sz w:val="24"/>
          <w14:textFill>
            <w14:solidFill>
              <w14:schemeClr w14:val="tx1">
                <w14:lumMod w14:val="95000"/>
                <w14:lumOff w14:val="5000"/>
              </w14:schemeClr>
            </w14:solidFill>
          </w14:textFill>
        </w:rPr>
        <w:t>设备、软件通过开箱验货后，由</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乙方  </w:t>
      </w:r>
      <w:r>
        <w:rPr>
          <w:rFonts w:hint="eastAsia" w:ascii="宋体" w:hAnsi="宋体" w:cs="宋体"/>
          <w:color w:val="0D0D0D" w:themeColor="text1" w:themeTint="F2"/>
          <w:sz w:val="24"/>
          <w14:textFill>
            <w14:solidFill>
              <w14:schemeClr w14:val="tx1">
                <w14:lumMod w14:val="95000"/>
                <w14:lumOff w14:val="5000"/>
              </w14:schemeClr>
            </w14:solidFill>
          </w14:textFill>
        </w:rPr>
        <w:t>（甲方、乙方、甲方在乙方的指导下）在</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个工作日内完成设备、软件的安装工作，并由乙方负责在安装完成后的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个工作日内完成设备、软件的调试工作。甲方应为安装调试提供必要的工作条件（如场地、电源、水源等）及必要的配合。</w:t>
      </w:r>
    </w:p>
    <w:p w14:paraId="055B5498">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3.设备使用培训及验收：</w:t>
      </w:r>
      <w:r>
        <w:rPr>
          <w:rFonts w:hint="eastAsia" w:ascii="宋体" w:hAnsi="宋体" w:cs="宋体"/>
          <w:color w:val="0D0D0D" w:themeColor="text1" w:themeTint="F2"/>
          <w:sz w:val="24"/>
          <w14:textFill>
            <w14:solidFill>
              <w14:schemeClr w14:val="tx1">
                <w14:lumMod w14:val="95000"/>
                <w14:lumOff w14:val="5000"/>
              </w14:schemeClr>
            </w14:solidFill>
          </w14:textFill>
        </w:rPr>
        <w:t>乙方完成设备调试并达到连续稳定运行</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日后，负责在</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个工作日内完成对甲方有关人员进行使用培训，培训在甲方场地内进行。培训内容应至少包括：设备的操作使用和保养、使用过程中的安全注意事项、简易故障排除，以甲方受培训人员掌握相关内容为准</w:t>
      </w:r>
      <w:r>
        <w:rPr>
          <w:rFonts w:hint="eastAsia" w:ascii="宋体" w:hAnsi="宋体" w:cs="宋体"/>
          <w:b/>
          <w:color w:val="0D0D0D" w:themeColor="text1" w:themeTint="F2"/>
          <w:sz w:val="24"/>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乙方应在设备使用培训完成后提前</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个工作日通知甲方进行最终验收，甲方在接到通知后的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组织人员按照本合同第一条、第二条及设备原厂随机资料进行现场验收。若甲方认为必要，乙方须派员参加现场验收并接受甲方验收人员的质询。最终验收合格的，视为交付，由甲方向乙方出具验收合格单；验收不合格的，限期</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天内整改，相关费用由乙方承担；整改仍达不到要求的，甲方有权退货并解除合同。</w:t>
      </w:r>
    </w:p>
    <w:p w14:paraId="1BC905E4">
      <w:pPr>
        <w:spacing w:after="0" w:line="360" w:lineRule="auto"/>
        <w:ind w:firstLine="482"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4.软件使用培训及验收：</w:t>
      </w:r>
      <w:r>
        <w:rPr>
          <w:rFonts w:hint="eastAsia" w:ascii="宋体" w:hAnsi="宋体" w:cs="宋体"/>
          <w:color w:val="0D0D0D" w:themeColor="text1" w:themeTint="F2"/>
          <w:sz w:val="24"/>
          <w14:textFill>
            <w14:solidFill>
              <w14:schemeClr w14:val="tx1">
                <w14:lumMod w14:val="95000"/>
                <w14:lumOff w14:val="5000"/>
              </w14:schemeClr>
            </w14:solidFill>
          </w14:textFill>
        </w:rPr>
        <w:t>乙方完成软件的调试后，负责在</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个工作日内完成对甲方有关人员进行使用培训，培训在甲方场地内进行；使用培训完成后提前</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通知甲方进行验收。验收须严格按照本合同第一条和第二条的技术参数及质量要求，在现场进行，软件的验收内容包括但不限于：对软件所要求的各项条款、软件的安装调试及其系统运行，以及软件的合法性证明。合同内不明确的则以生产厂家提供的技术参数及指标及双方在合同附件中书面确认的补充要求为准。验收合格的，由甲方向乙方出具验收合格单；验收不合格的，限期整改，相关费用由乙方承担；整改仍不合格的，视为乙方不能履行合同。</w:t>
      </w:r>
    </w:p>
    <w:p w14:paraId="09F3B7ED">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六、质保期和售后服务</w:t>
      </w:r>
    </w:p>
    <w:p w14:paraId="65E3A622">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1.乙方按本合同第一条所列质保期对其向甲方提供的设备提供质量保证和相关服务，所有设备的质保期均自全部设备最终验收合格、甲方签署验收合格单之日起计算。</w:t>
      </w:r>
    </w:p>
    <w:p w14:paraId="6969588A">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2.甲方在质保期内发现设备存在质量缺陷的，乙方应该在收到甲方通知后提供</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小时之内的电话、邮件、传真的服务响应以及在</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个日历日内提供上门服务，并通过对设备进行修理/更换零部件、整体退换或软件升级等方式予以解决，相关费用由乙方承担。</w:t>
      </w:r>
    </w:p>
    <w:p w14:paraId="09769F72">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3.在质保期内，因乙方提供的设备发生质量缺陷而需对设备进行修理/更换零部件、软件升级、整体退换的，设备相应零部件或设备整机的质保期从完成修理、更换之日起重新计算。</w:t>
      </w:r>
    </w:p>
    <w:p w14:paraId="26CF8ED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4.在设备的质保期满后，乙方应继续向甲方提供维修、维护、升级等相关服务，甲方支付相关费用，具体标准由双方另行协商确定。</w:t>
      </w:r>
    </w:p>
    <w:p w14:paraId="03A69676">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5.甲乙双方的采购文件及乙方签字盖章确认的其他承诺书中对质保服务的规定（约定）与本条合并执行；上述文件中对质保服务规定（约定）与本条不一致的，按有利于甲方的规定（约定）执行。</w:t>
      </w:r>
    </w:p>
    <w:p w14:paraId="28E6D8A1">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6.软件服务期：软件免费质保及基础维护期为自最终验收合格之日起</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年。服务期内，乙方应提供免费的故障排除、错误修复服务，并免费提供在此期间内官方发布的同版本系列升级（即Version X.Y的小版本升级）。免费服务期届满后，乙方应以优惠价格</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优先向甲方提供延续服务</w:t>
      </w:r>
    </w:p>
    <w:p w14:paraId="3B114EF6">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七、不可抗力</w:t>
      </w:r>
    </w:p>
    <w:p w14:paraId="220F0F3B">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一方因发生不可抗力事件（如国家政策变化、战争、自然灾害、交通事故、银行系统故障等）无法履行合同或无法按期履行合同的，遭遇不可抗力的一方应在不可抗力事件发生后的15个日历日内书面通知另一方并提供相关证明。</w:t>
      </w:r>
    </w:p>
    <w:p w14:paraId="36C8186F">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因不可抗力事件导致本合同无法继续履行的，经双方一致同意并签署书面协议，可以终止本合同履行。此时，乙方应全额退还已经从甲方收取的合同价款并自行将已经运抵甲方的设备运回，双方各自承担因履行本合同发生的其他损失。</w:t>
      </w:r>
    </w:p>
    <w:p w14:paraId="355E3789">
      <w:pPr>
        <w:spacing w:after="0" w:line="360" w:lineRule="auto"/>
        <w:ind w:firstLine="480" w:firstLineChars="200"/>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不可抗力事件消失后具备本合同继续履行条件的，由甲乙双方协商是否继续履行本合同。双方一致同意继续履行合同的，可继续履行本合同，履行合同的期限可相应延长；双方一致同意终止合同的，按本条第2款的约定执行。</w:t>
      </w:r>
    </w:p>
    <w:p w14:paraId="7A855B1B">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八、通知和送达</w:t>
      </w:r>
    </w:p>
    <w:p w14:paraId="690520EE">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双方确定，甲方指定</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（办公电话：</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，手机：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邮箱：</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）为甲方联系人，乙方指定</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（办公电话：</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，手机：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邮箱：</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）为乙方联系人，负责联络落实本合同履行的相关事宜。一方变更联系人或联系人的联系方式时，应当在</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5</w:t>
      </w:r>
      <w:r>
        <w:rPr>
          <w:rFonts w:hint="eastAsia" w:ascii="宋体" w:hAnsi="宋体" w:cs="宋体"/>
          <w:color w:val="0D0D0D" w:themeColor="text1" w:themeTint="F2"/>
          <w:sz w:val="24"/>
          <w14:textFill>
            <w14:solidFill>
              <w14:schemeClr w14:val="tx1">
                <w14:lumMod w14:val="95000"/>
                <w14:lumOff w14:val="5000"/>
              </w14:schemeClr>
            </w14:solidFill>
          </w14:textFill>
        </w:rPr>
        <w:t>个日历日内以书面形式通知另一方，也可通过电话、短信或电子邮件等方式通知，并视同书面通知送达。</w:t>
      </w:r>
    </w:p>
    <w:p w14:paraId="04CD29B3">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九、知识产权保证与侵权责任</w:t>
      </w:r>
    </w:p>
    <w:p w14:paraId="4DC56655">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 权利无瑕疵保证</w:t>
      </w:r>
    </w:p>
    <w:p w14:paraId="28F3AE76">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1.1 乙方保证其交付的全部成果（以下简称“交付成果”），均享有合法知识产权或已取得充分、有效的授权，有权按本合同约定向甲方交付并许可甲方使用。</w:t>
      </w:r>
    </w:p>
    <w:p w14:paraId="2778A7B4">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1.2 乙方保证甲方按本合同约定使用交付成果，不侵犯任何第三方的知识产权或其他合法权益。</w:t>
      </w:r>
    </w:p>
    <w:p w14:paraId="5AC67F21">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1.3 乙方应在交付时提供书面《权利来源说明》，列明交付成果中包含的第三方权利客体及其许可状态。</w:t>
      </w:r>
    </w:p>
    <w:p w14:paraId="0C07ED8F">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 侵权处置与责任承担</w:t>
      </w:r>
    </w:p>
    <w:p w14:paraId="27312EE3">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2.1 若甲方因使用交付成果遭遇第三方知识产权侵权主张或诉讼，乙方应在收到通知后【5】个工作日内介入处理，并承担因此产生的一切合理费用（包括但不限于诉讼费、律师费、公证费、赔偿金及和解款项）。</w:t>
      </w:r>
    </w:p>
    <w:p w14:paraId="24E08D30">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2.2 乙方应自担费用采取以下补救措施之一：</w:t>
      </w:r>
    </w:p>
    <w:p w14:paraId="5595324B">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（1）取得合法授权，确保甲方可继续按约定使用；</w:t>
      </w:r>
    </w:p>
    <w:p w14:paraId="57B74880">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（2）以不侵权且核心功能与性能不低于原交付成果的方案进行修改或替换。</w:t>
      </w:r>
    </w:p>
    <w:p w14:paraId="2D654DDD">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2.3 若乙方未能在【30】日内完成补救，应全额退还对应部分的合同款项，并赔偿甲方因此遭受的直接经济损失。</w:t>
      </w:r>
    </w:p>
    <w:p w14:paraId="2268D853">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 责任存续与独立性</w:t>
      </w:r>
    </w:p>
    <w:p w14:paraId="2B3FB51B">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3.1 本条约定的保证与赔偿责任，不因合同终止、解除或履行完毕而免除。</w:t>
      </w:r>
    </w:p>
    <w:p w14:paraId="46139530">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3.2 本条约定的赔偿责任不受本合同其他责任限制或责任上限条款的约束。</w:t>
      </w:r>
    </w:p>
    <w:p w14:paraId="784F3E1B">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十、标的物全新性及产权保证</w:t>
      </w:r>
    </w:p>
    <w:p w14:paraId="130E92B0">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 全新正品保证</w:t>
      </w:r>
    </w:p>
    <w:p w14:paraId="311E2D99">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乙方保证交付的全部标的（含硬件、软件、零部件及配套材料）均为原厂生产、全新未使用、未翻新的合格产品，来源渠道合法，具备原厂或授权经销商出具的质量保证及售后服务凭证，无任何使用、演示、租赁、改装或非原厂加装痕迹。</w:t>
      </w:r>
    </w:p>
    <w:p w14:paraId="6DC8213E">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 产权无瑕疵保证</w:t>
      </w:r>
    </w:p>
    <w:p w14:paraId="31B03F7C">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乙方保证对交付标的享有完整、合法的所有权或处分权，标的上不存在抵押、质押、查封、扣押等权利限制，亦不侵犯任何第三方的知识产权或其他合法权益。</w:t>
      </w:r>
    </w:p>
    <w:p w14:paraId="51804A8B">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 违约处理</w:t>
      </w:r>
    </w:p>
    <w:p w14:paraId="41B88FD0">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若交付标的违反本条约定，乙方应在【15】日内无条件更换为符合约定的全新、无瑕疵产品，并赔偿甲方因此遭受的直接经济损失（包括但不限于临时替代措施费用、数据迁移费用及维权合理费用）。</w:t>
      </w:r>
    </w:p>
    <w:p w14:paraId="6071E5D1">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 责任存续</w:t>
      </w:r>
    </w:p>
    <w:p w14:paraId="0C8A792B">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本条保证责任不因合同验收、付款或终止而免除。</w:t>
      </w:r>
    </w:p>
    <w:p w14:paraId="37570BDC">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十一、违约责任</w:t>
      </w:r>
    </w:p>
    <w:p w14:paraId="216EDB54">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1.甲方违反本合同第三条的约定逾期付款的，应当按以下标准向乙方支付违约金：每逾期付款一天，向乙方支付当期应付未付的合同金额</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0.05% </w:t>
      </w:r>
      <w:r>
        <w:rPr>
          <w:rFonts w:hint="eastAsia" w:ascii="宋体" w:hAnsi="宋体" w:cs="宋体"/>
          <w:color w:val="0D0D0D" w:themeColor="text1" w:themeTint="F2"/>
          <w:sz w:val="24"/>
          <w14:textFill>
            <w14:solidFill>
              <w14:schemeClr w14:val="tx1">
                <w14:lumMod w14:val="95000"/>
                <w14:lumOff w14:val="5000"/>
              </w14:schemeClr>
            </w14:solidFill>
          </w14:textFill>
        </w:rPr>
        <w:t>的违约金，但违约金最高不超过当期未付金额的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10% </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34E0E847">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2.乙方违反本合同第四条的约定逾期交货的，应当按以下标准向甲方支付违约金：每逾期交货一天，向甲方支付合同金额</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0.05% </w:t>
      </w:r>
      <w:r>
        <w:rPr>
          <w:rFonts w:hint="eastAsia" w:ascii="宋体" w:hAnsi="宋体" w:cs="宋体"/>
          <w:color w:val="0D0D0D" w:themeColor="text1" w:themeTint="F2"/>
          <w:sz w:val="24"/>
          <w14:textFill>
            <w14:solidFill>
              <w14:schemeClr w14:val="tx1">
                <w14:lumMod w14:val="95000"/>
                <w14:lumOff w14:val="5000"/>
              </w14:schemeClr>
            </w14:solidFill>
          </w14:textFill>
        </w:rPr>
        <w:t>的违约金，但违约金最高不超过合同总金额的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10% </w:t>
      </w:r>
      <w:r>
        <w:rPr>
          <w:rFonts w:hint="eastAsia" w:ascii="宋体" w:hAnsi="宋体" w:cs="宋体"/>
          <w:color w:val="0D0D0D" w:themeColor="text1" w:themeTint="F2"/>
          <w:sz w:val="24"/>
          <w14:textFill>
            <w14:solidFill>
              <w14:schemeClr w14:val="tx1">
                <w14:lumMod w14:val="95000"/>
                <w14:lumOff w14:val="5000"/>
              </w14:schemeClr>
            </w14:solidFill>
          </w14:textFill>
        </w:rPr>
        <w:t>。乙方交货逾期超过</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15 </w:t>
      </w:r>
      <w:r>
        <w:rPr>
          <w:rFonts w:hint="eastAsia" w:ascii="宋体" w:hAnsi="宋体" w:cs="宋体"/>
          <w:color w:val="0D0D0D" w:themeColor="text1" w:themeTint="F2"/>
          <w:sz w:val="24"/>
          <w14:textFill>
            <w14:solidFill>
              <w14:schemeClr w14:val="tx1">
                <w14:lumMod w14:val="95000"/>
                <w14:lumOff w14:val="5000"/>
              </w14:schemeClr>
            </w14:solidFill>
          </w14:textFill>
        </w:rPr>
        <w:t>个日历日的，甲方有权单方解除本合同。</w:t>
      </w:r>
    </w:p>
    <w:p w14:paraId="333BBF9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3.因发生本合同第五条第1款和第4款情形而致甲方提出退货的，或发生本条第2款情形而致甲方提出解除合同的，乙方应当无条件接受。在此情形下，乙方应于收到甲方的书面通知后的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5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个工作日内负责将已经运抵甲方的设备运离甲方场地并自行承担设备拆卸、搬运等相关费用，并在7个工作日内全额退还从甲方收取的货款及其银行利息（根据退款当月的LPR计算）并向甲方支付人民币</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元作为损失赔偿金。乙方未能按期将设备运离甲方场地的，视同乙方自动放弃设备，甲方不承担相关责任，届时甲方有权处置该等材料，处置所得归甲方所有，因此产生的费用由乙方承担。</w:t>
      </w:r>
    </w:p>
    <w:p w14:paraId="1630D40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4.乙方未能按照本合同第六条约定提供质保期服务的，甲方有权提出索赔要求或提出退货。在此情况下，若甲方提出退货，按本条第3款的约定处理；若甲方提出索赔，乙方应该在收到甲方的书面索赔通知后的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5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个工作日内予以答复，否则，视同甲方的索赔已经被乙方接受，甲方有权索赔。</w:t>
      </w:r>
    </w:p>
    <w:p w14:paraId="6A41D1EC">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除本合同第五条第1款、第3款和第4款、本条第2款及双方一致同意终止合同并签订书面协议的情形外，任何一方单方面解除本合同的，应当向另一方支付本合同总金额的10%的违约金。若因违约方单方面解除合同给守约方造成损失且违约金不足以弥补守约方损失的，违约方还应当赔偿守约方的损失。</w:t>
      </w:r>
    </w:p>
    <w:p w14:paraId="7A1F4756">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6.任何时候发现乙方提供的设备及其附件，软件和专用工具侵犯任何第三人的知识产权及其他合法权益，并给甲方或第三人造成损失的，乙方应承担全部法律责任，并赔偿因此给甲方或第三人造成的损失。</w:t>
      </w:r>
    </w:p>
    <w:p w14:paraId="1D00B112">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7.本合同的任何一方未能履行本合同规定的其他义务的，应该在收到另一方发出的书面通知后的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5 </w:t>
      </w:r>
      <w:r>
        <w:rPr>
          <w:rFonts w:hint="eastAsia" w:ascii="宋体" w:hAnsi="宋体" w:cs="宋体"/>
          <w:color w:val="0D0D0D" w:themeColor="text1" w:themeTint="F2"/>
          <w:sz w:val="24"/>
          <w14:textFill>
            <w14:solidFill>
              <w14:schemeClr w14:val="tx1">
                <w14:lumMod w14:val="95000"/>
                <w14:lumOff w14:val="5000"/>
              </w14:schemeClr>
            </w14:solidFill>
          </w14:textFill>
        </w:rPr>
        <w:t>个工作日内回复并纠正其过失；否则，另一方有权向违约方提出索赔或要求违约方支付违约金（违约金按合同总金额的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10 </w:t>
      </w:r>
      <w:r>
        <w:rPr>
          <w:rFonts w:hint="eastAsia" w:ascii="宋体" w:hAnsi="宋体" w:cs="宋体"/>
          <w:color w:val="0D0D0D" w:themeColor="text1" w:themeTint="F2"/>
          <w:sz w:val="24"/>
          <w14:textFill>
            <w14:solidFill>
              <w14:schemeClr w14:val="tx1">
                <w14:lumMod w14:val="95000"/>
                <w14:lumOff w14:val="5000"/>
              </w14:schemeClr>
            </w14:solidFill>
          </w14:textFill>
        </w:rPr>
        <w:t>%计算）。</w:t>
      </w:r>
    </w:p>
    <w:p w14:paraId="3E95B8B6">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十二、合同终止、变更</w:t>
      </w:r>
    </w:p>
    <w:p w14:paraId="10DBE84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1.本合同的任何变更、补充均须获得甲乙双方一致同意并签订书面补充协议。</w:t>
      </w:r>
    </w:p>
    <w:p w14:paraId="5F6B7EB4">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2.除本合同第五条第1款、第3款、第4款及第九条第2款所列款情况外，本合同的终止（解除）必须获得甲乙双方的一致同意并签订书面协议。</w:t>
      </w:r>
    </w:p>
    <w:p w14:paraId="39E8AA17">
      <w:pPr>
        <w:pStyle w:val="24"/>
        <w:tabs>
          <w:tab w:val="left" w:pos="720"/>
        </w:tabs>
        <w:spacing w:after="0" w:line="360" w:lineRule="auto"/>
        <w:ind w:firstLine="482"/>
        <w:rPr>
          <w:rFonts w:hint="eastAsia" w:cs="宋体"/>
          <w:b/>
          <w:bCs/>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十三、合同争议解决</w:t>
      </w:r>
    </w:p>
    <w:p w14:paraId="2DD20102">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因设备质量问题发生争议的，由甲方所在地技术质量监督部门进行质量鉴定；甲方所在地技术质量监督部门不能提供相关质量鉴定服务的，由甲方委托其他具有相关资质或能力的质量鉴定机构进行鉴定。经鉴定设备符合质量标准的，鉴定费由甲方承担；设备不符合质量标准的，鉴定费由乙方承担。</w:t>
      </w:r>
    </w:p>
    <w:p w14:paraId="6C7D7C98">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因履行本合同发生争议的，甲乙双方应首先通过友好协商解决；协商不成的，双方均可向甲方所在地的人民法院提起诉讼。诉讼期间，除有争议的条款外，本合同其他条款继续履行。胜诉一方在诉讼过程中发生的相关费用（包括但不限于向法院的相关费用、保全费、保全担保费、律师费、相关人员差旅费等）由败诉一方承担。</w:t>
      </w:r>
    </w:p>
    <w:p w14:paraId="2521CF60">
      <w:pPr>
        <w:pStyle w:val="24"/>
        <w:tabs>
          <w:tab w:val="left" w:pos="720"/>
        </w:tabs>
        <w:spacing w:after="0" w:line="360" w:lineRule="auto"/>
        <w:ind w:firstLine="482"/>
        <w:rPr>
          <w:rFonts w:hint="eastAsia" w:cs="宋体"/>
          <w:color w:val="0D0D0D" w:themeColor="text1" w:themeTint="F2"/>
          <w14:textFill>
            <w14:solidFill>
              <w14:schemeClr w14:val="tx1">
                <w14:lumMod w14:val="95000"/>
                <w14:lumOff w14:val="5000"/>
              </w14:schemeClr>
            </w14:solidFill>
          </w14:textFill>
        </w:rPr>
      </w:pPr>
      <w:r>
        <w:rPr>
          <w:rFonts w:hint="eastAsia" w:cs="宋体"/>
          <w:b/>
          <w:bCs/>
          <w:color w:val="0D0D0D" w:themeColor="text1" w:themeTint="F2"/>
          <w14:textFill>
            <w14:solidFill>
              <w14:schemeClr w14:val="tx1">
                <w14:lumMod w14:val="95000"/>
                <w14:lumOff w14:val="5000"/>
              </w14:schemeClr>
            </w14:solidFill>
          </w14:textFill>
        </w:rPr>
        <w:t>十四、其他</w:t>
      </w:r>
    </w:p>
    <w:p w14:paraId="1D1D6EF8">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1.本合同一式肆份，甲方执叁份，乙方执壹份。</w:t>
      </w:r>
    </w:p>
    <w:p w14:paraId="0D36D273">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2.本合同自双方代表签字并加盖各自单位印章之日起生效。</w:t>
      </w:r>
    </w:p>
    <w:p w14:paraId="0B343BA8">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本合同生效后，甲方的采购文件、乙方的投标文件、中标通知书为本合同的有效组成部分；双方就本合同未尽事宜或本合同的变更签订的书面补充协议及乙方就履行本合同向甲方作出的书面承诺等，亦系本合同的重要组成部分，与本合同具有同等法律效力。</w:t>
      </w:r>
    </w:p>
    <w:p w14:paraId="6DE1402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（以下无正文）</w:t>
      </w:r>
    </w:p>
    <w:p w14:paraId="7566BA68">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010A2870">
      <w:pPr>
        <w:spacing w:after="0" w:line="360" w:lineRule="auto"/>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甲方（盖章）：</w:t>
      </w:r>
      <w:r>
        <w:rPr>
          <w:rStyle w:val="70"/>
          <w:rFonts w:hint="eastAsia" w:ascii="宋体" w:hAnsi="宋体" w:cs="宋体"/>
          <w:b w:val="0"/>
          <w:color w:val="0D0D0D" w:themeColor="text1" w:themeTint="F2"/>
          <w:sz w:val="24"/>
          <w:shd w:val="clear" w:color="auto" w:fill="FFFFFF"/>
          <w14:textFill>
            <w14:solidFill>
              <w14:schemeClr w14:val="tx1">
                <w14:lumMod w14:val="95000"/>
                <w14:lumOff w14:val="5000"/>
              </w14:schemeClr>
            </w14:solidFill>
          </w14:textFill>
        </w:rPr>
        <w:t>浙江工商职业技术学院</w:t>
      </w:r>
      <w:r>
        <w:rPr>
          <w:rFonts w:hint="eastAsia" w:ascii="宋体" w:hAnsi="宋体" w:cs="宋体"/>
          <w:b/>
          <w:bCs/>
          <w:color w:val="0D0D0D" w:themeColor="text1" w:themeTint="F2"/>
          <w:sz w:val="24"/>
          <w14:textFill>
            <w14:solidFill>
              <w14:schemeClr w14:val="tx1">
                <w14:lumMod w14:val="95000"/>
                <w14:lumOff w14:val="5000"/>
              </w14:schemeClr>
            </w14:solidFill>
          </w14:textFill>
        </w:rPr>
        <w:t xml:space="preserve">              乙方（盖章）：</w:t>
      </w:r>
    </w:p>
    <w:p w14:paraId="7DBDFF84">
      <w:pPr>
        <w:spacing w:after="0" w:line="360" w:lineRule="auto"/>
        <w:jc w:val="left"/>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 xml:space="preserve">委托代理人（签字）：                            法定代表人/委托代理人（签字）：  </w:t>
      </w:r>
    </w:p>
    <w:p w14:paraId="7D0058F2">
      <w:pPr>
        <w:spacing w:after="0" w:line="360" w:lineRule="auto"/>
        <w:jc w:val="left"/>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地址：宁波市机场路1988号                       地址：</w:t>
      </w:r>
    </w:p>
    <w:p w14:paraId="11613A2C">
      <w:pPr>
        <w:spacing w:after="0" w:line="360" w:lineRule="auto"/>
        <w:jc w:val="left"/>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电话：0574-88229038                             电话：</w:t>
      </w:r>
    </w:p>
    <w:p w14:paraId="5A016002">
      <w:pPr>
        <w:spacing w:after="0" w:line="360" w:lineRule="auto"/>
        <w:jc w:val="left"/>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 xml:space="preserve">开户银行： </w:t>
      </w:r>
      <w:r>
        <w:rPr>
          <w:rFonts w:hint="eastAsia" w:ascii="宋体" w:hAnsi="宋体" w:cs="宋体"/>
          <w:b/>
          <w:bCs/>
          <w:color w:val="0D0D0D" w:themeColor="text1" w:themeTint="F2"/>
          <w:sz w:val="24"/>
          <w:shd w:val="clear" w:color="auto" w:fill="FFFFFF"/>
          <w14:textFill>
            <w14:solidFill>
              <w14:schemeClr w14:val="tx1">
                <w14:lumMod w14:val="95000"/>
                <w14:lumOff w14:val="5000"/>
              </w14:schemeClr>
            </w14:solidFill>
          </w14:textFill>
        </w:rPr>
        <w:t>中国建设银行宁波国家高新区科技支行</w:t>
      </w:r>
      <w:r>
        <w:rPr>
          <w:rFonts w:hint="eastAsia" w:ascii="宋体" w:hAnsi="宋体" w:cs="宋体"/>
          <w:b/>
          <w:bCs/>
          <w:color w:val="0D0D0D" w:themeColor="text1" w:themeTint="F2"/>
          <w:sz w:val="24"/>
          <w14:textFill>
            <w14:solidFill>
              <w14:schemeClr w14:val="tx1">
                <w14:lumMod w14:val="95000"/>
                <w14:lumOff w14:val="5000"/>
              </w14:schemeClr>
            </w14:solidFill>
          </w14:textFill>
        </w:rPr>
        <w:t xml:space="preserve">   开户银行：</w:t>
      </w:r>
    </w:p>
    <w:p w14:paraId="01CD0525">
      <w:pPr>
        <w:spacing w:after="0" w:line="360" w:lineRule="auto"/>
        <w:jc w:val="left"/>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 xml:space="preserve">账号： </w:t>
      </w:r>
      <w:r>
        <w:rPr>
          <w:rFonts w:hint="eastAsia" w:ascii="宋体" w:hAnsi="宋体" w:cs="宋体"/>
          <w:b/>
          <w:bCs/>
          <w:color w:val="0D0D0D" w:themeColor="text1" w:themeTint="F2"/>
          <w:sz w:val="24"/>
          <w:shd w:val="clear" w:color="auto" w:fill="FFFFFF"/>
          <w14:textFill>
            <w14:solidFill>
              <w14:schemeClr w14:val="tx1">
                <w14:lumMod w14:val="95000"/>
                <w14:lumOff w14:val="5000"/>
              </w14:schemeClr>
            </w14:solidFill>
          </w14:textFill>
        </w:rPr>
        <w:t>33150198513600003027</w:t>
      </w:r>
      <w:r>
        <w:rPr>
          <w:rFonts w:hint="eastAsia" w:ascii="宋体" w:hAnsi="宋体" w:cs="宋体"/>
          <w:b/>
          <w:bCs/>
          <w:color w:val="0D0D0D" w:themeColor="text1" w:themeTint="F2"/>
          <w:sz w:val="24"/>
          <w14:textFill>
            <w14:solidFill>
              <w14:schemeClr w14:val="tx1">
                <w14:lumMod w14:val="95000"/>
                <w14:lumOff w14:val="5000"/>
              </w14:schemeClr>
            </w14:solidFill>
          </w14:textFill>
        </w:rPr>
        <w:t xml:space="preserve">                     账号：</w:t>
      </w:r>
    </w:p>
    <w:p w14:paraId="314B1CCE">
      <w:pPr>
        <w:spacing w:after="0" w:line="360" w:lineRule="auto"/>
        <w:jc w:val="left"/>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统一社会信用代码：12330000470002828U            统一社会信用码：</w:t>
      </w:r>
    </w:p>
    <w:p w14:paraId="299CE5CE">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日期：                                          日期：</w:t>
      </w:r>
    </w:p>
    <w:p w14:paraId="0328C796">
      <w:pPr>
        <w:pStyle w:val="82"/>
        <w:spacing w:line="360" w:lineRule="auto"/>
        <w:rPr>
          <w:rFonts w:hint="eastAsia" w:ascii="宋体" w:hAnsi="宋体" w:eastAsia="宋体" w:cs="宋体"/>
          <w:color w:val="0D0D0D" w:themeColor="text1" w:themeTint="F2"/>
          <w14:textFill>
            <w14:solidFill>
              <w14:schemeClr w14:val="tx1">
                <w14:lumMod w14:val="95000"/>
                <w14:lumOff w14:val="5000"/>
              </w14:schemeClr>
            </w14:solidFill>
          </w14:textFill>
        </w:rPr>
        <w:sectPr>
          <w:pgSz w:w="11906" w:h="16838"/>
          <w:pgMar w:top="1247" w:right="1304" w:bottom="1020" w:left="1304" w:header="720" w:footer="720" w:gutter="0"/>
          <w:cols w:space="0" w:num="1"/>
          <w:docGrid w:linePitch="286" w:charSpace="0"/>
        </w:sectPr>
      </w:pPr>
    </w:p>
    <w:p w14:paraId="4E7D7E5D">
      <w:pPr>
        <w:spacing w:line="360" w:lineRule="auto"/>
        <w:ind w:left="720" w:firstLine="723" w:firstLineChars="200"/>
        <w:outlineLvl w:val="0"/>
        <w:rPr>
          <w:rFonts w:hint="eastAsia" w:ascii="宋体" w:hAnsi="宋体" w:cs="宋体"/>
          <w:b/>
          <w:color w:val="0D0D0D" w:themeColor="text1" w:themeTint="F2"/>
          <w:sz w:val="36"/>
          <w:szCs w:val="20"/>
          <w14:textFill>
            <w14:solidFill>
              <w14:schemeClr w14:val="tx1">
                <w14:lumMod w14:val="95000"/>
                <w14:lumOff w14:val="5000"/>
              </w14:schemeClr>
            </w14:solidFill>
          </w14:textFill>
        </w:rPr>
      </w:pPr>
      <w:bookmarkStart w:id="405" w:name="_Toc10980"/>
      <w:r>
        <w:rPr>
          <w:rFonts w:hint="eastAsia" w:ascii="宋体" w:hAnsi="宋体" w:cs="宋体"/>
          <w:b/>
          <w:color w:val="0D0D0D" w:themeColor="text1" w:themeTint="F2"/>
          <w:sz w:val="36"/>
          <w:szCs w:val="20"/>
          <w14:textFill>
            <w14:solidFill>
              <w14:schemeClr w14:val="tx1">
                <w14:lumMod w14:val="95000"/>
                <w14:lumOff w14:val="5000"/>
              </w14:schemeClr>
            </w14:solidFill>
          </w14:textFill>
        </w:rPr>
        <w:t>第六部分</w:t>
      </w:r>
      <w:bookmarkEnd w:id="402"/>
      <w:bookmarkEnd w:id="403"/>
      <w:r>
        <w:rPr>
          <w:rFonts w:hint="eastAsia" w:ascii="宋体" w:hAnsi="宋体" w:cs="宋体"/>
          <w:b/>
          <w:color w:val="0D0D0D" w:themeColor="text1" w:themeTint="F2"/>
          <w:sz w:val="36"/>
          <w:szCs w:val="20"/>
          <w14:textFill>
            <w14:solidFill>
              <w14:schemeClr w14:val="tx1">
                <w14:lumMod w14:val="95000"/>
                <w14:lumOff w14:val="5000"/>
              </w14:schemeClr>
            </w14:solidFill>
          </w14:textFill>
        </w:rPr>
        <w:t>应提交的有关格式范例</w:t>
      </w:r>
      <w:bookmarkEnd w:id="405"/>
    </w:p>
    <w:p w14:paraId="3F658A75">
      <w:pPr>
        <w:spacing w:line="360" w:lineRule="auto"/>
        <w:jc w:val="left"/>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t>封面</w:t>
      </w:r>
    </w:p>
    <w:p w14:paraId="357D7EB9">
      <w:pPr>
        <w:spacing w:line="360" w:lineRule="auto"/>
        <w:ind w:firstLine="4020" w:firstLineChars="1300"/>
        <w:rPr>
          <w:rFonts w:hint="eastAsia" w:ascii="宋体" w:hAnsi="宋体" w:cs="宋体"/>
          <w:b/>
          <w:bCs/>
          <w:color w:val="0D0D0D" w:themeColor="text1" w:themeTint="F2"/>
          <w:spacing w:val="-6"/>
          <w:sz w:val="32"/>
          <w:szCs w:val="32"/>
          <w14:textFill>
            <w14:solidFill>
              <w14:schemeClr w14:val="tx1">
                <w14:lumMod w14:val="95000"/>
                <w14:lumOff w14:val="5000"/>
              </w14:schemeClr>
            </w14:solidFill>
          </w14:textFill>
        </w:rPr>
      </w:pPr>
      <w:bookmarkStart w:id="406" w:name="_Toc30716"/>
      <w:r>
        <w:rPr>
          <w:rFonts w:hint="eastAsia" w:ascii="宋体" w:hAnsi="宋体" w:cs="宋体"/>
          <w:b/>
          <w:bCs/>
          <w:color w:val="0D0D0D" w:themeColor="text1" w:themeTint="F2"/>
          <w:spacing w:val="-6"/>
          <w:sz w:val="32"/>
          <w:szCs w:val="32"/>
          <w14:textFill>
            <w14:solidFill>
              <w14:schemeClr w14:val="tx1">
                <w14:lumMod w14:val="95000"/>
                <w14:lumOff w14:val="5000"/>
              </w14:schemeClr>
            </w14:solidFill>
          </w14:textFill>
        </w:rPr>
        <w:t>投 标 文 件</w:t>
      </w:r>
    </w:p>
    <w:p w14:paraId="2A735F57">
      <w:pPr>
        <w:spacing w:line="360" w:lineRule="auto"/>
        <w:ind w:firstLine="456"/>
        <w:rPr>
          <w:rFonts w:hint="eastAsia" w:ascii="宋体" w:hAnsi="宋体" w:cs="宋体"/>
          <w:bCs/>
          <w:color w:val="0D0D0D" w:themeColor="text1" w:themeTint="F2"/>
          <w:spacing w:val="-6"/>
          <w14:textFill>
            <w14:solidFill>
              <w14:schemeClr w14:val="tx1">
                <w14:lumMod w14:val="95000"/>
                <w14:lumOff w14:val="5000"/>
              </w14:schemeClr>
            </w14:solidFill>
          </w14:textFill>
        </w:rPr>
      </w:pPr>
    </w:p>
    <w:p w14:paraId="271D682B">
      <w:pPr>
        <w:pStyle w:val="24"/>
        <w:spacing w:line="360" w:lineRule="auto"/>
        <w:ind w:firstLine="456"/>
        <w:rPr>
          <w:rFonts w:hint="eastAsia" w:cs="宋体"/>
          <w:bCs/>
          <w:color w:val="0D0D0D" w:themeColor="text1" w:themeTint="F2"/>
          <w:spacing w:val="-6"/>
          <w14:textFill>
            <w14:solidFill>
              <w14:schemeClr w14:val="tx1">
                <w14:lumMod w14:val="95000"/>
                <w14:lumOff w14:val="5000"/>
              </w14:schemeClr>
            </w14:solidFill>
          </w14:textFill>
        </w:rPr>
      </w:pPr>
    </w:p>
    <w:p w14:paraId="2E32121D">
      <w:pPr>
        <w:spacing w:line="360" w:lineRule="auto"/>
        <w:rPr>
          <w:color w:val="0D0D0D" w:themeColor="text1" w:themeTint="F2"/>
          <w14:textFill>
            <w14:solidFill>
              <w14:schemeClr w14:val="tx1">
                <w14:lumMod w14:val="95000"/>
                <w14:lumOff w14:val="5000"/>
              </w14:schemeClr>
            </w14:solidFill>
          </w14:textFill>
        </w:rPr>
      </w:pPr>
    </w:p>
    <w:p w14:paraId="51EDA9DE">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r>
        <w:rPr>
          <w:rFonts w:hint="eastAsia" w:cs="宋体"/>
          <w:bCs/>
          <w:color w:val="0D0D0D" w:themeColor="text1" w:themeTint="F2"/>
          <w:spacing w:val="-6"/>
          <w:sz w:val="30"/>
          <w:szCs w:val="30"/>
          <w14:textFill>
            <w14:solidFill>
              <w14:schemeClr w14:val="tx1">
                <w14:lumMod w14:val="95000"/>
                <w14:lumOff w14:val="5000"/>
              </w14:schemeClr>
            </w14:solidFill>
          </w14:textFill>
        </w:rPr>
        <w:t>采购人</w:t>
      </w: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w:t>
      </w:r>
    </w:p>
    <w:p w14:paraId="259A807E">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项目名称：</w:t>
      </w:r>
    </w:p>
    <w:p w14:paraId="33402942">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项目编号：</w:t>
      </w:r>
    </w:p>
    <w:p w14:paraId="3F7B8764">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投标文件名称：资格</w:t>
      </w:r>
      <w:r>
        <w:rPr>
          <w:rFonts w:hint="eastAsia" w:cs="宋体"/>
          <w:bCs/>
          <w:color w:val="0D0D0D" w:themeColor="text1" w:themeTint="F2"/>
          <w:spacing w:val="-6"/>
          <w:sz w:val="30"/>
          <w:szCs w:val="30"/>
          <w14:textFill>
            <w14:solidFill>
              <w14:schemeClr w14:val="tx1">
                <w14:lumMod w14:val="95000"/>
                <w14:lumOff w14:val="5000"/>
              </w14:schemeClr>
            </w14:solidFill>
          </w14:textFill>
        </w:rPr>
        <w:t>、商务技术文件/</w:t>
      </w: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报价文件</w:t>
      </w:r>
    </w:p>
    <w:p w14:paraId="0105ECEF">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投标人名称（盖章）：</w:t>
      </w:r>
    </w:p>
    <w:p w14:paraId="5B5F4BFD">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投标人地址：</w:t>
      </w:r>
    </w:p>
    <w:p w14:paraId="71F30778">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p>
    <w:p w14:paraId="137274BE">
      <w:pPr>
        <w:spacing w:line="360" w:lineRule="auto"/>
        <w:ind w:firstLine="456"/>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pPr>
    </w:p>
    <w:p w14:paraId="28F5511A">
      <w:pPr>
        <w:spacing w:line="360" w:lineRule="auto"/>
        <w:ind w:firstLine="456"/>
        <w:rPr>
          <w:rFonts w:hint="eastAsia" w:ascii="宋体" w:hAnsi="宋体" w:cs="宋体"/>
          <w:bCs/>
          <w:color w:val="0D0D0D" w:themeColor="text1" w:themeTint="F2"/>
          <w:spacing w:val="-6"/>
          <w14:textFill>
            <w14:solidFill>
              <w14:schemeClr w14:val="tx1">
                <w14:lumMod w14:val="95000"/>
                <w14:lumOff w14:val="5000"/>
              </w14:schemeClr>
            </w14:solidFill>
          </w14:textFill>
        </w:rPr>
      </w:pPr>
      <w:r>
        <w:rPr>
          <w:rFonts w:hint="eastAsia" w:ascii="宋体" w:hAnsi="宋体" w:cs="宋体"/>
          <w:bCs/>
          <w:color w:val="0D0D0D" w:themeColor="text1" w:themeTint="F2"/>
          <w:spacing w:val="-6"/>
          <w:sz w:val="30"/>
          <w:szCs w:val="30"/>
          <w14:textFill>
            <w14:solidFill>
              <w14:schemeClr w14:val="tx1">
                <w14:lumMod w14:val="95000"/>
                <w14:lumOff w14:val="5000"/>
              </w14:schemeClr>
            </w14:solidFill>
          </w14:textFill>
        </w:rPr>
        <w:t>日期：    年  月  日</w:t>
      </w:r>
    </w:p>
    <w:p w14:paraId="66350F23">
      <w:pPr>
        <w:spacing w:after="0" w:line="360" w:lineRule="auto"/>
        <w:jc w:val="center"/>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br w:type="page"/>
      </w:r>
    </w:p>
    <w:p w14:paraId="1C929080">
      <w:pPr>
        <w:spacing w:after="0" w:line="360" w:lineRule="auto"/>
        <w:jc w:val="center"/>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t>资格文件部分</w:t>
      </w:r>
      <w:bookmarkEnd w:id="406"/>
    </w:p>
    <w:p w14:paraId="3DBE4FB9">
      <w:pPr>
        <w:spacing w:after="0" w:line="360" w:lineRule="auto"/>
        <w:jc w:val="center"/>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bookmarkStart w:id="407" w:name="_Toc15804"/>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t>目录</w:t>
      </w:r>
      <w:bookmarkEnd w:id="407"/>
    </w:p>
    <w:p w14:paraId="49054226">
      <w:pPr>
        <w:spacing w:after="0" w:line="360" w:lineRule="auto"/>
        <w:jc w:val="center"/>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p>
    <w:p w14:paraId="69C792C1">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（1）营业执照复印件………………………………………………………（页码）</w:t>
      </w:r>
    </w:p>
    <w:p w14:paraId="2855E5FC">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（2）符合参加政府采购活动应当具备的一般条件的承诺函……………（页码）</w:t>
      </w:r>
    </w:p>
    <w:p w14:paraId="0264AF4B">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6BA5934E">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4A1106FB">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br w:type="page"/>
      </w: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 xml:space="preserve">  一、 符合参加政府采购活动应当具备的一般条件的承诺函</w:t>
      </w:r>
    </w:p>
    <w:p w14:paraId="0A45AE78">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（采购人）、（采购代理机构）：</w:t>
      </w:r>
    </w:p>
    <w:p w14:paraId="2E42D88F">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我方参与（项目名称）【招标编号：（采购编号）】政府采购活动，郑重承诺：</w:t>
      </w:r>
    </w:p>
    <w:p w14:paraId="557AAACF">
      <w:pPr>
        <w:snapToGrid w:val="0"/>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（一）具备《中华人民共和国政府采购法》第二十二条第一款规定的条件：</w:t>
      </w:r>
    </w:p>
    <w:p w14:paraId="5DF79E44">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1、具有独立承担民事责任的能力；</w:t>
      </w:r>
    </w:p>
    <w:p w14:paraId="7F7F7316">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2、具有良好的商业信誉和健全的财务会计制度； </w:t>
      </w:r>
    </w:p>
    <w:p w14:paraId="576F11C5">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3、具有履行合同所必需的设备和专业技术能力；</w:t>
      </w:r>
    </w:p>
    <w:p w14:paraId="5B09994B">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4、有依法缴纳税收和社会保障资金的良好记录；</w:t>
      </w:r>
    </w:p>
    <w:p w14:paraId="1A4AAD36">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5、参加政府采购活动前三年内，在经营活动中没有重大违法记录；</w:t>
      </w:r>
    </w:p>
    <w:p w14:paraId="3DE3B7B9">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6、具有法律、行政法规规定的其他条件。</w:t>
      </w:r>
    </w:p>
    <w:p w14:paraId="640C1C81">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（二）未被信用中国（www.creditchina.gov.cn)、中国政府采购网（www.ccgp.gov.cn）列入失信被执行人、重大税收违法案件当事人名单、政府采购严重违法失信行为记录名单。</w:t>
      </w:r>
    </w:p>
    <w:p w14:paraId="3FAE7B12">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（三）不存在以下情况：</w:t>
      </w:r>
    </w:p>
    <w:p w14:paraId="23B44532">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1、单位负责人为同一人或者存在直接控股、管理关系的不同供应商参加同一合同项下的政府采购活动的；</w:t>
      </w:r>
    </w:p>
    <w:p w14:paraId="55CF58F8">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2、为采购项目提供整体设计、规范编制或者项目管理、监理、检测等服务后再参加该采购项目的其他采购活动的。</w:t>
      </w:r>
    </w:p>
    <w:p w14:paraId="0E94F8B7">
      <w:pPr>
        <w:snapToGrid w:val="0"/>
        <w:spacing w:after="0" w:line="360" w:lineRule="auto"/>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p>
    <w:p w14:paraId="04163710">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投标人名称(盖章)：</w:t>
      </w:r>
    </w:p>
    <w:p w14:paraId="634B053A">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日期</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年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月日</w:t>
      </w:r>
    </w:p>
    <w:p w14:paraId="5014668C">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39AEF8F4">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0891784B">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4FC08BF1">
      <w:pPr>
        <w:spacing w:after="0" w:line="360" w:lineRule="auto"/>
        <w:rPr>
          <w:rFonts w:hint="eastAsia" w:ascii="宋体" w:hAnsi="宋体" w:cs="宋体"/>
          <w:color w:val="0D0D0D" w:themeColor="text1" w:themeTint="F2"/>
          <w14:textFill>
            <w14:solidFill>
              <w14:schemeClr w14:val="tx1">
                <w14:lumMod w14:val="95000"/>
                <w14:lumOff w14:val="5000"/>
              </w14:schemeClr>
            </w14:solidFill>
          </w14:textFill>
        </w:rPr>
      </w:pPr>
    </w:p>
    <w:p w14:paraId="28C58D52">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3DCB446D">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3A0CE7EF">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1C2A899A">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二、落实政府采购政策需满足的资格要求</w:t>
      </w:r>
    </w:p>
    <w:p w14:paraId="26EDA141">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（根据招标公告落实政府采购政策需满足的资格要求选择提供相应的材料；未要求的，无需提供）</w:t>
      </w:r>
    </w:p>
    <w:p w14:paraId="054FF8F5">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A.专门面向中小企业，货物全部由符合政策要求的中小企业（或小微企业）生产的，提供相应的中小企业声明函（附件4）。 </w:t>
      </w:r>
    </w:p>
    <w:p w14:paraId="680E8746">
      <w:pPr>
        <w:widowControl/>
        <w:spacing w:after="0" w:line="360" w:lineRule="auto"/>
        <w:ind w:firstLine="480"/>
        <w:jc w:val="left"/>
        <w:rPr>
          <w:rFonts w:hint="eastAsia" w:ascii="宋体" w:hAnsi="宋体" w:cs="宋体"/>
          <w:color w:val="0D0D0D" w:themeColor="text1" w:themeTint="F2"/>
          <w:sz w:val="24"/>
          <w14:textFill>
            <w14:solidFill>
              <w14:schemeClr w14:val="tx1">
                <w14:lumMod w14:val="95000"/>
                <w14:lumOff w14:val="5000"/>
              </w14:schemeClr>
            </w14:solidFill>
          </w14:textFill>
        </w:rPr>
      </w:pPr>
    </w:p>
    <w:p w14:paraId="1068721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11ED4774">
      <w:pPr>
        <w:widowControl/>
        <w:spacing w:after="0" w:line="360" w:lineRule="auto"/>
        <w:ind w:left="150"/>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56DAECFA">
      <w:pPr>
        <w:widowControl/>
        <w:spacing w:after="0" w:line="360" w:lineRule="auto"/>
        <w:ind w:left="150"/>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三、本项目的特定资格要求</w:t>
      </w:r>
    </w:p>
    <w:p w14:paraId="27C229BC">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（根据招标公告本项目的特定资格要求提供相应的材料；未要求的，无需提供）</w:t>
      </w:r>
    </w:p>
    <w:p w14:paraId="5EC7CEE3">
      <w:pPr>
        <w:spacing w:after="0" w:line="360" w:lineRule="auto"/>
        <w:rPr>
          <w:rFonts w:hint="eastAsia" w:ascii="宋体" w:hAnsi="宋体" w:cs="宋体"/>
          <w:color w:val="0D0D0D" w:themeColor="text1" w:themeTint="F2"/>
          <w14:textFill>
            <w14:solidFill>
              <w14:schemeClr w14:val="tx1">
                <w14:lumMod w14:val="95000"/>
                <w14:lumOff w14:val="5000"/>
              </w14:schemeClr>
            </w14:solidFill>
          </w14:textFill>
        </w:rPr>
      </w:pPr>
    </w:p>
    <w:p w14:paraId="3258C025">
      <w:pPr>
        <w:widowControl/>
        <w:adjustRightInd/>
        <w:spacing w:after="0" w:line="360" w:lineRule="auto"/>
        <w:jc w:val="left"/>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11D01194">
      <w:pPr>
        <w:spacing w:after="0" w:line="360" w:lineRule="auto"/>
        <w:ind w:firstLine="3614" w:firstLineChars="100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t>商务技术文件部分</w:t>
      </w:r>
    </w:p>
    <w:p w14:paraId="763F0ED6">
      <w:pPr>
        <w:spacing w:after="0" w:line="360" w:lineRule="auto"/>
        <w:jc w:val="center"/>
        <w:outlineLvl w:val="0"/>
        <w:rPr>
          <w:rFonts w:hint="eastAsia" w:ascii="宋体" w:hAnsi="宋体" w:cs="宋体"/>
          <w:b/>
          <w:color w:val="0D0D0D" w:themeColor="text1" w:themeTint="F2"/>
          <w:kern w:val="0"/>
          <w:sz w:val="24"/>
          <w14:textFill>
            <w14:solidFill>
              <w14:schemeClr w14:val="tx1">
                <w14:lumMod w14:val="95000"/>
                <w14:lumOff w14:val="5000"/>
              </w14:schemeClr>
            </w14:solidFill>
          </w14:textFill>
        </w:rPr>
      </w:pPr>
      <w:bookmarkStart w:id="408" w:name="_Toc3353"/>
      <w:r>
        <w:rPr>
          <w:rFonts w:hint="eastAsia" w:ascii="宋体" w:hAnsi="宋体" w:cs="宋体"/>
          <w:b/>
          <w:color w:val="0D0D0D" w:themeColor="text1" w:themeTint="F2"/>
          <w:kern w:val="0"/>
          <w:sz w:val="24"/>
          <w14:textFill>
            <w14:solidFill>
              <w14:schemeClr w14:val="tx1">
                <w14:lumMod w14:val="95000"/>
                <w14:lumOff w14:val="5000"/>
              </w14:schemeClr>
            </w14:solidFill>
          </w14:textFill>
        </w:rPr>
        <w:t>目录</w:t>
      </w:r>
      <w:bookmarkEnd w:id="408"/>
    </w:p>
    <w:p w14:paraId="6C293129">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投标函………………………………………………………………………（页码）</w:t>
      </w:r>
    </w:p>
    <w:p w14:paraId="034FD0D5">
      <w:pPr>
        <w:pStyle w:val="727"/>
        <w:numPr>
          <w:ilvl w:val="0"/>
          <w:numId w:val="3"/>
        </w:numPr>
        <w:spacing w:after="0" w:line="360" w:lineRule="auto"/>
        <w:rPr>
          <w:rFonts w:hint="eastAsia" w:cs="宋体"/>
          <w:color w:val="0D0D0D" w:themeColor="text1" w:themeTint="F2"/>
          <w:szCs w:val="24"/>
          <w14:textFill>
            <w14:solidFill>
              <w14:schemeClr w14:val="tx1">
                <w14:lumMod w14:val="95000"/>
                <w14:lumOff w14:val="5000"/>
              </w14:schemeClr>
            </w14:solidFill>
          </w14:textFill>
        </w:rPr>
      </w:pPr>
      <w:r>
        <w:rPr>
          <w:rFonts w:hint="eastAsia" w:cs="宋体"/>
          <w:color w:val="0D0D0D" w:themeColor="text1" w:themeTint="F2"/>
          <w:szCs w:val="24"/>
          <w14:textFill>
            <w14:solidFill>
              <w14:schemeClr w14:val="tx1">
                <w14:lumMod w14:val="95000"/>
                <w14:lumOff w14:val="5000"/>
              </w14:schemeClr>
            </w14:solidFill>
          </w14:textFill>
        </w:rPr>
        <w:t>营业执照副本复印件（加盖投标人公章）………………………………（页码）</w:t>
      </w:r>
    </w:p>
    <w:p w14:paraId="280B3440">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法人授权委托书或法定代表人（单位负责人、自然人本人）身份证明…（页码）</w:t>
      </w:r>
    </w:p>
    <w:p w14:paraId="50E04FEC">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投标人股权信息表…………………………………………………………（页码）</w:t>
      </w:r>
    </w:p>
    <w:p w14:paraId="4866E4F4">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详细的“交货清单”</w:t>
      </w:r>
      <w:r>
        <w:rPr>
          <w:rFonts w:hint="eastAsia" w:ascii="宋体" w:hAnsi="宋体" w:cs="宋体"/>
          <w:color w:val="0D0D0D" w:themeColor="text1" w:themeTint="F2"/>
          <w:sz w:val="24"/>
          <w:lang w:val="zh-CN"/>
          <w14:textFill>
            <w14:solidFill>
              <w14:schemeClr w14:val="tx1">
                <w14:lumMod w14:val="95000"/>
                <w14:lumOff w14:val="5000"/>
              </w14:schemeClr>
            </w14:solidFill>
          </w14:textFill>
        </w:rPr>
        <w:t>………………………………………………………（页码）</w:t>
      </w:r>
    </w:p>
    <w:p w14:paraId="2E6A44C6">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技术规范偏离表……………………………………………………………（页码）</w:t>
      </w:r>
    </w:p>
    <w:p w14:paraId="3DDD3B7E">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商务条款偏离表……………………………………………………………（页码）</w:t>
      </w:r>
    </w:p>
    <w:p w14:paraId="6B402943">
      <w:pPr>
        <w:numPr>
          <w:ilvl w:val="0"/>
          <w:numId w:val="3"/>
        </w:numPr>
        <w:snapToGrid w:val="0"/>
        <w:spacing w:after="0" w:line="360" w:lineRule="auto"/>
        <w:rPr>
          <w:rFonts w:hint="eastAsia" w:ascii="宋体" w:hAnsi="宋体" w:cs="宋体"/>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lang w:val="zh-CN"/>
          <w14:textFill>
            <w14:solidFill>
              <w14:schemeClr w14:val="tx1">
                <w14:lumMod w14:val="95000"/>
                <w14:lumOff w14:val="5000"/>
              </w14:schemeClr>
            </w14:solidFill>
          </w14:textFill>
        </w:rPr>
        <w:t>完成的类似项目一览表（附合同复印件）………………………………（页码）</w:t>
      </w:r>
    </w:p>
    <w:p w14:paraId="177BDD0A">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供货方案……………………………………………………………………（页码）</w:t>
      </w:r>
    </w:p>
    <w:p w14:paraId="05DB791E">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进度保障措施………………………………………………………………（页码）</w:t>
      </w:r>
    </w:p>
    <w:p w14:paraId="4FC21504">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培训方案……………………………………………………………………（页码）</w:t>
      </w:r>
    </w:p>
    <w:p w14:paraId="63AD1F3B">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供货、安装、调试…………………………………………………………（页码）</w:t>
      </w:r>
    </w:p>
    <w:p w14:paraId="0394000A">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故障应急处理方案…………………………………………………………（页码）</w:t>
      </w:r>
    </w:p>
    <w:p w14:paraId="5FD23ECC">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售后服务方案………………………………………………………………（页码）</w:t>
      </w:r>
    </w:p>
    <w:p w14:paraId="1FBFF6AC">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政府采购政策………………………………………………………………（页码）</w:t>
      </w:r>
    </w:p>
    <w:p w14:paraId="2266E0CE">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第四部分“评标办法”中要求提供的资料………………………………（页码）</w:t>
      </w:r>
    </w:p>
    <w:p w14:paraId="5FCAFAC7">
      <w:pPr>
        <w:numPr>
          <w:ilvl w:val="0"/>
          <w:numId w:val="3"/>
        </w:num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lang w:val="zh-CN"/>
          <w14:textFill>
            <w14:solidFill>
              <w14:schemeClr w14:val="tx1">
                <w14:lumMod w14:val="95000"/>
                <w14:lumOff w14:val="5000"/>
              </w14:schemeClr>
            </w14:solidFill>
          </w14:textFill>
        </w:rPr>
        <w:t>政府采购供应商廉洁自律承诺书</w:t>
      </w:r>
      <w:r>
        <w:rPr>
          <w:rFonts w:hint="eastAsia" w:ascii="宋体" w:hAnsi="宋体" w:cs="宋体"/>
          <w:color w:val="0D0D0D" w:themeColor="text1" w:themeTint="F2"/>
          <w:sz w:val="24"/>
          <w14:textFill>
            <w14:solidFill>
              <w14:schemeClr w14:val="tx1">
                <w14:lumMod w14:val="95000"/>
                <w14:lumOff w14:val="5000"/>
              </w14:schemeClr>
            </w14:solidFill>
          </w14:textFill>
        </w:rPr>
        <w:t>…………………………………………（页码）</w:t>
      </w:r>
    </w:p>
    <w:p w14:paraId="09038A20">
      <w:pPr>
        <w:numPr>
          <w:ilvl w:val="0"/>
          <w:numId w:val="3"/>
        </w:numPr>
        <w:snapToGrid w:val="0"/>
        <w:spacing w:after="0" w:line="360" w:lineRule="auto"/>
        <w:rPr>
          <w:rFonts w:hint="eastAsia" w:ascii="宋体" w:hAnsi="宋体" w:cs="宋体"/>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lang w:val="zh-CN"/>
          <w14:textFill>
            <w14:solidFill>
              <w14:schemeClr w14:val="tx1">
                <w14:lumMod w14:val="95000"/>
                <w14:lumOff w14:val="5000"/>
              </w14:schemeClr>
            </w14:solidFill>
          </w14:textFill>
        </w:rPr>
        <w:t>缴纳采购代理服务费承诺书………………………………………………（页码）</w:t>
      </w:r>
    </w:p>
    <w:p w14:paraId="67D69B54">
      <w:pPr>
        <w:snapToGrid w:val="0"/>
        <w:spacing w:after="0" w:line="360" w:lineRule="auto"/>
        <w:ind w:left="420"/>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2F11DE14">
      <w:pPr>
        <w:snapToGrid w:val="0"/>
        <w:spacing w:after="0" w:line="360" w:lineRule="auto"/>
        <w:ind w:firstLine="3855" w:firstLineChars="1200"/>
        <w:outlineLvl w:val="0"/>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5B8162B5">
      <w:pPr>
        <w:snapToGrid w:val="0"/>
        <w:spacing w:after="0" w:line="360" w:lineRule="auto"/>
        <w:ind w:firstLine="3855" w:firstLineChars="1200"/>
        <w:outlineLvl w:val="0"/>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bookmarkStart w:id="409" w:name="_Toc1561"/>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0DB49180">
      <w:pPr>
        <w:snapToGrid w:val="0"/>
        <w:spacing w:after="0" w:line="360" w:lineRule="auto"/>
        <w:ind w:firstLine="3855" w:firstLineChars="1200"/>
        <w:outlineLvl w:val="0"/>
        <w:rPr>
          <w:rFonts w:hint="eastAsia" w:ascii="宋体" w:hAnsi="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一、投标</w:t>
      </w:r>
      <w:r>
        <w:rPr>
          <w:rFonts w:hint="eastAsia" w:ascii="宋体" w:hAnsi="宋体" w:cs="宋体"/>
          <w:b/>
          <w:color w:val="0D0D0D" w:themeColor="text1" w:themeTint="F2"/>
          <w:sz w:val="32"/>
          <w:szCs w:val="32"/>
          <w14:textFill>
            <w14:solidFill>
              <w14:schemeClr w14:val="tx1">
                <w14:lumMod w14:val="95000"/>
                <w14:lumOff w14:val="5000"/>
              </w14:schemeClr>
            </w14:solidFill>
          </w14:textFill>
        </w:rPr>
        <w:t>函</w:t>
      </w:r>
      <w:bookmarkEnd w:id="409"/>
    </w:p>
    <w:p w14:paraId="633E8383">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（采购人）、（采购代理机构）：</w:t>
      </w:r>
    </w:p>
    <w:p w14:paraId="70481247">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我方参加你方组织的（项目名称）【招标编号：（采购编号）】招标的有关活动，并对此项目进行投标。为此：</w:t>
      </w:r>
    </w:p>
    <w:p w14:paraId="17F217E5">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1、我方承诺投标有效期从提交投标文件的截止之日起天（不少于90天）</w:t>
      </w:r>
      <w:r>
        <w:rPr>
          <w:rFonts w:hint="eastAsia" w:ascii="宋体" w:hAnsi="宋体" w:cs="宋体"/>
          <w:color w:val="0D0D0D" w:themeColor="text1" w:themeTint="F2"/>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本投标文件在投标有效期满之前均具有约束力。</w:t>
      </w:r>
    </w:p>
    <w:p w14:paraId="3D8B6776">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2、我方承诺除商务技术偏离表列出的偏离外，我方响应招标文件的全部要求。</w:t>
      </w:r>
    </w:p>
    <w:p w14:paraId="280CE758">
      <w:pPr>
        <w:snapToGrid w:val="0"/>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3、如我方中标，我方承诺：</w:t>
      </w:r>
    </w:p>
    <w:p w14:paraId="1213EDC5">
      <w:pPr>
        <w:snapToGrid w:val="0"/>
        <w:spacing w:after="0" w:line="360" w:lineRule="auto"/>
        <w:ind w:left="210" w:leftChars="100"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3.1在收到中标通知书后，在中标通知书规定的期限内与你方签订合同； </w:t>
      </w:r>
    </w:p>
    <w:p w14:paraId="21954708">
      <w:pPr>
        <w:snapToGrid w:val="0"/>
        <w:spacing w:after="0" w:line="360" w:lineRule="auto"/>
        <w:ind w:left="210" w:leftChars="100"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3.2在签订合同时不向你方提出附加条件； </w:t>
      </w:r>
    </w:p>
    <w:p w14:paraId="76D2B4AD">
      <w:pPr>
        <w:snapToGrid w:val="0"/>
        <w:spacing w:after="0" w:line="360" w:lineRule="auto"/>
        <w:ind w:left="210" w:leftChars="100"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3.3在合同约定的期限内完成合同规定的全部义务。 </w:t>
      </w:r>
    </w:p>
    <w:p w14:paraId="0C6A4896">
      <w:pPr>
        <w:snapToGrid w:val="0"/>
        <w:spacing w:after="0" w:line="360" w:lineRule="auto"/>
        <w:ind w:left="210" w:leftChars="100"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4、其他补充说明:。</w:t>
      </w:r>
    </w:p>
    <w:p w14:paraId="646F6028">
      <w:pPr>
        <w:spacing w:after="0" w:line="360" w:lineRule="auto"/>
        <w:ind w:firstLine="3600" w:firstLineChars="15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投标人名称(盖章)：                          </w:t>
      </w:r>
    </w:p>
    <w:p w14:paraId="1FC8CB2E">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日期：  年   月   日</w:t>
      </w:r>
    </w:p>
    <w:p w14:paraId="752765B8">
      <w:pPr>
        <w:snapToGrid w:val="0"/>
        <w:spacing w:after="0" w:line="360" w:lineRule="auto"/>
        <w:ind w:left="420" w:leftChars="200" w:firstLine="4200" w:firstLineChars="1750"/>
        <w:rPr>
          <w:rFonts w:hint="eastAsia" w:ascii="宋体" w:hAnsi="宋体" w:cs="宋体"/>
          <w:color w:val="0D0D0D" w:themeColor="text1" w:themeTint="F2"/>
          <w:kern w:val="0"/>
          <w:sz w:val="24"/>
          <w:u w:val="single"/>
          <w14:textFill>
            <w14:solidFill>
              <w14:schemeClr w14:val="tx1">
                <w14:lumMod w14:val="95000"/>
                <w14:lumOff w14:val="5000"/>
              </w14:schemeClr>
            </w14:solidFill>
          </w14:textFill>
        </w:rPr>
      </w:pPr>
    </w:p>
    <w:p w14:paraId="03764506">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注：按本格式和要求提供。</w:t>
      </w:r>
    </w:p>
    <w:p w14:paraId="6B42B059">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787436DF">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1D6A029F">
      <w:pPr>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06F3601D">
      <w:pPr>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41BADD8D">
      <w:pPr>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38D239B9">
      <w:pPr>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73FD3D54">
      <w:pPr>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5526B886">
      <w:pPr>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4981D401">
      <w:pPr>
        <w:numPr>
          <w:ilvl w:val="0"/>
          <w:numId w:val="4"/>
        </w:numPr>
        <w:spacing w:after="0" w:line="360" w:lineRule="auto"/>
        <w:jc w:val="cente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t>营业执照副本复印件（加盖投标人公章）</w:t>
      </w:r>
    </w:p>
    <w:p w14:paraId="14AF16B6">
      <w:pPr>
        <w:pStyle w:val="85"/>
        <w:spacing w:after="0" w:line="360" w:lineRule="auto"/>
        <w:ind w:firstLine="0" w:firstLineChars="0"/>
        <w:rPr>
          <w:rFonts w:hint="eastAsia" w:ascii="宋体" w:hAnsi="宋体" w:cs="宋体"/>
          <w:color w:val="0D0D0D" w:themeColor="text1" w:themeTint="F2"/>
          <w:lang w:val="zh-CN"/>
          <w14:textFill>
            <w14:solidFill>
              <w14:schemeClr w14:val="tx1">
                <w14:lumMod w14:val="95000"/>
                <w14:lumOff w14:val="5000"/>
              </w14:schemeClr>
            </w14:solidFill>
          </w14:textFill>
        </w:rPr>
      </w:pP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615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5" w:hRule="atLeast"/>
        </w:trPr>
        <w:tc>
          <w:tcPr>
            <w:tcW w:w="9286" w:type="dxa"/>
          </w:tcPr>
          <w:p w14:paraId="1C07109F">
            <w:pPr>
              <w:pStyle w:val="23"/>
              <w:spacing w:after="0"/>
              <w:rPr>
                <w:rFonts w:hint="eastAsia" w:hAnsi="宋体" w:cs="宋体"/>
                <w:color w:val="0D0D0D" w:themeColor="text1" w:themeTint="F2"/>
                <w14:textFill>
                  <w14:solidFill>
                    <w14:schemeClr w14:val="tx1">
                      <w14:lumMod w14:val="95000"/>
                      <w14:lumOff w14:val="5000"/>
                    </w14:schemeClr>
                  </w14:solidFill>
                </w14:textFill>
              </w:rPr>
            </w:pPr>
          </w:p>
        </w:tc>
      </w:tr>
    </w:tbl>
    <w:p w14:paraId="0E5E52B4">
      <w:pPr>
        <w:pStyle w:val="23"/>
        <w:spacing w:after="0"/>
        <w:rPr>
          <w:rFonts w:hint="eastAsia" w:hAnsi="宋体" w:cs="宋体"/>
          <w:color w:val="0D0D0D" w:themeColor="text1" w:themeTint="F2"/>
          <w14:textFill>
            <w14:solidFill>
              <w14:schemeClr w14:val="tx1">
                <w14:lumMod w14:val="95000"/>
                <w14:lumOff w14:val="5000"/>
              </w14:schemeClr>
            </w14:solidFill>
          </w14:textFill>
        </w:rPr>
      </w:pPr>
    </w:p>
    <w:p w14:paraId="5397754B">
      <w:pPr>
        <w:pStyle w:val="86"/>
        <w:spacing w:after="0" w:line="360" w:lineRule="auto"/>
        <w:rPr>
          <w:rFonts w:hint="eastAsia" w:ascii="宋体" w:hAnsi="宋体" w:cs="宋体"/>
          <w:color w:val="0D0D0D" w:themeColor="text1" w:themeTint="F2"/>
          <w:lang w:val="zh-CN"/>
          <w14:textFill>
            <w14:solidFill>
              <w14:schemeClr w14:val="tx1">
                <w14:lumMod w14:val="95000"/>
                <w14:lumOff w14:val="5000"/>
              </w14:schemeClr>
            </w14:solidFill>
          </w14:textFill>
        </w:rPr>
      </w:pPr>
    </w:p>
    <w:p w14:paraId="747B9709">
      <w:pPr>
        <w:pStyle w:val="86"/>
        <w:spacing w:after="0" w:line="360" w:lineRule="auto"/>
        <w:rPr>
          <w:rFonts w:hint="eastAsia" w:ascii="宋体" w:hAnsi="宋体" w:cs="宋体"/>
          <w:color w:val="0D0D0D" w:themeColor="text1" w:themeTint="F2"/>
          <w:lang w:val="zh-CN"/>
          <w14:textFill>
            <w14:solidFill>
              <w14:schemeClr w14:val="tx1">
                <w14:lumMod w14:val="95000"/>
                <w14:lumOff w14:val="5000"/>
              </w14:schemeClr>
            </w14:solidFill>
          </w14:textFill>
        </w:rPr>
      </w:pPr>
    </w:p>
    <w:p w14:paraId="445E177A">
      <w:pPr>
        <w:pStyle w:val="86"/>
        <w:spacing w:after="0" w:line="360" w:lineRule="auto"/>
        <w:rPr>
          <w:rFonts w:hint="eastAsia" w:ascii="宋体" w:hAnsi="宋体" w:cs="宋体"/>
          <w:color w:val="0D0D0D" w:themeColor="text1" w:themeTint="F2"/>
          <w:lang w:val="zh-CN"/>
          <w14:textFill>
            <w14:solidFill>
              <w14:schemeClr w14:val="tx1">
                <w14:lumMod w14:val="95000"/>
                <w14:lumOff w14:val="5000"/>
              </w14:schemeClr>
            </w14:solidFill>
          </w14:textFill>
        </w:rPr>
      </w:pPr>
    </w:p>
    <w:p w14:paraId="68B769AD">
      <w:pPr>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5F5E0131">
      <w:pPr>
        <w:spacing w:after="0" w:line="360" w:lineRule="auto"/>
        <w:jc w:val="cente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三、法人</w:t>
      </w:r>
      <w: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t>授权委托书或法定代表人（单位负责人、自然人本人）身份证明</w:t>
      </w:r>
    </w:p>
    <w:p w14:paraId="34608B7E">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76D440AE">
      <w:pPr>
        <w:spacing w:after="0" w:line="360" w:lineRule="auto"/>
        <w:ind w:firstLine="422"/>
        <w:jc w:val="center"/>
        <w:rPr>
          <w:rFonts w:hint="eastAsia"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法定代表人身份证明</w:t>
      </w:r>
    </w:p>
    <w:p w14:paraId="47C2403B">
      <w:pPr>
        <w:spacing w:after="0" w:line="360" w:lineRule="auto"/>
        <w:ind w:firstLine="422"/>
        <w:rPr>
          <w:rFonts w:hint="eastAsia" w:ascii="宋体" w:hAnsi="宋体" w:cs="宋体"/>
          <w:b/>
          <w:color w:val="0D0D0D" w:themeColor="text1" w:themeTint="F2"/>
          <w:szCs w:val="21"/>
          <w14:textFill>
            <w14:solidFill>
              <w14:schemeClr w14:val="tx1">
                <w14:lumMod w14:val="95000"/>
                <w14:lumOff w14:val="5000"/>
              </w14:schemeClr>
            </w14:solidFill>
          </w14:textFill>
        </w:rPr>
      </w:pPr>
    </w:p>
    <w:p w14:paraId="0226FC5E">
      <w:pPr>
        <w:spacing w:after="0" w:line="360" w:lineRule="auto"/>
        <w:ind w:firstLine="42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单位名称：</w:t>
      </w:r>
    </w:p>
    <w:p w14:paraId="2CAC48F6">
      <w:pPr>
        <w:spacing w:after="0" w:line="360" w:lineRule="auto"/>
        <w:ind w:firstLine="42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    址：</w:t>
      </w:r>
    </w:p>
    <w:p w14:paraId="6877E2A7">
      <w:pPr>
        <w:spacing w:after="0" w:line="360" w:lineRule="auto"/>
        <w:ind w:firstLine="42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姓    名： 性    别：</w:t>
      </w:r>
    </w:p>
    <w:p w14:paraId="5A3F16FA">
      <w:pPr>
        <w:spacing w:after="0" w:line="360" w:lineRule="auto"/>
        <w:ind w:firstLine="42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年    龄： 职    务：</w:t>
      </w:r>
    </w:p>
    <w:p w14:paraId="41616DC1">
      <w:pPr>
        <w:spacing w:after="0" w:line="360" w:lineRule="auto"/>
        <w:ind w:firstLine="42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身份证号码：</w:t>
      </w:r>
    </w:p>
    <w:p w14:paraId="51BC6565">
      <w:pPr>
        <w:spacing w:after="0" w:line="360" w:lineRule="auto"/>
        <w:ind w:firstLine="42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系</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（供应商名称）      </w:t>
      </w:r>
      <w:r>
        <w:rPr>
          <w:rFonts w:hint="eastAsia" w:ascii="宋体" w:hAnsi="宋体" w:cs="宋体"/>
          <w:color w:val="0D0D0D" w:themeColor="text1" w:themeTint="F2"/>
          <w:sz w:val="24"/>
          <w14:textFill>
            <w14:solidFill>
              <w14:schemeClr w14:val="tx1">
                <w14:lumMod w14:val="95000"/>
                <w14:lumOff w14:val="5000"/>
              </w14:schemeClr>
            </w14:solidFill>
          </w14:textFill>
        </w:rPr>
        <w:t>的法定代表人，为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（项目编号、项目名称）   </w:t>
      </w:r>
      <w:r>
        <w:rPr>
          <w:rFonts w:hint="eastAsia" w:ascii="宋体" w:hAnsi="宋体" w:cs="宋体"/>
          <w:color w:val="0D0D0D" w:themeColor="text1" w:themeTint="F2"/>
          <w:sz w:val="24"/>
          <w14:textFill>
            <w14:solidFill>
              <w14:schemeClr w14:val="tx1">
                <w14:lumMod w14:val="95000"/>
                <w14:lumOff w14:val="5000"/>
              </w14:schemeClr>
            </w14:solidFill>
          </w14:textFill>
        </w:rPr>
        <w:t>项目，签署上述项目的响应文件，进行合同谈判、签署合同和处理与之有关的一切事宜。</w:t>
      </w:r>
    </w:p>
    <w:p w14:paraId="438ABD31">
      <w:pPr>
        <w:spacing w:after="0" w:line="360" w:lineRule="auto"/>
        <w:ind w:firstLine="42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特此证明。</w:t>
      </w:r>
    </w:p>
    <w:p w14:paraId="3C88D10D">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后附法定代表人身份证正反面复印件，加盖供应商公章。</w:t>
      </w:r>
    </w:p>
    <w:p w14:paraId="67C8A7CD">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投标人名称(盖章)</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p>
    <w:p w14:paraId="17DA59A3">
      <w:pPr>
        <w:snapToGrid w:val="0"/>
        <w:spacing w:after="0" w:line="360" w:lineRule="auto"/>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                                                 签发日期：  年  月   日</w:t>
      </w:r>
    </w:p>
    <w:p w14:paraId="2EAD86DA">
      <w:pPr>
        <w:snapToGrid w:val="0"/>
        <w:spacing w:after="0" w:line="360" w:lineRule="auto"/>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A9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21B1B5B">
            <w:pPr>
              <w:pStyle w:val="154"/>
              <w:adjustRightInd w:val="0"/>
              <w:spacing w:after="0" w:line="360" w:lineRule="auto"/>
              <w:rPr>
                <w:rFonts w:hint="eastAsia" w:hAnsi="宋体" w:cs="宋体"/>
                <w:bCs/>
                <w:color w:val="0D0D0D" w:themeColor="text1" w:themeTint="F2"/>
                <w:sz w:val="24"/>
                <w14:textFill>
                  <w14:solidFill>
                    <w14:schemeClr w14:val="tx1">
                      <w14:lumMod w14:val="95000"/>
                      <w14:lumOff w14:val="5000"/>
                    </w14:schemeClr>
                  </w14:solidFill>
                </w14:textFill>
              </w:rPr>
            </w:pPr>
            <w:r>
              <w:rPr>
                <w:rFonts w:hint="eastAsia" w:hAnsi="宋体" w:cs="宋体"/>
                <w:bCs/>
                <w:color w:val="0D0D0D" w:themeColor="text1" w:themeTint="F2"/>
                <w:sz w:val="24"/>
                <w14:textFill>
                  <w14:solidFill>
                    <w14:schemeClr w14:val="tx1">
                      <w14:lumMod w14:val="95000"/>
                      <w14:lumOff w14:val="5000"/>
                    </w14:schemeClr>
                  </w14:solidFill>
                </w14:textFill>
              </w:rPr>
              <w:t>正面：                                 反面：</w:t>
            </w:r>
          </w:p>
          <w:p w14:paraId="74F55ACE">
            <w:pPr>
              <w:pStyle w:val="154"/>
              <w:adjustRightInd w:val="0"/>
              <w:spacing w:after="0" w:line="360" w:lineRule="auto"/>
              <w:rPr>
                <w:rFonts w:hint="eastAsia" w:hAnsi="宋体" w:cs="宋体"/>
                <w:bCs/>
                <w:color w:val="0D0D0D" w:themeColor="text1" w:themeTint="F2"/>
                <w:sz w:val="24"/>
                <w14:textFill>
                  <w14:solidFill>
                    <w14:schemeClr w14:val="tx1">
                      <w14:lumMod w14:val="95000"/>
                      <w14:lumOff w14:val="5000"/>
                    </w14:schemeClr>
                  </w14:solidFill>
                </w14:textFill>
              </w:rPr>
            </w:pPr>
          </w:p>
        </w:tc>
      </w:tr>
    </w:tbl>
    <w:p w14:paraId="292A9F51">
      <w:pPr>
        <w:snapToGrid w:val="0"/>
        <w:spacing w:after="0" w:line="360" w:lineRule="auto"/>
        <w:ind w:firstLine="2872" w:firstLineChars="894"/>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t>法人授权委托书</w:t>
      </w:r>
    </w:p>
    <w:p w14:paraId="632EA3CA">
      <w:pPr>
        <w:pStyle w:val="58"/>
        <w:spacing w:after="0" w:line="360" w:lineRule="auto"/>
        <w:rPr>
          <w:i/>
          <w:iCs/>
          <w:color w:val="0D0D0D" w:themeColor="text1" w:themeTint="F2"/>
          <w:sz w:val="21"/>
          <w:szCs w:val="21"/>
          <w:lang w:val="zh-CN"/>
          <w14:textFill>
            <w14:solidFill>
              <w14:schemeClr w14:val="tx1">
                <w14:lumMod w14:val="95000"/>
                <w14:lumOff w14:val="5000"/>
              </w14:schemeClr>
            </w14:solidFill>
          </w14:textFill>
        </w:rPr>
      </w:pPr>
      <w:r>
        <w:rPr>
          <w:rFonts w:hint="eastAsia" w:ascii="宋体" w:hAnsi="宋体" w:cs="宋体"/>
          <w:i/>
          <w:iCs/>
          <w:color w:val="0D0D0D" w:themeColor="text1" w:themeTint="F2"/>
          <w:sz w:val="21"/>
          <w:szCs w:val="21"/>
          <w:lang w:val="zh-CN"/>
          <w14:textFill>
            <w14:solidFill>
              <w14:schemeClr w14:val="tx1">
                <w14:lumMod w14:val="95000"/>
                <w14:lumOff w14:val="5000"/>
              </w14:schemeClr>
            </w14:solidFill>
          </w14:textFill>
        </w:rPr>
        <w:t>（如法定代表人参加投标，可不提供委托书）</w:t>
      </w:r>
    </w:p>
    <w:p w14:paraId="0F4E7386">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（采购人）、（采购代理机构）</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p>
    <w:p w14:paraId="4FB287D0">
      <w:pPr>
        <w:snapToGrid w:val="0"/>
        <w:spacing w:after="0" w:line="360" w:lineRule="auto"/>
        <w:ind w:firstLine="576"/>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现</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委托</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（姓名）为我方代理人（身份证号码：</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，手机：</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），以我方名义处理</w:t>
      </w:r>
      <w:r>
        <w:rPr>
          <w:rFonts w:hint="eastAsia" w:ascii="宋体" w:hAnsi="宋体" w:cs="宋体"/>
          <w:color w:val="0D0D0D" w:themeColor="text1" w:themeTint="F2"/>
          <w:sz w:val="24"/>
          <w14:textFill>
            <w14:solidFill>
              <w14:schemeClr w14:val="tx1">
                <w14:lumMod w14:val="95000"/>
                <w14:lumOff w14:val="5000"/>
              </w14:schemeClr>
            </w14:solidFill>
          </w14:textFill>
        </w:rPr>
        <w:t>（项目名称）      【项目编号：（采购编号）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政府采购磋商的一切事项，其法律后果由我方承担。</w:t>
      </w:r>
    </w:p>
    <w:p w14:paraId="0F110FE1">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委托期限</w:t>
      </w:r>
      <w:r>
        <w:rPr>
          <w:rFonts w:hint="eastAsia" w:ascii="宋体" w:hAnsi="宋体" w:cs="宋体"/>
          <w:color w:val="0D0D0D" w:themeColor="text1" w:themeTint="F2"/>
          <w:kern w:val="0"/>
          <w:sz w:val="24"/>
          <w14:textFill>
            <w14:solidFill>
              <w14:schemeClr w14:val="tx1">
                <w14:lumMod w14:val="95000"/>
                <w14:lumOff w14:val="5000"/>
              </w14:schemeClr>
            </w14:solidFill>
          </w14:textFill>
        </w:rPr>
        <w:t>：</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自</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年</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月</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日起至</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年</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月</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日止。</w:t>
      </w:r>
    </w:p>
    <w:p w14:paraId="1C9AF1FF">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特此告知。</w:t>
      </w:r>
    </w:p>
    <w:p w14:paraId="7F429382">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投标人名称(盖章)</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p>
    <w:p w14:paraId="3821D431">
      <w:pPr>
        <w:snapToGrid w:val="0"/>
        <w:spacing w:after="0" w:line="360" w:lineRule="auto"/>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                                                 签发日期：  年  月   日</w:t>
      </w:r>
    </w:p>
    <w:p w14:paraId="04D64049">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2A6CD3E3">
      <w:pPr>
        <w:snapToGrid w:val="0"/>
        <w:spacing w:after="0" w:line="360" w:lineRule="auto"/>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p>
    <w:p w14:paraId="2C097B1D">
      <w:pPr>
        <w:snapToGrid w:val="0"/>
        <w:spacing w:after="0" w:line="360" w:lineRule="auto"/>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941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C4E49A">
            <w:pPr>
              <w:pStyle w:val="154"/>
              <w:adjustRightInd w:val="0"/>
              <w:spacing w:after="0" w:line="360" w:lineRule="auto"/>
              <w:rPr>
                <w:rFonts w:hint="eastAsia" w:hAnsi="宋体" w:cs="宋体"/>
                <w:bCs/>
                <w:color w:val="0D0D0D" w:themeColor="text1" w:themeTint="F2"/>
                <w:sz w:val="24"/>
                <w14:textFill>
                  <w14:solidFill>
                    <w14:schemeClr w14:val="tx1">
                      <w14:lumMod w14:val="95000"/>
                      <w14:lumOff w14:val="5000"/>
                    </w14:schemeClr>
                  </w14:solidFill>
                </w14:textFill>
              </w:rPr>
            </w:pPr>
            <w:r>
              <w:rPr>
                <w:rFonts w:hint="eastAsia" w:hAnsi="宋体" w:cs="宋体"/>
                <w:bCs/>
                <w:color w:val="0D0D0D" w:themeColor="text1" w:themeTint="F2"/>
                <w:sz w:val="24"/>
                <w14:textFill>
                  <w14:solidFill>
                    <w14:schemeClr w14:val="tx1">
                      <w14:lumMod w14:val="95000"/>
                      <w14:lumOff w14:val="5000"/>
                    </w14:schemeClr>
                  </w14:solidFill>
                </w14:textFill>
              </w:rPr>
              <w:t>正面：                                 反面：</w:t>
            </w:r>
          </w:p>
          <w:p w14:paraId="56828BFC">
            <w:pPr>
              <w:pStyle w:val="154"/>
              <w:adjustRightInd w:val="0"/>
              <w:spacing w:after="0" w:line="360" w:lineRule="auto"/>
              <w:rPr>
                <w:rFonts w:hint="eastAsia" w:hAnsi="宋体" w:cs="宋体"/>
                <w:bCs/>
                <w:color w:val="0D0D0D" w:themeColor="text1" w:themeTint="F2"/>
                <w:sz w:val="24"/>
                <w14:textFill>
                  <w14:solidFill>
                    <w14:schemeClr w14:val="tx1">
                      <w14:lumMod w14:val="95000"/>
                      <w14:lumOff w14:val="5000"/>
                    </w14:schemeClr>
                  </w14:solidFill>
                </w14:textFill>
              </w:rPr>
            </w:pPr>
          </w:p>
        </w:tc>
      </w:tr>
    </w:tbl>
    <w:p w14:paraId="040A3233">
      <w:pPr>
        <w:widowControl/>
        <w:adjustRightInd/>
        <w:spacing w:after="0" w:line="360" w:lineRule="auto"/>
        <w:jc w:val="left"/>
        <w:rPr>
          <w:rFonts w:hint="eastAsia" w:ascii="宋体" w:hAnsi="宋体" w:cs="仿宋_GB2312"/>
          <w:b/>
          <w:color w:val="0D0D0D" w:themeColor="text1" w:themeTint="F2"/>
          <w:sz w:val="30"/>
          <w:szCs w:val="30"/>
          <w14:textFill>
            <w14:solidFill>
              <w14:schemeClr w14:val="tx1">
                <w14:lumMod w14:val="95000"/>
                <w14:lumOff w14:val="5000"/>
              </w14:schemeClr>
            </w14:solidFill>
          </w14:textFill>
        </w:rPr>
      </w:pPr>
    </w:p>
    <w:p w14:paraId="1634933D">
      <w:pPr>
        <w:snapToGrid w:val="0"/>
        <w:spacing w:after="0" w:line="360" w:lineRule="auto"/>
        <w:ind w:firstLine="576"/>
        <w:rPr>
          <w:rFonts w:hint="eastAsia" w:ascii="宋体" w:hAnsi="宋体" w:cs="仿宋_GB2312"/>
          <w:b/>
          <w:bCs/>
          <w:color w:val="0D0D0D" w:themeColor="text1" w:themeTint="F2"/>
          <w:sz w:val="28"/>
          <w:szCs w:val="28"/>
          <w14:textFill>
            <w14:solidFill>
              <w14:schemeClr w14:val="tx1">
                <w14:lumMod w14:val="95000"/>
                <w14:lumOff w14:val="5000"/>
              </w14:schemeClr>
            </w14:solidFill>
          </w14:textFill>
        </w:rPr>
      </w:pPr>
      <w:r>
        <w:rPr>
          <w:rFonts w:hint="eastAsia" w:ascii="宋体" w:hAnsi="宋体" w:cs="宋体"/>
          <w:b/>
          <w:bCs/>
          <w:color w:val="0D0D0D" w:themeColor="text1" w:themeTint="F2"/>
          <w:sz w:val="24"/>
          <w14:textFill>
            <w14:solidFill>
              <w14:schemeClr w14:val="tx1">
                <w14:lumMod w14:val="95000"/>
                <w14:lumOff w14:val="5000"/>
              </w14:schemeClr>
            </w14:solidFill>
          </w14:textFill>
        </w:rPr>
        <w:t>附授权代表近六个月任一月缴纳社保证明</w:t>
      </w:r>
    </w:p>
    <w:p w14:paraId="7A015449">
      <w:pPr>
        <w:spacing w:after="0" w:line="360" w:lineRule="auto"/>
        <w:jc w:val="cente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p>
    <w:p w14:paraId="200B7F84">
      <w:pPr>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74279C54">
      <w:pPr>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2EA53741">
      <w:pPr>
        <w:pStyle w:val="968"/>
        <w:spacing w:after="0" w:line="360" w:lineRule="auto"/>
        <w:ind w:left="0"/>
        <w:jc w:val="center"/>
        <w:rPr>
          <w:rFonts w:hint="eastAsia" w:ascii="宋体" w:hAnsi="宋体" w:cs="宋体"/>
          <w:b/>
          <w:bCs/>
          <w:color w:val="0D0D0D" w:themeColor="text1" w:themeTint="F2"/>
          <w:sz w:val="32"/>
          <w:szCs w:val="28"/>
          <w14:textFill>
            <w14:solidFill>
              <w14:schemeClr w14:val="tx1">
                <w14:lumMod w14:val="95000"/>
                <w14:lumOff w14:val="5000"/>
              </w14:schemeClr>
            </w14:solidFill>
          </w14:textFill>
        </w:rPr>
      </w:pPr>
      <w:r>
        <w:rPr>
          <w:rFonts w:hint="eastAsia" w:ascii="宋体" w:hAnsi="宋体" w:cs="宋体"/>
          <w:b/>
          <w:bCs/>
          <w:color w:val="0D0D0D" w:themeColor="text1" w:themeTint="F2"/>
          <w:sz w:val="32"/>
          <w:szCs w:val="28"/>
          <w14:textFill>
            <w14:solidFill>
              <w14:schemeClr w14:val="tx1">
                <w14:lumMod w14:val="95000"/>
                <w14:lumOff w14:val="5000"/>
              </w14:schemeClr>
            </w14:solidFill>
          </w14:textFill>
        </w:rPr>
        <w:t>四、投标人股权信息表</w:t>
      </w:r>
    </w:p>
    <w:p w14:paraId="13459275">
      <w:pPr>
        <w:spacing w:after="0" w:line="360" w:lineRule="auto"/>
        <w:rPr>
          <w:rFonts w:hint="eastAsia" w:ascii="宋体" w:hAnsi="宋体" w:cs="宋体"/>
          <w:color w:val="0D0D0D" w:themeColor="text1" w:themeTint="F2"/>
          <w14:textFill>
            <w14:solidFill>
              <w14:schemeClr w14:val="tx1">
                <w14:lumMod w14:val="95000"/>
                <w14:lumOff w14:val="5000"/>
              </w14:schemeClr>
            </w14:solidFill>
          </w14:textFill>
        </w:rPr>
      </w:pPr>
    </w:p>
    <w:tbl>
      <w:tblPr>
        <w:tblStyle w:val="62"/>
        <w:tblW w:w="10117" w:type="dxa"/>
        <w:tblInd w:w="93" w:type="dxa"/>
        <w:tblLayout w:type="fixed"/>
        <w:tblCellMar>
          <w:top w:w="0" w:type="dxa"/>
          <w:left w:w="108" w:type="dxa"/>
          <w:bottom w:w="0" w:type="dxa"/>
          <w:right w:w="108" w:type="dxa"/>
        </w:tblCellMar>
      </w:tblPr>
      <w:tblGrid>
        <w:gridCol w:w="1128"/>
        <w:gridCol w:w="1650"/>
        <w:gridCol w:w="1494"/>
        <w:gridCol w:w="2026"/>
        <w:gridCol w:w="1230"/>
        <w:gridCol w:w="1155"/>
        <w:gridCol w:w="1434"/>
      </w:tblGrid>
      <w:tr w14:paraId="5D202DF3">
        <w:tblPrEx>
          <w:tblCellMar>
            <w:top w:w="0" w:type="dxa"/>
            <w:left w:w="108" w:type="dxa"/>
            <w:bottom w:w="0" w:type="dxa"/>
            <w:right w:w="108" w:type="dxa"/>
          </w:tblCellMar>
        </w:tblPrEx>
        <w:trPr>
          <w:trHeight w:val="495" w:hRule="atLeast"/>
        </w:trPr>
        <w:tc>
          <w:tcPr>
            <w:tcW w:w="10117" w:type="dxa"/>
            <w:gridSpan w:val="7"/>
            <w:tcBorders>
              <w:top w:val="single" w:color="000000" w:sz="4" w:space="0"/>
              <w:left w:val="single" w:color="000000" w:sz="4" w:space="0"/>
              <w:bottom w:val="single" w:color="000000" w:sz="4" w:space="0"/>
              <w:right w:val="single" w:color="000000" w:sz="4" w:space="0"/>
            </w:tcBorders>
            <w:vAlign w:val="center"/>
          </w:tcPr>
          <w:p w14:paraId="6F103DCF">
            <w:pPr>
              <w:widowControl/>
              <w:spacing w:after="0" w:line="360" w:lineRule="auto"/>
              <w:jc w:val="center"/>
              <w:textAlignment w:val="center"/>
              <w:rPr>
                <w:rFonts w:hint="eastAsia" w:ascii="宋体" w:hAnsi="宋体" w:cs="宋体"/>
                <w:b/>
                <w:bCs/>
                <w:color w:val="0D0D0D" w:themeColor="text1" w:themeTint="F2"/>
                <w:sz w:val="24"/>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4"/>
                <w14:textFill>
                  <w14:solidFill>
                    <w14:schemeClr w14:val="tx1">
                      <w14:lumMod w14:val="95000"/>
                      <w14:lumOff w14:val="5000"/>
                    </w14:schemeClr>
                  </w14:solidFill>
                </w14:textFill>
              </w:rPr>
              <w:t>投标人股权信息表</w:t>
            </w:r>
          </w:p>
        </w:tc>
      </w:tr>
      <w:tr w14:paraId="42906B46">
        <w:tblPrEx>
          <w:tblCellMar>
            <w:top w:w="0" w:type="dxa"/>
            <w:left w:w="108" w:type="dxa"/>
            <w:bottom w:w="0" w:type="dxa"/>
            <w:right w:w="108" w:type="dxa"/>
          </w:tblCellMar>
        </w:tblPrEx>
        <w:trPr>
          <w:trHeight w:val="480" w:hRule="atLeast"/>
        </w:trPr>
        <w:tc>
          <w:tcPr>
            <w:tcW w:w="10117" w:type="dxa"/>
            <w:gridSpan w:val="7"/>
            <w:tcBorders>
              <w:top w:val="single" w:color="000000" w:sz="4" w:space="0"/>
              <w:left w:val="single" w:color="000000" w:sz="4" w:space="0"/>
              <w:bottom w:val="single" w:color="000000" w:sz="4" w:space="0"/>
              <w:right w:val="single" w:color="000000" w:sz="4" w:space="0"/>
            </w:tcBorders>
            <w:vAlign w:val="center"/>
          </w:tcPr>
          <w:p w14:paraId="368FB7F1">
            <w:pPr>
              <w:widowControl/>
              <w:spacing w:after="0" w:line="360" w:lineRule="auto"/>
              <w:jc w:val="left"/>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项目编号：</w:t>
            </w:r>
          </w:p>
        </w:tc>
      </w:tr>
      <w:tr w14:paraId="1E2CE5C7">
        <w:tblPrEx>
          <w:tblCellMar>
            <w:top w:w="0" w:type="dxa"/>
            <w:left w:w="108" w:type="dxa"/>
            <w:bottom w:w="0" w:type="dxa"/>
            <w:right w:w="108" w:type="dxa"/>
          </w:tblCellMar>
        </w:tblPrEx>
        <w:trPr>
          <w:trHeight w:val="520" w:hRule="atLeast"/>
        </w:trPr>
        <w:tc>
          <w:tcPr>
            <w:tcW w:w="10117" w:type="dxa"/>
            <w:gridSpan w:val="7"/>
            <w:tcBorders>
              <w:top w:val="single" w:color="000000" w:sz="4" w:space="0"/>
              <w:left w:val="single" w:color="000000" w:sz="4" w:space="0"/>
              <w:bottom w:val="single" w:color="000000" w:sz="4" w:space="0"/>
              <w:right w:val="single" w:color="000000" w:sz="4" w:space="0"/>
            </w:tcBorders>
            <w:vAlign w:val="center"/>
          </w:tcPr>
          <w:p w14:paraId="39702449">
            <w:pPr>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项目名称：</w:t>
            </w:r>
          </w:p>
        </w:tc>
      </w:tr>
      <w:tr w14:paraId="04F6C593">
        <w:tblPrEx>
          <w:tblCellMar>
            <w:top w:w="0" w:type="dxa"/>
            <w:left w:w="108" w:type="dxa"/>
            <w:bottom w:w="0" w:type="dxa"/>
            <w:right w:w="108" w:type="dxa"/>
          </w:tblCellMar>
        </w:tblPrEx>
        <w:trPr>
          <w:trHeight w:val="285"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3B77D44B">
            <w:pPr>
              <w:widowControl/>
              <w:spacing w:after="0" w:line="360" w:lineRule="auto"/>
              <w:jc w:val="center"/>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序号</w:t>
            </w:r>
          </w:p>
        </w:tc>
        <w:tc>
          <w:tcPr>
            <w:tcW w:w="1650" w:type="dxa"/>
            <w:tcBorders>
              <w:top w:val="single" w:color="000000" w:sz="4" w:space="0"/>
              <w:left w:val="single" w:color="000000" w:sz="4" w:space="0"/>
              <w:bottom w:val="single" w:color="000000" w:sz="4" w:space="0"/>
              <w:right w:val="single" w:color="000000" w:sz="4" w:space="0"/>
            </w:tcBorders>
            <w:vAlign w:val="center"/>
          </w:tcPr>
          <w:p w14:paraId="7F180248">
            <w:pPr>
              <w:widowControl/>
              <w:spacing w:after="0" w:line="360" w:lineRule="auto"/>
              <w:jc w:val="center"/>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投标人名称</w:t>
            </w:r>
          </w:p>
        </w:tc>
        <w:tc>
          <w:tcPr>
            <w:tcW w:w="1494" w:type="dxa"/>
            <w:tcBorders>
              <w:top w:val="single" w:color="000000" w:sz="4" w:space="0"/>
              <w:left w:val="single" w:color="000000" w:sz="4" w:space="0"/>
              <w:bottom w:val="single" w:color="000000" w:sz="4" w:space="0"/>
              <w:right w:val="single" w:color="000000" w:sz="4" w:space="0"/>
            </w:tcBorders>
            <w:vAlign w:val="center"/>
          </w:tcPr>
          <w:p w14:paraId="571C7778">
            <w:pPr>
              <w:widowControl/>
              <w:spacing w:after="0" w:line="360" w:lineRule="auto"/>
              <w:jc w:val="center"/>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法定代表人</w:t>
            </w:r>
          </w:p>
        </w:tc>
        <w:tc>
          <w:tcPr>
            <w:tcW w:w="2026" w:type="dxa"/>
            <w:tcBorders>
              <w:top w:val="single" w:color="000000" w:sz="4" w:space="0"/>
              <w:left w:val="single" w:color="000000" w:sz="4" w:space="0"/>
              <w:bottom w:val="single" w:color="000000" w:sz="4" w:space="0"/>
              <w:right w:val="single" w:color="000000" w:sz="4" w:space="0"/>
            </w:tcBorders>
            <w:vAlign w:val="center"/>
          </w:tcPr>
          <w:p w14:paraId="7A202569">
            <w:pPr>
              <w:widowControl/>
              <w:spacing w:after="0" w:line="360" w:lineRule="auto"/>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股东（股权比例）</w:t>
            </w:r>
          </w:p>
        </w:tc>
        <w:tc>
          <w:tcPr>
            <w:tcW w:w="1230" w:type="dxa"/>
            <w:tcBorders>
              <w:top w:val="single" w:color="000000" w:sz="4" w:space="0"/>
              <w:left w:val="single" w:color="000000" w:sz="4" w:space="0"/>
              <w:bottom w:val="single" w:color="000000" w:sz="4" w:space="0"/>
              <w:right w:val="single" w:color="000000" w:sz="4" w:space="0"/>
            </w:tcBorders>
            <w:vAlign w:val="center"/>
          </w:tcPr>
          <w:p w14:paraId="3E481FC9">
            <w:pPr>
              <w:widowControl/>
              <w:spacing w:after="0" w:line="360" w:lineRule="auto"/>
              <w:jc w:val="center"/>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董事</w:t>
            </w:r>
          </w:p>
        </w:tc>
        <w:tc>
          <w:tcPr>
            <w:tcW w:w="1155" w:type="dxa"/>
            <w:tcBorders>
              <w:top w:val="single" w:color="000000" w:sz="4" w:space="0"/>
              <w:left w:val="single" w:color="000000" w:sz="4" w:space="0"/>
              <w:bottom w:val="single" w:color="000000" w:sz="4" w:space="0"/>
              <w:right w:val="single" w:color="000000" w:sz="4" w:space="0"/>
            </w:tcBorders>
            <w:vAlign w:val="center"/>
          </w:tcPr>
          <w:p w14:paraId="6FF8388F">
            <w:pPr>
              <w:widowControl/>
              <w:spacing w:after="0" w:line="360" w:lineRule="auto"/>
              <w:jc w:val="center"/>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监事</w:t>
            </w:r>
          </w:p>
        </w:tc>
        <w:tc>
          <w:tcPr>
            <w:tcW w:w="1434" w:type="dxa"/>
            <w:tcBorders>
              <w:top w:val="single" w:color="000000" w:sz="4" w:space="0"/>
              <w:left w:val="single" w:color="000000" w:sz="4" w:space="0"/>
              <w:bottom w:val="single" w:color="000000" w:sz="4" w:space="0"/>
              <w:right w:val="single" w:color="000000" w:sz="4" w:space="0"/>
            </w:tcBorders>
            <w:vAlign w:val="center"/>
          </w:tcPr>
          <w:p w14:paraId="209EBE49">
            <w:pPr>
              <w:widowControl/>
              <w:spacing w:after="0" w:line="360" w:lineRule="auto"/>
              <w:jc w:val="center"/>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授权代表</w:t>
            </w:r>
          </w:p>
        </w:tc>
      </w:tr>
      <w:tr w14:paraId="301E3B57">
        <w:tblPrEx>
          <w:tblCellMar>
            <w:top w:w="0" w:type="dxa"/>
            <w:left w:w="108" w:type="dxa"/>
            <w:bottom w:w="0" w:type="dxa"/>
            <w:right w:w="108" w:type="dxa"/>
          </w:tblCellMar>
        </w:tblPrEx>
        <w:trPr>
          <w:trHeight w:val="531"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0A063DB8">
            <w:pPr>
              <w:widowControl/>
              <w:spacing w:after="0" w:line="360" w:lineRule="auto"/>
              <w:jc w:val="center"/>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C7A80DB">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494" w:type="dxa"/>
            <w:tcBorders>
              <w:top w:val="single" w:color="000000" w:sz="4" w:space="0"/>
              <w:left w:val="single" w:color="000000" w:sz="4" w:space="0"/>
              <w:bottom w:val="single" w:color="000000" w:sz="4" w:space="0"/>
              <w:right w:val="single" w:color="000000" w:sz="4" w:space="0"/>
            </w:tcBorders>
            <w:vAlign w:val="center"/>
          </w:tcPr>
          <w:p w14:paraId="72AE1032">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14:paraId="1AB048AD">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7E0C7B9">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55AEADD">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c>
          <w:tcPr>
            <w:tcW w:w="1434" w:type="dxa"/>
            <w:tcBorders>
              <w:top w:val="single" w:color="000000" w:sz="4" w:space="0"/>
              <w:left w:val="single" w:color="000000" w:sz="4" w:space="0"/>
              <w:bottom w:val="single" w:color="000000" w:sz="4" w:space="0"/>
              <w:right w:val="single" w:color="000000" w:sz="4" w:space="0"/>
            </w:tcBorders>
            <w:vAlign w:val="center"/>
          </w:tcPr>
          <w:p w14:paraId="0BF0CE12">
            <w:pPr>
              <w:spacing w:after="0" w:line="360" w:lineRule="auto"/>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tc>
      </w:tr>
      <w:tr w14:paraId="6A62E6FF">
        <w:tblPrEx>
          <w:tblCellMar>
            <w:top w:w="0" w:type="dxa"/>
            <w:left w:w="108" w:type="dxa"/>
            <w:bottom w:w="0" w:type="dxa"/>
            <w:right w:w="108" w:type="dxa"/>
          </w:tblCellMar>
        </w:tblPrEx>
        <w:trPr>
          <w:trHeight w:val="705" w:hRule="atLeast"/>
        </w:trPr>
        <w:tc>
          <w:tcPr>
            <w:tcW w:w="10117" w:type="dxa"/>
            <w:gridSpan w:val="7"/>
            <w:tcBorders>
              <w:top w:val="single" w:color="000000" w:sz="4" w:space="0"/>
              <w:left w:val="single" w:color="000000" w:sz="4" w:space="0"/>
              <w:bottom w:val="single" w:color="000000" w:sz="4" w:space="0"/>
              <w:right w:val="single" w:color="000000" w:sz="4" w:space="0"/>
            </w:tcBorders>
            <w:vAlign w:val="center"/>
          </w:tcPr>
          <w:p w14:paraId="12D7584B">
            <w:pPr>
              <w:widowControl/>
              <w:spacing w:after="0" w:line="360" w:lineRule="auto"/>
              <w:jc w:val="left"/>
              <w:textAlignment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投标人全称（盖章）：</w:t>
            </w:r>
          </w:p>
        </w:tc>
      </w:tr>
    </w:tbl>
    <w:p w14:paraId="6F44B5DA">
      <w:pPr>
        <w:spacing w:after="0" w:line="360" w:lineRule="auto"/>
        <w:rPr>
          <w:rFonts w:hint="eastAsia" w:ascii="宋体" w:hAnsi="宋体" w:cs="宋体"/>
          <w:b/>
          <w:bCs/>
          <w:color w:val="0D0D0D" w:themeColor="text1" w:themeTint="F2"/>
          <w14:textFill>
            <w14:solidFill>
              <w14:schemeClr w14:val="tx1">
                <w14:lumMod w14:val="95000"/>
                <w14:lumOff w14:val="5000"/>
              </w14:schemeClr>
            </w14:solidFill>
          </w14:textFill>
        </w:rPr>
      </w:pPr>
    </w:p>
    <w:p w14:paraId="3A0157A5">
      <w:pPr>
        <w:snapToGrid w:val="0"/>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608C1AB3">
      <w:pPr>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79E922FC">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五、交货清单</w:t>
      </w:r>
    </w:p>
    <w:p w14:paraId="7FF01534">
      <w:pPr>
        <w:pStyle w:val="85"/>
        <w:spacing w:after="0" w:line="360" w:lineRule="auto"/>
        <w:ind w:firstLine="0" w:firstLineChars="0"/>
        <w:rPr>
          <w:rFonts w:hint="eastAsia" w:ascii="宋体" w:hAnsi="宋体" w:cs="宋体"/>
          <w:color w:val="0D0D0D" w:themeColor="text1" w:themeTint="F2"/>
          <w14:textFill>
            <w14:solidFill>
              <w14:schemeClr w14:val="tx1">
                <w14:lumMod w14:val="95000"/>
                <w14:lumOff w14:val="5000"/>
              </w14:schemeClr>
            </w14:solidFill>
          </w14:textFill>
        </w:rPr>
      </w:pPr>
    </w:p>
    <w:p w14:paraId="386A6F3E">
      <w:pPr>
        <w:spacing w:after="0" w:line="360" w:lineRule="auto"/>
        <w:ind w:firstLine="315" w:firstLineChars="150"/>
        <w:rPr>
          <w:rFonts w:hint="eastAsia" w:ascii="宋体" w:hAnsi="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项目名称：                   项目编号：            </w:t>
      </w:r>
    </w:p>
    <w:tbl>
      <w:tblPr>
        <w:tblStyle w:val="6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25"/>
        <w:gridCol w:w="1065"/>
        <w:gridCol w:w="2603"/>
        <w:gridCol w:w="1177"/>
        <w:gridCol w:w="1110"/>
        <w:gridCol w:w="1080"/>
      </w:tblGrid>
      <w:tr w14:paraId="7AD2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900" w:type="dxa"/>
            <w:vMerge w:val="restart"/>
            <w:vAlign w:val="center"/>
          </w:tcPr>
          <w:p w14:paraId="663A6108">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序号</w:t>
            </w:r>
          </w:p>
        </w:tc>
        <w:tc>
          <w:tcPr>
            <w:tcW w:w="1425" w:type="dxa"/>
            <w:vMerge w:val="restart"/>
            <w:vAlign w:val="center"/>
          </w:tcPr>
          <w:p w14:paraId="68A962FE">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产品名称</w:t>
            </w:r>
          </w:p>
        </w:tc>
        <w:tc>
          <w:tcPr>
            <w:tcW w:w="1065" w:type="dxa"/>
            <w:vMerge w:val="restart"/>
            <w:vAlign w:val="center"/>
          </w:tcPr>
          <w:p w14:paraId="4547AA7A">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品牌</w:t>
            </w:r>
          </w:p>
        </w:tc>
        <w:tc>
          <w:tcPr>
            <w:tcW w:w="2603" w:type="dxa"/>
            <w:vMerge w:val="restart"/>
            <w:vAlign w:val="center"/>
          </w:tcPr>
          <w:p w14:paraId="6963DBFD">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规格及型号</w:t>
            </w:r>
          </w:p>
        </w:tc>
        <w:tc>
          <w:tcPr>
            <w:tcW w:w="1177" w:type="dxa"/>
            <w:vMerge w:val="restart"/>
            <w:vAlign w:val="center"/>
          </w:tcPr>
          <w:p w14:paraId="36FB78AA">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生产厂家</w:t>
            </w:r>
          </w:p>
        </w:tc>
        <w:tc>
          <w:tcPr>
            <w:tcW w:w="1110" w:type="dxa"/>
            <w:vMerge w:val="restart"/>
            <w:vAlign w:val="center"/>
          </w:tcPr>
          <w:p w14:paraId="6850DFFB">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单位</w:t>
            </w:r>
          </w:p>
        </w:tc>
        <w:tc>
          <w:tcPr>
            <w:tcW w:w="1080" w:type="dxa"/>
            <w:vMerge w:val="restart"/>
            <w:vAlign w:val="center"/>
          </w:tcPr>
          <w:p w14:paraId="01AD924E">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数量</w:t>
            </w:r>
          </w:p>
        </w:tc>
      </w:tr>
      <w:tr w14:paraId="6420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00" w:type="dxa"/>
            <w:vMerge w:val="continue"/>
            <w:vAlign w:val="center"/>
          </w:tcPr>
          <w:p w14:paraId="73B7CE29">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425" w:type="dxa"/>
            <w:vMerge w:val="continue"/>
            <w:vAlign w:val="center"/>
          </w:tcPr>
          <w:p w14:paraId="6D6CE66A">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065" w:type="dxa"/>
            <w:vMerge w:val="continue"/>
            <w:vAlign w:val="center"/>
          </w:tcPr>
          <w:p w14:paraId="05D06387">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2603" w:type="dxa"/>
            <w:vMerge w:val="continue"/>
            <w:vAlign w:val="center"/>
          </w:tcPr>
          <w:p w14:paraId="2686DEA1">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177" w:type="dxa"/>
            <w:vMerge w:val="continue"/>
          </w:tcPr>
          <w:p w14:paraId="1F177CE3">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110" w:type="dxa"/>
            <w:vMerge w:val="continue"/>
            <w:vAlign w:val="center"/>
          </w:tcPr>
          <w:p w14:paraId="631EE55B">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080" w:type="dxa"/>
            <w:vMerge w:val="continue"/>
            <w:vAlign w:val="center"/>
          </w:tcPr>
          <w:p w14:paraId="3351CC8B">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r>
      <w:tr w14:paraId="21CC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tcPr>
          <w:p w14:paraId="597211BD">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425" w:type="dxa"/>
          </w:tcPr>
          <w:p w14:paraId="081F7407">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065" w:type="dxa"/>
          </w:tcPr>
          <w:p w14:paraId="39B2E764">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2603" w:type="dxa"/>
          </w:tcPr>
          <w:p w14:paraId="1F63BFAC">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177" w:type="dxa"/>
          </w:tcPr>
          <w:p w14:paraId="50BCE2E1">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110" w:type="dxa"/>
          </w:tcPr>
          <w:p w14:paraId="7958B0D2">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c>
          <w:tcPr>
            <w:tcW w:w="1080" w:type="dxa"/>
          </w:tcPr>
          <w:p w14:paraId="5A845562">
            <w:pPr>
              <w:widowControl/>
              <w:spacing w:after="0" w:line="360" w:lineRule="auto"/>
              <w:jc w:val="center"/>
              <w:textAlignment w:val="center"/>
              <w:rPr>
                <w:rFonts w:hint="eastAsia" w:ascii="宋体" w:hAnsi="宋体" w:cs="宋体"/>
                <w:color w:val="0D0D0D" w:themeColor="text1" w:themeTint="F2"/>
                <w:kern w:val="0"/>
                <w:sz w:val="24"/>
                <w14:textFill>
                  <w14:solidFill>
                    <w14:schemeClr w14:val="tx1">
                      <w14:lumMod w14:val="95000"/>
                      <w14:lumOff w14:val="5000"/>
                    </w14:schemeClr>
                  </w14:solidFill>
                </w14:textFill>
              </w:rPr>
            </w:pPr>
          </w:p>
        </w:tc>
      </w:tr>
      <w:tr w14:paraId="30C9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3CCE23AF">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425" w:type="dxa"/>
          </w:tcPr>
          <w:p w14:paraId="4B3BD25B">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65" w:type="dxa"/>
          </w:tcPr>
          <w:p w14:paraId="5101C878">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603" w:type="dxa"/>
          </w:tcPr>
          <w:p w14:paraId="4C749483">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77" w:type="dxa"/>
          </w:tcPr>
          <w:p w14:paraId="2F72352A">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10" w:type="dxa"/>
          </w:tcPr>
          <w:p w14:paraId="4B6E625A">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80" w:type="dxa"/>
          </w:tcPr>
          <w:p w14:paraId="64BFE538">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6DA8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3CCC17F3">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425" w:type="dxa"/>
          </w:tcPr>
          <w:p w14:paraId="7CBFA7A8">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65" w:type="dxa"/>
          </w:tcPr>
          <w:p w14:paraId="5F8FC4D3">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603" w:type="dxa"/>
          </w:tcPr>
          <w:p w14:paraId="297EC8F7">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77" w:type="dxa"/>
          </w:tcPr>
          <w:p w14:paraId="7FF07E4C">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10" w:type="dxa"/>
          </w:tcPr>
          <w:p w14:paraId="482A3041">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80" w:type="dxa"/>
          </w:tcPr>
          <w:p w14:paraId="158A1731">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152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003E7FD">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425" w:type="dxa"/>
          </w:tcPr>
          <w:p w14:paraId="60E7CB85">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65" w:type="dxa"/>
          </w:tcPr>
          <w:p w14:paraId="37779BD6">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603" w:type="dxa"/>
          </w:tcPr>
          <w:p w14:paraId="02A23783">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77" w:type="dxa"/>
          </w:tcPr>
          <w:p w14:paraId="24385D1B">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10" w:type="dxa"/>
          </w:tcPr>
          <w:p w14:paraId="21589759">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80" w:type="dxa"/>
          </w:tcPr>
          <w:p w14:paraId="5EB30733">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758F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3CE7E237">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425" w:type="dxa"/>
          </w:tcPr>
          <w:p w14:paraId="26DE38B7">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65" w:type="dxa"/>
          </w:tcPr>
          <w:p w14:paraId="36328B10">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603" w:type="dxa"/>
          </w:tcPr>
          <w:p w14:paraId="4C0DC2B2">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77" w:type="dxa"/>
          </w:tcPr>
          <w:p w14:paraId="46F3175B">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10" w:type="dxa"/>
          </w:tcPr>
          <w:p w14:paraId="76D3DF16">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80" w:type="dxa"/>
          </w:tcPr>
          <w:p w14:paraId="392257D0">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242D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2031F64D">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425" w:type="dxa"/>
          </w:tcPr>
          <w:p w14:paraId="37C2B2D4">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65" w:type="dxa"/>
          </w:tcPr>
          <w:p w14:paraId="4353341A">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603" w:type="dxa"/>
          </w:tcPr>
          <w:p w14:paraId="6A028F0D">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77" w:type="dxa"/>
          </w:tcPr>
          <w:p w14:paraId="7F36DC1B">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10" w:type="dxa"/>
          </w:tcPr>
          <w:p w14:paraId="76A6F7B5">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80" w:type="dxa"/>
          </w:tcPr>
          <w:p w14:paraId="7E79DD5A">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55CC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8C374B0">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425" w:type="dxa"/>
          </w:tcPr>
          <w:p w14:paraId="4D603AA2">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65" w:type="dxa"/>
          </w:tcPr>
          <w:p w14:paraId="7FB6499D">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603" w:type="dxa"/>
          </w:tcPr>
          <w:p w14:paraId="0F331A67">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77" w:type="dxa"/>
          </w:tcPr>
          <w:p w14:paraId="36889964">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10" w:type="dxa"/>
          </w:tcPr>
          <w:p w14:paraId="31715F1B">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80" w:type="dxa"/>
          </w:tcPr>
          <w:p w14:paraId="655A571D">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bl>
    <w:p w14:paraId="2E907ACC">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p w14:paraId="77C3A764">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投标人名称（盖章）：</w:t>
      </w:r>
    </w:p>
    <w:p w14:paraId="27F9ABE1">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p w14:paraId="304396A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p w14:paraId="2BF75C30">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日  期：</w:t>
      </w:r>
    </w:p>
    <w:p w14:paraId="4B9856E8">
      <w:pPr>
        <w:pStyle w:val="23"/>
        <w:spacing w:after="0"/>
        <w:rPr>
          <w:rFonts w:hint="eastAsia" w:hAnsi="宋体" w:cs="宋体"/>
          <w:color w:val="0D0D0D" w:themeColor="text1" w:themeTint="F2"/>
          <w:lang w:val="en-US"/>
          <w14:textFill>
            <w14:solidFill>
              <w14:schemeClr w14:val="tx1">
                <w14:lumMod w14:val="95000"/>
                <w14:lumOff w14:val="5000"/>
              </w14:schemeClr>
            </w14:solidFill>
          </w14:textFill>
        </w:rPr>
      </w:pPr>
    </w:p>
    <w:p w14:paraId="2E4AE856">
      <w:pPr>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0ABFEDDB">
      <w:pPr>
        <w:spacing w:after="0" w:line="360" w:lineRule="auto"/>
        <w:ind w:firstLine="482"/>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六、技术规范偏离表</w:t>
      </w:r>
    </w:p>
    <w:p w14:paraId="0014B06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p w14:paraId="34BFD142">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项目名称：                   项目编号：            </w:t>
      </w:r>
    </w:p>
    <w:tbl>
      <w:tblPr>
        <w:tblStyle w:val="62"/>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36"/>
        <w:gridCol w:w="2100"/>
        <w:gridCol w:w="2625"/>
        <w:gridCol w:w="1890"/>
      </w:tblGrid>
      <w:tr w14:paraId="3A42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DCB9E28">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序号</w:t>
            </w:r>
          </w:p>
        </w:tc>
        <w:tc>
          <w:tcPr>
            <w:tcW w:w="1236" w:type="dxa"/>
            <w:vAlign w:val="center"/>
          </w:tcPr>
          <w:p w14:paraId="477F2917">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产品名称</w:t>
            </w:r>
          </w:p>
        </w:tc>
        <w:tc>
          <w:tcPr>
            <w:tcW w:w="2100" w:type="dxa"/>
            <w:vAlign w:val="center"/>
          </w:tcPr>
          <w:p w14:paraId="745838E9">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技术要求</w:t>
            </w:r>
          </w:p>
        </w:tc>
        <w:tc>
          <w:tcPr>
            <w:tcW w:w="2625" w:type="dxa"/>
            <w:vAlign w:val="center"/>
          </w:tcPr>
          <w:p w14:paraId="778C2F83">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  投标响应</w:t>
            </w:r>
          </w:p>
        </w:tc>
        <w:tc>
          <w:tcPr>
            <w:tcW w:w="1890" w:type="dxa"/>
            <w:vAlign w:val="center"/>
          </w:tcPr>
          <w:p w14:paraId="5807B1F2">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偏离情况</w:t>
            </w:r>
          </w:p>
        </w:tc>
      </w:tr>
      <w:tr w14:paraId="329D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205F874A">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0BD5DDC1">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26A8ED9C">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9B051DD">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3C415D1B">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49F5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684750B2">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12EFAF8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102DB95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452C1CA4">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485397D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455A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59CA512E">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41993E6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2EFCF14E">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8C2140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08873074">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6610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3FA4AEF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2BD8FFF1">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3EDF7B9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1E95552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61F09853">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4462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2645D1A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5F89E909">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48BDDC8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6C2143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4E8E4E6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4900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1DD6A45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4E6B026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7A482C1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DD0662B">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7EEC442D">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1F57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325F6FBA">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124DF110">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5325B90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6937D639">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1E2227A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7F4A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7F4B295B">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017E9620">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70520C1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16A68642">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0D793DF6">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671F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745D5BE2">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3C9AE2AA">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1CF66D73">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4D19883">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67D4BB3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4366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35FAA8D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236" w:type="dxa"/>
          </w:tcPr>
          <w:p w14:paraId="6C2D41D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100" w:type="dxa"/>
          </w:tcPr>
          <w:p w14:paraId="1F438BE1">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7D5A082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01F8DDED">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bl>
    <w:p w14:paraId="4E81D786">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投标人名称（盖章）：</w:t>
      </w:r>
    </w:p>
    <w:p w14:paraId="663614FB">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43CFD134">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16998093">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日期：</w:t>
      </w:r>
    </w:p>
    <w:p w14:paraId="19E64239">
      <w:pPr>
        <w:pStyle w:val="23"/>
        <w:spacing w:after="0"/>
        <w:rPr>
          <w:rFonts w:hint="eastAsia" w:hAnsi="宋体" w:cs="宋体"/>
          <w:color w:val="0D0D0D" w:themeColor="text1" w:themeTint="F2"/>
          <w14:textFill>
            <w14:solidFill>
              <w14:schemeClr w14:val="tx1">
                <w14:lumMod w14:val="95000"/>
                <w14:lumOff w14:val="5000"/>
              </w14:schemeClr>
            </w14:solidFill>
          </w14:textFill>
        </w:rPr>
      </w:pPr>
    </w:p>
    <w:p w14:paraId="31874EBD">
      <w:pPr>
        <w:pStyle w:val="86"/>
        <w:spacing w:after="0" w:line="360" w:lineRule="auto"/>
        <w:rPr>
          <w:rFonts w:hint="eastAsia" w:ascii="宋体" w:hAnsi="宋体" w:cs="宋体"/>
          <w:color w:val="0D0D0D" w:themeColor="text1" w:themeTint="F2"/>
          <w14:textFill>
            <w14:solidFill>
              <w14:schemeClr w14:val="tx1">
                <w14:lumMod w14:val="95000"/>
                <w14:lumOff w14:val="5000"/>
              </w14:schemeClr>
            </w14:solidFill>
          </w14:textFill>
        </w:rPr>
      </w:pPr>
    </w:p>
    <w:p w14:paraId="2EE46DD2">
      <w:pPr>
        <w:pStyle w:val="86"/>
        <w:spacing w:after="0" w:line="360" w:lineRule="auto"/>
        <w:rPr>
          <w:rFonts w:hint="eastAsia" w:ascii="宋体" w:hAnsi="宋体" w:cs="宋体"/>
          <w:color w:val="0D0D0D" w:themeColor="text1" w:themeTint="F2"/>
          <w14:textFill>
            <w14:solidFill>
              <w14:schemeClr w14:val="tx1">
                <w14:lumMod w14:val="95000"/>
                <w14:lumOff w14:val="5000"/>
              </w14:schemeClr>
            </w14:solidFill>
          </w14:textFill>
        </w:rPr>
      </w:pPr>
    </w:p>
    <w:p w14:paraId="0C55DDD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p w14:paraId="552D598D">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p w14:paraId="47D15023">
      <w:pPr>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43FC275B">
      <w:pPr>
        <w:spacing w:after="0" w:line="360" w:lineRule="auto"/>
        <w:ind w:firstLine="482"/>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七、商务条款偏离表</w:t>
      </w:r>
    </w:p>
    <w:p w14:paraId="3B7EA354">
      <w:pPr>
        <w:spacing w:after="0" w:line="360" w:lineRule="auto"/>
        <w:ind w:firstLine="560"/>
        <w:jc w:val="center"/>
        <w:rPr>
          <w:rFonts w:hint="eastAsia" w:ascii="宋体" w:hAnsi="宋体" w:cs="宋体"/>
          <w:color w:val="0D0D0D" w:themeColor="text1" w:themeTint="F2"/>
          <w:sz w:val="28"/>
          <w14:textFill>
            <w14:solidFill>
              <w14:schemeClr w14:val="tx1">
                <w14:lumMod w14:val="95000"/>
                <w14:lumOff w14:val="5000"/>
              </w14:schemeClr>
            </w14:solidFill>
          </w14:textFill>
        </w:rPr>
      </w:pPr>
    </w:p>
    <w:p w14:paraId="044C9C1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项目名称：                   项目编号：               </w:t>
      </w:r>
    </w:p>
    <w:tbl>
      <w:tblPr>
        <w:tblStyle w:val="62"/>
        <w:tblW w:w="8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00"/>
        <w:gridCol w:w="2625"/>
        <w:gridCol w:w="1890"/>
      </w:tblGrid>
      <w:tr w14:paraId="1228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0A0DF322">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序号</w:t>
            </w:r>
          </w:p>
        </w:tc>
        <w:tc>
          <w:tcPr>
            <w:tcW w:w="2700" w:type="dxa"/>
            <w:vAlign w:val="center"/>
          </w:tcPr>
          <w:p w14:paraId="543516B9">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招标要求</w:t>
            </w:r>
          </w:p>
        </w:tc>
        <w:tc>
          <w:tcPr>
            <w:tcW w:w="2625" w:type="dxa"/>
            <w:vAlign w:val="center"/>
          </w:tcPr>
          <w:p w14:paraId="13B599F7">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  投标响应</w:t>
            </w:r>
          </w:p>
        </w:tc>
        <w:tc>
          <w:tcPr>
            <w:tcW w:w="1890" w:type="dxa"/>
            <w:vAlign w:val="center"/>
          </w:tcPr>
          <w:p w14:paraId="38E05BA4">
            <w:pPr>
              <w:spacing w:after="0" w:line="360" w:lineRule="auto"/>
              <w:jc w:val="center"/>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偏离情况</w:t>
            </w:r>
          </w:p>
        </w:tc>
      </w:tr>
      <w:tr w14:paraId="55E1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3767B8F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212FAA6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CA926FB">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404944CC">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2DEF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39F7EEEA">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7795541B">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6C88C7D">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46C27AD7">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7174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5410AA21">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1E5B8BCE">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90F332E">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172B414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2E31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10ACADD1">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4B94E3CC">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29F3DDC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0B8FFEE0">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3741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3FF5E45B">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57464F9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3F697B6D">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4CB0D751">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0150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5A5A9732">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60675086">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76890C14">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02A14E96">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37AF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0648B0C6">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2DB262F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2F8B1F36">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07392E3E">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7016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68EFC8CF">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51F7A90E">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251D6198">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7335C015">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426E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3A3C8589">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3EDBB89A">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0E45D200">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27960C9D">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r w14:paraId="6E2D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2A513194">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700" w:type="dxa"/>
          </w:tcPr>
          <w:p w14:paraId="07E7C7F2">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2625" w:type="dxa"/>
          </w:tcPr>
          <w:p w14:paraId="61EE45D6">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c>
          <w:tcPr>
            <w:tcW w:w="1890" w:type="dxa"/>
          </w:tcPr>
          <w:p w14:paraId="0CFA020E">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tc>
      </w:tr>
    </w:tbl>
    <w:p w14:paraId="63D510E1">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投标人名称（盖章）：</w:t>
      </w:r>
    </w:p>
    <w:p w14:paraId="7FF57175">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060EA106">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7A441F0B">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日期：</w:t>
      </w:r>
    </w:p>
    <w:p w14:paraId="2267EE39">
      <w:pPr>
        <w:pStyle w:val="23"/>
        <w:spacing w:after="0"/>
        <w:rPr>
          <w:rFonts w:hint="eastAsia" w:hAnsi="宋体" w:cs="宋体"/>
          <w:color w:val="0D0D0D" w:themeColor="text1" w:themeTint="F2"/>
          <w14:textFill>
            <w14:solidFill>
              <w14:schemeClr w14:val="tx1">
                <w14:lumMod w14:val="95000"/>
                <w14:lumOff w14:val="5000"/>
              </w14:schemeClr>
            </w14:solidFill>
          </w14:textFill>
        </w:rPr>
      </w:pPr>
    </w:p>
    <w:p w14:paraId="082AB2B0">
      <w:pPr>
        <w:spacing w:after="0" w:line="360" w:lineRule="auto"/>
        <w:ind w:firstLine="480"/>
        <w:rPr>
          <w:rFonts w:hint="eastAsia" w:ascii="宋体" w:hAnsi="宋体" w:cs="宋体"/>
          <w:color w:val="0D0D0D" w:themeColor="text1" w:themeTint="F2"/>
          <w14:textFill>
            <w14:solidFill>
              <w14:schemeClr w14:val="tx1">
                <w14:lumMod w14:val="95000"/>
                <w14:lumOff w14:val="5000"/>
              </w14:schemeClr>
            </w14:solidFill>
          </w14:textFill>
        </w:rPr>
      </w:pPr>
    </w:p>
    <w:p w14:paraId="6915C355">
      <w:pPr>
        <w:spacing w:after="0" w:line="360" w:lineRule="auto"/>
        <w:ind w:firstLine="482"/>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02F372F8">
      <w:pPr>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508E3476">
      <w:pPr>
        <w:spacing w:after="0" w:line="360" w:lineRule="auto"/>
        <w:ind w:firstLine="482"/>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八、完成的类似项目一览表</w:t>
      </w:r>
    </w:p>
    <w:p w14:paraId="7A7F7EB0">
      <w:pPr>
        <w:spacing w:after="0" w:line="360" w:lineRule="auto"/>
        <w:ind w:left="-720" w:firstLine="763"/>
        <w:jc w:val="center"/>
        <w:rPr>
          <w:rFonts w:hint="eastAsia" w:ascii="宋体" w:hAnsi="宋体" w:cs="宋体"/>
          <w:b/>
          <w:bCs/>
          <w:color w:val="0D0D0D" w:themeColor="text1" w:themeTint="F2"/>
          <w:spacing w:val="30"/>
          <w:sz w:val="32"/>
          <w14:textFill>
            <w14:solidFill>
              <w14:schemeClr w14:val="tx1">
                <w14:lumMod w14:val="95000"/>
                <w14:lumOff w14:val="5000"/>
              </w14:schemeClr>
            </w14:solidFill>
          </w14:textFill>
        </w:rPr>
      </w:pPr>
    </w:p>
    <w:p w14:paraId="082C2565">
      <w:pPr>
        <w:spacing w:after="0" w:line="360" w:lineRule="auto"/>
        <w:ind w:firstLine="840" w:firstLineChars="400"/>
        <w:rPr>
          <w:rFonts w:hint="eastAsia" w:ascii="宋体" w:hAnsi="宋体" w:cs="宋体"/>
          <w:b/>
          <w:bCs/>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项目名称：                   项目编号：              </w:t>
      </w:r>
    </w:p>
    <w:tbl>
      <w:tblPr>
        <w:tblStyle w:val="62"/>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160"/>
        <w:gridCol w:w="1440"/>
        <w:gridCol w:w="2340"/>
        <w:gridCol w:w="1676"/>
        <w:gridCol w:w="1024"/>
      </w:tblGrid>
      <w:tr w14:paraId="47EFD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0A3461F">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32C5D01B">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项目名称</w:t>
            </w:r>
          </w:p>
        </w:tc>
        <w:tc>
          <w:tcPr>
            <w:tcW w:w="1440" w:type="dxa"/>
            <w:tcBorders>
              <w:top w:val="single" w:color="auto" w:sz="4" w:space="0"/>
              <w:left w:val="single" w:color="auto" w:sz="4" w:space="0"/>
              <w:bottom w:val="single" w:color="auto" w:sz="4" w:space="0"/>
              <w:right w:val="single" w:color="auto" w:sz="4" w:space="0"/>
            </w:tcBorders>
            <w:vAlign w:val="center"/>
          </w:tcPr>
          <w:p w14:paraId="69CD622A">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项目时间</w:t>
            </w:r>
          </w:p>
          <w:p w14:paraId="073BD49B">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年/月</w:t>
            </w:r>
          </w:p>
        </w:tc>
        <w:tc>
          <w:tcPr>
            <w:tcW w:w="2340" w:type="dxa"/>
            <w:tcBorders>
              <w:top w:val="single" w:color="auto" w:sz="4" w:space="0"/>
              <w:left w:val="single" w:color="auto" w:sz="4" w:space="0"/>
              <w:bottom w:val="single" w:color="auto" w:sz="4" w:space="0"/>
              <w:right w:val="single" w:color="auto" w:sz="4" w:space="0"/>
            </w:tcBorders>
            <w:vAlign w:val="center"/>
          </w:tcPr>
          <w:p w14:paraId="1D57EEA4">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使用单位名称、地址及联系方式</w:t>
            </w:r>
          </w:p>
        </w:tc>
        <w:tc>
          <w:tcPr>
            <w:tcW w:w="1676" w:type="dxa"/>
            <w:tcBorders>
              <w:top w:val="single" w:color="auto" w:sz="4" w:space="0"/>
              <w:left w:val="single" w:color="auto" w:sz="4" w:space="0"/>
              <w:bottom w:val="single" w:color="auto" w:sz="4" w:space="0"/>
              <w:right w:val="single" w:color="auto" w:sz="4" w:space="0"/>
            </w:tcBorders>
            <w:vAlign w:val="center"/>
          </w:tcPr>
          <w:p w14:paraId="516AC31F">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项目合同金额（单位：万元）</w:t>
            </w:r>
          </w:p>
        </w:tc>
        <w:tc>
          <w:tcPr>
            <w:tcW w:w="1024" w:type="dxa"/>
            <w:tcBorders>
              <w:top w:val="single" w:color="auto" w:sz="4" w:space="0"/>
              <w:left w:val="single" w:color="auto" w:sz="4" w:space="0"/>
              <w:bottom w:val="single" w:color="auto" w:sz="4" w:space="0"/>
              <w:right w:val="single" w:color="auto" w:sz="4" w:space="0"/>
            </w:tcBorders>
            <w:vAlign w:val="center"/>
          </w:tcPr>
          <w:p w14:paraId="07CC6949">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备 注</w:t>
            </w:r>
          </w:p>
        </w:tc>
      </w:tr>
      <w:tr w14:paraId="3022A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tcPr>
          <w:p w14:paraId="56A53D4C">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1</w:t>
            </w:r>
          </w:p>
        </w:tc>
        <w:tc>
          <w:tcPr>
            <w:tcW w:w="2160" w:type="dxa"/>
            <w:tcBorders>
              <w:top w:val="single" w:color="auto" w:sz="4" w:space="0"/>
              <w:left w:val="single" w:color="auto" w:sz="4" w:space="0"/>
              <w:bottom w:val="single" w:color="auto" w:sz="4" w:space="0"/>
              <w:right w:val="single" w:color="auto" w:sz="4" w:space="0"/>
            </w:tcBorders>
          </w:tcPr>
          <w:p w14:paraId="1C2D6E05">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5E26E64">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2AB1AB20">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676" w:type="dxa"/>
            <w:tcBorders>
              <w:top w:val="single" w:color="auto" w:sz="4" w:space="0"/>
              <w:left w:val="single" w:color="auto" w:sz="4" w:space="0"/>
              <w:bottom w:val="single" w:color="auto" w:sz="4" w:space="0"/>
              <w:right w:val="single" w:color="auto" w:sz="4" w:space="0"/>
            </w:tcBorders>
          </w:tcPr>
          <w:p w14:paraId="7CFEB852">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024" w:type="dxa"/>
            <w:tcBorders>
              <w:top w:val="single" w:color="auto" w:sz="4" w:space="0"/>
              <w:left w:val="single" w:color="auto" w:sz="4" w:space="0"/>
              <w:bottom w:val="single" w:color="auto" w:sz="4" w:space="0"/>
              <w:right w:val="single" w:color="auto" w:sz="4" w:space="0"/>
            </w:tcBorders>
          </w:tcPr>
          <w:p w14:paraId="52F22FDA">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r>
      <w:tr w14:paraId="13708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tcPr>
          <w:p w14:paraId="3C6E4914">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2</w:t>
            </w:r>
          </w:p>
        </w:tc>
        <w:tc>
          <w:tcPr>
            <w:tcW w:w="2160" w:type="dxa"/>
            <w:tcBorders>
              <w:top w:val="single" w:color="auto" w:sz="4" w:space="0"/>
              <w:left w:val="single" w:color="auto" w:sz="4" w:space="0"/>
              <w:bottom w:val="single" w:color="auto" w:sz="4" w:space="0"/>
              <w:right w:val="single" w:color="auto" w:sz="4" w:space="0"/>
            </w:tcBorders>
          </w:tcPr>
          <w:p w14:paraId="6DF64B12">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CAAE455">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63064ED8">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676" w:type="dxa"/>
            <w:tcBorders>
              <w:top w:val="single" w:color="auto" w:sz="4" w:space="0"/>
              <w:left w:val="single" w:color="auto" w:sz="4" w:space="0"/>
              <w:bottom w:val="single" w:color="auto" w:sz="4" w:space="0"/>
              <w:right w:val="single" w:color="auto" w:sz="4" w:space="0"/>
            </w:tcBorders>
          </w:tcPr>
          <w:p w14:paraId="040B96A1">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024" w:type="dxa"/>
            <w:tcBorders>
              <w:top w:val="single" w:color="auto" w:sz="4" w:space="0"/>
              <w:left w:val="single" w:color="auto" w:sz="4" w:space="0"/>
              <w:bottom w:val="single" w:color="auto" w:sz="4" w:space="0"/>
              <w:right w:val="single" w:color="auto" w:sz="4" w:space="0"/>
            </w:tcBorders>
          </w:tcPr>
          <w:p w14:paraId="4B9E5004">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r>
      <w:tr w14:paraId="00346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tcPr>
          <w:p w14:paraId="5EC881A6">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3</w:t>
            </w:r>
          </w:p>
        </w:tc>
        <w:tc>
          <w:tcPr>
            <w:tcW w:w="2160" w:type="dxa"/>
            <w:tcBorders>
              <w:top w:val="single" w:color="auto" w:sz="4" w:space="0"/>
              <w:left w:val="single" w:color="auto" w:sz="4" w:space="0"/>
              <w:bottom w:val="single" w:color="auto" w:sz="4" w:space="0"/>
              <w:right w:val="single" w:color="auto" w:sz="4" w:space="0"/>
            </w:tcBorders>
          </w:tcPr>
          <w:p w14:paraId="4D22A827">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599BAC2">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359E6F1B">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676" w:type="dxa"/>
            <w:tcBorders>
              <w:top w:val="single" w:color="auto" w:sz="4" w:space="0"/>
              <w:left w:val="single" w:color="auto" w:sz="4" w:space="0"/>
              <w:bottom w:val="single" w:color="auto" w:sz="4" w:space="0"/>
              <w:right w:val="single" w:color="auto" w:sz="4" w:space="0"/>
            </w:tcBorders>
          </w:tcPr>
          <w:p w14:paraId="1A19355A">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024" w:type="dxa"/>
            <w:tcBorders>
              <w:top w:val="single" w:color="auto" w:sz="4" w:space="0"/>
              <w:left w:val="single" w:color="auto" w:sz="4" w:space="0"/>
              <w:bottom w:val="single" w:color="auto" w:sz="4" w:space="0"/>
              <w:right w:val="single" w:color="auto" w:sz="4" w:space="0"/>
            </w:tcBorders>
          </w:tcPr>
          <w:p w14:paraId="54208FAA">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r>
      <w:tr w14:paraId="1D2EC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tcPr>
          <w:p w14:paraId="74A13DEB">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4</w:t>
            </w:r>
          </w:p>
        </w:tc>
        <w:tc>
          <w:tcPr>
            <w:tcW w:w="2160" w:type="dxa"/>
            <w:tcBorders>
              <w:top w:val="single" w:color="auto" w:sz="4" w:space="0"/>
              <w:left w:val="single" w:color="auto" w:sz="4" w:space="0"/>
              <w:bottom w:val="single" w:color="auto" w:sz="4" w:space="0"/>
              <w:right w:val="single" w:color="auto" w:sz="4" w:space="0"/>
            </w:tcBorders>
          </w:tcPr>
          <w:p w14:paraId="68D153FC">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18FDD43">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472830B3">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676" w:type="dxa"/>
            <w:tcBorders>
              <w:top w:val="single" w:color="auto" w:sz="4" w:space="0"/>
              <w:left w:val="single" w:color="auto" w:sz="4" w:space="0"/>
              <w:bottom w:val="single" w:color="auto" w:sz="4" w:space="0"/>
              <w:right w:val="single" w:color="auto" w:sz="4" w:space="0"/>
            </w:tcBorders>
          </w:tcPr>
          <w:p w14:paraId="6BE1294D">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024" w:type="dxa"/>
            <w:tcBorders>
              <w:top w:val="single" w:color="auto" w:sz="4" w:space="0"/>
              <w:left w:val="single" w:color="auto" w:sz="4" w:space="0"/>
              <w:bottom w:val="single" w:color="auto" w:sz="4" w:space="0"/>
              <w:right w:val="single" w:color="auto" w:sz="4" w:space="0"/>
            </w:tcBorders>
          </w:tcPr>
          <w:p w14:paraId="37FA6CDA">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r>
      <w:tr w14:paraId="05043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tcPr>
          <w:p w14:paraId="26963D99">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5</w:t>
            </w:r>
          </w:p>
        </w:tc>
        <w:tc>
          <w:tcPr>
            <w:tcW w:w="2160" w:type="dxa"/>
            <w:tcBorders>
              <w:top w:val="single" w:color="auto" w:sz="4" w:space="0"/>
              <w:left w:val="single" w:color="auto" w:sz="4" w:space="0"/>
              <w:bottom w:val="single" w:color="auto" w:sz="4" w:space="0"/>
              <w:right w:val="single" w:color="auto" w:sz="4" w:space="0"/>
            </w:tcBorders>
          </w:tcPr>
          <w:p w14:paraId="6CC5D931">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D2A18FE">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530DD390">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676" w:type="dxa"/>
            <w:tcBorders>
              <w:top w:val="single" w:color="auto" w:sz="4" w:space="0"/>
              <w:left w:val="single" w:color="auto" w:sz="4" w:space="0"/>
              <w:bottom w:val="single" w:color="auto" w:sz="4" w:space="0"/>
              <w:right w:val="single" w:color="auto" w:sz="4" w:space="0"/>
            </w:tcBorders>
          </w:tcPr>
          <w:p w14:paraId="547A2EED">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024" w:type="dxa"/>
            <w:tcBorders>
              <w:top w:val="single" w:color="auto" w:sz="4" w:space="0"/>
              <w:left w:val="single" w:color="auto" w:sz="4" w:space="0"/>
              <w:bottom w:val="single" w:color="auto" w:sz="4" w:space="0"/>
              <w:right w:val="single" w:color="auto" w:sz="4" w:space="0"/>
            </w:tcBorders>
          </w:tcPr>
          <w:p w14:paraId="6E671E59">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r>
      <w:tr w14:paraId="0CF2A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tcPr>
          <w:p w14:paraId="0EC6E331">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6</w:t>
            </w:r>
          </w:p>
        </w:tc>
        <w:tc>
          <w:tcPr>
            <w:tcW w:w="2160" w:type="dxa"/>
            <w:tcBorders>
              <w:top w:val="single" w:color="auto" w:sz="4" w:space="0"/>
              <w:left w:val="single" w:color="auto" w:sz="4" w:space="0"/>
              <w:bottom w:val="single" w:color="auto" w:sz="4" w:space="0"/>
              <w:right w:val="single" w:color="auto" w:sz="4" w:space="0"/>
            </w:tcBorders>
          </w:tcPr>
          <w:p w14:paraId="7F068B57">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91C7FD1">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15604E78">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676" w:type="dxa"/>
            <w:tcBorders>
              <w:top w:val="single" w:color="auto" w:sz="4" w:space="0"/>
              <w:left w:val="single" w:color="auto" w:sz="4" w:space="0"/>
              <w:bottom w:val="single" w:color="auto" w:sz="4" w:space="0"/>
              <w:right w:val="single" w:color="auto" w:sz="4" w:space="0"/>
            </w:tcBorders>
          </w:tcPr>
          <w:p w14:paraId="2AAF0765">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024" w:type="dxa"/>
            <w:tcBorders>
              <w:top w:val="single" w:color="auto" w:sz="4" w:space="0"/>
              <w:left w:val="single" w:color="auto" w:sz="4" w:space="0"/>
              <w:bottom w:val="single" w:color="auto" w:sz="4" w:space="0"/>
              <w:right w:val="single" w:color="auto" w:sz="4" w:space="0"/>
            </w:tcBorders>
          </w:tcPr>
          <w:p w14:paraId="17BB7134">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r>
      <w:tr w14:paraId="4F7D2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tcPr>
          <w:p w14:paraId="53A21B3D">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r>
              <w:rPr>
                <w:rFonts w:hint="eastAsia" w:ascii="宋体" w:hAnsi="宋体" w:cs="宋体"/>
                <w:color w:val="0D0D0D" w:themeColor="text1" w:themeTint="F2"/>
                <w:lang w:val="zh-CN"/>
                <w14:textFill>
                  <w14:solidFill>
                    <w14:schemeClr w14:val="tx1">
                      <w14:lumMod w14:val="95000"/>
                      <w14:lumOff w14:val="5000"/>
                    </w14:schemeClr>
                  </w14:solidFill>
                </w14:textFill>
              </w:rPr>
              <w:t>7</w:t>
            </w:r>
          </w:p>
        </w:tc>
        <w:tc>
          <w:tcPr>
            <w:tcW w:w="2160" w:type="dxa"/>
            <w:tcBorders>
              <w:top w:val="single" w:color="auto" w:sz="4" w:space="0"/>
              <w:left w:val="single" w:color="auto" w:sz="4" w:space="0"/>
              <w:bottom w:val="single" w:color="auto" w:sz="4" w:space="0"/>
              <w:right w:val="single" w:color="auto" w:sz="4" w:space="0"/>
            </w:tcBorders>
          </w:tcPr>
          <w:p w14:paraId="0CFBC4D6">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1BAF8C5">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6CE66BCA">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676" w:type="dxa"/>
            <w:tcBorders>
              <w:top w:val="single" w:color="auto" w:sz="4" w:space="0"/>
              <w:left w:val="single" w:color="auto" w:sz="4" w:space="0"/>
              <w:bottom w:val="single" w:color="auto" w:sz="4" w:space="0"/>
              <w:right w:val="single" w:color="auto" w:sz="4" w:space="0"/>
            </w:tcBorders>
          </w:tcPr>
          <w:p w14:paraId="5EC2167F">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c>
          <w:tcPr>
            <w:tcW w:w="1024" w:type="dxa"/>
            <w:tcBorders>
              <w:top w:val="single" w:color="auto" w:sz="4" w:space="0"/>
              <w:left w:val="single" w:color="auto" w:sz="4" w:space="0"/>
              <w:bottom w:val="single" w:color="auto" w:sz="4" w:space="0"/>
              <w:right w:val="single" w:color="auto" w:sz="4" w:space="0"/>
            </w:tcBorders>
          </w:tcPr>
          <w:p w14:paraId="56E5F88D">
            <w:pPr>
              <w:spacing w:after="0" w:line="360" w:lineRule="auto"/>
              <w:jc w:val="center"/>
              <w:rPr>
                <w:rFonts w:hint="eastAsia" w:ascii="宋体" w:hAnsi="宋体" w:cs="宋体"/>
                <w:color w:val="0D0D0D" w:themeColor="text1" w:themeTint="F2"/>
                <w:lang w:val="zh-CN"/>
                <w14:textFill>
                  <w14:solidFill>
                    <w14:schemeClr w14:val="tx1">
                      <w14:lumMod w14:val="95000"/>
                      <w14:lumOff w14:val="5000"/>
                    </w14:schemeClr>
                  </w14:solidFill>
                </w14:textFill>
              </w:rPr>
            </w:pPr>
          </w:p>
        </w:tc>
      </w:tr>
    </w:tbl>
    <w:p w14:paraId="0E6AA64E">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投标人名称（盖章）：</w:t>
      </w:r>
    </w:p>
    <w:p w14:paraId="2C7AADFE">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7971B0D4">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1999A0C4">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p>
    <w:p w14:paraId="35B93A79">
      <w:pPr>
        <w:pStyle w:val="85"/>
        <w:spacing w:after="0" w:line="360" w:lineRule="auto"/>
        <w:ind w:firstLine="460"/>
        <w:rPr>
          <w:rFonts w:hint="eastAsia"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日期：</w:t>
      </w:r>
    </w:p>
    <w:p w14:paraId="1E05016F">
      <w:pPr>
        <w:pStyle w:val="23"/>
        <w:spacing w:after="0"/>
        <w:rPr>
          <w:rFonts w:hint="eastAsia" w:hAnsi="宋体" w:cs="宋体"/>
          <w:i/>
          <w:iCs/>
          <w:color w:val="0D0D0D" w:themeColor="text1" w:themeTint="F2"/>
          <w:szCs w:val="24"/>
          <w14:textFill>
            <w14:solidFill>
              <w14:schemeClr w14:val="tx1">
                <w14:lumMod w14:val="95000"/>
                <w14:lumOff w14:val="5000"/>
              </w14:schemeClr>
            </w14:solidFill>
          </w14:textFill>
        </w:rPr>
      </w:pPr>
    </w:p>
    <w:p w14:paraId="4114D21F">
      <w:pPr>
        <w:spacing w:after="0" w:line="360" w:lineRule="auto"/>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br w:type="page"/>
      </w:r>
    </w:p>
    <w:p w14:paraId="56CDBE16">
      <w:pPr>
        <w:spacing w:after="0" w:line="360" w:lineRule="auto"/>
        <w:ind w:firstLine="1911" w:firstLineChars="595"/>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九、</w:t>
      </w:r>
      <w: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t>政府采购供应商廉洁自律承诺书</w:t>
      </w:r>
    </w:p>
    <w:p w14:paraId="2E022F21">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24D6D65D">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（采购人）、（采购代理机构）</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p>
    <w:p w14:paraId="60EA6B4D">
      <w:pPr>
        <w:autoSpaceDE w:val="0"/>
        <w:autoSpaceDN w:val="0"/>
        <w:spacing w:after="0" w:line="360" w:lineRule="auto"/>
        <w:ind w:left="2" w:leftChars="1"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我单位响应你</w:t>
      </w:r>
      <w:r>
        <w:rPr>
          <w:rFonts w:hint="eastAsia" w:ascii="宋体" w:hAnsi="宋体" w:cs="宋体"/>
          <w:color w:val="0D0D0D" w:themeColor="text1" w:themeTint="F2"/>
          <w:sz w:val="24"/>
          <w14:textFill>
            <w14:solidFill>
              <w14:schemeClr w14:val="tx1">
                <w14:lumMod w14:val="95000"/>
                <w14:lumOff w14:val="5000"/>
              </w14:schemeClr>
            </w14:solidFill>
          </w14:textFill>
        </w:rPr>
        <w:t>单位</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项目招标要求参加投标。在这次投标过程中和中标后，我们将严格遵守国家法律法规要求，并郑重承诺：</w:t>
      </w:r>
    </w:p>
    <w:p w14:paraId="1C2347AF">
      <w:pPr>
        <w:autoSpaceDE w:val="0"/>
        <w:autoSpaceDN w:val="0"/>
        <w:spacing w:after="0" w:line="360" w:lineRule="auto"/>
        <w:ind w:left="2" w:leftChars="1"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一、不向项目有关人员及部门赠送礼金礼物、有价证券、回扣以及中介费、介绍费、咨询费等好处费； </w:t>
      </w:r>
    </w:p>
    <w:p w14:paraId="1081CED5">
      <w:pPr>
        <w:autoSpaceDE w:val="0"/>
        <w:autoSpaceDN w:val="0"/>
        <w:spacing w:after="0" w:line="360" w:lineRule="auto"/>
        <w:ind w:left="2" w:leftChars="1"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二、不为项目有关人员及部门报销应由你方单位或个人支付的费用； </w:t>
      </w:r>
    </w:p>
    <w:p w14:paraId="5EE87514">
      <w:pPr>
        <w:autoSpaceDE w:val="0"/>
        <w:autoSpaceDN w:val="0"/>
        <w:spacing w:after="0" w:line="360" w:lineRule="auto"/>
        <w:ind w:left="2" w:leftChars="1"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三、不向项目有关人员及部门提供有可能影响公正的宴请和健身娱乐等活动； </w:t>
      </w:r>
    </w:p>
    <w:p w14:paraId="16E066D8">
      <w:pPr>
        <w:autoSpaceDE w:val="0"/>
        <w:autoSpaceDN w:val="0"/>
        <w:spacing w:after="0" w:line="360" w:lineRule="auto"/>
        <w:ind w:left="2" w:leftChars="1"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四、不为项目有关人员及部门出国（境）、旅游等提供方便；</w:t>
      </w:r>
    </w:p>
    <w:p w14:paraId="39D6397F">
      <w:pPr>
        <w:autoSpaceDE w:val="0"/>
        <w:autoSpaceDN w:val="0"/>
        <w:spacing w:after="0" w:line="360" w:lineRule="auto"/>
        <w:ind w:left="481" w:leftChars="229"/>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五、不为项目有关人员个人装修住房、婚丧嫁娶、配偶子女工作安排等提供</w:t>
      </w:r>
    </w:p>
    <w:p w14:paraId="6A688C7C">
      <w:pPr>
        <w:autoSpaceDE w:val="0"/>
        <w:autoSpaceDN w:val="0"/>
        <w:spacing w:after="0" w:line="360" w:lineRule="auto"/>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好处；</w:t>
      </w:r>
    </w:p>
    <w:p w14:paraId="47E25899">
      <w:pPr>
        <w:autoSpaceDE w:val="0"/>
        <w:autoSpaceDN w:val="0"/>
        <w:spacing w:after="0" w:line="360" w:lineRule="auto"/>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六、严格遵守《</w:t>
      </w:r>
      <w:r>
        <w:rPr>
          <w:rFonts w:hint="eastAsia" w:ascii="宋体" w:hAnsi="宋体" w:cs="宋体"/>
          <w:color w:val="0D0D0D" w:themeColor="text1" w:themeTint="F2"/>
          <w:sz w:val="24"/>
          <w:lang w:val="zh-CN"/>
          <w14:textFill>
            <w14:solidFill>
              <w14:schemeClr w14:val="tx1">
                <w14:lumMod w14:val="95000"/>
                <w14:lumOff w14:val="5000"/>
              </w14:schemeClr>
            </w14:solidFill>
          </w14:textFill>
        </w:rPr>
        <w:t>中华人民共和国</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政府采购法》、</w:t>
      </w:r>
      <w:r>
        <w:rPr>
          <w:rFonts w:hint="eastAsia" w:ascii="宋体" w:hAnsi="宋体" w:cs="宋体"/>
          <w:color w:val="0D0D0D" w:themeColor="text1" w:themeTint="F2"/>
          <w:sz w:val="24"/>
          <w:lang w:val="zh-CN"/>
          <w14:textFill>
            <w14:solidFill>
              <w14:schemeClr w14:val="tx1">
                <w14:lumMod w14:val="95000"/>
                <w14:lumOff w14:val="5000"/>
              </w14:schemeClr>
            </w14:solidFill>
          </w14:textFill>
        </w:rPr>
        <w:t>《中华人民共和国民法典》</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等法律法规，诚实守信，合法经营，坚决抵制各种违法违纪行为。 </w:t>
      </w:r>
    </w:p>
    <w:p w14:paraId="516DC078">
      <w:pPr>
        <w:autoSpaceDE w:val="0"/>
        <w:autoSpaceDN w:val="0"/>
        <w:spacing w:after="0" w:line="360" w:lineRule="auto"/>
        <w:ind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如违反上述承诺，你</w:t>
      </w:r>
      <w:r>
        <w:rPr>
          <w:rFonts w:hint="eastAsia" w:ascii="宋体" w:hAnsi="宋体" w:cs="宋体"/>
          <w:color w:val="0D0D0D" w:themeColor="text1" w:themeTint="F2"/>
          <w:sz w:val="24"/>
          <w14:textFill>
            <w14:solidFill>
              <w14:schemeClr w14:val="tx1">
                <w14:lumMod w14:val="95000"/>
                <w14:lumOff w14:val="5000"/>
              </w14:schemeClr>
            </w14:solidFill>
          </w14:textFill>
        </w:rPr>
        <w:t>单位</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有权立即取消我单位投标、中标或在建项目的建设资格，有权拒绝我单位在一定时期内进入你</w:t>
      </w:r>
      <w:r>
        <w:rPr>
          <w:rFonts w:hint="eastAsia" w:ascii="宋体" w:hAnsi="宋体" w:cs="宋体"/>
          <w:color w:val="0D0D0D" w:themeColor="text1" w:themeTint="F2"/>
          <w:sz w:val="24"/>
          <w14:textFill>
            <w14:solidFill>
              <w14:schemeClr w14:val="tx1">
                <w14:lumMod w14:val="95000"/>
                <w14:lumOff w14:val="5000"/>
              </w14:schemeClr>
            </w14:solidFill>
          </w14:textFill>
        </w:rPr>
        <w:t>单位</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进行项目建设或其他经营活动，并通报市财政局。由此引起的相应损失均由我单位承担。</w:t>
      </w:r>
    </w:p>
    <w:p w14:paraId="7A7DA218">
      <w:pPr>
        <w:autoSpaceDE w:val="0"/>
        <w:autoSpaceDN w:val="0"/>
        <w:spacing w:after="0" w:line="360" w:lineRule="auto"/>
        <w:ind w:left="2"/>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p>
    <w:p w14:paraId="40C05F24">
      <w:pPr>
        <w:autoSpaceDE w:val="0"/>
        <w:autoSpaceDN w:val="0"/>
        <w:spacing w:after="0" w:line="360" w:lineRule="auto"/>
        <w:ind w:left="2"/>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p>
    <w:p w14:paraId="2F0EBBA0">
      <w:pPr>
        <w:autoSpaceDE w:val="0"/>
        <w:autoSpaceDN w:val="0"/>
        <w:spacing w:after="0" w:line="360" w:lineRule="auto"/>
        <w:ind w:left="2"/>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p>
    <w:p w14:paraId="6340B0E8">
      <w:pPr>
        <w:autoSpaceDE w:val="0"/>
        <w:autoSpaceDN w:val="0"/>
        <w:spacing w:after="0" w:line="360" w:lineRule="auto"/>
        <w:ind w:left="2" w:leftChars="1" w:firstLine="4560" w:firstLineChars="19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投标人名称(盖章)：                                                                                                                                                                                                               </w:t>
      </w:r>
    </w:p>
    <w:p w14:paraId="43CF8E92">
      <w:pPr>
        <w:spacing w:after="0" w:line="360" w:lineRule="auto"/>
        <w:ind w:left="4620" w:leftChars="2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日期</w:t>
      </w:r>
      <w:r>
        <w:rPr>
          <w:rFonts w:hint="eastAsia" w:ascii="宋体" w:hAnsi="宋体" w:cs="宋体"/>
          <w:color w:val="0D0D0D" w:themeColor="text1" w:themeTint="F2"/>
          <w:kern w:val="0"/>
          <w:sz w:val="24"/>
          <w14:textFill>
            <w14:solidFill>
              <w14:schemeClr w14:val="tx1">
                <w14:lumMod w14:val="95000"/>
                <w14:lumOff w14:val="5000"/>
              </w14:schemeClr>
            </w14:solidFill>
          </w14:textFill>
        </w:rPr>
        <w:t>：</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   年   月   日</w:t>
      </w:r>
    </w:p>
    <w:p w14:paraId="0C9D4C29">
      <w:pPr>
        <w:spacing w:after="0" w:line="360" w:lineRule="auto"/>
        <w:jc w:val="center"/>
        <w:rPr>
          <w:rFonts w:hint="eastAsia" w:ascii="宋体" w:hAnsi="宋体" w:cs="宋体"/>
          <w:b/>
          <w:bCs/>
          <w:color w:val="0D0D0D" w:themeColor="text1" w:themeTint="F2"/>
          <w:sz w:val="24"/>
          <w14:textFill>
            <w14:solidFill>
              <w14:schemeClr w14:val="tx1">
                <w14:lumMod w14:val="95000"/>
                <w14:lumOff w14:val="5000"/>
              </w14:schemeClr>
            </w14:solidFill>
          </w14:textFill>
        </w:rPr>
      </w:pPr>
    </w:p>
    <w:p w14:paraId="097F8190">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注：按本格式和要求提供。</w:t>
      </w:r>
    </w:p>
    <w:p w14:paraId="7B9A1B6B">
      <w:pPr>
        <w:spacing w:after="0" w:line="360" w:lineRule="auto"/>
        <w:jc w:val="center"/>
        <w:rPr>
          <w:rFonts w:hint="eastAsia" w:ascii="宋体" w:hAnsi="宋体" w:cs="宋体"/>
          <w:b/>
          <w:bCs/>
          <w:color w:val="0D0D0D" w:themeColor="text1" w:themeTint="F2"/>
          <w:sz w:val="24"/>
          <w14:textFill>
            <w14:solidFill>
              <w14:schemeClr w14:val="tx1">
                <w14:lumMod w14:val="95000"/>
                <w14:lumOff w14:val="5000"/>
              </w14:schemeClr>
            </w14:solidFill>
          </w14:textFill>
        </w:rPr>
        <w:sectPr>
          <w:headerReference r:id="rId8" w:type="first"/>
          <w:footerReference r:id="rId10" w:type="first"/>
          <w:headerReference r:id="rId7" w:type="default"/>
          <w:footerReference r:id="rId9" w:type="default"/>
          <w:pgSz w:w="11906" w:h="16838"/>
          <w:pgMar w:top="1247" w:right="1304" w:bottom="1020" w:left="1304" w:header="720" w:footer="720" w:gutter="0"/>
          <w:cols w:space="0" w:num="1"/>
          <w:docGrid w:linePitch="312" w:charSpace="0"/>
        </w:sectPr>
      </w:pPr>
    </w:p>
    <w:p w14:paraId="621ADB38">
      <w:pPr>
        <w:spacing w:after="0" w:line="360" w:lineRule="auto"/>
        <w:jc w:val="cente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pPr>
      <w: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t>十、</w:t>
      </w:r>
      <w:r>
        <w:rPr>
          <w:rFonts w:hint="eastAsia" w:ascii="宋体" w:hAnsi="宋体" w:cs="宋体"/>
          <w:b/>
          <w:color w:val="0D0D0D" w:themeColor="text1" w:themeTint="F2"/>
          <w:kern w:val="0"/>
          <w:sz w:val="32"/>
          <w:szCs w:val="32"/>
          <w:lang w:val="zh-CN"/>
          <w14:textFill>
            <w14:solidFill>
              <w14:schemeClr w14:val="tx1">
                <w14:lumMod w14:val="95000"/>
                <w14:lumOff w14:val="5000"/>
              </w14:schemeClr>
            </w14:solidFill>
          </w14:textFill>
        </w:rPr>
        <w:t>缴纳采购代理服务费承诺书</w:t>
      </w:r>
    </w:p>
    <w:p w14:paraId="3B58DD38">
      <w:pPr>
        <w:pStyle w:val="325"/>
        <w:spacing w:after="0" w:line="360" w:lineRule="auto"/>
        <w:ind w:firstLine="562"/>
        <w:jc w:val="center"/>
        <w:rPr>
          <w:rFonts w:hint="eastAsia" w:ascii="仿宋_GB2312" w:hAnsi="仿宋_GB2312" w:eastAsia="仿宋_GB2312" w:cs="仿宋_GB2312"/>
          <w:b/>
          <w:bCs/>
          <w:color w:val="0D0D0D" w:themeColor="text1" w:themeTint="F2"/>
          <w:sz w:val="28"/>
          <w:szCs w:val="28"/>
          <w14:textFill>
            <w14:solidFill>
              <w14:schemeClr w14:val="tx1">
                <w14:lumMod w14:val="95000"/>
                <w14:lumOff w14:val="5000"/>
              </w14:schemeClr>
            </w14:solidFill>
          </w14:textFill>
        </w:rPr>
      </w:pPr>
    </w:p>
    <w:p w14:paraId="5B2B7A12">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浙江致信招标代理有限公司</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2DF6DE61">
      <w:pPr>
        <w:spacing w:after="0" w:line="360" w:lineRule="auto"/>
        <w:ind w:firstLine="44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我方在你公司组织的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【项目名称】（项目编号）</w:t>
      </w:r>
      <w:r>
        <w:rPr>
          <w:rFonts w:hint="eastAsia" w:ascii="宋体" w:hAnsi="宋体" w:cs="宋体"/>
          <w:color w:val="0D0D0D" w:themeColor="text1" w:themeTint="F2"/>
          <w:sz w:val="24"/>
          <w14:textFill>
            <w14:solidFill>
              <w14:schemeClr w14:val="tx1">
                <w14:lumMod w14:val="95000"/>
                <w14:lumOff w14:val="5000"/>
              </w14:schemeClr>
            </w14:solidFill>
          </w14:textFill>
        </w:rPr>
        <w:t>的采购活动中若获成交，我方保证于中标后[5个工作日内]，按采购文件</w:t>
      </w:r>
      <w:r>
        <w:rPr>
          <w:rFonts w:hint="eastAsia" w:ascii="宋体" w:hAnsi="宋体" w:cs="宋体"/>
          <w:b/>
          <w:color w:val="0D0D0D" w:themeColor="text1" w:themeTint="F2"/>
          <w:sz w:val="24"/>
          <w14:textFill>
            <w14:solidFill>
              <w14:schemeClr w14:val="tx1">
                <w14:lumMod w14:val="95000"/>
                <w14:lumOff w14:val="5000"/>
              </w14:schemeClr>
            </w14:solidFill>
          </w14:textFill>
        </w:rPr>
        <w:t>“投标人须知前附表”</w:t>
      </w:r>
      <w:r>
        <w:rPr>
          <w:rFonts w:hint="eastAsia" w:ascii="宋体" w:hAnsi="宋体" w:cs="宋体"/>
          <w:color w:val="0D0D0D" w:themeColor="text1" w:themeTint="F2"/>
          <w:sz w:val="24"/>
          <w14:textFill>
            <w14:solidFill>
              <w14:schemeClr w14:val="tx1">
                <w14:lumMod w14:val="95000"/>
                <w14:lumOff w14:val="5000"/>
              </w14:schemeClr>
            </w14:solidFill>
          </w14:textFill>
        </w:rPr>
        <w:t>规定的采购代理服务费缴纳标准及方式，向你公司支付采购代理服务费。</w:t>
      </w:r>
    </w:p>
    <w:p w14:paraId="72BE00E8">
      <w:pPr>
        <w:spacing w:after="0" w:line="360" w:lineRule="auto"/>
        <w:ind w:firstLine="44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我方理解并承诺，若未能按时缴纳采购代理服务费，由此产生的法律责任我方自行承担。我方承诺，本承诺书一旦盖章，即具有法律效力。</w:t>
      </w:r>
    </w:p>
    <w:p w14:paraId="7E35C408">
      <w:pPr>
        <w:pStyle w:val="325"/>
        <w:spacing w:after="0" w:line="360" w:lineRule="auto"/>
        <w:ind w:firstLine="44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特此承诺。</w:t>
      </w:r>
    </w:p>
    <w:p w14:paraId="6FAE5B91">
      <w:pPr>
        <w:pStyle w:val="325"/>
        <w:spacing w:after="0" w:line="360" w:lineRule="auto"/>
        <w:ind w:firstLine="440"/>
        <w:rPr>
          <w:rFonts w:hint="eastAsia" w:hAnsi="宋体" w:cs="宋体"/>
          <w:color w:val="0D0D0D" w:themeColor="text1" w:themeTint="F2"/>
          <w:sz w:val="24"/>
          <w:szCs w:val="24"/>
          <w14:textFill>
            <w14:solidFill>
              <w14:schemeClr w14:val="tx1">
                <w14:lumMod w14:val="95000"/>
                <w14:lumOff w14:val="5000"/>
              </w14:schemeClr>
            </w14:solidFill>
          </w14:textFill>
        </w:rPr>
      </w:pPr>
    </w:p>
    <w:p w14:paraId="0EFBC2D7">
      <w:pPr>
        <w:pStyle w:val="325"/>
        <w:spacing w:after="0" w:line="360" w:lineRule="auto"/>
        <w:ind w:firstLine="440"/>
        <w:rPr>
          <w:rFonts w:hint="eastAsia"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投标人全称（盖单位公章）：</w:t>
      </w:r>
    </w:p>
    <w:p w14:paraId="6B6E5AA4">
      <w:pPr>
        <w:pStyle w:val="325"/>
        <w:spacing w:after="0" w:line="360" w:lineRule="auto"/>
        <w:ind w:firstLine="440"/>
        <w:rPr>
          <w:rFonts w:hint="eastAsia" w:hAnsi="宋体" w:cs="宋体"/>
          <w:color w:val="0D0D0D" w:themeColor="text1" w:themeTint="F2"/>
          <w:sz w:val="24"/>
          <w:szCs w:val="24"/>
          <w:u w:val="single"/>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日期：</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 xml:space="preserve">   年  月  日</w:t>
      </w:r>
    </w:p>
    <w:p w14:paraId="039829B0">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7F83EBD2">
      <w:pPr>
        <w:spacing w:after="0" w:line="360" w:lineRule="auto"/>
        <w:jc w:val="center"/>
        <w:rPr>
          <w:rFonts w:hint="eastAsia" w:ascii="宋体" w:hAnsi="宋体" w:cs="宋体"/>
          <w:b/>
          <w:bCs/>
          <w:color w:val="0D0D0D" w:themeColor="text1" w:themeTint="F2"/>
          <w:sz w:val="24"/>
          <w14:textFill>
            <w14:solidFill>
              <w14:schemeClr w14:val="tx1">
                <w14:lumMod w14:val="95000"/>
                <w14:lumOff w14:val="5000"/>
              </w14:schemeClr>
            </w14:solidFill>
          </w14:textFill>
        </w:rPr>
        <w:sectPr>
          <w:pgSz w:w="11906" w:h="16838"/>
          <w:pgMar w:top="1247" w:right="1304" w:bottom="1020" w:left="1304" w:header="720" w:footer="720" w:gutter="0"/>
          <w:cols w:space="0" w:num="1"/>
          <w:docGrid w:linePitch="312" w:charSpace="0"/>
        </w:sectPr>
      </w:pPr>
    </w:p>
    <w:p w14:paraId="02FAE1E9">
      <w:pPr>
        <w:spacing w:after="0" w:line="360" w:lineRule="auto"/>
        <w:jc w:val="center"/>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bookmarkStart w:id="410" w:name="_Toc19200"/>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t>报价文件部分</w:t>
      </w:r>
      <w:bookmarkEnd w:id="410"/>
    </w:p>
    <w:p w14:paraId="6DB95C9E">
      <w:pPr>
        <w:spacing w:after="0" w:line="360" w:lineRule="auto"/>
        <w:jc w:val="center"/>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bookmarkStart w:id="411" w:name="_Toc32000"/>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t>目录</w:t>
      </w:r>
      <w:bookmarkEnd w:id="411"/>
    </w:p>
    <w:p w14:paraId="7B230359">
      <w:pPr>
        <w:spacing w:after="0" w:line="360" w:lineRule="auto"/>
        <w:jc w:val="center"/>
        <w:outlineLvl w:val="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p>
    <w:p w14:paraId="0944581C">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（1）开标一览表（报价表）…………………………………………………………（页码）</w:t>
      </w:r>
    </w:p>
    <w:p w14:paraId="1DF4D782">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（2）投标分项报价表…………………………………………………………………（页码）</w:t>
      </w:r>
    </w:p>
    <w:p w14:paraId="54FC4595">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（3）关于符合本国产品标准的声明函………………………………………………（页码）</w:t>
      </w:r>
    </w:p>
    <w:p w14:paraId="6D06372C">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（4）中小企业声明函…………………………………………………………………（页码）</w:t>
      </w:r>
    </w:p>
    <w:p w14:paraId="227F8F38">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（5）残疾人福利性单位声明函（如有需提供）……………………………………（页码）</w:t>
      </w:r>
    </w:p>
    <w:p w14:paraId="12A6111E">
      <w:pPr>
        <w:snapToGrid w:val="0"/>
        <w:spacing w:after="0" w:line="360" w:lineRule="auto"/>
        <w:rPr>
          <w:rFonts w:hint="eastAsia" w:ascii="宋体" w:hAnsi="宋体" w:cs="宋体"/>
          <w:color w:val="0D0D0D" w:themeColor="text1" w:themeTint="F2"/>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（6）省级以上监狱管理局、戒毒管理局（含新疆生产建设兵团）出具的属于监狱企业的证明文件（如有需提供）………………………………………………………………（页码）</w:t>
      </w:r>
    </w:p>
    <w:p w14:paraId="07EB611A">
      <w:pP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（7）投标人针对报价需要说明的其他文件和说明…………………………………（页码）</w:t>
      </w:r>
    </w:p>
    <w:p w14:paraId="6BF8D492">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43FFD2BC">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48444D23">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7F50258E">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40BDC3BA">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4B0A9C3F">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71190961">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6889CF0A">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09D895C4">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54F63F97">
      <w:pPr>
        <w:snapToGrid w:val="0"/>
        <w:spacing w:after="0" w:line="360" w:lineRule="auto"/>
        <w:jc w:val="center"/>
        <w:rPr>
          <w:rFonts w:hint="eastAsia" w:ascii="宋体" w:hAnsi="宋体" w:cs="宋体"/>
          <w:b/>
          <w:color w:val="0D0D0D" w:themeColor="text1" w:themeTint="F2"/>
          <w:kern w:val="0"/>
          <w:sz w:val="32"/>
          <w:szCs w:val="32"/>
          <w14:textFill>
            <w14:solidFill>
              <w14:schemeClr w14:val="tx1">
                <w14:lumMod w14:val="95000"/>
                <w14:lumOff w14:val="5000"/>
              </w14:schemeClr>
            </w14:solidFill>
          </w14:textFill>
        </w:rPr>
      </w:pPr>
    </w:p>
    <w:p w14:paraId="05F27753">
      <w:pPr>
        <w:pStyle w:val="696"/>
        <w:keepNext w:val="0"/>
        <w:pageBreakBefore w:val="0"/>
        <w:tabs>
          <w:tab w:val="clear" w:pos="720"/>
        </w:tabs>
        <w:snapToGrid w:val="0"/>
        <w:spacing w:after="0"/>
        <w:ind w:firstLine="643"/>
        <w:outlineLvl w:val="9"/>
        <w:rPr>
          <w:rFonts w:hint="eastAsia" w:ascii="宋体" w:hAnsi="宋体" w:eastAsia="宋体" w:cs="宋体"/>
          <w:color w:val="0D0D0D" w:themeColor="text1" w:themeTint="F2"/>
          <w:kern w:val="2"/>
          <w:sz w:val="32"/>
          <w:szCs w:val="32"/>
          <w14:textFill>
            <w14:solidFill>
              <w14:schemeClr w14:val="tx1">
                <w14:lumMod w14:val="95000"/>
                <w14:lumOff w14:val="5000"/>
              </w14:schemeClr>
            </w14:solidFill>
          </w14:textFill>
        </w:rPr>
        <w:sectPr>
          <w:headerReference r:id="rId12" w:type="first"/>
          <w:footerReference r:id="rId14" w:type="first"/>
          <w:headerReference r:id="rId11" w:type="default"/>
          <w:footerReference r:id="rId13" w:type="default"/>
          <w:pgSz w:w="11906" w:h="16838"/>
          <w:pgMar w:top="1247" w:right="1304" w:bottom="1020" w:left="1304" w:header="720" w:footer="720" w:gutter="0"/>
          <w:cols w:space="0" w:num="1"/>
          <w:docGrid w:linePitch="312" w:charSpace="0"/>
        </w:sectPr>
      </w:pPr>
    </w:p>
    <w:p w14:paraId="41D85B1B">
      <w:pPr>
        <w:pStyle w:val="696"/>
        <w:keepNext w:val="0"/>
        <w:pageBreakBefore w:val="0"/>
        <w:tabs>
          <w:tab w:val="clear" w:pos="720"/>
        </w:tabs>
        <w:snapToGrid w:val="0"/>
        <w:spacing w:after="0"/>
        <w:ind w:firstLine="643"/>
        <w:outlineLvl w:val="9"/>
        <w:rPr>
          <w:rFonts w:hint="eastAsia" w:ascii="宋体" w:hAnsi="宋体" w:eastAsia="宋体" w:cs="宋体"/>
          <w:color w:val="0D0D0D" w:themeColor="text1" w:themeTint="F2"/>
          <w:kern w:val="2"/>
          <w:sz w:val="32"/>
          <w:szCs w:val="32"/>
          <w14:textFill>
            <w14:solidFill>
              <w14:schemeClr w14:val="tx1">
                <w14:lumMod w14:val="95000"/>
                <w14:lumOff w14:val="5000"/>
              </w14:schemeClr>
            </w14:solidFill>
          </w14:textFill>
        </w:rPr>
      </w:pPr>
      <w:bookmarkStart w:id="412" w:name="_Toc29590"/>
      <w:r>
        <w:rPr>
          <w:rFonts w:hint="eastAsia" w:ascii="宋体" w:hAnsi="宋体" w:eastAsia="宋体" w:cs="宋体"/>
          <w:color w:val="0D0D0D" w:themeColor="text1" w:themeTint="F2"/>
          <w:kern w:val="2"/>
          <w:sz w:val="32"/>
          <w:szCs w:val="32"/>
          <w14:textFill>
            <w14:solidFill>
              <w14:schemeClr w14:val="tx1">
                <w14:lumMod w14:val="95000"/>
                <w14:lumOff w14:val="5000"/>
              </w14:schemeClr>
            </w14:solidFill>
          </w14:textFill>
        </w:rPr>
        <w:t>一、开标一览表（报价表）</w:t>
      </w:r>
      <w:bookmarkEnd w:id="412"/>
    </w:p>
    <w:p w14:paraId="242BFE3E">
      <w:pPr>
        <w:snapToGrid w:val="0"/>
        <w:spacing w:after="0" w:line="360" w:lineRule="auto"/>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（采购人）、（采购代理机构）</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p>
    <w:p w14:paraId="46C5456C">
      <w:pPr>
        <w:snapToGrid w:val="0"/>
        <w:spacing w:after="0" w:line="360" w:lineRule="auto"/>
        <w:ind w:firstLine="482"/>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按你方招标文件要求，我们，本投标文件签字方，谨此向你方发出要约如下：如你方接受本投标，我方承诺按照如下开标一览表（报价表）的价格完成</w:t>
      </w:r>
      <w:r>
        <w:rPr>
          <w:rFonts w:hint="eastAsia" w:ascii="宋体" w:hAnsi="宋体" w:cs="宋体"/>
          <w:color w:val="0D0D0D" w:themeColor="text1" w:themeTint="F2"/>
          <w:sz w:val="24"/>
          <w14:textFill>
            <w14:solidFill>
              <w14:schemeClr w14:val="tx1">
                <w14:lumMod w14:val="95000"/>
                <w14:lumOff w14:val="5000"/>
              </w14:schemeClr>
            </w14:solidFill>
          </w14:textFill>
        </w:rPr>
        <w:t>（项目名称）</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【招标编号：</w:t>
      </w:r>
      <w:r>
        <w:rPr>
          <w:rFonts w:hint="eastAsia" w:ascii="宋体" w:hAnsi="宋体" w:cs="宋体"/>
          <w:color w:val="0D0D0D" w:themeColor="text1" w:themeTint="F2"/>
          <w:sz w:val="24"/>
          <w14:textFill>
            <w14:solidFill>
              <w14:schemeClr w14:val="tx1">
                <w14:lumMod w14:val="95000"/>
                <w14:lumOff w14:val="5000"/>
              </w14:schemeClr>
            </w14:solidFill>
          </w14:textFill>
        </w:rPr>
        <w:t>（采购编号）】的实施</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p>
    <w:p w14:paraId="19052338">
      <w:pPr>
        <w:spacing w:after="0" w:line="360" w:lineRule="auto"/>
        <w:jc w:val="cente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t>开标一览表（报价表）(单位均为人民币元)</w:t>
      </w:r>
    </w:p>
    <w:tbl>
      <w:tblPr>
        <w:tblStyle w:val="62"/>
        <w:tblW w:w="9075"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2040"/>
        <w:gridCol w:w="1050"/>
        <w:gridCol w:w="840"/>
        <w:gridCol w:w="840"/>
        <w:gridCol w:w="1155"/>
        <w:gridCol w:w="1155"/>
      </w:tblGrid>
      <w:tr w14:paraId="66FC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735" w:type="dxa"/>
            <w:vMerge w:val="restart"/>
            <w:vAlign w:val="center"/>
          </w:tcPr>
          <w:p w14:paraId="7524CCCB">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序号</w:t>
            </w:r>
          </w:p>
        </w:tc>
        <w:tc>
          <w:tcPr>
            <w:tcW w:w="1260" w:type="dxa"/>
            <w:vMerge w:val="restart"/>
            <w:vAlign w:val="center"/>
          </w:tcPr>
          <w:p w14:paraId="1FD18374">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产品名称</w:t>
            </w:r>
          </w:p>
        </w:tc>
        <w:tc>
          <w:tcPr>
            <w:tcW w:w="2040" w:type="dxa"/>
            <w:vMerge w:val="restart"/>
            <w:vAlign w:val="center"/>
          </w:tcPr>
          <w:p w14:paraId="43ACCEC9">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品牌、规格及型号</w:t>
            </w:r>
          </w:p>
        </w:tc>
        <w:tc>
          <w:tcPr>
            <w:tcW w:w="1050" w:type="dxa"/>
            <w:vMerge w:val="restart"/>
            <w:vAlign w:val="center"/>
          </w:tcPr>
          <w:p w14:paraId="5785C019">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产地</w:t>
            </w:r>
          </w:p>
        </w:tc>
        <w:tc>
          <w:tcPr>
            <w:tcW w:w="840" w:type="dxa"/>
            <w:vMerge w:val="restart"/>
            <w:vAlign w:val="center"/>
          </w:tcPr>
          <w:p w14:paraId="41275912">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数量单位</w:t>
            </w:r>
          </w:p>
        </w:tc>
        <w:tc>
          <w:tcPr>
            <w:tcW w:w="840" w:type="dxa"/>
            <w:vMerge w:val="restart"/>
            <w:vAlign w:val="center"/>
          </w:tcPr>
          <w:p w14:paraId="1D90E726">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数量</w:t>
            </w:r>
          </w:p>
        </w:tc>
        <w:tc>
          <w:tcPr>
            <w:tcW w:w="1155" w:type="dxa"/>
            <w:vMerge w:val="restart"/>
            <w:vAlign w:val="center"/>
          </w:tcPr>
          <w:p w14:paraId="5B006DF3">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投标单价</w:t>
            </w:r>
          </w:p>
        </w:tc>
        <w:tc>
          <w:tcPr>
            <w:tcW w:w="1155" w:type="dxa"/>
            <w:vMerge w:val="restart"/>
            <w:vAlign w:val="center"/>
          </w:tcPr>
          <w:p w14:paraId="3A86F89E">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投标总价</w:t>
            </w:r>
          </w:p>
        </w:tc>
      </w:tr>
      <w:tr w14:paraId="1562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735" w:type="dxa"/>
            <w:vMerge w:val="continue"/>
            <w:vAlign w:val="center"/>
          </w:tcPr>
          <w:p w14:paraId="014B1D4E">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c>
          <w:tcPr>
            <w:tcW w:w="1260" w:type="dxa"/>
            <w:vMerge w:val="continue"/>
            <w:vAlign w:val="center"/>
          </w:tcPr>
          <w:p w14:paraId="39AFF79A">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c>
          <w:tcPr>
            <w:tcW w:w="2040" w:type="dxa"/>
            <w:vMerge w:val="continue"/>
            <w:vAlign w:val="center"/>
          </w:tcPr>
          <w:p w14:paraId="2EBAA69D">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c>
          <w:tcPr>
            <w:tcW w:w="1050" w:type="dxa"/>
            <w:vMerge w:val="continue"/>
          </w:tcPr>
          <w:p w14:paraId="4996A7E8">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c>
          <w:tcPr>
            <w:tcW w:w="840" w:type="dxa"/>
            <w:vMerge w:val="continue"/>
            <w:vAlign w:val="center"/>
          </w:tcPr>
          <w:p w14:paraId="33B44513">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c>
          <w:tcPr>
            <w:tcW w:w="840" w:type="dxa"/>
            <w:vMerge w:val="continue"/>
            <w:vAlign w:val="center"/>
          </w:tcPr>
          <w:p w14:paraId="25CAC2EB">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c>
          <w:tcPr>
            <w:tcW w:w="1155" w:type="dxa"/>
            <w:vMerge w:val="continue"/>
          </w:tcPr>
          <w:p w14:paraId="6EA4831E">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c>
          <w:tcPr>
            <w:tcW w:w="1155" w:type="dxa"/>
            <w:vMerge w:val="continue"/>
            <w:vAlign w:val="center"/>
          </w:tcPr>
          <w:p w14:paraId="3846F642">
            <w:pPr>
              <w:spacing w:after="0" w:line="360" w:lineRule="auto"/>
              <w:jc w:val="center"/>
              <w:rPr>
                <w:rFonts w:hint="eastAsia" w:ascii="宋体" w:hAnsi="宋体" w:cs="宋体"/>
                <w:color w:val="0D0D0D" w:themeColor="text1" w:themeTint="F2"/>
                <w:szCs w:val="21"/>
                <w14:textFill>
                  <w14:solidFill>
                    <w14:schemeClr w14:val="tx1">
                      <w14:lumMod w14:val="95000"/>
                      <w14:lumOff w14:val="5000"/>
                    </w14:schemeClr>
                  </w14:solidFill>
                </w14:textFill>
              </w:rPr>
            </w:pPr>
          </w:p>
        </w:tc>
      </w:tr>
      <w:tr w14:paraId="4FC6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6D7C0D7F">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260" w:type="dxa"/>
          </w:tcPr>
          <w:p w14:paraId="4B1EA7B7">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040" w:type="dxa"/>
          </w:tcPr>
          <w:p w14:paraId="7214E494">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50" w:type="dxa"/>
          </w:tcPr>
          <w:p w14:paraId="2691FE73">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840" w:type="dxa"/>
          </w:tcPr>
          <w:p w14:paraId="49DB3ED8">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840" w:type="dxa"/>
          </w:tcPr>
          <w:p w14:paraId="7B06BFBA">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55" w:type="dxa"/>
          </w:tcPr>
          <w:p w14:paraId="4CF64BEA">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55" w:type="dxa"/>
          </w:tcPr>
          <w:p w14:paraId="1FCB27E7">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32A6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0CFDDC19">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260" w:type="dxa"/>
          </w:tcPr>
          <w:p w14:paraId="01F16F92">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040" w:type="dxa"/>
          </w:tcPr>
          <w:p w14:paraId="2651E844">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50" w:type="dxa"/>
          </w:tcPr>
          <w:p w14:paraId="2F484356">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840" w:type="dxa"/>
          </w:tcPr>
          <w:p w14:paraId="024C016E">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840" w:type="dxa"/>
          </w:tcPr>
          <w:p w14:paraId="38DF7B81">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55" w:type="dxa"/>
          </w:tcPr>
          <w:p w14:paraId="7091D396">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55" w:type="dxa"/>
          </w:tcPr>
          <w:p w14:paraId="256F1C87">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2AC4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2ACFA0EB">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260" w:type="dxa"/>
          </w:tcPr>
          <w:p w14:paraId="7A5D29DD">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2040" w:type="dxa"/>
          </w:tcPr>
          <w:p w14:paraId="631C02F6">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050" w:type="dxa"/>
          </w:tcPr>
          <w:p w14:paraId="44AA84FD">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840" w:type="dxa"/>
          </w:tcPr>
          <w:p w14:paraId="5CBCADC8">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840" w:type="dxa"/>
          </w:tcPr>
          <w:p w14:paraId="4D63C39F">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55" w:type="dxa"/>
          </w:tcPr>
          <w:p w14:paraId="07548F2B">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c>
          <w:tcPr>
            <w:tcW w:w="1155" w:type="dxa"/>
          </w:tcPr>
          <w:p w14:paraId="52052762">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r w14:paraId="52FA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gridSpan w:val="3"/>
          </w:tcPr>
          <w:p w14:paraId="56624F32">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投标总价合计：</w:t>
            </w:r>
          </w:p>
        </w:tc>
        <w:tc>
          <w:tcPr>
            <w:tcW w:w="5040" w:type="dxa"/>
            <w:gridSpan w:val="5"/>
          </w:tcPr>
          <w:p w14:paraId="14852575">
            <w:pPr>
              <w:spacing w:after="0" w:line="360" w:lineRule="auto"/>
              <w:ind w:firstLine="600"/>
              <w:rPr>
                <w:rFonts w:hint="eastAsia" w:ascii="宋体" w:hAnsi="宋体" w:cs="宋体"/>
                <w:color w:val="0D0D0D" w:themeColor="text1" w:themeTint="F2"/>
                <w:sz w:val="30"/>
                <w14:textFill>
                  <w14:solidFill>
                    <w14:schemeClr w14:val="tx1">
                      <w14:lumMod w14:val="95000"/>
                      <w14:lumOff w14:val="5000"/>
                    </w14:schemeClr>
                  </w14:solidFill>
                </w14:textFill>
              </w:rPr>
            </w:pPr>
          </w:p>
        </w:tc>
      </w:tr>
    </w:tbl>
    <w:p w14:paraId="7540F10F">
      <w:pPr>
        <w:snapToGrid w:val="0"/>
        <w:spacing w:after="0" w:line="360" w:lineRule="auto"/>
        <w:ind w:left="480"/>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t>注：</w:t>
      </w:r>
    </w:p>
    <w:p w14:paraId="576CD232">
      <w:pPr>
        <w:spacing w:after="0" w:line="360" w:lineRule="auto"/>
        <w:ind w:left="-2" w:leftChars="-1" w:firstLine="480" w:firstLineChars="200"/>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1、投标人需按本表格式填写</w:t>
      </w:r>
      <w: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t>，</w:t>
      </w:r>
      <w:r>
        <w:rPr>
          <w:rFonts w:hint="eastAsia" w:ascii="宋体" w:hAnsi="宋体" w:cs="宋体"/>
          <w:b/>
          <w:color w:val="0D0D0D" w:themeColor="text1" w:themeTint="F2"/>
          <w:kern w:val="0"/>
          <w:sz w:val="24"/>
          <w14:textFill>
            <w14:solidFill>
              <w14:schemeClr w14:val="tx1">
                <w14:lumMod w14:val="95000"/>
                <w14:lumOff w14:val="5000"/>
              </w14:schemeClr>
            </w14:solidFill>
          </w14:textFill>
        </w:rPr>
        <w:t>否则视为</w:t>
      </w:r>
      <w:r>
        <w:rPr>
          <w:rFonts w:hint="eastAsia" w:ascii="宋体" w:hAnsi="宋体" w:cs="宋体"/>
          <w:b/>
          <w:color w:val="0D0D0D" w:themeColor="text1" w:themeTint="F2"/>
          <w:sz w:val="24"/>
          <w14:textFill>
            <w14:solidFill>
              <w14:schemeClr w14:val="tx1">
                <w14:lumMod w14:val="95000"/>
                <w14:lumOff w14:val="5000"/>
              </w14:schemeClr>
            </w14:solidFill>
          </w14:textFill>
        </w:rPr>
        <w:t>投标文件含有采购人不能接受的附加条件，投标无效</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p>
    <w:p w14:paraId="04C8AAD9">
      <w:pPr>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2、有关本项目实施所涉及的一切费用均计入报价。</w:t>
      </w:r>
      <w: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t>采购人将以合同形式有偿取得货物或服务，不接受投标人给予的赠品、回扣或者与采购无关的其他商品、服务</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w:t>
      </w:r>
      <w: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t>不得出现“0元”“免费赠送”等形式的无偿报价，</w:t>
      </w:r>
      <w:r>
        <w:rPr>
          <w:rFonts w:hint="eastAsia" w:ascii="宋体" w:hAnsi="宋体" w:cs="宋体"/>
          <w:b/>
          <w:color w:val="0D0D0D" w:themeColor="text1" w:themeTint="F2"/>
          <w:kern w:val="0"/>
          <w:sz w:val="24"/>
          <w14:textFill>
            <w14:solidFill>
              <w14:schemeClr w14:val="tx1">
                <w14:lumMod w14:val="95000"/>
                <w14:lumOff w14:val="5000"/>
              </w14:schemeClr>
            </w14:solidFill>
          </w14:textFill>
        </w:rPr>
        <w:t>否则视为</w:t>
      </w:r>
      <w:r>
        <w:rPr>
          <w:rFonts w:hint="eastAsia" w:ascii="宋体" w:hAnsi="宋体" w:cs="宋体"/>
          <w:b/>
          <w:color w:val="0D0D0D" w:themeColor="text1" w:themeTint="F2"/>
          <w:sz w:val="24"/>
          <w14:textFill>
            <w14:solidFill>
              <w14:schemeClr w14:val="tx1">
                <w14:lumMod w14:val="95000"/>
                <w14:lumOff w14:val="5000"/>
              </w14:schemeClr>
            </w14:solidFill>
          </w14:textFill>
        </w:rPr>
        <w:t>投标文件含有采购人不能接受的附加条件，投标无效</w:t>
      </w:r>
      <w:r>
        <w:rPr>
          <w:rFonts w:hint="eastAsia" w:ascii="宋体" w:hAnsi="宋体" w:cs="宋体"/>
          <w:b/>
          <w:color w:val="0D0D0D" w:themeColor="text1" w:themeTint="F2"/>
          <w:kern w:val="0"/>
          <w:sz w:val="24"/>
          <w:lang w:val="zh-CN"/>
          <w14:textFill>
            <w14:solidFill>
              <w14:schemeClr w14:val="tx1">
                <w14:lumMod w14:val="95000"/>
                <w14:lumOff w14:val="5000"/>
              </w14:schemeClr>
            </w14:solidFill>
          </w14:textFill>
        </w:rPr>
        <w:t>；采购内容未包含在《开标一览表（报价表）》名称栏中，投标人不能作出合理解释的，</w:t>
      </w:r>
      <w:r>
        <w:rPr>
          <w:rFonts w:hint="eastAsia" w:ascii="宋体" w:hAnsi="宋体" w:cs="宋体"/>
          <w:b/>
          <w:color w:val="0D0D0D" w:themeColor="text1" w:themeTint="F2"/>
          <w:kern w:val="0"/>
          <w:sz w:val="24"/>
          <w14:textFill>
            <w14:solidFill>
              <w14:schemeClr w14:val="tx1">
                <w14:lumMod w14:val="95000"/>
                <w14:lumOff w14:val="5000"/>
              </w14:schemeClr>
            </w14:solidFill>
          </w14:textFill>
        </w:rPr>
        <w:t>视为</w:t>
      </w:r>
      <w:r>
        <w:rPr>
          <w:rFonts w:hint="eastAsia" w:ascii="宋体" w:hAnsi="宋体" w:cs="宋体"/>
          <w:b/>
          <w:color w:val="0D0D0D" w:themeColor="text1" w:themeTint="F2"/>
          <w:sz w:val="24"/>
          <w14:textFill>
            <w14:solidFill>
              <w14:schemeClr w14:val="tx1">
                <w14:lumMod w14:val="95000"/>
                <w14:lumOff w14:val="5000"/>
              </w14:schemeClr>
            </w14:solidFill>
          </w14:textFill>
        </w:rPr>
        <w:t>投标文件含有采购人不能接受的附加条件的，投标无效。</w:t>
      </w:r>
    </w:p>
    <w:p w14:paraId="214F02C7">
      <w:pPr>
        <w:snapToGrid w:val="0"/>
        <w:spacing w:after="0" w:line="360" w:lineRule="auto"/>
        <w:ind w:firstLine="480" w:firstLineChars="200"/>
        <w:jc w:val="left"/>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3、特别提示：采购代理机构将对项目名称和项目编号，中标供应商名称、地址和中标金额，主要中标标的名称、品牌（如果有）、规格型号、数量、单价等予以公示。</w:t>
      </w:r>
    </w:p>
    <w:p w14:paraId="6F2A4BC1">
      <w:pPr>
        <w:snapToGrid w:val="0"/>
        <w:spacing w:after="0" w:line="360" w:lineRule="auto"/>
        <w:ind w:firstLine="480" w:firstLineChars="200"/>
        <w:jc w:val="left"/>
        <w:rPr>
          <w:rFonts w:hint="eastAsia" w:ascii="宋体" w:hAnsi="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2"/>
          <w:lang w:val="zh-CN"/>
          <w14:textFill>
            <w14:solidFill>
              <w14:schemeClr w14:val="tx1">
                <w14:lumMod w14:val="95000"/>
                <w14:lumOff w14:val="5000"/>
              </w14:schemeClr>
            </w14:solidFill>
          </w14:textFill>
        </w:rPr>
        <w:t>4、</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4A9258C">
      <w:pPr>
        <w:spacing w:after="0" w:line="360" w:lineRule="auto"/>
        <w:jc w:val="center"/>
        <w:rPr>
          <w:rFonts w:hint="eastAsia" w:ascii="宋体" w:hAnsi="宋体" w:cs="宋体"/>
          <w:color w:val="0D0D0D" w:themeColor="text1" w:themeTint="F2"/>
          <w:sz w:val="32"/>
          <w:szCs w:val="32"/>
          <w14:textFill>
            <w14:solidFill>
              <w14:schemeClr w14:val="tx1">
                <w14:lumMod w14:val="95000"/>
                <w14:lumOff w14:val="5000"/>
              </w14:schemeClr>
            </w14:solidFill>
          </w14:textFill>
        </w:rPr>
        <w:sectPr>
          <w:pgSz w:w="11906" w:h="16838"/>
          <w:pgMar w:top="1247" w:right="1304" w:bottom="1020" w:left="1304" w:header="720" w:footer="720" w:gutter="0"/>
          <w:cols w:space="0" w:num="1"/>
          <w:docGrid w:linePitch="312" w:charSpace="0"/>
        </w:sectPr>
      </w:pPr>
    </w:p>
    <w:p w14:paraId="28123E35">
      <w:pPr>
        <w:spacing w:line="360" w:lineRule="auto"/>
        <w:rPr>
          <w:rFonts w:hint="eastAsia" w:ascii="宋体" w:hAnsi="宋体"/>
          <w:b/>
          <w:color w:val="0D0D0D" w:themeColor="text1" w:themeTint="F2"/>
          <w:sz w:val="24"/>
          <w14:textFill>
            <w14:solidFill>
              <w14:schemeClr w14:val="tx1">
                <w14:lumMod w14:val="95000"/>
                <w14:lumOff w14:val="5000"/>
              </w14:schemeClr>
            </w14:solidFill>
          </w14:textFill>
        </w:rPr>
      </w:pPr>
      <w:bookmarkStart w:id="413" w:name="_Toc6221"/>
      <w:r>
        <w:rPr>
          <w:rFonts w:hint="eastAsia"/>
          <w:b/>
          <w:color w:val="0D0D0D" w:themeColor="text1" w:themeTint="F2"/>
          <w:sz w:val="24"/>
          <w14:textFill>
            <w14:solidFill>
              <w14:schemeClr w14:val="tx1">
                <w14:lumMod w14:val="95000"/>
                <w14:lumOff w14:val="5000"/>
              </w14:schemeClr>
            </w14:solidFill>
          </w14:textFill>
        </w:rPr>
        <w:t>三、关于符合本国产品标准的声明函</w:t>
      </w:r>
    </w:p>
    <w:p w14:paraId="5EE942A1">
      <w:pPr>
        <w:pStyle w:val="58"/>
        <w:rPr>
          <w:color w:val="0D0D0D" w:themeColor="text1" w:themeTint="F2"/>
          <w:sz w:val="30"/>
          <w:szCs w:val="30"/>
          <w14:textFill>
            <w14:solidFill>
              <w14:schemeClr w14:val="tx1">
                <w14:lumMod w14:val="95000"/>
                <w14:lumOff w14:val="5000"/>
              </w14:schemeClr>
            </w14:solidFill>
          </w14:textFill>
        </w:rPr>
      </w:pPr>
      <w:r>
        <w:rPr>
          <w:rFonts w:hint="eastAsia"/>
          <w:color w:val="0D0D0D" w:themeColor="text1" w:themeTint="F2"/>
          <w:sz w:val="30"/>
          <w:szCs w:val="30"/>
          <w14:textFill>
            <w14:solidFill>
              <w14:schemeClr w14:val="tx1">
                <w14:lumMod w14:val="95000"/>
                <w14:lumOff w14:val="5000"/>
              </w14:schemeClr>
            </w14:solidFill>
          </w14:textFill>
        </w:rPr>
        <w:t>关于符合本国产品标准的声明函</w:t>
      </w:r>
    </w:p>
    <w:p w14:paraId="35AE105A">
      <w:pPr>
        <w:spacing w:line="360" w:lineRule="auto"/>
        <w:ind w:firstLine="480" w:firstLineChars="200"/>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本公司（单位）郑重声明，根据《国务院办公厅关于在政府采购中实施本国产品标准及相关政策的通知》（国办发〔2025〕34号）的规定，本公司（单位）提供的以下产品属于本国产品。具体情况如下：</w:t>
      </w:r>
    </w:p>
    <w:p w14:paraId="71B61BD1">
      <w:pPr>
        <w:spacing w:line="360" w:lineRule="auto"/>
        <w:ind w:firstLine="480" w:firstLineChars="200"/>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（产品名称1）</w:t>
      </w:r>
      <w:r>
        <w:rPr>
          <w:rFonts w:hint="eastAsia" w:ascii="宋体" w:hAnsi="宋体"/>
          <w:color w:val="0D0D0D" w:themeColor="text1" w:themeTint="F2"/>
          <w:sz w:val="24"/>
          <w:vertAlign w:val="superscript"/>
          <w14:textFill>
            <w14:solidFill>
              <w14:schemeClr w14:val="tx1">
                <w14:lumMod w14:val="95000"/>
                <w14:lumOff w14:val="5000"/>
              </w14:schemeClr>
            </w14:solidFill>
          </w14:textFill>
        </w:rPr>
        <w:t>1</w:t>
      </w:r>
      <w:r>
        <w:rPr>
          <w:rFonts w:hint="eastAsia" w:ascii="宋体" w:hAnsi="宋体"/>
          <w:color w:val="0D0D0D" w:themeColor="text1" w:themeTint="F2"/>
          <w:sz w:val="24"/>
          <w14:textFill>
            <w14:solidFill>
              <w14:schemeClr w14:val="tx1">
                <w14:lumMod w14:val="95000"/>
                <w14:lumOff w14:val="5000"/>
              </w14:schemeClr>
            </w14:solidFill>
          </w14:textFill>
        </w:rPr>
        <w:t>，生产厂为</w:t>
      </w:r>
      <w:r>
        <w:rPr>
          <w:rFonts w:hint="eastAsia" w:ascii="宋体" w:hAnsi="宋体"/>
          <w:i/>
          <w:color w:val="0D0D0D" w:themeColor="text1" w:themeTint="F2"/>
          <w:sz w:val="24"/>
          <w:u w:val="single"/>
          <w14:textFill>
            <w14:solidFill>
              <w14:schemeClr w14:val="tx1">
                <w14:lumMod w14:val="95000"/>
                <w14:lumOff w14:val="5000"/>
              </w14:schemeClr>
            </w14:solidFill>
          </w14:textFill>
        </w:rPr>
        <w:t>（厂名）</w:t>
      </w:r>
      <w:r>
        <w:rPr>
          <w:rFonts w:hint="eastAsia" w:ascii="宋体" w:hAnsi="宋体"/>
          <w:color w:val="0D0D0D" w:themeColor="text1" w:themeTint="F2"/>
          <w:sz w:val="24"/>
          <w:vertAlign w:val="superscript"/>
          <w14:textFill>
            <w14:solidFill>
              <w14:schemeClr w14:val="tx1">
                <w14:lumMod w14:val="95000"/>
                <w14:lumOff w14:val="5000"/>
              </w14:schemeClr>
            </w14:solidFill>
          </w14:textFill>
        </w:rPr>
        <w:t>2</w:t>
      </w:r>
      <w:r>
        <w:rPr>
          <w:rFonts w:hint="eastAsia" w:ascii="宋体" w:hAnsi="宋体"/>
          <w:color w:val="0D0D0D" w:themeColor="text1" w:themeTint="F2"/>
          <w:sz w:val="24"/>
          <w14:textFill>
            <w14:solidFill>
              <w14:schemeClr w14:val="tx1">
                <w14:lumMod w14:val="95000"/>
                <w14:lumOff w14:val="5000"/>
              </w14:schemeClr>
            </w14:solidFill>
          </w14:textFill>
        </w:rPr>
        <w:t>，厂址为</w:t>
      </w:r>
      <w:r>
        <w:rPr>
          <w:rFonts w:hint="eastAsia" w:ascii="宋体" w:hAnsi="宋体"/>
          <w:i/>
          <w:color w:val="0D0D0D" w:themeColor="text1" w:themeTint="F2"/>
          <w:sz w:val="24"/>
          <w:u w:val="single"/>
          <w14:textFill>
            <w14:solidFill>
              <w14:schemeClr w14:val="tx1">
                <w14:lumMod w14:val="95000"/>
                <w14:lumOff w14:val="5000"/>
              </w14:schemeClr>
            </w14:solidFill>
          </w14:textFill>
        </w:rPr>
        <w:t>（生产厂址）</w:t>
      </w:r>
      <w:r>
        <w:rPr>
          <w:rFonts w:hint="eastAsia" w:ascii="宋体" w:hAnsi="宋体"/>
          <w:color w:val="0D0D0D" w:themeColor="text1" w:themeTint="F2"/>
          <w:sz w:val="24"/>
          <w14:textFill>
            <w14:solidFill>
              <w14:schemeClr w14:val="tx1">
                <w14:lumMod w14:val="95000"/>
                <w14:lumOff w14:val="5000"/>
              </w14:schemeClr>
            </w14:solidFill>
          </w14:textFill>
        </w:rPr>
        <w:t>。</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（产品名称1）</w:t>
      </w:r>
      <w:r>
        <w:rPr>
          <w:rFonts w:hint="eastAsia" w:ascii="宋体" w:hAnsi="宋体"/>
          <w:color w:val="0D0D0D" w:themeColor="text1" w:themeTint="F2"/>
          <w:sz w:val="24"/>
          <w14:textFill>
            <w14:solidFill>
              <w14:schemeClr w14:val="tx1">
                <w14:lumMod w14:val="95000"/>
                <w14:lumOff w14:val="5000"/>
              </w14:schemeClr>
            </w14:solidFill>
          </w14:textFill>
        </w:rPr>
        <w:t>的中国境内生产的组件成本占比≥</w:t>
      </w:r>
      <w:r>
        <w:rPr>
          <w:rFonts w:hint="eastAsia" w:ascii="宋体" w:hAnsi="宋体"/>
          <w:i/>
          <w:color w:val="0D0D0D" w:themeColor="text1" w:themeTint="F2"/>
          <w:sz w:val="24"/>
          <w:u w:val="single"/>
          <w14:textFill>
            <w14:solidFill>
              <w14:schemeClr w14:val="tx1">
                <w14:lumMod w14:val="95000"/>
                <w14:lumOff w14:val="5000"/>
              </w14:schemeClr>
            </w14:solidFill>
          </w14:textFill>
        </w:rPr>
        <w:t>（规定比例）</w:t>
      </w:r>
      <w:r>
        <w:rPr>
          <w:rFonts w:hint="eastAsia" w:ascii="宋体" w:hAnsi="宋体"/>
          <w:color w:val="0D0D0D" w:themeColor="text1" w:themeTint="F2"/>
          <w:sz w:val="24"/>
          <w:vertAlign w:val="superscript"/>
          <w14:textFill>
            <w14:solidFill>
              <w14:schemeClr w14:val="tx1">
                <w14:lumMod w14:val="95000"/>
                <w14:lumOff w14:val="5000"/>
              </w14:schemeClr>
            </w14:solidFill>
          </w14:textFill>
        </w:rPr>
        <w:t>3</w:t>
      </w:r>
      <w:r>
        <w:rPr>
          <w:rFonts w:hint="eastAsia" w:ascii="宋体" w:hAnsi="宋体"/>
          <w:color w:val="0D0D0D" w:themeColor="text1" w:themeTint="F2"/>
          <w:sz w:val="24"/>
          <w14:textFill>
            <w14:solidFill>
              <w14:schemeClr w14:val="tx1">
                <w14:lumMod w14:val="95000"/>
                <w14:lumOff w14:val="5000"/>
              </w14:schemeClr>
            </w14:solidFill>
          </w14:textFill>
        </w:rPr>
        <w:t>。</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（产品名称1）</w:t>
      </w:r>
      <w:r>
        <w:rPr>
          <w:rFonts w:hint="eastAsia" w:ascii="宋体" w:hAnsi="宋体"/>
          <w:color w:val="0D0D0D" w:themeColor="text1" w:themeTint="F2"/>
          <w:sz w:val="24"/>
          <w14:textFill>
            <w14:solidFill>
              <w14:schemeClr w14:val="tx1">
                <w14:lumMod w14:val="95000"/>
                <w14:lumOff w14:val="5000"/>
              </w14:schemeClr>
            </w14:solidFill>
          </w14:textFill>
        </w:rPr>
        <w:t>的</w:t>
      </w:r>
      <w:r>
        <w:rPr>
          <w:rFonts w:hint="eastAsia" w:ascii="宋体" w:hAnsi="宋体"/>
          <w:i/>
          <w:color w:val="0D0D0D" w:themeColor="text1" w:themeTint="F2"/>
          <w:sz w:val="24"/>
          <w:u w:val="single"/>
          <w14:textFill>
            <w14:solidFill>
              <w14:schemeClr w14:val="tx1">
                <w14:lumMod w14:val="95000"/>
                <w14:lumOff w14:val="5000"/>
              </w14:schemeClr>
            </w14:solidFill>
          </w14:textFill>
        </w:rPr>
        <w:t>（关键组件）</w:t>
      </w:r>
      <w:r>
        <w:rPr>
          <w:rFonts w:hint="eastAsia" w:ascii="宋体" w:hAnsi="宋体"/>
          <w:color w:val="0D0D0D" w:themeColor="text1" w:themeTint="F2"/>
          <w:sz w:val="24"/>
          <w:vertAlign w:val="superscript"/>
          <w14:textFill>
            <w14:solidFill>
              <w14:schemeClr w14:val="tx1">
                <w14:lumMod w14:val="95000"/>
                <w14:lumOff w14:val="5000"/>
              </w14:schemeClr>
            </w14:solidFill>
          </w14:textFill>
        </w:rPr>
        <w:t>4</w:t>
      </w:r>
      <w:r>
        <w:rPr>
          <w:rFonts w:hint="eastAsia" w:ascii="宋体" w:hAnsi="宋体"/>
          <w:color w:val="0D0D0D" w:themeColor="text1" w:themeTint="F2"/>
          <w:sz w:val="24"/>
          <w14:textFill>
            <w14:solidFill>
              <w14:schemeClr w14:val="tx1">
                <w14:lumMod w14:val="95000"/>
                <w14:lumOff w14:val="5000"/>
              </w14:schemeClr>
            </w14:solidFill>
          </w14:textFill>
        </w:rPr>
        <w:t>在中国境内生产。</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（产品名称1）</w:t>
      </w:r>
      <w:r>
        <w:rPr>
          <w:rFonts w:hint="eastAsia" w:ascii="宋体" w:hAnsi="宋体"/>
          <w:color w:val="0D0D0D" w:themeColor="text1" w:themeTint="F2"/>
          <w:sz w:val="24"/>
          <w14:textFill>
            <w14:solidFill>
              <w14:schemeClr w14:val="tx1">
                <w14:lumMod w14:val="95000"/>
                <w14:lumOff w14:val="5000"/>
              </w14:schemeClr>
            </w14:solidFill>
          </w14:textFill>
        </w:rPr>
        <w:t>的</w:t>
      </w:r>
      <w:r>
        <w:rPr>
          <w:rFonts w:hint="eastAsia" w:ascii="宋体" w:hAnsi="宋体"/>
          <w:i/>
          <w:color w:val="0D0D0D" w:themeColor="text1" w:themeTint="F2"/>
          <w:sz w:val="24"/>
          <w:u w:val="single"/>
          <w14:textFill>
            <w14:solidFill>
              <w14:schemeClr w14:val="tx1">
                <w14:lumMod w14:val="95000"/>
                <w14:lumOff w14:val="5000"/>
              </w14:schemeClr>
            </w14:solidFill>
          </w14:textFill>
        </w:rPr>
        <w:t>（关键工序）</w:t>
      </w:r>
      <w:r>
        <w:rPr>
          <w:rFonts w:hint="eastAsia" w:ascii="宋体" w:hAnsi="宋体"/>
          <w:color w:val="0D0D0D" w:themeColor="text1" w:themeTint="F2"/>
          <w:sz w:val="24"/>
          <w:vertAlign w:val="superscript"/>
          <w14:textFill>
            <w14:solidFill>
              <w14:schemeClr w14:val="tx1">
                <w14:lumMod w14:val="95000"/>
                <w14:lumOff w14:val="5000"/>
              </w14:schemeClr>
            </w14:solidFill>
          </w14:textFill>
        </w:rPr>
        <w:t>5</w:t>
      </w:r>
      <w:r>
        <w:rPr>
          <w:rFonts w:hint="eastAsia" w:ascii="宋体" w:hAnsi="宋体"/>
          <w:color w:val="0D0D0D" w:themeColor="text1" w:themeTint="F2"/>
          <w:sz w:val="24"/>
          <w14:textFill>
            <w14:solidFill>
              <w14:schemeClr w14:val="tx1">
                <w14:lumMod w14:val="95000"/>
                <w14:lumOff w14:val="5000"/>
              </w14:schemeClr>
            </w14:solidFill>
          </w14:textFill>
        </w:rPr>
        <w:t>在中国境内完成。</w:t>
      </w:r>
    </w:p>
    <w:p w14:paraId="725619EF">
      <w:pPr>
        <w:spacing w:line="360" w:lineRule="auto"/>
        <w:ind w:firstLine="480" w:firstLineChars="200"/>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（产品名称2）</w:t>
      </w:r>
      <w:r>
        <w:rPr>
          <w:rFonts w:hint="eastAsia" w:ascii="宋体" w:hAnsi="宋体"/>
          <w:color w:val="0D0D0D" w:themeColor="text1" w:themeTint="F2"/>
          <w:sz w:val="24"/>
          <w14:textFill>
            <w14:solidFill>
              <w14:schemeClr w14:val="tx1">
                <w14:lumMod w14:val="95000"/>
                <w14:lumOff w14:val="5000"/>
              </w14:schemeClr>
            </w14:solidFill>
          </w14:textFill>
        </w:rPr>
        <w:t>，生产厂为</w:t>
      </w:r>
      <w:r>
        <w:rPr>
          <w:rFonts w:hint="eastAsia" w:ascii="宋体" w:hAnsi="宋体"/>
          <w:i/>
          <w:color w:val="0D0D0D" w:themeColor="text1" w:themeTint="F2"/>
          <w:sz w:val="24"/>
          <w:u w:val="single"/>
          <w14:textFill>
            <w14:solidFill>
              <w14:schemeClr w14:val="tx1">
                <w14:lumMod w14:val="95000"/>
                <w14:lumOff w14:val="5000"/>
              </w14:schemeClr>
            </w14:solidFill>
          </w14:textFill>
        </w:rPr>
        <w:t>（厂名）</w:t>
      </w:r>
      <w:r>
        <w:rPr>
          <w:rFonts w:hint="eastAsia" w:ascii="宋体" w:hAnsi="宋体"/>
          <w:color w:val="0D0D0D" w:themeColor="text1" w:themeTint="F2"/>
          <w:sz w:val="24"/>
          <w14:textFill>
            <w14:solidFill>
              <w14:schemeClr w14:val="tx1">
                <w14:lumMod w14:val="95000"/>
                <w14:lumOff w14:val="5000"/>
              </w14:schemeClr>
            </w14:solidFill>
          </w14:textFill>
        </w:rPr>
        <w:t>，厂址为</w:t>
      </w:r>
      <w:r>
        <w:rPr>
          <w:rFonts w:hint="eastAsia" w:ascii="宋体" w:hAnsi="宋体"/>
          <w:i/>
          <w:color w:val="0D0D0D" w:themeColor="text1" w:themeTint="F2"/>
          <w:sz w:val="24"/>
          <w:u w:val="single"/>
          <w14:textFill>
            <w14:solidFill>
              <w14:schemeClr w14:val="tx1">
                <w14:lumMod w14:val="95000"/>
                <w14:lumOff w14:val="5000"/>
              </w14:schemeClr>
            </w14:solidFill>
          </w14:textFill>
        </w:rPr>
        <w:t>（生产厂址）</w:t>
      </w:r>
      <w:r>
        <w:rPr>
          <w:rFonts w:hint="eastAsia" w:ascii="宋体" w:hAnsi="宋体"/>
          <w:color w:val="0D0D0D" w:themeColor="text1" w:themeTint="F2"/>
          <w:sz w:val="24"/>
          <w14:textFill>
            <w14:solidFill>
              <w14:schemeClr w14:val="tx1">
                <w14:lumMod w14:val="95000"/>
                <w14:lumOff w14:val="5000"/>
              </w14:schemeClr>
            </w14:solidFill>
          </w14:textFill>
        </w:rPr>
        <w:t>。</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（产品名称2）</w:t>
      </w:r>
      <w:r>
        <w:rPr>
          <w:rFonts w:hint="eastAsia" w:ascii="宋体" w:hAnsi="宋体"/>
          <w:color w:val="0D0D0D" w:themeColor="text1" w:themeTint="F2"/>
          <w:sz w:val="24"/>
          <w14:textFill>
            <w14:solidFill>
              <w14:schemeClr w14:val="tx1">
                <w14:lumMod w14:val="95000"/>
                <w14:lumOff w14:val="5000"/>
              </w14:schemeClr>
            </w14:solidFill>
          </w14:textFill>
        </w:rPr>
        <w:t>的中国境内生产的组件成本占比≥</w:t>
      </w:r>
      <w:r>
        <w:rPr>
          <w:rFonts w:hint="eastAsia" w:ascii="宋体" w:hAnsi="宋体"/>
          <w:i/>
          <w:color w:val="0D0D0D" w:themeColor="text1" w:themeTint="F2"/>
          <w:sz w:val="24"/>
          <w:u w:val="single"/>
          <w14:textFill>
            <w14:solidFill>
              <w14:schemeClr w14:val="tx1">
                <w14:lumMod w14:val="95000"/>
                <w14:lumOff w14:val="5000"/>
              </w14:schemeClr>
            </w14:solidFill>
          </w14:textFill>
        </w:rPr>
        <w:t>（规定比例）</w:t>
      </w:r>
      <w:r>
        <w:rPr>
          <w:rFonts w:hint="eastAsia" w:ascii="宋体" w:hAnsi="宋体"/>
          <w:color w:val="0D0D0D" w:themeColor="text1" w:themeTint="F2"/>
          <w:sz w:val="24"/>
          <w14:textFill>
            <w14:solidFill>
              <w14:schemeClr w14:val="tx1">
                <w14:lumMod w14:val="95000"/>
                <w14:lumOff w14:val="5000"/>
              </w14:schemeClr>
            </w14:solidFill>
          </w14:textFill>
        </w:rPr>
        <w:t>。</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（产品名称2）</w:t>
      </w:r>
      <w:r>
        <w:rPr>
          <w:rFonts w:hint="eastAsia" w:ascii="宋体" w:hAnsi="宋体"/>
          <w:color w:val="0D0D0D" w:themeColor="text1" w:themeTint="F2"/>
          <w:sz w:val="24"/>
          <w14:textFill>
            <w14:solidFill>
              <w14:schemeClr w14:val="tx1">
                <w14:lumMod w14:val="95000"/>
                <w14:lumOff w14:val="5000"/>
              </w14:schemeClr>
            </w14:solidFill>
          </w14:textFill>
        </w:rPr>
        <w:t>的</w:t>
      </w:r>
      <w:r>
        <w:rPr>
          <w:rFonts w:hint="eastAsia" w:ascii="宋体" w:hAnsi="宋体"/>
          <w:i/>
          <w:color w:val="0D0D0D" w:themeColor="text1" w:themeTint="F2"/>
          <w:sz w:val="24"/>
          <w:u w:val="single"/>
          <w14:textFill>
            <w14:solidFill>
              <w14:schemeClr w14:val="tx1">
                <w14:lumMod w14:val="95000"/>
                <w14:lumOff w14:val="5000"/>
              </w14:schemeClr>
            </w14:solidFill>
          </w14:textFill>
        </w:rPr>
        <w:t>（关键组件）</w:t>
      </w:r>
      <w:r>
        <w:rPr>
          <w:rFonts w:hint="eastAsia" w:ascii="宋体" w:hAnsi="宋体"/>
          <w:color w:val="0D0D0D" w:themeColor="text1" w:themeTint="F2"/>
          <w:sz w:val="24"/>
          <w14:textFill>
            <w14:solidFill>
              <w14:schemeClr w14:val="tx1">
                <w14:lumMod w14:val="95000"/>
                <w14:lumOff w14:val="5000"/>
              </w14:schemeClr>
            </w14:solidFill>
          </w14:textFill>
        </w:rPr>
        <w:t>在中国境内生产。</w:t>
      </w:r>
      <w:r>
        <w:rPr>
          <w:rFonts w:hint="eastAsia" w:ascii="宋体" w:hAnsi="宋体"/>
          <w:i/>
          <w:color w:val="0D0D0D" w:themeColor="text1" w:themeTint="F2"/>
          <w:sz w:val="24"/>
          <w:u w:val="single"/>
          <w14:textFill>
            <w14:solidFill>
              <w14:schemeClr w14:val="tx1">
                <w14:lumMod w14:val="95000"/>
                <w14:lumOff w14:val="5000"/>
              </w14:schemeClr>
            </w14:solidFill>
          </w14:textFill>
        </w:rPr>
        <w:t>（产品名称2）</w:t>
      </w:r>
      <w:r>
        <w:rPr>
          <w:rFonts w:hint="eastAsia" w:ascii="宋体" w:hAnsi="宋体"/>
          <w:color w:val="0D0D0D" w:themeColor="text1" w:themeTint="F2"/>
          <w:sz w:val="24"/>
          <w14:textFill>
            <w14:solidFill>
              <w14:schemeClr w14:val="tx1">
                <w14:lumMod w14:val="95000"/>
                <w14:lumOff w14:val="5000"/>
              </w14:schemeClr>
            </w14:solidFill>
          </w14:textFill>
        </w:rPr>
        <w:t>的</w:t>
      </w:r>
      <w:r>
        <w:rPr>
          <w:rFonts w:hint="eastAsia" w:ascii="宋体" w:hAnsi="宋体"/>
          <w:i/>
          <w:color w:val="0D0D0D" w:themeColor="text1" w:themeTint="F2"/>
          <w:sz w:val="24"/>
          <w:u w:val="single"/>
          <w14:textFill>
            <w14:solidFill>
              <w14:schemeClr w14:val="tx1">
                <w14:lumMod w14:val="95000"/>
                <w14:lumOff w14:val="5000"/>
              </w14:schemeClr>
            </w14:solidFill>
          </w14:textFill>
        </w:rPr>
        <w:t>（关键工序）</w:t>
      </w:r>
      <w:r>
        <w:rPr>
          <w:rFonts w:hint="eastAsia" w:ascii="宋体" w:hAnsi="宋体"/>
          <w:color w:val="0D0D0D" w:themeColor="text1" w:themeTint="F2"/>
          <w:sz w:val="24"/>
          <w14:textFill>
            <w14:solidFill>
              <w14:schemeClr w14:val="tx1">
                <w14:lumMod w14:val="95000"/>
                <w14:lumOff w14:val="5000"/>
              </w14:schemeClr>
            </w14:solidFill>
          </w14:textFill>
        </w:rPr>
        <w:t>在中国境内完成。</w:t>
      </w:r>
    </w:p>
    <w:p w14:paraId="6C2DCD26">
      <w:pPr>
        <w:spacing w:line="360" w:lineRule="auto"/>
        <w:ind w:firstLine="480" w:firstLineChars="200"/>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w:t>
      </w:r>
    </w:p>
    <w:p w14:paraId="3424173A">
      <w:pPr>
        <w:spacing w:line="360" w:lineRule="auto"/>
        <w:ind w:firstLine="480" w:firstLineChars="200"/>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本公司（单位）对上述声明内容的真实性负责。如有虚假，愿承担相应法律责任。</w:t>
      </w:r>
    </w:p>
    <w:p w14:paraId="679BDF9D">
      <w:pPr>
        <w:spacing w:line="360" w:lineRule="auto"/>
        <w:rPr>
          <w:rFonts w:hint="eastAsia" w:ascii="宋体" w:hAnsi="宋体"/>
          <w:color w:val="0D0D0D" w:themeColor="text1" w:themeTint="F2"/>
          <w:sz w:val="24"/>
          <w14:textFill>
            <w14:solidFill>
              <w14:schemeClr w14:val="tx1">
                <w14:lumMod w14:val="95000"/>
                <w14:lumOff w14:val="5000"/>
              </w14:schemeClr>
            </w14:solidFill>
          </w14:textFill>
        </w:rPr>
      </w:pPr>
    </w:p>
    <w:p w14:paraId="61DE782E">
      <w:pPr>
        <w:spacing w:line="360" w:lineRule="auto"/>
        <w:ind w:left="2940" w:firstLine="420"/>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公司（单位）名称（盖章）：　</w:t>
      </w:r>
      <w:r>
        <w:rPr>
          <w:rFonts w:ascii="宋体" w:hAnsi="宋体"/>
          <w:color w:val="0D0D0D" w:themeColor="text1" w:themeTint="F2"/>
          <w:sz w:val="24"/>
          <w14:textFill>
            <w14:solidFill>
              <w14:schemeClr w14:val="tx1">
                <w14:lumMod w14:val="95000"/>
                <w14:lumOff w14:val="5000"/>
              </w14:schemeClr>
            </w14:solidFill>
          </w14:textFill>
        </w:rPr>
        <w:t>        </w:t>
      </w:r>
    </w:p>
    <w:p w14:paraId="2EB55700">
      <w:pPr>
        <w:spacing w:line="360" w:lineRule="auto"/>
        <w:ind w:left="2940" w:firstLine="420"/>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日期：　</w:t>
      </w:r>
      <w:r>
        <w:rPr>
          <w:rFonts w:ascii="宋体" w:hAnsi="宋体"/>
          <w:color w:val="0D0D0D" w:themeColor="text1" w:themeTint="F2"/>
          <w:sz w:val="24"/>
          <w14:textFill>
            <w14:solidFill>
              <w14:schemeClr w14:val="tx1">
                <w14:lumMod w14:val="95000"/>
                <w14:lumOff w14:val="5000"/>
              </w14:schemeClr>
            </w14:solidFill>
          </w14:textFill>
        </w:rPr>
        <w:t>     </w:t>
      </w:r>
      <w:r>
        <w:rPr>
          <w:rFonts w:hint="eastAsia" w:ascii="宋体" w:hAnsi="宋体"/>
          <w:color w:val="0D0D0D" w:themeColor="text1" w:themeTint="F2"/>
          <w:sz w:val="24"/>
          <w14:textFill>
            <w14:solidFill>
              <w14:schemeClr w14:val="tx1">
                <w14:lumMod w14:val="95000"/>
                <w14:lumOff w14:val="5000"/>
              </w14:schemeClr>
            </w14:solidFill>
          </w14:textFill>
        </w:rPr>
        <w:t>年　</w:t>
      </w:r>
      <w:r>
        <w:rPr>
          <w:rFonts w:ascii="宋体" w:hAnsi="宋体"/>
          <w:color w:val="0D0D0D" w:themeColor="text1" w:themeTint="F2"/>
          <w:sz w:val="24"/>
          <w14:textFill>
            <w14:solidFill>
              <w14:schemeClr w14:val="tx1">
                <w14:lumMod w14:val="95000"/>
                <w14:lumOff w14:val="5000"/>
              </w14:schemeClr>
            </w14:solidFill>
          </w14:textFill>
        </w:rPr>
        <w:t>  </w:t>
      </w:r>
      <w:r>
        <w:rPr>
          <w:rFonts w:hint="eastAsia" w:ascii="宋体" w:hAnsi="宋体"/>
          <w:color w:val="0D0D0D" w:themeColor="text1" w:themeTint="F2"/>
          <w:sz w:val="24"/>
          <w14:textFill>
            <w14:solidFill>
              <w14:schemeClr w14:val="tx1">
                <w14:lumMod w14:val="95000"/>
                <w14:lumOff w14:val="5000"/>
              </w14:schemeClr>
            </w14:solidFill>
          </w14:textFill>
        </w:rPr>
        <w:t>月　</w:t>
      </w:r>
      <w:r>
        <w:rPr>
          <w:rFonts w:ascii="宋体" w:hAnsi="宋体"/>
          <w:color w:val="0D0D0D" w:themeColor="text1" w:themeTint="F2"/>
          <w:sz w:val="24"/>
          <w14:textFill>
            <w14:solidFill>
              <w14:schemeClr w14:val="tx1">
                <w14:lumMod w14:val="95000"/>
                <w14:lumOff w14:val="5000"/>
              </w14:schemeClr>
            </w14:solidFill>
          </w14:textFill>
        </w:rPr>
        <w:t>  </w:t>
      </w:r>
      <w:r>
        <w:rPr>
          <w:rFonts w:hint="eastAsia" w:ascii="宋体" w:hAnsi="宋体"/>
          <w:color w:val="0D0D0D" w:themeColor="text1" w:themeTint="F2"/>
          <w:sz w:val="24"/>
          <w14:textFill>
            <w14:solidFill>
              <w14:schemeClr w14:val="tx1">
                <w14:lumMod w14:val="95000"/>
                <w14:lumOff w14:val="5000"/>
              </w14:schemeClr>
            </w14:solidFill>
          </w14:textFill>
        </w:rPr>
        <w:t xml:space="preserve">日 </w:t>
      </w:r>
      <w:r>
        <w:rPr>
          <w:rFonts w:ascii="宋体" w:hAnsi="宋体"/>
          <w:color w:val="0D0D0D" w:themeColor="text1" w:themeTint="F2"/>
          <w:sz w:val="24"/>
          <w14:textFill>
            <w14:solidFill>
              <w14:schemeClr w14:val="tx1">
                <w14:lumMod w14:val="95000"/>
                <w14:lumOff w14:val="5000"/>
              </w14:schemeClr>
            </w14:solidFill>
          </w14:textFill>
        </w:rPr>
        <w:t>   </w:t>
      </w:r>
    </w:p>
    <w:p w14:paraId="7DD7701D">
      <w:pPr>
        <w:spacing w:line="360" w:lineRule="auto"/>
        <w:rPr>
          <w:rFonts w:hint="eastAsia" w:ascii="宋体" w:hAnsi="宋体"/>
          <w:color w:val="0D0D0D" w:themeColor="text1" w:themeTint="F2"/>
          <w:sz w:val="24"/>
          <w14:textFill>
            <w14:solidFill>
              <w14:schemeClr w14:val="tx1">
                <w14:lumMod w14:val="95000"/>
                <w14:lumOff w14:val="5000"/>
              </w14:schemeClr>
            </w14:solidFill>
          </w14:textFill>
        </w:rPr>
      </w:pPr>
      <w:r>
        <w:rPr>
          <w:rFonts w:ascii="宋体" w:hAnsi="宋体"/>
          <w:color w:val="0D0D0D" w:themeColor="text1" w:themeTint="F2"/>
          <w:sz w:val="24"/>
          <w14:textFill>
            <w14:solidFill>
              <w14:schemeClr w14:val="tx1">
                <w14:lumMod w14:val="95000"/>
                <w14:lumOff w14:val="5000"/>
              </w14:schemeClr>
            </w14:solidFill>
          </w14:textFill>
        </w:rPr>
        <w:t>__________________</w:t>
      </w:r>
    </w:p>
    <w:p w14:paraId="4CF515ED">
      <w:pPr>
        <w:spacing w:line="360" w:lineRule="auto"/>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1.产品如有型号，请在“产品名称”栏一并填写。</w:t>
      </w:r>
    </w:p>
    <w:p w14:paraId="7156F5A5">
      <w:pPr>
        <w:spacing w:line="360" w:lineRule="auto"/>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2.生产厂名与厂址应与生产厂营业执照载明的相关信息保持一致。</w:t>
      </w:r>
    </w:p>
    <w:p w14:paraId="301A9EE6">
      <w:pPr>
        <w:spacing w:line="360" w:lineRule="auto"/>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3.该产品的中国境内生产的组件成本占比相关要求实施前，“规定比例”栏可不填，下同。</w:t>
      </w:r>
    </w:p>
    <w:p w14:paraId="084E9D06">
      <w:pPr>
        <w:spacing w:line="360" w:lineRule="auto"/>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4.该产品的关键组件要求实施前，“关键组件”栏可不填，下同。</w:t>
      </w:r>
    </w:p>
    <w:p w14:paraId="4AEA9CE3">
      <w:pPr>
        <w:spacing w:line="360" w:lineRule="auto"/>
        <w:rPr>
          <w:rFonts w:hint="eastAsia"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5.该产品的关键工序要求实施前，“关键工序”栏可不填，下同。</w:t>
      </w:r>
    </w:p>
    <w:p w14:paraId="259182AA">
      <w:pPr>
        <w:pStyle w:val="696"/>
        <w:keepNext w:val="0"/>
        <w:pageBreakBefore w:val="0"/>
        <w:tabs>
          <w:tab w:val="clear" w:pos="720"/>
        </w:tabs>
        <w:snapToGrid w:val="0"/>
        <w:spacing w:after="0"/>
        <w:ind w:firstLine="643"/>
        <w:outlineLvl w:val="9"/>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br w:type="page"/>
      </w:r>
      <w:r>
        <w:rPr>
          <w:rFonts w:hint="eastAsia" w:ascii="宋体" w:hAnsi="宋体" w:eastAsia="宋体" w:cs="宋体"/>
          <w:color w:val="0D0D0D" w:themeColor="text1" w:themeTint="F2"/>
          <w:kern w:val="2"/>
          <w:sz w:val="32"/>
          <w:szCs w:val="32"/>
          <w14:textFill>
            <w14:solidFill>
              <w14:schemeClr w14:val="tx1">
                <w14:lumMod w14:val="95000"/>
                <w14:lumOff w14:val="5000"/>
              </w14:schemeClr>
            </w14:solidFill>
          </w14:textFill>
        </w:rPr>
        <w:t>三、</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中小企业声明函</w:t>
      </w:r>
      <w:bookmarkStart w:id="414" w:name="_Hlk101259491"/>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（如果有）</w:t>
      </w:r>
      <w:bookmarkEnd w:id="413"/>
      <w:bookmarkEnd w:id="414"/>
    </w:p>
    <w:p w14:paraId="5A4E7133">
      <w:pPr>
        <w:widowControl/>
        <w:spacing w:after="0" w:line="360" w:lineRule="auto"/>
        <w:ind w:firstLine="120" w:firstLineChars="50"/>
        <w:jc w:val="left"/>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4）。]</w:t>
      </w:r>
    </w:p>
    <w:p w14:paraId="0E598946">
      <w:pPr>
        <w:widowControl/>
        <w:spacing w:after="0" w:line="360" w:lineRule="auto"/>
        <w:ind w:firstLine="120" w:firstLineChars="50"/>
        <w:jc w:val="left"/>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1BF3EA72">
      <w:pPr>
        <w:pStyle w:val="696"/>
        <w:keepNext w:val="0"/>
        <w:pageBreakBefore w:val="0"/>
        <w:tabs>
          <w:tab w:val="clear" w:pos="720"/>
        </w:tabs>
        <w:snapToGrid w:val="0"/>
        <w:spacing w:after="0"/>
        <w:ind w:firstLine="643"/>
        <w:outlineLvl w:val="9"/>
        <w:rPr>
          <w:rFonts w:hint="eastAsia" w:ascii="宋体" w:hAnsi="宋体" w:eastAsia="宋体" w:cs="宋体"/>
          <w:b w:val="0"/>
          <w:color w:val="0D0D0D" w:themeColor="text1" w:themeTint="F2"/>
          <w:sz w:val="32"/>
          <w:szCs w:val="32"/>
          <w14:textFill>
            <w14:solidFill>
              <w14:schemeClr w14:val="tx1">
                <w14:lumMod w14:val="95000"/>
                <w14:lumOff w14:val="5000"/>
              </w14:schemeClr>
            </w14:solidFill>
          </w14:textFill>
        </w:rPr>
      </w:pPr>
    </w:p>
    <w:p w14:paraId="7775CABD">
      <w:pPr>
        <w:spacing w:after="0" w:line="360" w:lineRule="auto"/>
        <w:ind w:firstLine="3614" w:firstLineChars="100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p>
    <w:p w14:paraId="7CEF9EC1">
      <w:pPr>
        <w:spacing w:after="0" w:line="360" w:lineRule="auto"/>
        <w:ind w:firstLine="3614" w:firstLineChars="100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p>
    <w:p w14:paraId="0FAA5A1D">
      <w:pPr>
        <w:spacing w:after="0" w:line="360" w:lineRule="auto"/>
        <w:ind w:firstLine="3614" w:firstLineChars="100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p>
    <w:p w14:paraId="154FB1BA">
      <w:pPr>
        <w:spacing w:after="0" w:line="360" w:lineRule="auto"/>
        <w:ind w:firstLine="3614" w:firstLineChars="1000"/>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pPr>
    </w:p>
    <w:p w14:paraId="2D61DFF9">
      <w:pPr>
        <w:spacing w:after="0" w:line="360" w:lineRule="auto"/>
        <w:jc w:val="center"/>
        <w:rPr>
          <w:rFonts w:hint="eastAsia" w:ascii="宋体" w:hAnsi="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sz w:val="32"/>
          <w:szCs w:val="32"/>
          <w14:textFill>
            <w14:solidFill>
              <w14:schemeClr w14:val="tx1">
                <w14:lumMod w14:val="95000"/>
                <w14:lumOff w14:val="5000"/>
              </w14:schemeClr>
            </w14:solidFill>
          </w14:textFill>
        </w:rPr>
        <w:t>四、投标人针对报价低于采购项目最高限价45%</w:t>
      </w:r>
      <w:r>
        <w:rPr>
          <w:rFonts w:hint="eastAsia" w:ascii="宋体" w:hAnsi="宋体" w:cs="宋体"/>
          <w:b/>
          <w:color w:val="0D0D0D" w:themeColor="text1" w:themeTint="F2"/>
          <w:sz w:val="32"/>
          <w:szCs w:val="32"/>
          <w14:textFill>
            <w14:solidFill>
              <w14:schemeClr w14:val="tx1">
                <w14:lumMod w14:val="95000"/>
                <w14:lumOff w14:val="5000"/>
              </w14:schemeClr>
            </w14:solidFill>
          </w14:textFill>
        </w:rPr>
        <w:t>需要说明的其他文件和说明</w:t>
      </w:r>
    </w:p>
    <w:p w14:paraId="1EDA1E2A">
      <w:pPr>
        <w:pStyle w:val="2"/>
        <w:keepNext w:val="0"/>
        <w:keepLines w:val="0"/>
        <w:pageBreakBefore/>
        <w:widowControl/>
        <w:spacing w:before="0" w:after="0" w:line="360" w:lineRule="auto"/>
        <w:ind w:left="1290" w:firstLine="3092" w:firstLineChars="700"/>
        <w:rPr>
          <w:rFonts w:hint="eastAsia" w:ascii="宋体" w:hAnsi="宋体" w:cs="宋体"/>
          <w:color w:val="0D0D0D" w:themeColor="text1" w:themeTint="F2"/>
          <w14:textFill>
            <w14:solidFill>
              <w14:schemeClr w14:val="tx1">
                <w14:lumMod w14:val="95000"/>
                <w14:lumOff w14:val="5000"/>
              </w14:schemeClr>
            </w14:solidFill>
          </w14:textFill>
        </w:rPr>
      </w:pPr>
      <w:bookmarkStart w:id="415" w:name="_Toc465665161"/>
      <w:bookmarkStart w:id="416" w:name="_Toc20518"/>
      <w:r>
        <w:rPr>
          <w:rFonts w:hint="eastAsia" w:ascii="宋体" w:hAnsi="宋体" w:cs="宋体"/>
          <w:color w:val="0D0D0D" w:themeColor="text1" w:themeTint="F2"/>
          <w14:textFill>
            <w14:solidFill>
              <w14:schemeClr w14:val="tx1">
                <w14:lumMod w14:val="95000"/>
                <w14:lumOff w14:val="5000"/>
              </w14:schemeClr>
            </w14:solidFill>
          </w14:textFill>
        </w:rPr>
        <w:t>附件</w:t>
      </w:r>
      <w:bookmarkEnd w:id="415"/>
      <w:bookmarkEnd w:id="416"/>
    </w:p>
    <w:p w14:paraId="30C3E868">
      <w:pPr>
        <w:spacing w:after="0" w:line="360" w:lineRule="auto"/>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t>附件1：</w:t>
      </w:r>
    </w:p>
    <w:p w14:paraId="66B7ABA1">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bookmarkStart w:id="417" w:name="OLE_LINK14"/>
      <w:bookmarkStart w:id="418" w:name="OLE_LINK13"/>
      <w: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t>残疾人福利性单位声明函</w:t>
      </w:r>
    </w:p>
    <w:bookmarkEnd w:id="417"/>
    <w:bookmarkEnd w:id="418"/>
    <w:p w14:paraId="2F403521">
      <w:pPr>
        <w:spacing w:after="0" w:line="360" w:lineRule="auto"/>
        <w:rPr>
          <w:rFonts w:hint="eastAsia" w:ascii="宋体" w:hAnsi="宋体" w:cs="宋体"/>
          <w:b/>
          <w:color w:val="0D0D0D" w:themeColor="text1" w:themeTint="F2"/>
          <w:spacing w:val="6"/>
          <w:sz w:val="30"/>
          <w:szCs w:val="30"/>
          <w14:textFill>
            <w14:solidFill>
              <w14:schemeClr w14:val="tx1">
                <w14:lumMod w14:val="95000"/>
                <w14:lumOff w14:val="5000"/>
              </w14:schemeClr>
            </w14:solidFill>
          </w14:textFill>
        </w:rPr>
      </w:pPr>
    </w:p>
    <w:p w14:paraId="4D42ED3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（采购人）</w:t>
      </w:r>
      <w:r>
        <w:rPr>
          <w:rFonts w:hint="eastAsia" w:ascii="宋体" w:hAnsi="宋体" w:cs="宋体"/>
          <w:color w:val="0D0D0D" w:themeColor="text1" w:themeTint="F2"/>
          <w:sz w:val="24"/>
          <w14:textFill>
            <w14:solidFill>
              <w14:schemeClr w14:val="tx1">
                <w14:lumMod w14:val="95000"/>
                <w14:lumOff w14:val="5000"/>
              </w14:schemeClr>
            </w14:solidFill>
          </w14:textFill>
        </w:rPr>
        <w:t>_单位的_</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（项目名称）</w:t>
      </w:r>
      <w:r>
        <w:rPr>
          <w:rFonts w:hint="eastAsia" w:ascii="宋体" w:hAnsi="宋体" w:cs="宋体"/>
          <w:color w:val="0D0D0D" w:themeColor="text1" w:themeTint="F2"/>
          <w:sz w:val="24"/>
          <w14:textFill>
            <w14:solidFill>
              <w14:schemeClr w14:val="tx1">
                <w14:lumMod w14:val="95000"/>
                <w14:lumOff w14:val="5000"/>
              </w14:schemeClr>
            </w14:solidFill>
          </w14:textFill>
        </w:rPr>
        <w:t>__项目采购活动提供本单位制造的货物（由本单位承担工程/提供服务），或者提供其他残疾人福利性单位制造的货物（不包括使用非残疾人福利性单位注册商标的货物）。</w:t>
      </w:r>
    </w:p>
    <w:p w14:paraId="1B92E944">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本单位对上述声明的真实性负责。如有虚假，将依法承担相应责任。</w:t>
      </w:r>
    </w:p>
    <w:p w14:paraId="6E0B9577">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4D71E62C">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25980E36">
      <w:pPr>
        <w:tabs>
          <w:tab w:val="left" w:pos="4860"/>
        </w:tabs>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投标人名称(盖章)</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5565FA7E">
      <w:pPr>
        <w:tabs>
          <w:tab w:val="left" w:pos="4860"/>
        </w:tabs>
        <w:spacing w:after="0" w:line="360" w:lineRule="auto"/>
        <w:ind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日  期：</w:t>
      </w:r>
    </w:p>
    <w:p w14:paraId="44479B8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0A2739A8">
      <w:pPr>
        <w:spacing w:after="0" w:line="360" w:lineRule="auto"/>
        <w:ind w:firstLine="420" w:firstLineChars="200"/>
        <w:rPr>
          <w:rFonts w:hint="eastAsia" w:ascii="宋体" w:hAnsi="宋体" w:cs="宋体"/>
          <w:color w:val="0D0D0D" w:themeColor="text1" w:themeTint="F2"/>
          <w14:textFill>
            <w14:solidFill>
              <w14:schemeClr w14:val="tx1">
                <w14:lumMod w14:val="95000"/>
                <w14:lumOff w14:val="5000"/>
              </w14:schemeClr>
            </w14:solidFill>
          </w14:textFill>
        </w:rPr>
      </w:pPr>
    </w:p>
    <w:p w14:paraId="1DDB95CF">
      <w:pPr>
        <w:spacing w:after="0" w:line="360" w:lineRule="auto"/>
        <w:ind w:firstLine="420" w:firstLineChars="200"/>
        <w:rPr>
          <w:rFonts w:hint="eastAsia" w:ascii="宋体" w:hAnsi="宋体" w:cs="宋体"/>
          <w:color w:val="0D0D0D" w:themeColor="text1" w:themeTint="F2"/>
          <w14:textFill>
            <w14:solidFill>
              <w14:schemeClr w14:val="tx1">
                <w14:lumMod w14:val="95000"/>
                <w14:lumOff w14:val="5000"/>
              </w14:schemeClr>
            </w14:solidFill>
          </w14:textFill>
        </w:rPr>
      </w:pPr>
    </w:p>
    <w:p w14:paraId="0C0EED62">
      <w:pPr>
        <w:spacing w:after="0" w:line="360" w:lineRule="auto"/>
        <w:ind w:firstLine="420" w:firstLineChars="200"/>
        <w:rPr>
          <w:rFonts w:hint="eastAsia" w:ascii="宋体" w:hAnsi="宋体" w:cs="宋体"/>
          <w:color w:val="0D0D0D" w:themeColor="text1" w:themeTint="F2"/>
          <w14:textFill>
            <w14:solidFill>
              <w14:schemeClr w14:val="tx1">
                <w14:lumMod w14:val="95000"/>
                <w14:lumOff w14:val="5000"/>
              </w14:schemeClr>
            </w14:solidFill>
          </w14:textFill>
        </w:rPr>
      </w:pPr>
    </w:p>
    <w:p w14:paraId="33B59182">
      <w:pPr>
        <w:spacing w:after="0" w:line="360" w:lineRule="auto"/>
        <w:ind w:firstLine="420" w:firstLineChars="200"/>
        <w:rPr>
          <w:rFonts w:hint="eastAsia" w:ascii="宋体" w:hAnsi="宋体" w:cs="宋体"/>
          <w:color w:val="0D0D0D" w:themeColor="text1" w:themeTint="F2"/>
          <w14:textFill>
            <w14:solidFill>
              <w14:schemeClr w14:val="tx1">
                <w14:lumMod w14:val="95000"/>
                <w14:lumOff w14:val="5000"/>
              </w14:schemeClr>
            </w14:solidFill>
          </w14:textFill>
        </w:rPr>
      </w:pPr>
    </w:p>
    <w:p w14:paraId="579BF7F3">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1584094F">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0565E1FC">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309B428F">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4F5542C3">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14EF1260">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32A0B70E">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5A9B672E">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16D23A69">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1A179ACC">
      <w:pPr>
        <w:spacing w:after="0" w:line="360" w:lineRule="auto"/>
        <w:jc w:val="left"/>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t>附件2：质疑函范本及制作说明</w:t>
      </w:r>
    </w:p>
    <w:p w14:paraId="169A56FC">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t>质疑函范本</w:t>
      </w:r>
    </w:p>
    <w:p w14:paraId="3A07B0FA">
      <w:pPr>
        <w:snapToGrid w:val="0"/>
        <w:spacing w:after="0" w:line="360" w:lineRule="auto"/>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一、质疑供应商基本信息</w:t>
      </w:r>
    </w:p>
    <w:p w14:paraId="541D3FD6">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质疑供应商：</w:t>
      </w:r>
    </w:p>
    <w:p w14:paraId="0126C67E">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地址：邮编：</w:t>
      </w:r>
    </w:p>
    <w:p w14:paraId="479989C5">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联系人：联系电话：</w:t>
      </w:r>
    </w:p>
    <w:p w14:paraId="684714AB">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授权代表：</w:t>
      </w:r>
    </w:p>
    <w:p w14:paraId="09F0E214">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联系电话：</w:t>
      </w:r>
    </w:p>
    <w:p w14:paraId="791DD9B3">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地址： 邮编：</w:t>
      </w:r>
    </w:p>
    <w:p w14:paraId="0935B053">
      <w:pPr>
        <w:snapToGrid w:val="0"/>
        <w:spacing w:after="0" w:line="360" w:lineRule="auto"/>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二、质疑项目基本情况</w:t>
      </w:r>
    </w:p>
    <w:p w14:paraId="6BBA2336">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质疑项目的名称：</w:t>
      </w:r>
    </w:p>
    <w:p w14:paraId="5EE5BE42">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质疑项目的编号：包号：</w:t>
      </w:r>
    </w:p>
    <w:p w14:paraId="2EC0DCB1">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采购人名称：</w:t>
      </w:r>
    </w:p>
    <w:p w14:paraId="37DF4FAA">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采购文件获取日期：</w:t>
      </w:r>
    </w:p>
    <w:p w14:paraId="0CFFECAD">
      <w:pPr>
        <w:snapToGrid w:val="0"/>
        <w:spacing w:after="0" w:line="360" w:lineRule="auto"/>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三、质疑事项具体内容</w:t>
      </w:r>
    </w:p>
    <w:p w14:paraId="51275A00">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质疑事项1：</w:t>
      </w:r>
    </w:p>
    <w:p w14:paraId="6DB491D5">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事实依据：</w:t>
      </w:r>
    </w:p>
    <w:p w14:paraId="434B7E6E">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423E2B16">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法律依据：</w:t>
      </w:r>
    </w:p>
    <w:p w14:paraId="6607BEC3">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p>
    <w:p w14:paraId="522E1B86">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质疑事项2</w:t>
      </w:r>
    </w:p>
    <w:p w14:paraId="4DE2D7F8">
      <w:pPr>
        <w:snapToGrid w:val="0"/>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12841B57">
      <w:pPr>
        <w:snapToGrid w:val="0"/>
        <w:spacing w:after="0" w:line="360" w:lineRule="auto"/>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ascii="宋体" w:hAnsi="宋体" w:cs="宋体"/>
          <w:bCs/>
          <w:color w:val="0D0D0D" w:themeColor="text1" w:themeTint="F2"/>
          <w:sz w:val="24"/>
          <w14:textFill>
            <w14:solidFill>
              <w14:schemeClr w14:val="tx1">
                <w14:lumMod w14:val="95000"/>
                <w14:lumOff w14:val="5000"/>
              </w14:schemeClr>
            </w14:solidFill>
          </w14:textFill>
        </w:rPr>
        <w:t>四、与质疑事项相关的质疑请求</w:t>
      </w:r>
    </w:p>
    <w:p w14:paraId="71198EB3">
      <w:pPr>
        <w:snapToGrid w:val="0"/>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请求：</w:t>
      </w:r>
    </w:p>
    <w:p w14:paraId="7C846EC5">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签字(签章)：                   公章：                      </w:t>
      </w:r>
    </w:p>
    <w:p w14:paraId="7F9A849B">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日期：    </w:t>
      </w:r>
    </w:p>
    <w:p w14:paraId="65DE370D">
      <w:pPr>
        <w:spacing w:after="0" w:line="360" w:lineRule="auto"/>
        <w:jc w:val="center"/>
        <w:rPr>
          <w:rFonts w:hint="eastAsia" w:ascii="宋体" w:hAnsi="宋体" w:cs="宋体"/>
          <w:b/>
          <w:bCs/>
          <w:color w:val="0D0D0D" w:themeColor="text1" w:themeTint="F2"/>
          <w:sz w:val="24"/>
          <w14:textFill>
            <w14:solidFill>
              <w14:schemeClr w14:val="tx1">
                <w14:lumMod w14:val="95000"/>
                <w14:lumOff w14:val="5000"/>
              </w14:schemeClr>
            </w14:solidFill>
          </w14:textFill>
        </w:rPr>
      </w:pPr>
    </w:p>
    <w:p w14:paraId="18F2DA99">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37B8D023">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质疑函制作说明：</w:t>
      </w:r>
    </w:p>
    <w:p w14:paraId="48159D2A">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1.供应商提出质疑时，应提交质疑函和必要的证明材料。</w:t>
      </w:r>
    </w:p>
    <w:p w14:paraId="003B34EB">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2.质疑供应商若委托代理人进行质疑的，质疑函应按要求列明“授权代表”的有关内容，并在附件中提交由质疑</w:t>
      </w:r>
      <w:r>
        <w:rPr>
          <w:rFonts w:hint="eastAsia" w:ascii="宋体" w:hAnsi="宋体" w:cs="宋体"/>
          <w:color w:val="0D0D0D" w:themeColor="text1" w:themeTint="F2"/>
          <w:kern w:val="0"/>
          <w:sz w:val="24"/>
          <w14:textFill>
            <w14:solidFill>
              <w14:schemeClr w14:val="tx1">
                <w14:lumMod w14:val="95000"/>
                <w14:lumOff w14:val="5000"/>
              </w14:schemeClr>
            </w14:solidFill>
          </w14:textFill>
        </w:rPr>
        <w:t>供应商签署的授权委托书。授权委托书应载明代理人的姓名或者名称、代理事项、具体权限、期限和相关事项。</w:t>
      </w:r>
    </w:p>
    <w:p w14:paraId="7A69DAFB">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3.质疑供应商若对项目的某一分包进行质疑，质疑函中应列明具体分包号。</w:t>
      </w:r>
    </w:p>
    <w:p w14:paraId="4A02D78E">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4.质疑函的质疑事项应具体、明确，并有必要的事实依据和法律依据。</w:t>
      </w:r>
    </w:p>
    <w:p w14:paraId="6A143AED">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5.质疑函的质疑请求应与质疑事项相关。</w:t>
      </w:r>
    </w:p>
    <w:p w14:paraId="252575DC">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6.质疑供应商为自然人的，质疑函应由本人签字；质疑供应商为法人或者其他组织的，质疑函应由法定代表人、主要负责人，或者其授权代表签字或者盖章，并加盖公章。</w:t>
      </w:r>
    </w:p>
    <w:p w14:paraId="292731A5">
      <w:pPr>
        <w:widowControl/>
        <w:spacing w:after="0" w:line="360" w:lineRule="auto"/>
        <w:ind w:firstLine="600" w:firstLineChars="200"/>
        <w:jc w:val="left"/>
        <w:rPr>
          <w:rFonts w:hint="eastAsia" w:ascii="宋体" w:hAnsi="宋体" w:cs="宋体"/>
          <w:color w:val="0D0D0D" w:themeColor="text1" w:themeTint="F2"/>
          <w:sz w:val="30"/>
          <w:szCs w:val="30"/>
          <w14:textFill>
            <w14:solidFill>
              <w14:schemeClr w14:val="tx1">
                <w14:lumMod w14:val="95000"/>
                <w14:lumOff w14:val="5000"/>
              </w14:schemeClr>
            </w14:solidFill>
          </w14:textFill>
        </w:rPr>
      </w:pPr>
    </w:p>
    <w:p w14:paraId="5FA84DAC">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56B8AB4E">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0590B7CA">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1BE77BCE">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1A8542E3">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0563C906">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60239463">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5000966C">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41977BC2">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6B73A91A">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4F2B2C4D">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464F6881">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6F68F13B">
      <w:pPr>
        <w:spacing w:after="0" w:line="360" w:lineRule="auto"/>
        <w:jc w:val="left"/>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p>
    <w:p w14:paraId="27FB5281">
      <w:pPr>
        <w:spacing w:after="0" w:line="360" w:lineRule="auto"/>
        <w:jc w:val="left"/>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t>附件3：投诉书范本及制作说明</w:t>
      </w:r>
    </w:p>
    <w:p w14:paraId="6F98F242">
      <w:pPr>
        <w:spacing w:after="0" w:line="360" w:lineRule="auto"/>
        <w:jc w:val="center"/>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5992AE2F">
      <w:pPr>
        <w:spacing w:after="0" w:line="360" w:lineRule="auto"/>
        <w:jc w:val="cente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spacing w:val="6"/>
          <w:sz w:val="32"/>
          <w:szCs w:val="32"/>
          <w14:textFill>
            <w14:solidFill>
              <w14:schemeClr w14:val="tx1">
                <w14:lumMod w14:val="95000"/>
                <w14:lumOff w14:val="5000"/>
              </w14:schemeClr>
            </w14:solidFill>
          </w14:textFill>
        </w:rPr>
        <w:t>投诉书范本</w:t>
      </w:r>
    </w:p>
    <w:p w14:paraId="6B31239A">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一、投诉相关主体基本情况</w:t>
      </w:r>
    </w:p>
    <w:p w14:paraId="572FC5AD">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投诉人：</w:t>
      </w:r>
    </w:p>
    <w:p w14:paraId="5EBF6C11">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     址：邮编：</w:t>
      </w:r>
    </w:p>
    <w:p w14:paraId="70A1A96E">
      <w:pPr>
        <w:tabs>
          <w:tab w:val="left" w:pos="6510"/>
        </w:tabs>
        <w:spacing w:after="0" w:line="360" w:lineRule="auto"/>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法定代表人/主要负责人：</w:t>
      </w:r>
    </w:p>
    <w:p w14:paraId="04EDD853">
      <w:pPr>
        <w:tabs>
          <w:tab w:val="left" w:pos="6510"/>
        </w:tabs>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联系电话：</w:t>
      </w:r>
    </w:p>
    <w:p w14:paraId="3390A944">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授权代表：联系电话</w:t>
      </w:r>
      <w:r>
        <w:rPr>
          <w:rFonts w:hint="eastAsia" w:ascii="宋体" w:hAnsi="宋体" w:cs="宋体"/>
          <w:color w:val="0D0D0D" w:themeColor="text1" w:themeTint="F2"/>
          <w:sz w:val="24"/>
          <w:u w:val="dotted"/>
          <w14:textFill>
            <w14:solidFill>
              <w14:schemeClr w14:val="tx1">
                <w14:lumMod w14:val="95000"/>
                <w14:lumOff w14:val="5000"/>
              </w14:schemeClr>
            </w14:solidFill>
          </w14:textFill>
        </w:rPr>
        <w:t xml:space="preserve">：                  </w:t>
      </w:r>
    </w:p>
    <w:p w14:paraId="4FBA699F">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     址：邮编：</w:t>
      </w:r>
    </w:p>
    <w:p w14:paraId="3D72E363">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被投诉人1：</w:t>
      </w:r>
    </w:p>
    <w:p w14:paraId="7B8A12A5">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     址：邮编：</w:t>
      </w:r>
    </w:p>
    <w:p w14:paraId="7AFA414B">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联系人：联系电话：</w:t>
      </w:r>
    </w:p>
    <w:p w14:paraId="6DA7D61A">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被投诉人2</w:t>
      </w:r>
    </w:p>
    <w:p w14:paraId="5ACD8706">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19C1DA75">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相关供应商：</w:t>
      </w:r>
    </w:p>
    <w:p w14:paraId="3CE675D9">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地     址：邮编：</w:t>
      </w:r>
    </w:p>
    <w:p w14:paraId="7043DA46">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联系人：联系电话：</w:t>
      </w:r>
    </w:p>
    <w:p w14:paraId="7619A477">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二、投诉项目基本情况</w:t>
      </w:r>
    </w:p>
    <w:p w14:paraId="50C75EF1">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采购项目名称：</w:t>
      </w:r>
    </w:p>
    <w:p w14:paraId="0B922B2E">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采购项目编号：包号：</w:t>
      </w:r>
    </w:p>
    <w:p w14:paraId="018F3F35">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采购人名称：</w:t>
      </w:r>
    </w:p>
    <w:p w14:paraId="6F789045">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代理机构名称：</w:t>
      </w:r>
    </w:p>
    <w:p w14:paraId="7F4393DC">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采购文件公告:</w:t>
      </w:r>
      <w:r>
        <w:rPr>
          <w:rFonts w:hint="eastAsia" w:ascii="宋体" w:hAnsi="宋体" w:cs="宋体"/>
          <w:color w:val="0D0D0D" w:themeColor="text1" w:themeTint="F2"/>
          <w:sz w:val="24"/>
          <w:u w:val="dotted"/>
          <w14:textFill>
            <w14:solidFill>
              <w14:schemeClr w14:val="tx1">
                <w14:lumMod w14:val="95000"/>
                <w14:lumOff w14:val="5000"/>
              </w14:schemeClr>
            </w14:solidFill>
          </w14:textFill>
        </w:rPr>
        <w:t xml:space="preserve">是/否 </w:t>
      </w:r>
      <w:r>
        <w:rPr>
          <w:rFonts w:hint="eastAsia" w:ascii="宋体" w:hAnsi="宋体" w:cs="宋体"/>
          <w:color w:val="0D0D0D" w:themeColor="text1" w:themeTint="F2"/>
          <w:sz w:val="24"/>
          <w14:textFill>
            <w14:solidFill>
              <w14:schemeClr w14:val="tx1">
                <w14:lumMod w14:val="95000"/>
                <w14:lumOff w14:val="5000"/>
              </w14:schemeClr>
            </w14:solidFill>
          </w14:textFill>
        </w:rPr>
        <w:t>公告期限：</w:t>
      </w:r>
    </w:p>
    <w:p w14:paraId="5E8C60C5">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采购结果公告:</w:t>
      </w:r>
      <w:r>
        <w:rPr>
          <w:rFonts w:hint="eastAsia" w:ascii="宋体" w:hAnsi="宋体" w:cs="宋体"/>
          <w:color w:val="0D0D0D" w:themeColor="text1" w:themeTint="F2"/>
          <w:sz w:val="24"/>
          <w:u w:val="dotted"/>
          <w14:textFill>
            <w14:solidFill>
              <w14:schemeClr w14:val="tx1">
                <w14:lumMod w14:val="95000"/>
                <w14:lumOff w14:val="5000"/>
              </w14:schemeClr>
            </w14:solidFill>
          </w14:textFill>
        </w:rPr>
        <w:t xml:space="preserve">是/否 </w:t>
      </w:r>
      <w:r>
        <w:rPr>
          <w:rFonts w:hint="eastAsia" w:ascii="宋体" w:hAnsi="宋体" w:cs="宋体"/>
          <w:color w:val="0D0D0D" w:themeColor="text1" w:themeTint="F2"/>
          <w:sz w:val="24"/>
          <w14:textFill>
            <w14:solidFill>
              <w14:schemeClr w14:val="tx1">
                <w14:lumMod w14:val="95000"/>
                <w14:lumOff w14:val="5000"/>
              </w14:schemeClr>
            </w14:solidFill>
          </w14:textFill>
        </w:rPr>
        <w:t>公告期限：</w:t>
      </w:r>
    </w:p>
    <w:p w14:paraId="4A695D87">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三、质疑基本情况</w:t>
      </w:r>
    </w:p>
    <w:p w14:paraId="4735D677">
      <w:pPr>
        <w:spacing w:after="0" w:line="360" w:lineRule="auto"/>
        <w:ind w:firstLine="480" w:firstLineChars="200"/>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投诉人于年月日,向提出质疑，质疑事项为：</w:t>
      </w:r>
    </w:p>
    <w:p w14:paraId="77716593">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p>
    <w:p w14:paraId="5452AA25">
      <w:pPr>
        <w:spacing w:after="0" w:line="360" w:lineRule="auto"/>
        <w:ind w:firstLine="360" w:firstLineChars="15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u w:val="dotted"/>
          <w14:textFill>
            <w14:solidFill>
              <w14:schemeClr w14:val="tx1">
                <w14:lumMod w14:val="95000"/>
                <w14:lumOff w14:val="5000"/>
              </w14:schemeClr>
            </w14:solidFill>
          </w14:textFill>
        </w:rPr>
        <w:t>采购人/代理机构</w:t>
      </w:r>
      <w:r>
        <w:rPr>
          <w:rFonts w:hint="eastAsia" w:ascii="宋体" w:hAnsi="宋体" w:cs="宋体"/>
          <w:color w:val="0D0D0D" w:themeColor="text1" w:themeTint="F2"/>
          <w:sz w:val="24"/>
          <w14:textFill>
            <w14:solidFill>
              <w14:schemeClr w14:val="tx1">
                <w14:lumMod w14:val="95000"/>
                <w14:lumOff w14:val="5000"/>
              </w14:schemeClr>
            </w14:solidFill>
          </w14:textFill>
        </w:rPr>
        <w:t>于年月日,就质疑事项作出了答复/没有在法定期限内作出答复。</w:t>
      </w:r>
    </w:p>
    <w:p w14:paraId="02561D18">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四、投诉事项具体内容</w:t>
      </w:r>
    </w:p>
    <w:p w14:paraId="3CA6D86B">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投诉事项 1：</w:t>
      </w:r>
    </w:p>
    <w:p w14:paraId="67C94B46">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事实依据：</w:t>
      </w:r>
    </w:p>
    <w:p w14:paraId="3059BB6F">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p>
    <w:p w14:paraId="7D786697">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法律依据：</w:t>
      </w:r>
    </w:p>
    <w:p w14:paraId="0F04A3D2">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p>
    <w:p w14:paraId="400D7798">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投诉事项2</w:t>
      </w:r>
    </w:p>
    <w:p w14:paraId="5FB1E6EC">
      <w:pPr>
        <w:spacing w:after="0" w:line="360" w:lineRule="auto"/>
        <w:rPr>
          <w:rFonts w:hint="eastAsia" w:ascii="宋体" w:hAnsi="宋体" w:cs="宋体"/>
          <w:color w:val="0D0D0D" w:themeColor="text1" w:themeTint="F2"/>
          <w:sz w:val="24"/>
          <w:u w:val="dotted"/>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46F4CA5E">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五、与投诉事项相关的投诉请求</w:t>
      </w:r>
    </w:p>
    <w:p w14:paraId="380461CC">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请求：</w:t>
      </w:r>
    </w:p>
    <w:p w14:paraId="1B28AD4C">
      <w:pPr>
        <w:spacing w:after="0" w:line="360" w:lineRule="auto"/>
        <w:rPr>
          <w:rFonts w:hint="eastAsia" w:ascii="宋体" w:hAnsi="宋体" w:cs="宋体"/>
          <w:color w:val="0D0D0D" w:themeColor="text1" w:themeTint="F2"/>
          <w:sz w:val="24"/>
          <w:u w:val="single"/>
          <w14:textFill>
            <w14:solidFill>
              <w14:schemeClr w14:val="tx1">
                <w14:lumMod w14:val="95000"/>
                <w14:lumOff w14:val="5000"/>
              </w14:schemeClr>
            </w14:solidFill>
          </w14:textFill>
        </w:rPr>
      </w:pPr>
    </w:p>
    <w:p w14:paraId="028CFC74">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签字(签章)：                   公章：                      </w:t>
      </w:r>
    </w:p>
    <w:p w14:paraId="75BD9853">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日期：    </w:t>
      </w:r>
    </w:p>
    <w:p w14:paraId="05898C1D">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08D0E491">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50DD52B6">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color w:val="0D0D0D" w:themeColor="text1" w:themeTint="F2"/>
          <w:sz w:val="24"/>
          <w14:textFill>
            <w14:solidFill>
              <w14:schemeClr w14:val="tx1">
                <w14:lumMod w14:val="95000"/>
                <w14:lumOff w14:val="5000"/>
              </w14:schemeClr>
            </w14:solidFill>
          </w14:textFill>
        </w:rPr>
        <w:t>投诉书制作说明：</w:t>
      </w:r>
    </w:p>
    <w:p w14:paraId="55BAE742">
      <w:pPr>
        <w:widowControl/>
        <w:spacing w:after="0" w:line="360" w:lineRule="auto"/>
        <w:ind w:firstLine="480" w:firstLineChars="20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1.投诉人提起投诉时，应当提交投诉书和必要的证明材料，并按照被投诉人和与投诉事项有关的供应商数量提供投诉书副本。</w:t>
      </w:r>
    </w:p>
    <w:p w14:paraId="7E46B254">
      <w:pPr>
        <w:widowControl/>
        <w:spacing w:after="0" w:line="360" w:lineRule="auto"/>
        <w:ind w:firstLine="480" w:firstLineChars="200"/>
        <w:jc w:val="left"/>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2.投诉人若委托代理人进行投诉的，投诉书应按照要求列明“授权代表”的有关内容，并在附件中提交由</w:t>
      </w:r>
      <w:r>
        <w:rPr>
          <w:rFonts w:hint="eastAsia" w:ascii="宋体" w:hAnsi="宋体" w:cs="宋体"/>
          <w:color w:val="0D0D0D" w:themeColor="text1" w:themeTint="F2"/>
          <w:kern w:val="0"/>
          <w:sz w:val="24"/>
          <w14:textFill>
            <w14:solidFill>
              <w14:schemeClr w14:val="tx1">
                <w14:lumMod w14:val="95000"/>
                <w14:lumOff w14:val="5000"/>
              </w14:schemeClr>
            </w14:solidFill>
          </w14:textFill>
        </w:rPr>
        <w:t>投诉人签署的授权委托书。授权委托书应当载明代理人的姓名或者名称、代理事项、具体权限、期限和相关事项。</w:t>
      </w:r>
    </w:p>
    <w:p w14:paraId="79343B2C">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3.投诉人若对项目的某一分包进行投诉，投诉书应列明具体分包号。</w:t>
      </w:r>
    </w:p>
    <w:p w14:paraId="63CEEE29">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4.投诉书应简要列明质疑事项，质疑函、质疑答复等作为附件材料提供。</w:t>
      </w:r>
    </w:p>
    <w:p w14:paraId="14937962">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5.投诉书的投诉事项应具体、明确，并有必要的事实依据和法律依据。</w:t>
      </w:r>
    </w:p>
    <w:p w14:paraId="78A459F3">
      <w:pPr>
        <w:widowControl/>
        <w:spacing w:after="0" w:line="360" w:lineRule="auto"/>
        <w:ind w:firstLine="480" w:firstLineChars="200"/>
        <w:jc w:val="left"/>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6.投诉书的投诉请求应与投诉事项相关。</w:t>
      </w:r>
    </w:p>
    <w:p w14:paraId="541BA5B4">
      <w:pPr>
        <w:widowControl/>
        <w:spacing w:after="0" w:line="360" w:lineRule="auto"/>
        <w:ind w:firstLine="480" w:firstLineChars="200"/>
        <w:jc w:val="left"/>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7.投诉人为自然人的，投诉书应当由本人签字；投诉人为法人或者其他组织的，投诉书应当由法定代表人、主要负责人，或者其授权代表签字或者盖章，并加盖公章。</w:t>
      </w:r>
    </w:p>
    <w:p w14:paraId="43B0CFEB">
      <w:pPr>
        <w:spacing w:after="0" w:line="360" w:lineRule="auto"/>
        <w:rPr>
          <w:rFonts w:hint="eastAsia" w:ascii="宋体" w:hAnsi="宋体" w:cs="宋体"/>
          <w:b/>
          <w:color w:val="0D0D0D" w:themeColor="text1" w:themeTint="F2"/>
          <w:sz w:val="24"/>
          <w14:textFill>
            <w14:solidFill>
              <w14:schemeClr w14:val="tx1">
                <w14:lumMod w14:val="95000"/>
                <w14:lumOff w14:val="5000"/>
              </w14:schemeClr>
            </w14:solidFill>
          </w14:textFill>
        </w:rPr>
      </w:pPr>
    </w:p>
    <w:p w14:paraId="712548EE">
      <w:pPr>
        <w:snapToGrid w:val="0"/>
        <w:spacing w:after="0" w:line="360" w:lineRule="auto"/>
        <w:jc w:val="center"/>
        <w:outlineLvl w:val="0"/>
        <w:rPr>
          <w:rFonts w:hint="eastAsia" w:ascii="宋体" w:hAnsi="宋体" w:cs="宋体"/>
          <w:b/>
          <w:color w:val="0D0D0D" w:themeColor="text1" w:themeTint="F2"/>
          <w:kern w:val="0"/>
          <w:sz w:val="44"/>
          <w:szCs w:val="44"/>
          <w14:textFill>
            <w14:solidFill>
              <w14:schemeClr w14:val="tx1">
                <w14:lumMod w14:val="95000"/>
                <w14:lumOff w14:val="5000"/>
              </w14:schemeClr>
            </w14:solidFill>
          </w14:textFill>
        </w:rPr>
      </w:pPr>
      <w:bookmarkStart w:id="419" w:name="_Toc14912"/>
      <w:r>
        <w:rPr>
          <w:rFonts w:hint="eastAsia" w:ascii="宋体" w:hAnsi="宋体" w:cs="宋体"/>
          <w:b/>
          <w:color w:val="0D0D0D" w:themeColor="text1" w:themeTint="F2"/>
          <w:kern w:val="0"/>
          <w:sz w:val="44"/>
          <w:szCs w:val="44"/>
          <w14:textFill>
            <w14:solidFill>
              <w14:schemeClr w14:val="tx1">
                <w14:lumMod w14:val="95000"/>
                <w14:lumOff w14:val="5000"/>
              </w14:schemeClr>
            </w14:solidFill>
          </w14:textFill>
        </w:rPr>
        <w:t>附件4：中小企业声明函</w:t>
      </w:r>
      <w:bookmarkEnd w:id="419"/>
    </w:p>
    <w:p w14:paraId="3E6BB524">
      <w:pPr>
        <w:spacing w:after="0" w:line="360" w:lineRule="auto"/>
        <w:jc w:val="center"/>
        <w:rPr>
          <w:rFonts w:hint="eastAsia" w:ascii="宋体" w:hAnsi="宋体" w:cs="宋体"/>
          <w:color w:val="0D0D0D" w:themeColor="text1" w:themeTint="F2"/>
          <w:sz w:val="24"/>
          <w:u w:val="single"/>
          <w14:textFill>
            <w14:solidFill>
              <w14:schemeClr w14:val="tx1">
                <w14:lumMod w14:val="95000"/>
                <w14:lumOff w14:val="5000"/>
              </w14:schemeClr>
            </w14:solidFill>
          </w14:textFill>
        </w:rPr>
      </w:pPr>
    </w:p>
    <w:p w14:paraId="45110876">
      <w:pPr>
        <w:spacing w:after="0" w:line="360" w:lineRule="auto"/>
        <w:jc w:val="center"/>
        <w:rPr>
          <w:rFonts w:hint="eastAsia" w:ascii="宋体" w:hAnsi="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cs="宋体"/>
          <w:b/>
          <w:color w:val="0D0D0D" w:themeColor="text1" w:themeTint="F2"/>
          <w:sz w:val="32"/>
          <w:szCs w:val="32"/>
          <w14:textFill>
            <w14:solidFill>
              <w14:schemeClr w14:val="tx1">
                <w14:lumMod w14:val="95000"/>
                <w14:lumOff w14:val="5000"/>
              </w14:schemeClr>
            </w14:solidFill>
          </w14:textFill>
        </w:rPr>
        <w:t>中小企业声明函（货物）</w:t>
      </w:r>
    </w:p>
    <w:p w14:paraId="397E5D4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本公司（联合体）郑重声明，根据《政府采购促进中小企业发展管理办法》（财库﹝2020﹞46 号）的规定，本公司（联合体）参加</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（采购人）</w:t>
      </w:r>
      <w:r>
        <w:rPr>
          <w:rFonts w:hint="eastAsia" w:ascii="宋体" w:hAnsi="宋体" w:cs="宋体"/>
          <w:color w:val="0D0D0D" w:themeColor="text1" w:themeTint="F2"/>
          <w:sz w:val="24"/>
          <w14:textFill>
            <w14:solidFill>
              <w14:schemeClr w14:val="tx1">
                <w14:lumMod w14:val="95000"/>
                <w14:lumOff w14:val="5000"/>
              </w14:schemeClr>
            </w14:solidFill>
          </w14:textFill>
        </w:rPr>
        <w:t>的</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（项目名称）</w:t>
      </w:r>
      <w:r>
        <w:rPr>
          <w:rFonts w:hint="eastAsia" w:ascii="宋体" w:hAnsi="宋体" w:cs="宋体"/>
          <w:color w:val="0D0D0D" w:themeColor="text1" w:themeTint="F2"/>
          <w:sz w:val="24"/>
          <w14:textFill>
            <w14:solidFill>
              <w14:schemeClr w14:val="tx1">
                <w14:lumMod w14:val="95000"/>
                <w14:lumOff w14:val="5000"/>
              </w14:schemeClr>
            </w14:solidFill>
          </w14:textFill>
        </w:rPr>
        <w:t>采购活动，提供的货物全部由符合政策要求的中小企业制造。相关企业（含联合体中的中小企业、签订分包意向协议的中小企业）的具体情况如下：</w:t>
      </w:r>
    </w:p>
    <w:p w14:paraId="3FCE22EC">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高精度手持三维扫描仪</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621E8A4E">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VR眼镜</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48ACB29E">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真空消泡桶（带泵）</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244D40E6">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色卡</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42BF87CE">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4K显示器</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48C9B1EB">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显示器移动支架</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7CBB542B">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便携式无气二保焊</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3998E09F">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路由器</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38EDF5ED">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手绘板</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1C00477D">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手绘笔</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51C33756">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360全景摄像机</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492ECF89">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彩色FDM打印机</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23DC86D3">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UV卷平一体打印机</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5E2D0E23">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光纤机</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01844B7B">
      <w:pPr>
        <w:numPr>
          <w:ilvl w:val="0"/>
          <w:numId w:val="5"/>
        </w:numPr>
        <w:spacing w:after="0" w:line="360" w:lineRule="auto"/>
        <w:ind w:firstLine="480" w:firstLineChars="200"/>
        <w:rPr>
          <w:rFonts w:hint="eastAsia" w:ascii="宋体" w:hAnsi="宋体" w:cs="宋体"/>
          <w:color w:val="0D0D0D" w:themeColor="text1" w:themeTint="F2"/>
          <w:sz w:val="24"/>
          <w:u w:val="single"/>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存储器</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4B505D56">
      <w:pPr>
        <w:numPr>
          <w:ilvl w:val="0"/>
          <w:numId w:val="5"/>
        </w:num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u w:val="single"/>
          <w14:textFill>
            <w14:solidFill>
              <w14:schemeClr w14:val="tx1">
                <w14:lumMod w14:val="95000"/>
                <w14:lumOff w14:val="5000"/>
              </w14:schemeClr>
            </w14:solidFill>
          </w14:textFill>
        </w:rPr>
        <w:t>水帘喷涂箱</w:t>
      </w:r>
      <w:r>
        <w:rPr>
          <w:rFonts w:hint="eastAsia" w:ascii="宋体" w:hAnsi="宋体" w:cs="宋体"/>
          <w:color w:val="0D0D0D" w:themeColor="text1" w:themeTint="F2"/>
          <w:sz w:val="24"/>
          <w14:textFill>
            <w14:solidFill>
              <w14:schemeClr w14:val="tx1">
                <w14:lumMod w14:val="95000"/>
                <w14:lumOff w14:val="5000"/>
              </w14:schemeClr>
            </w14:solidFill>
          </w14:textFill>
        </w:rPr>
        <w:t>，属于</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工业</w:t>
      </w:r>
      <w:r>
        <w:rPr>
          <w:rFonts w:hint="eastAsia" w:ascii="宋体" w:hAnsi="宋体" w:cs="宋体"/>
          <w:color w:val="0D0D0D" w:themeColor="text1" w:themeTint="F2"/>
          <w:sz w:val="24"/>
          <w14:textFill>
            <w14:solidFill>
              <w14:schemeClr w14:val="tx1">
                <w14:lumMod w14:val="95000"/>
                <w14:lumOff w14:val="5000"/>
              </w14:schemeClr>
            </w14:solidFill>
          </w14:textFill>
        </w:rPr>
        <w:t>行业；制造商为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（企业名称）</w:t>
      </w:r>
      <w:r>
        <w:rPr>
          <w:rFonts w:hint="eastAsia" w:ascii="宋体" w:hAnsi="宋体" w:cs="宋体"/>
          <w:color w:val="0D0D0D" w:themeColor="text1" w:themeTint="F2"/>
          <w:sz w:val="24"/>
          <w14:textFill>
            <w14:solidFill>
              <w14:schemeClr w14:val="tx1">
                <w14:lumMod w14:val="95000"/>
                <w14:lumOff w14:val="5000"/>
              </w14:schemeClr>
            </w14:solidFill>
          </w14:textFill>
        </w:rPr>
        <w:t>，从业人员</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人，营业收入为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万元，资产总额为</w:t>
      </w:r>
      <w:r>
        <w:rPr>
          <w:rFonts w:hint="eastAsia" w:ascii="宋体" w:hAnsi="宋体" w:cs="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万元，属于</w:t>
      </w:r>
      <w:r>
        <w:rPr>
          <w:rFonts w:hint="eastAsia" w:ascii="宋体" w:hAnsi="宋体" w:cs="宋体"/>
          <w:i/>
          <w:iCs/>
          <w:color w:val="0D0D0D" w:themeColor="text1" w:themeTint="F2"/>
          <w:sz w:val="24"/>
          <w:u w:val="single"/>
          <w14:textFill>
            <w14:solidFill>
              <w14:schemeClr w14:val="tx1">
                <w14:lumMod w14:val="95000"/>
                <w14:lumOff w14:val="5000"/>
              </w14:schemeClr>
            </w14:solidFill>
          </w14:textFill>
        </w:rPr>
        <w:t>（中型企业、小型企业、微型企业）</w:t>
      </w:r>
      <w:r>
        <w:rPr>
          <w:rFonts w:hint="eastAsia" w:ascii="宋体" w:hAnsi="宋体" w:cs="宋体"/>
          <w:color w:val="0D0D0D" w:themeColor="text1" w:themeTint="F2"/>
          <w:sz w:val="24"/>
          <w14:textFill>
            <w14:solidFill>
              <w14:schemeClr w14:val="tx1">
                <w14:lumMod w14:val="95000"/>
                <w14:lumOff w14:val="5000"/>
              </w14:schemeClr>
            </w14:solidFill>
          </w14:textFill>
        </w:rPr>
        <w:t>；</w:t>
      </w:r>
    </w:p>
    <w:p w14:paraId="65199A29">
      <w:pPr>
        <w:spacing w:after="0" w:line="360" w:lineRule="auto"/>
        <w:rPr>
          <w:rFonts w:hint="eastAsia" w:ascii="宋体" w:hAnsi="宋体" w:cs="宋体"/>
          <w:color w:val="0D0D0D" w:themeColor="text1" w:themeTint="F2"/>
          <w:sz w:val="24"/>
          <w14:textFill>
            <w14:solidFill>
              <w14:schemeClr w14:val="tx1">
                <w14:lumMod w14:val="95000"/>
                <w14:lumOff w14:val="5000"/>
              </w14:schemeClr>
            </w14:solidFill>
          </w14:textFill>
        </w:rPr>
      </w:pPr>
    </w:p>
    <w:p w14:paraId="223C0E1C">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74F5FB4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以上企业，不属于大企业的分支机构，不存在控股股东为大企业的情形，也不存在与大企业的负责人为同一人的情形。</w:t>
      </w:r>
    </w:p>
    <w:p w14:paraId="1BB581A0">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p>
    <w:p w14:paraId="1D3A9ED5">
      <w:pPr>
        <w:snapToGrid w:val="0"/>
        <w:spacing w:after="0" w:line="360" w:lineRule="auto"/>
        <w:ind w:firstLine="5160" w:firstLineChars="2150"/>
        <w:rPr>
          <w:rFonts w:hint="eastAsia" w:ascii="宋体" w:hAnsi="宋体" w:cs="宋体"/>
          <w:color w:val="0D0D0D" w:themeColor="text1" w:themeTint="F2"/>
          <w:kern w:val="0"/>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投标人名称(盖章)：</w:t>
      </w:r>
    </w:p>
    <w:p w14:paraId="6CEC24B2">
      <w:pPr>
        <w:snapToGrid w:val="0"/>
        <w:spacing w:after="0" w:line="360" w:lineRule="auto"/>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pP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 xml:space="preserve">                                           日期</w:t>
      </w:r>
      <w:r>
        <w:rPr>
          <w:rFonts w:hint="eastAsia" w:ascii="宋体" w:hAnsi="宋体" w:cs="宋体"/>
          <w:color w:val="0D0D0D" w:themeColor="text1" w:themeTint="F2"/>
          <w:kern w:val="0"/>
          <w:sz w:val="24"/>
          <w14:textFill>
            <w14:solidFill>
              <w14:schemeClr w14:val="tx1">
                <w14:lumMod w14:val="95000"/>
                <w14:lumOff w14:val="5000"/>
              </w14:schemeClr>
            </w14:solidFill>
          </w14:textFill>
        </w:rPr>
        <w:t xml:space="preserve">：  年  </w:t>
      </w:r>
      <w:r>
        <w:rPr>
          <w:rFonts w:hint="eastAsia" w:ascii="宋体" w:hAnsi="宋体" w:cs="宋体"/>
          <w:color w:val="0D0D0D" w:themeColor="text1" w:themeTint="F2"/>
          <w:kern w:val="0"/>
          <w:sz w:val="24"/>
          <w:lang w:val="zh-CN"/>
          <w14:textFill>
            <w14:solidFill>
              <w14:schemeClr w14:val="tx1">
                <w14:lumMod w14:val="95000"/>
                <w14:lumOff w14:val="5000"/>
              </w14:schemeClr>
            </w14:solidFill>
          </w14:textFill>
        </w:rPr>
        <w:t>月日</w:t>
      </w:r>
    </w:p>
    <w:p w14:paraId="3A48C045">
      <w:pPr>
        <w:spacing w:after="0" w:line="360" w:lineRule="auto"/>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从业人员、营业收入、资产总额填报上一年度数据，无上一年度数据的新成立企业可不填报。</w:t>
      </w:r>
    </w:p>
    <w:p w14:paraId="1404D76F">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注：</w:t>
      </w:r>
    </w:p>
    <w:p w14:paraId="18C971ED">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03245835">
      <w:pPr>
        <w:spacing w:after="0" w:line="360" w:lineRule="auto"/>
        <w:ind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458AB31">
      <w:pPr>
        <w:autoSpaceDE w:val="0"/>
        <w:autoSpaceDN w:val="0"/>
        <w:spacing w:after="0" w:line="360" w:lineRule="auto"/>
        <w:jc w:val="left"/>
        <w:rPr>
          <w:rFonts w:hint="eastAsia" w:ascii="宋体" w:hAnsi="宋体" w:cs="仿宋_GB2312"/>
          <w:b/>
          <w:color w:val="0D0D0D" w:themeColor="text1" w:themeTint="F2"/>
          <w:sz w:val="32"/>
          <w:szCs w:val="32"/>
          <w14:textFill>
            <w14:solidFill>
              <w14:schemeClr w14:val="tx1">
                <w14:lumMod w14:val="95000"/>
                <w14:lumOff w14:val="5000"/>
              </w14:schemeClr>
            </w14:solidFill>
          </w14:textFill>
        </w:rPr>
      </w:pPr>
      <w:r>
        <w:rPr>
          <w:rFonts w:hint="eastAsia" w:ascii="宋体" w:hAnsi="宋体" w:cs="仿宋_GB2312"/>
          <w:b/>
          <w:color w:val="0D0D0D" w:themeColor="text1" w:themeTint="F2"/>
          <w:sz w:val="32"/>
          <w:szCs w:val="32"/>
          <w14:textFill>
            <w14:solidFill>
              <w14:schemeClr w14:val="tx1">
                <w14:lumMod w14:val="95000"/>
                <w14:lumOff w14:val="5000"/>
              </w14:schemeClr>
            </w14:solidFill>
          </w14:textFill>
        </w:rPr>
        <w:br w:type="page"/>
      </w:r>
    </w:p>
    <w:p w14:paraId="78AC4AA5">
      <w:pPr>
        <w:autoSpaceDE w:val="0"/>
        <w:autoSpaceDN w:val="0"/>
        <w:spacing w:after="0" w:line="240" w:lineRule="auto"/>
        <w:jc w:val="left"/>
        <w:rPr>
          <w:rFonts w:hint="eastAsia" w:ascii="宋体" w:hAnsi="宋体" w:cs="仿宋_GB2312"/>
          <w:b/>
          <w:color w:val="0D0D0D" w:themeColor="text1" w:themeTint="F2"/>
          <w:sz w:val="32"/>
          <w:szCs w:val="32"/>
          <w14:textFill>
            <w14:solidFill>
              <w14:schemeClr w14:val="tx1">
                <w14:lumMod w14:val="95000"/>
                <w14:lumOff w14:val="5000"/>
              </w14:schemeClr>
            </w14:solidFill>
          </w14:textFill>
        </w:rPr>
      </w:pPr>
      <w:r>
        <w:rPr>
          <w:rFonts w:hint="eastAsia" w:ascii="宋体" w:hAnsi="宋体" w:cs="仿宋_GB2312"/>
          <w:b/>
          <w:color w:val="0D0D0D" w:themeColor="text1" w:themeTint="F2"/>
          <w:sz w:val="32"/>
          <w:szCs w:val="32"/>
          <w14:textFill>
            <w14:solidFill>
              <w14:schemeClr w14:val="tx1">
                <w14:lumMod w14:val="95000"/>
                <w14:lumOff w14:val="5000"/>
              </w14:schemeClr>
            </w14:solidFill>
          </w14:textFill>
        </w:rPr>
        <w:t>附件5：</w:t>
      </w:r>
    </w:p>
    <w:p w14:paraId="04B8969A">
      <w:pPr>
        <w:spacing w:after="0" w:line="312" w:lineRule="auto"/>
        <w:jc w:val="center"/>
        <w:rPr>
          <w:b/>
          <w:bCs/>
          <w:color w:val="0D0D0D" w:themeColor="text1" w:themeTint="F2"/>
          <w:sz w:val="36"/>
          <w:szCs w:val="36"/>
          <w14:textFill>
            <w14:solidFill>
              <w14:schemeClr w14:val="tx1">
                <w14:lumMod w14:val="95000"/>
                <w14:lumOff w14:val="5000"/>
              </w14:schemeClr>
            </w14:solidFill>
          </w14:textFill>
        </w:rPr>
      </w:pPr>
      <w:r>
        <w:rPr>
          <w:rFonts w:hint="eastAsia"/>
          <w:b/>
          <w:bCs/>
          <w:color w:val="0D0D0D" w:themeColor="text1" w:themeTint="F2"/>
          <w:sz w:val="36"/>
          <w:szCs w:val="36"/>
          <w14:textFill>
            <w14:solidFill>
              <w14:schemeClr w14:val="tx1">
                <w14:lumMod w14:val="95000"/>
                <w14:lumOff w14:val="5000"/>
              </w14:schemeClr>
            </w14:solidFill>
          </w14:textFill>
        </w:rPr>
        <w:t>政府采购活动现场确认声明书</w:t>
      </w:r>
    </w:p>
    <w:p w14:paraId="387652C2">
      <w:pPr>
        <w:spacing w:after="0" w:line="312" w:lineRule="auto"/>
        <w:rPr>
          <w:rFonts w:cs="宋体"/>
          <w:b/>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浙江致信招标代理有限公司：</w:t>
      </w:r>
    </w:p>
    <w:p w14:paraId="2E51BAE3">
      <w:pPr>
        <w:spacing w:after="0" w:line="312" w:lineRule="auto"/>
        <w:ind w:firstLine="504"/>
        <w:rPr>
          <w:rFonts w:cs="宋体"/>
          <w:color w:val="0D0D0D" w:themeColor="text1" w:themeTint="F2"/>
          <w:spacing w:val="6"/>
          <w:sz w:val="24"/>
          <w14:textFill>
            <w14:solidFill>
              <w14:schemeClr w14:val="tx1">
                <w14:lumMod w14:val="95000"/>
                <w14:lumOff w14:val="5000"/>
              </w14:schemeClr>
            </w14:solidFill>
          </w14:textFill>
        </w:rPr>
      </w:pPr>
      <w:r>
        <w:rPr>
          <w:rFonts w:hint="eastAsia" w:cs="宋体"/>
          <w:color w:val="0D0D0D" w:themeColor="text1" w:themeTint="F2"/>
          <w:spacing w:val="6"/>
          <w:sz w:val="24"/>
          <w14:textFill>
            <w14:solidFill>
              <w14:schemeClr w14:val="tx1">
                <w14:lumMod w14:val="95000"/>
                <w14:lumOff w14:val="5000"/>
              </w14:schemeClr>
            </w14:solidFill>
          </w14:textFill>
        </w:rPr>
        <w:t>本人经由</w:t>
      </w:r>
      <w:r>
        <w:rPr>
          <w:rFonts w:hint="eastAsia" w:cs="宋体"/>
          <w:color w:val="0D0D0D" w:themeColor="text1" w:themeTint="F2"/>
          <w:spacing w:val="6"/>
          <w:sz w:val="24"/>
          <w:u w:val="single"/>
          <w14:textFill>
            <w14:solidFill>
              <w14:schemeClr w14:val="tx1">
                <w14:lumMod w14:val="95000"/>
                <w14:lumOff w14:val="5000"/>
              </w14:schemeClr>
            </w14:solidFill>
          </w14:textFill>
        </w:rPr>
        <w:t xml:space="preserve">                  （单位）</w:t>
      </w:r>
      <w:r>
        <w:rPr>
          <w:rFonts w:hint="eastAsia" w:cs="宋体"/>
          <w:color w:val="0D0D0D" w:themeColor="text1" w:themeTint="F2"/>
          <w:spacing w:val="6"/>
          <w:sz w:val="24"/>
          <w14:textFill>
            <w14:solidFill>
              <w14:schemeClr w14:val="tx1">
                <w14:lumMod w14:val="95000"/>
                <w14:lumOff w14:val="5000"/>
              </w14:schemeClr>
            </w14:solidFill>
          </w14:textFill>
        </w:rPr>
        <w:t>负责人</w:t>
      </w:r>
      <w:r>
        <w:rPr>
          <w:rFonts w:hint="eastAsia" w:cs="宋体"/>
          <w:color w:val="0D0D0D" w:themeColor="text1" w:themeTint="F2"/>
          <w:spacing w:val="6"/>
          <w:sz w:val="24"/>
          <w:u w:val="single"/>
          <w14:textFill>
            <w14:solidFill>
              <w14:schemeClr w14:val="tx1">
                <w14:lumMod w14:val="95000"/>
                <w14:lumOff w14:val="5000"/>
              </w14:schemeClr>
            </w14:solidFill>
          </w14:textFill>
        </w:rPr>
        <w:t xml:space="preserve">        （法定代表人）</w:t>
      </w:r>
      <w:r>
        <w:rPr>
          <w:rFonts w:hint="eastAsia" w:cs="宋体"/>
          <w:color w:val="0D0D0D" w:themeColor="text1" w:themeTint="F2"/>
          <w:spacing w:val="6"/>
          <w:sz w:val="24"/>
          <w14:textFill>
            <w14:solidFill>
              <w14:schemeClr w14:val="tx1">
                <w14:lumMod w14:val="95000"/>
                <w14:lumOff w14:val="5000"/>
              </w14:schemeClr>
            </w14:solidFill>
          </w14:textFill>
        </w:rPr>
        <w:t>合法授权参加</w:t>
      </w:r>
      <w:r>
        <w:rPr>
          <w:rFonts w:hint="eastAsia" w:cs="宋体"/>
          <w:color w:val="0D0D0D" w:themeColor="text1" w:themeTint="F2"/>
          <w:spacing w:val="6"/>
          <w:sz w:val="24"/>
          <w:u w:val="single"/>
          <w14:textFill>
            <w14:solidFill>
              <w14:schemeClr w14:val="tx1">
                <w14:lumMod w14:val="95000"/>
                <w14:lumOff w14:val="5000"/>
              </w14:schemeClr>
            </w14:solidFill>
          </w14:textFill>
        </w:rPr>
        <w:t>浙江工商职业技术学院工业设计区域特色产业学生创新实训室</w:t>
      </w:r>
      <w:r>
        <w:rPr>
          <w:rFonts w:hint="eastAsia" w:cs="宋体"/>
          <w:color w:val="0D0D0D" w:themeColor="text1" w:themeTint="F2"/>
          <w:spacing w:val="6"/>
          <w:sz w:val="24"/>
          <w14:textFill>
            <w14:solidFill>
              <w14:schemeClr w14:val="tx1">
                <w14:lumMod w14:val="95000"/>
                <w14:lumOff w14:val="5000"/>
              </w14:schemeClr>
            </w14:solidFill>
          </w14:textFill>
        </w:rPr>
        <w:t>（编号：</w:t>
      </w:r>
      <w:r>
        <w:rPr>
          <w:rFonts w:hint="eastAsia" w:ascii="宋体" w:hAnsi="宋体" w:cs="宋体"/>
          <w:color w:val="0D0D0D" w:themeColor="text1" w:themeTint="F2"/>
          <w:spacing w:val="6"/>
          <w:sz w:val="24"/>
          <w:u w:val="single"/>
          <w14:textFill>
            <w14:solidFill>
              <w14:schemeClr w14:val="tx1">
                <w14:lumMod w14:val="95000"/>
                <w14:lumOff w14:val="5000"/>
              </w14:schemeClr>
            </w14:solidFill>
          </w14:textFill>
        </w:rPr>
        <w:t>330000263030420000034-ZJZX-ZJGS202603G</w:t>
      </w:r>
      <w:r>
        <w:rPr>
          <w:rFonts w:hint="eastAsia" w:cs="宋体"/>
          <w:color w:val="0D0D0D" w:themeColor="text1" w:themeTint="F2"/>
          <w:spacing w:val="6"/>
          <w:sz w:val="24"/>
          <w14:textFill>
            <w14:solidFill>
              <w14:schemeClr w14:val="tx1">
                <w14:lumMod w14:val="95000"/>
                <w14:lumOff w14:val="5000"/>
              </w14:schemeClr>
            </w14:solidFill>
          </w14:textFill>
        </w:rPr>
        <w:t xml:space="preserve">）采购活动，经与本单位法人代表（负责人）联系确认，现就有关公平竞争事项郑重声明如下： </w:t>
      </w:r>
    </w:p>
    <w:p w14:paraId="107B6B36">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 xml:space="preserve">一、本单位与采购人之间 </w:t>
      </w:r>
    </w:p>
    <w:p w14:paraId="69CCBACD">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□不存在利害关系</w:t>
      </w:r>
    </w:p>
    <w:p w14:paraId="6E272F8C">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□存在下列利害关系：</w:t>
      </w:r>
    </w:p>
    <w:p w14:paraId="70580F55">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A.投资关系  B.行政隶属关系  C.业务指导关系 D.其他可能影响采购公正的利害关系</w:t>
      </w:r>
      <w:r>
        <w:rPr>
          <w:rFonts w:hint="eastAsia" w:cs="宋体"/>
          <w:color w:val="0D0D0D" w:themeColor="text1" w:themeTint="F2"/>
          <w:sz w:val="24"/>
          <w:u w:val="single"/>
          <w14:textFill>
            <w14:solidFill>
              <w14:schemeClr w14:val="tx1">
                <w14:lumMod w14:val="95000"/>
                <w14:lumOff w14:val="5000"/>
              </w14:schemeClr>
            </w14:solidFill>
          </w14:textFill>
        </w:rPr>
        <w:t xml:space="preserve">（如有，请如实说明）                                </w:t>
      </w:r>
      <w:r>
        <w:rPr>
          <w:rFonts w:hint="eastAsia" w:cs="宋体"/>
          <w:color w:val="0D0D0D" w:themeColor="text1" w:themeTint="F2"/>
          <w:sz w:val="24"/>
          <w14:textFill>
            <w14:solidFill>
              <w14:schemeClr w14:val="tx1">
                <w14:lumMod w14:val="95000"/>
                <w14:lumOff w14:val="5000"/>
              </w14:schemeClr>
            </w14:solidFill>
          </w14:textFill>
        </w:rPr>
        <w:t>。</w:t>
      </w:r>
    </w:p>
    <w:p w14:paraId="7D512B48">
      <w:pPr>
        <w:spacing w:after="0" w:line="312" w:lineRule="auto"/>
        <w:ind w:firstLine="504"/>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pacing w:val="6"/>
          <w:sz w:val="24"/>
          <w14:textFill>
            <w14:solidFill>
              <w14:schemeClr w14:val="tx1">
                <w14:lumMod w14:val="95000"/>
                <w14:lumOff w14:val="5000"/>
              </w14:schemeClr>
            </w14:solidFill>
          </w14:textFill>
        </w:rPr>
        <w:t>二、</w:t>
      </w:r>
      <w:r>
        <w:rPr>
          <w:rFonts w:hint="eastAsia" w:cs="宋体"/>
          <w:color w:val="0D0D0D" w:themeColor="text1" w:themeTint="F2"/>
          <w:sz w:val="24"/>
          <w14:textFill>
            <w14:solidFill>
              <w14:schemeClr w14:val="tx1">
                <w14:lumMod w14:val="95000"/>
                <w14:lumOff w14:val="5000"/>
              </w14:schemeClr>
            </w14:solidFill>
          </w14:textFill>
        </w:rPr>
        <w:t>现已清楚知道参加本项目采购活动的其他所有供应商名称，本单位</w:t>
      </w:r>
    </w:p>
    <w:p w14:paraId="2DF66FA7">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□与其他所有供应商之间均不存在利害关系</w:t>
      </w:r>
    </w:p>
    <w:p w14:paraId="6226354E">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□与</w:t>
      </w:r>
      <w:r>
        <w:rPr>
          <w:rFonts w:hint="eastAsia" w:cs="宋体"/>
          <w:color w:val="0D0D0D" w:themeColor="text1" w:themeTint="F2"/>
          <w:sz w:val="24"/>
          <w:u w:val="single"/>
          <w14:textFill>
            <w14:solidFill>
              <w14:schemeClr w14:val="tx1">
                <w14:lumMod w14:val="95000"/>
                <w14:lumOff w14:val="5000"/>
              </w14:schemeClr>
            </w14:solidFill>
          </w14:textFill>
        </w:rPr>
        <w:t xml:space="preserve">           （供应商名称）</w:t>
      </w:r>
      <w:r>
        <w:rPr>
          <w:rFonts w:hint="eastAsia" w:cs="宋体"/>
          <w:color w:val="0D0D0D" w:themeColor="text1" w:themeTint="F2"/>
          <w:sz w:val="24"/>
          <w14:textFill>
            <w14:solidFill>
              <w14:schemeClr w14:val="tx1">
                <w14:lumMod w14:val="95000"/>
                <w14:lumOff w14:val="5000"/>
              </w14:schemeClr>
            </w14:solidFill>
          </w14:textFill>
        </w:rPr>
        <w:t>之间存在下列利害关系：</w:t>
      </w:r>
    </w:p>
    <w:p w14:paraId="6ED7D0CB">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A.法定代表人或负责人或实际控制人是同一人</w:t>
      </w:r>
    </w:p>
    <w:p w14:paraId="6871E551">
      <w:pPr>
        <w:spacing w:after="0" w:line="312" w:lineRule="auto"/>
        <w:ind w:firstLine="480"/>
        <w:rPr>
          <w:rFonts w:cs="宋体"/>
          <w:color w:val="0D0D0D" w:themeColor="text1" w:themeTint="F2"/>
          <w:spacing w:val="6"/>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B.法定代表人或负责人或实际控制人是夫妻关系</w:t>
      </w:r>
    </w:p>
    <w:p w14:paraId="74775214">
      <w:pPr>
        <w:spacing w:after="0" w:line="312" w:lineRule="auto"/>
        <w:ind w:firstLine="480"/>
        <w:rPr>
          <w:rFonts w:cs="宋体"/>
          <w:color w:val="0D0D0D" w:themeColor="text1" w:themeTint="F2"/>
          <w:spacing w:val="6"/>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C.法定代表人或负责人或实际控制人是直系血亲关系</w:t>
      </w:r>
    </w:p>
    <w:p w14:paraId="2094BA8F">
      <w:pPr>
        <w:spacing w:after="0" w:line="312" w:lineRule="auto"/>
        <w:ind w:firstLine="480"/>
        <w:rPr>
          <w:rFonts w:cs="宋体"/>
          <w:color w:val="0D0D0D" w:themeColor="text1" w:themeTint="F2"/>
          <w:spacing w:val="6"/>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D.法定代表人或负责人或实际控制人存在三代以内旁系血亲关系</w:t>
      </w:r>
    </w:p>
    <w:p w14:paraId="04C5CC01">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E.法定代表人或负责人或实际控制人存在近姻亲关系</w:t>
      </w:r>
    </w:p>
    <w:p w14:paraId="333003DA">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F.法定代表人或负责人或实际控制人存在股份控制或实际控制关系</w:t>
      </w:r>
    </w:p>
    <w:p w14:paraId="54109298">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G.存在共同直接或间接投资设立子公司、联营企业和合营企业情况</w:t>
      </w:r>
    </w:p>
    <w:p w14:paraId="1AD4A73D">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H.存在分级代理或代销关系、同一生产制造商关系、管理关系、重要业务（占主营业务收入50%以上）或重要财务往来关系（如融资）等其他实质性控制关系</w:t>
      </w:r>
    </w:p>
    <w:p w14:paraId="6B2096B7">
      <w:pPr>
        <w:spacing w:after="0" w:line="312" w:lineRule="auto"/>
        <w:ind w:firstLine="480"/>
        <w:rPr>
          <w:rFonts w:cs="宋体"/>
          <w:color w:val="0D0D0D" w:themeColor="text1" w:themeTint="F2"/>
          <w:spacing w:val="6"/>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I.其他利害关系情况。</w:t>
      </w:r>
    </w:p>
    <w:p w14:paraId="5C42D63A">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现已清楚知道并严格遵守政府采购法律法规和现场纪律。</w:t>
      </w:r>
    </w:p>
    <w:p w14:paraId="0B2150B5">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我发现供应商之间存在或可能存在上述第二条第项利害关系。</w:t>
      </w:r>
    </w:p>
    <w:p w14:paraId="1821D6DF">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p>
    <w:p w14:paraId="653CD571">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供应商代表签名：</w:t>
      </w:r>
    </w:p>
    <w:p w14:paraId="69D5453D">
      <w:pPr>
        <w:spacing w:after="0" w:line="312" w:lineRule="auto"/>
        <w:ind w:firstLine="480"/>
        <w:rPr>
          <w:rFonts w:cs="宋体"/>
          <w:color w:val="0D0D0D" w:themeColor="text1" w:themeTint="F2"/>
          <w:sz w:val="24"/>
          <w14:textFill>
            <w14:solidFill>
              <w14:schemeClr w14:val="tx1">
                <w14:lumMod w14:val="95000"/>
                <w14:lumOff w14:val="5000"/>
              </w14:schemeClr>
            </w14:solidFill>
          </w14:textFill>
        </w:rPr>
      </w:pPr>
      <w:r>
        <w:rPr>
          <w:rFonts w:hint="eastAsia" w:cs="宋体"/>
          <w:color w:val="0D0D0D" w:themeColor="text1" w:themeTint="F2"/>
          <w:sz w:val="24"/>
          <w14:textFill>
            <w14:solidFill>
              <w14:schemeClr w14:val="tx1">
                <w14:lumMod w14:val="95000"/>
                <w14:lumOff w14:val="5000"/>
              </w14:schemeClr>
            </w14:solidFill>
          </w14:textFill>
        </w:rPr>
        <w:t>2026年 月  日</w:t>
      </w:r>
    </w:p>
    <w:p w14:paraId="35CE124C">
      <w:pPr>
        <w:spacing w:after="0" w:line="312" w:lineRule="auto"/>
        <w:ind w:firstLine="480"/>
        <w:rPr>
          <w:rFonts w:hint="eastAsia" w:ascii="宋体" w:hAnsi="宋体" w:cs="宋体"/>
          <w:bCs/>
          <w:color w:val="0D0D0D" w:themeColor="text1" w:themeTint="F2"/>
          <w:sz w:val="24"/>
          <w14:textFill>
            <w14:solidFill>
              <w14:schemeClr w14:val="tx1">
                <w14:lumMod w14:val="95000"/>
                <w14:lumOff w14:val="5000"/>
              </w14:schemeClr>
            </w14:solidFill>
          </w14:textFill>
        </w:rPr>
      </w:pPr>
      <w:r>
        <w:rPr>
          <w:rFonts w:hint="eastAsia" w:cs="宋体"/>
          <w:i/>
          <w:iCs/>
          <w:color w:val="0D0D0D" w:themeColor="text1" w:themeTint="F2"/>
          <w:sz w:val="24"/>
          <w14:textFill>
            <w14:solidFill>
              <w14:schemeClr w14:val="tx1">
                <w14:lumMod w14:val="95000"/>
                <w14:lumOff w14:val="5000"/>
              </w14:schemeClr>
            </w14:solidFill>
          </w14:textFill>
        </w:rPr>
        <w:t>注：投标文件解密结束，各供应商签署《政府采购活动现场确认声明书》，签署完成后，扫描发送至邮箱：</w:t>
      </w:r>
      <w:r>
        <w:fldChar w:fldCharType="begin"/>
      </w:r>
      <w:r>
        <w:instrText xml:space="preserve"> HYPERLINK "mailto:834007470@qq.com；" </w:instrText>
      </w:r>
      <w:r>
        <w:fldChar w:fldCharType="separate"/>
      </w:r>
      <w:r>
        <w:rPr>
          <w:rFonts w:hint="eastAsia" w:cs="宋体"/>
          <w:i/>
          <w:iCs/>
          <w:color w:val="0D0D0D" w:themeColor="text1" w:themeTint="F2"/>
          <w:sz w:val="24"/>
          <w14:textFill>
            <w14:solidFill>
              <w14:schemeClr w14:val="tx1">
                <w14:lumMod w14:val="95000"/>
                <w14:lumOff w14:val="5000"/>
              </w14:schemeClr>
            </w14:solidFill>
          </w14:textFill>
        </w:rPr>
        <w:t>253656196@qq.com；</w:t>
      </w:r>
      <w:r>
        <w:rPr>
          <w:rFonts w:hint="eastAsia" w:cs="宋体"/>
          <w:i/>
          <w:iCs/>
          <w:color w:val="0D0D0D" w:themeColor="text1" w:themeTint="F2"/>
          <w:sz w:val="24"/>
          <w14:textFill>
            <w14:solidFill>
              <w14:schemeClr w14:val="tx1">
                <w14:lumMod w14:val="95000"/>
                <w14:lumOff w14:val="5000"/>
              </w14:schemeClr>
            </w14:solidFill>
          </w14:textFill>
        </w:rPr>
        <w:fldChar w:fldCharType="end"/>
      </w:r>
    </w:p>
    <w:sectPr>
      <w:pgSz w:w="11906" w:h="16838"/>
      <w:pgMar w:top="1247" w:right="1304" w:bottom="1020" w:left="1304" w:header="720" w:footer="72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71A56BD-B152-40ED-8BE4-419E75B60A58}"/>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B8906ADD-FADD-4AD2-AB7F-81EA91070079}"/>
  </w:font>
  <w:font w:name="仿宋">
    <w:panose1 w:val="02010609060101010101"/>
    <w:charset w:val="86"/>
    <w:family w:val="modern"/>
    <w:pitch w:val="default"/>
    <w:sig w:usb0="800002BF" w:usb1="38CF7CFA" w:usb2="00000016" w:usb3="00000000" w:csb0="00040001" w:csb1="00000000"/>
    <w:embedRegular r:id="rId3" w:fontKey="{61908CC0-83FE-4BA9-B887-A23559C21685}"/>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Wonder Arial">
    <w:altName w:val="Arial"/>
    <w:panose1 w:val="00000000000000000000"/>
    <w:charset w:val="00"/>
    <w:family w:val="auto"/>
    <w:pitch w:val="default"/>
    <w:sig w:usb0="00000000" w:usb1="00000000" w:usb2="00000000" w:usb3="00000000" w:csb0="00000011"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yyb"/>
    <w:panose1 w:val="00000000000000000000"/>
    <w:charset w:val="00"/>
    <w:family w:val="modern"/>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embedRegular r:id="rId4" w:fontKey="{925F5065-6005-47FA-BF89-AE22044DDD03}"/>
  </w:font>
  <w:font w:name="PMingLiU">
    <w:panose1 w:val="02020500000000000000"/>
    <w:charset w:val="88"/>
    <w:family w:val="auto"/>
    <w:pitch w:val="default"/>
    <w:sig w:usb0="A00002FF" w:usb1="28CFFCFA" w:usb2="00000016" w:usb3="00000000" w:csb0="00100001"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418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584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246E0DDC">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F84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81F894D">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5FB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49263B5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3618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581448B">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6195">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A7EF">
    <w:pPr>
      <w:pStyle w:val="40"/>
      <w:rPr>
        <w:rFonts w:ascii="仿宋_GB2312" w:eastAsia="仿宋_GB2312"/>
        <w:b/>
        <w:i/>
        <w:u w:val="single"/>
      </w:rPr>
    </w:pPr>
    <w:r>
      <w:t></w:t>
    </w:r>
  </w:p>
  <w:p w14:paraId="20956999">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603E">
    <w:pPr>
      <w:pStyle w:val="40"/>
      <w:jc w:val="right"/>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C782">
    <w:pPr>
      <w:pStyle w:val="40"/>
      <w:jc w:val="right"/>
      <w:rPr>
        <w:rFonts w:ascii="仿宋_GB2312" w:eastAsia="仿宋_GB2312"/>
        <w:b/>
        <w:i/>
        <w:u w:val="single"/>
      </w:rPr>
    </w:pPr>
  </w:p>
  <w:p w14:paraId="559D8B29">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C150">
    <w:pPr>
      <w:pStyle w:val="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B485E"/>
    <w:multiLevelType w:val="singleLevel"/>
    <w:tmpl w:val="9DAB485E"/>
    <w:lvl w:ilvl="0" w:tentative="0">
      <w:start w:val="15"/>
      <w:numFmt w:val="decimal"/>
      <w:suff w:val="space"/>
      <w:lvlText w:val="%1."/>
      <w:lvlJc w:val="left"/>
    </w:lvl>
  </w:abstractNum>
  <w:abstractNum w:abstractNumId="1">
    <w:nsid w:val="E6A8AD84"/>
    <w:multiLevelType w:val="singleLevel"/>
    <w:tmpl w:val="E6A8AD84"/>
    <w:lvl w:ilvl="0" w:tentative="0">
      <w:start w:val="1"/>
      <w:numFmt w:val="decimal"/>
      <w:suff w:val="space"/>
      <w:lvlText w:val="%1."/>
      <w:lvlJc w:val="left"/>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nothing"/>
      <w:lvlText w:val="（%1）"/>
      <w:lvlJc w:val="left"/>
      <w:pPr>
        <w:ind w:left="0" w:firstLine="420"/>
      </w:pPr>
      <w:rPr>
        <w:rFonts w:hint="default"/>
      </w:rPr>
    </w:lvl>
  </w:abstractNum>
  <w:abstractNum w:abstractNumId="4">
    <w:nsid w:val="660B7BB4"/>
    <w:multiLevelType w:val="singleLevel"/>
    <w:tmpl w:val="660B7BB4"/>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hideSpellingErrors/>
  <w:documentProtection w:enforcement="0"/>
  <w:defaultTabStop w:val="42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58"/>
    <w:rsid w:val="00246E5F"/>
    <w:rsid w:val="002C1C11"/>
    <w:rsid w:val="002E19DA"/>
    <w:rsid w:val="0032298F"/>
    <w:rsid w:val="00377076"/>
    <w:rsid w:val="003B4514"/>
    <w:rsid w:val="003F1C97"/>
    <w:rsid w:val="00425D8F"/>
    <w:rsid w:val="0044342B"/>
    <w:rsid w:val="004E0F5A"/>
    <w:rsid w:val="004E5AE3"/>
    <w:rsid w:val="00573D58"/>
    <w:rsid w:val="00646CE8"/>
    <w:rsid w:val="006B5AAC"/>
    <w:rsid w:val="006C187D"/>
    <w:rsid w:val="006D3F28"/>
    <w:rsid w:val="007A5E5F"/>
    <w:rsid w:val="007B7553"/>
    <w:rsid w:val="00891E67"/>
    <w:rsid w:val="0092798B"/>
    <w:rsid w:val="009A1A7A"/>
    <w:rsid w:val="009B0D81"/>
    <w:rsid w:val="00C226FA"/>
    <w:rsid w:val="00C6030E"/>
    <w:rsid w:val="00C7394D"/>
    <w:rsid w:val="00D44122"/>
    <w:rsid w:val="00E27090"/>
    <w:rsid w:val="00E33EC0"/>
    <w:rsid w:val="00E508DC"/>
    <w:rsid w:val="00E61684"/>
    <w:rsid w:val="00EF1FF9"/>
    <w:rsid w:val="031421DE"/>
    <w:rsid w:val="05C32CB0"/>
    <w:rsid w:val="06D65810"/>
    <w:rsid w:val="07C601B3"/>
    <w:rsid w:val="09192CB9"/>
    <w:rsid w:val="096D6C45"/>
    <w:rsid w:val="0B7317DA"/>
    <w:rsid w:val="0E746E44"/>
    <w:rsid w:val="1487075B"/>
    <w:rsid w:val="17CA7CDF"/>
    <w:rsid w:val="1A622AE9"/>
    <w:rsid w:val="1B802B23"/>
    <w:rsid w:val="1E246CE1"/>
    <w:rsid w:val="1F910391"/>
    <w:rsid w:val="217764EB"/>
    <w:rsid w:val="234F63EC"/>
    <w:rsid w:val="24451454"/>
    <w:rsid w:val="26BF722A"/>
    <w:rsid w:val="277B4822"/>
    <w:rsid w:val="28CA04D8"/>
    <w:rsid w:val="29A558AD"/>
    <w:rsid w:val="2A84281C"/>
    <w:rsid w:val="2CCC4ABE"/>
    <w:rsid w:val="33552D94"/>
    <w:rsid w:val="33A0514A"/>
    <w:rsid w:val="33B83AB5"/>
    <w:rsid w:val="35905114"/>
    <w:rsid w:val="36BC498D"/>
    <w:rsid w:val="3BAB4C27"/>
    <w:rsid w:val="3EAE47A1"/>
    <w:rsid w:val="4382788A"/>
    <w:rsid w:val="4B4E65EF"/>
    <w:rsid w:val="4C841753"/>
    <w:rsid w:val="4F6F7E1B"/>
    <w:rsid w:val="50767409"/>
    <w:rsid w:val="50DF00FC"/>
    <w:rsid w:val="51150D6E"/>
    <w:rsid w:val="51BA13C1"/>
    <w:rsid w:val="52BB2B30"/>
    <w:rsid w:val="5321043D"/>
    <w:rsid w:val="53947D10"/>
    <w:rsid w:val="557F6044"/>
    <w:rsid w:val="574F0FBE"/>
    <w:rsid w:val="58584270"/>
    <w:rsid w:val="5A743FF2"/>
    <w:rsid w:val="5B367D97"/>
    <w:rsid w:val="5D6870AA"/>
    <w:rsid w:val="60F74EC7"/>
    <w:rsid w:val="621665E1"/>
    <w:rsid w:val="639530AB"/>
    <w:rsid w:val="64561EED"/>
    <w:rsid w:val="65227026"/>
    <w:rsid w:val="66985745"/>
    <w:rsid w:val="66D3491F"/>
    <w:rsid w:val="697928C2"/>
    <w:rsid w:val="6B286F00"/>
    <w:rsid w:val="6C0C20E4"/>
    <w:rsid w:val="6EC86D75"/>
    <w:rsid w:val="708F38BB"/>
    <w:rsid w:val="710A3897"/>
    <w:rsid w:val="7204032F"/>
    <w:rsid w:val="72797397"/>
    <w:rsid w:val="72DF25DF"/>
    <w:rsid w:val="76C12BE0"/>
    <w:rsid w:val="778B38B0"/>
    <w:rsid w:val="7878404B"/>
    <w:rsid w:val="7A1C14E2"/>
    <w:rsid w:val="7A4E6A5F"/>
    <w:rsid w:val="7B062D3E"/>
    <w:rsid w:val="7BCA71F1"/>
    <w:rsid w:val="7CF33E80"/>
    <w:rsid w:val="7DA83B93"/>
    <w:rsid w:val="7EB17607"/>
    <w:rsid w:val="FE4D8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iPriority="99"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2"/>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8"/>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2"/>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2"/>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qFormat/>
    <w:uiPriority w:val="99"/>
    <w:pPr>
      <w:widowControl/>
      <w:tabs>
        <w:tab w:val="left" w:pos="432"/>
      </w:tabs>
      <w:adjustRightInd/>
      <w:spacing w:before="4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next w:val="1"/>
    <w:link w:val="198"/>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4"/>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7"/>
    <w:qFormat/>
    <w:uiPriority w:val="0"/>
    <w:pPr>
      <w:shd w:val="clear" w:color="auto" w:fill="000080"/>
    </w:pPr>
  </w:style>
  <w:style w:type="paragraph" w:styleId="19">
    <w:name w:val="annotation text"/>
    <w:basedOn w:val="1"/>
    <w:link w:val="349"/>
    <w:qFormat/>
    <w:uiPriority w:val="99"/>
    <w:pPr>
      <w:jc w:val="left"/>
    </w:pPr>
  </w:style>
  <w:style w:type="paragraph" w:styleId="20">
    <w:name w:val="Salutation"/>
    <w:basedOn w:val="1"/>
    <w:next w:val="1"/>
    <w:link w:val="303"/>
    <w:qFormat/>
    <w:uiPriority w:val="0"/>
    <w:rPr>
      <w:rFonts w:ascii="仿宋_GB2312" w:eastAsia="仿宋_GB2312"/>
      <w:sz w:val="28"/>
      <w:szCs w:val="20"/>
    </w:rPr>
  </w:style>
  <w:style w:type="paragraph" w:styleId="21">
    <w:name w:val="Body Text 3"/>
    <w:basedOn w:val="1"/>
    <w:link w:val="335"/>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link w:val="435"/>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70"/>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4"/>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130"/>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6"/>
    <w:qFormat/>
    <w:uiPriority w:val="0"/>
    <w:pPr>
      <w:ind w:left="100" w:leftChars="2500"/>
    </w:pPr>
    <w:rPr>
      <w:rFonts w:ascii="宋体"/>
      <w:sz w:val="24"/>
      <w:szCs w:val="21"/>
      <w:lang w:val="zh-CN"/>
    </w:rPr>
  </w:style>
  <w:style w:type="paragraph" w:styleId="36">
    <w:name w:val="Body Text Indent 2"/>
    <w:basedOn w:val="1"/>
    <w:link w:val="313"/>
    <w:qFormat/>
    <w:uiPriority w:val="0"/>
    <w:pPr>
      <w:spacing w:line="360" w:lineRule="auto"/>
      <w:ind w:firstLine="601"/>
      <w:textAlignment w:val="baseline"/>
    </w:pPr>
    <w:rPr>
      <w:rFonts w:ascii="宋体"/>
      <w:kern w:val="0"/>
      <w:sz w:val="28"/>
      <w:szCs w:val="20"/>
    </w:rPr>
  </w:style>
  <w:style w:type="paragraph" w:styleId="37">
    <w:name w:val="endnote text"/>
    <w:basedOn w:val="1"/>
    <w:link w:val="935"/>
    <w:qFormat/>
    <w:uiPriority w:val="0"/>
    <w:rPr>
      <w:lang w:val="zh-CN"/>
    </w:rPr>
  </w:style>
  <w:style w:type="paragraph" w:styleId="38">
    <w:name w:val="Balloon Text"/>
    <w:basedOn w:val="1"/>
    <w:link w:val="193"/>
    <w:qFormat/>
    <w:uiPriority w:val="0"/>
    <w:rPr>
      <w:sz w:val="18"/>
      <w:szCs w:val="18"/>
    </w:rPr>
  </w:style>
  <w:style w:type="paragraph" w:styleId="39">
    <w:name w:val="footer"/>
    <w:basedOn w:val="1"/>
    <w:link w:val="388"/>
    <w:qFormat/>
    <w:uiPriority w:val="99"/>
    <w:pPr>
      <w:tabs>
        <w:tab w:val="center" w:pos="4153"/>
        <w:tab w:val="right" w:pos="8306"/>
      </w:tabs>
      <w:snapToGrid w:val="0"/>
      <w:jc w:val="left"/>
    </w:pPr>
    <w:rPr>
      <w:sz w:val="18"/>
      <w:szCs w:val="18"/>
    </w:rPr>
  </w:style>
  <w:style w:type="paragraph" w:styleId="40">
    <w:name w:val="header"/>
    <w:basedOn w:val="1"/>
    <w:link w:val="397"/>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50"/>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8"/>
    <w:qFormat/>
    <w:uiPriority w:val="0"/>
    <w:pPr>
      <w:adjustRightInd w:val="0"/>
      <w:snapToGrid w:val="0"/>
      <w:spacing w:before="240" w:after="480" w:line="278" w:lineRule="auto"/>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15"/>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80"/>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7"/>
    <w:qFormat/>
    <w:uiPriority w:val="0"/>
    <w:pPr>
      <w:spacing w:after="120" w:line="480" w:lineRule="auto"/>
    </w:pPr>
  </w:style>
  <w:style w:type="paragraph" w:styleId="56">
    <w:name w:val="HTML Preformatted"/>
    <w:basedOn w:val="1"/>
    <w:link w:val="3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link w:val="291"/>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101"/>
    <w:qFormat/>
    <w:uiPriority w:val="0"/>
    <w:rPr>
      <w:b/>
      <w:bCs/>
    </w:rPr>
  </w:style>
  <w:style w:type="paragraph" w:styleId="60">
    <w:name w:val="Body Text First Indent"/>
    <w:basedOn w:val="23"/>
    <w:next w:val="1"/>
    <w:link w:val="326"/>
    <w:qFormat/>
    <w:uiPriority w:val="0"/>
    <w:pPr>
      <w:ind w:firstLine="420"/>
    </w:pPr>
    <w:rPr>
      <w:rFonts w:hAnsi="Calibri" w:cs="Times New Roman"/>
      <w:snapToGrid/>
      <w:szCs w:val="20"/>
    </w:rPr>
  </w:style>
  <w:style w:type="paragraph" w:styleId="61">
    <w:name w:val="Body Text First Indent 2"/>
    <w:basedOn w:val="24"/>
    <w:next w:val="1"/>
    <w:link w:val="126"/>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styleId="79">
    <w:name w:val="HTML Sample"/>
    <w:basedOn w:val="69"/>
    <w:qFormat/>
    <w:uiPriority w:val="0"/>
    <w:rPr>
      <w:rFonts w:ascii="Courier New" w:hAnsi="Courier New"/>
    </w:rPr>
  </w:style>
  <w:style w:type="paragraph" w:customStyle="1" w:styleId="80">
    <w:name w:val="样式3"/>
    <w:basedOn w:val="32"/>
    <w:qFormat/>
    <w:uiPriority w:val="0"/>
    <w:pPr>
      <w:tabs>
        <w:tab w:val="left" w:pos="2790"/>
        <w:tab w:val="left" w:pos="4230"/>
      </w:tabs>
      <w:spacing w:beforeLines="100"/>
      <w:jc w:val="left"/>
    </w:pPr>
  </w:style>
  <w:style w:type="paragraph" w:customStyle="1" w:styleId="81">
    <w:name w:val="正文正"/>
    <w:basedOn w:val="1"/>
    <w:qFormat/>
    <w:uiPriority w:val="0"/>
    <w:pPr>
      <w:spacing w:line="560" w:lineRule="exact"/>
      <w:ind w:firstLine="561"/>
    </w:pPr>
    <w:rPr>
      <w:rFonts w:eastAsia="仿宋_GB2312"/>
      <w:sz w:val="28"/>
    </w:rPr>
  </w:style>
  <w:style w:type="paragraph" w:customStyle="1" w:styleId="82">
    <w:name w:val="Default"/>
    <w:next w:val="39"/>
    <w:link w:val="239"/>
    <w:qFormat/>
    <w:uiPriority w:val="0"/>
    <w:pPr>
      <w:widowControl w:val="0"/>
      <w:autoSpaceDE w:val="0"/>
      <w:autoSpaceDN w:val="0"/>
      <w:adjustRightInd w:val="0"/>
      <w:spacing w:after="160" w:line="278" w:lineRule="auto"/>
    </w:pPr>
    <w:rPr>
      <w:rFonts w:ascii="仿宋_GB2312" w:hAnsi="Times New Roman" w:eastAsia="仿宋_GB2312" w:cs="仿宋_GB2312"/>
      <w:color w:val="000000"/>
      <w:sz w:val="24"/>
      <w:szCs w:val="24"/>
      <w:lang w:val="en-US" w:eastAsia="zh-CN" w:bidi="ar-SA"/>
    </w:rPr>
  </w:style>
  <w:style w:type="paragraph" w:customStyle="1" w:styleId="83">
    <w:name w:val="公文"/>
    <w:basedOn w:val="1"/>
    <w:qFormat/>
    <w:uiPriority w:val="0"/>
    <w:pPr>
      <w:ind w:firstLine="640" w:firstLineChars="200"/>
    </w:pPr>
    <w:rPr>
      <w:rFonts w:ascii="仿宋_GB2312" w:hAnsi="仿宋_GB2312" w:eastAsia="仿宋_GB2312"/>
      <w:sz w:val="32"/>
    </w:rPr>
  </w:style>
  <w:style w:type="paragraph" w:customStyle="1" w:styleId="84">
    <w:name w:val="目录 71"/>
    <w:next w:val="1"/>
    <w:qFormat/>
    <w:uiPriority w:val="0"/>
    <w:pPr>
      <w:wordWrap w:val="0"/>
      <w:spacing w:after="160" w:line="278" w:lineRule="auto"/>
      <w:ind w:left="2550"/>
      <w:jc w:val="both"/>
    </w:pPr>
    <w:rPr>
      <w:rFonts w:ascii="Times New Roman" w:hAnsi="Times New Roman" w:eastAsia="宋体" w:cs="Times New Roman"/>
      <w:sz w:val="21"/>
      <w:szCs w:val="22"/>
      <w:lang w:val="en-US" w:eastAsia="zh-CN" w:bidi="ar-SA"/>
    </w:rPr>
  </w:style>
  <w:style w:type="paragraph" w:customStyle="1" w:styleId="85">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86">
    <w:name w:val="自动更正"/>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87">
    <w:name w:val="表格非标题文字 Char"/>
    <w:link w:val="88"/>
    <w:qFormat/>
    <w:uiPriority w:val="0"/>
    <w:rPr>
      <w:rFonts w:ascii="Futura Bk" w:hAnsi="Futura Bk"/>
      <w:kern w:val="2"/>
      <w:sz w:val="18"/>
      <w:szCs w:val="21"/>
      <w:lang w:val="en-US" w:eastAsia="zh-CN" w:bidi="ar-SA"/>
    </w:rPr>
  </w:style>
  <w:style w:type="paragraph" w:customStyle="1" w:styleId="88">
    <w:name w:val="表格非标题文字"/>
    <w:link w:val="87"/>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89">
    <w:name w:val="*正文 Char"/>
    <w:link w:val="90"/>
    <w:qFormat/>
    <w:uiPriority w:val="0"/>
    <w:rPr>
      <w:rFonts w:ascii="宋体" w:hAnsi="宋体"/>
      <w:sz w:val="24"/>
    </w:rPr>
  </w:style>
  <w:style w:type="paragraph" w:customStyle="1" w:styleId="90">
    <w:name w:val="*正文"/>
    <w:basedOn w:val="1"/>
    <w:link w:val="89"/>
    <w:qFormat/>
    <w:uiPriority w:val="0"/>
    <w:pPr>
      <w:snapToGrid w:val="0"/>
      <w:spacing w:line="360" w:lineRule="auto"/>
      <w:ind w:firstLine="482"/>
      <w:jc w:val="left"/>
    </w:pPr>
    <w:rPr>
      <w:rFonts w:ascii="宋体" w:hAnsi="宋体"/>
      <w:kern w:val="0"/>
      <w:sz w:val="24"/>
      <w:szCs w:val="20"/>
    </w:rPr>
  </w:style>
  <w:style w:type="character" w:customStyle="1" w:styleId="91">
    <w:name w:val="Char Char71"/>
    <w:qFormat/>
    <w:uiPriority w:val="0"/>
    <w:rPr>
      <w:rFonts w:eastAsia="宋体"/>
      <w:kern w:val="2"/>
      <w:sz w:val="21"/>
      <w:szCs w:val="24"/>
      <w:lang w:val="en-US" w:eastAsia="zh-CN" w:bidi="ar-SA"/>
    </w:rPr>
  </w:style>
  <w:style w:type="character" w:customStyle="1" w:styleId="92">
    <w:name w:val="Char Char6"/>
    <w:qFormat/>
    <w:uiPriority w:val="0"/>
    <w:rPr>
      <w:rFonts w:eastAsia="宋体"/>
      <w:kern w:val="2"/>
      <w:sz w:val="21"/>
      <w:szCs w:val="24"/>
      <w:lang w:val="en-US" w:eastAsia="zh-CN" w:bidi="ar-SA"/>
    </w:rPr>
  </w:style>
  <w:style w:type="character" w:customStyle="1" w:styleId="93">
    <w:name w:val="正文缩进 Char"/>
    <w:qFormat/>
    <w:uiPriority w:val="0"/>
    <w:rPr>
      <w:rFonts w:eastAsia="宋体"/>
      <w:kern w:val="2"/>
      <w:sz w:val="21"/>
      <w:lang w:val="en-US" w:eastAsia="zh-CN"/>
    </w:rPr>
  </w:style>
  <w:style w:type="character" w:customStyle="1" w:styleId="94">
    <w:name w:val="正文首行缩进 Char1"/>
    <w:qFormat/>
    <w:uiPriority w:val="0"/>
    <w:rPr>
      <w:rFonts w:ascii="宋体" w:hAnsi="Times New Roman" w:eastAsia="宋体" w:cs="Times New Roman"/>
      <w:snapToGrid w:val="0"/>
      <w:kern w:val="2"/>
      <w:sz w:val="24"/>
      <w:szCs w:val="21"/>
      <w:lang w:val="zh-CN"/>
    </w:rPr>
  </w:style>
  <w:style w:type="character" w:customStyle="1" w:styleId="95">
    <w:name w:val="Char Char28"/>
    <w:qFormat/>
    <w:uiPriority w:val="6"/>
    <w:rPr>
      <w:rFonts w:ascii="仿宋_GB2312" w:hAnsi="仿宋_GB2312" w:eastAsia="仿宋_GB2312"/>
      <w:kern w:val="1"/>
      <w:sz w:val="28"/>
    </w:rPr>
  </w:style>
  <w:style w:type="character" w:customStyle="1" w:styleId="9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_a7ea97db-cee6-4a71-993d-c3980d11c211"/>
    <w:qFormat/>
    <w:uiPriority w:val="6"/>
    <w:rPr>
      <w:rFonts w:ascii="Times New Roman" w:hAnsi="Times New Roman" w:eastAsia="黑体" w:cs="Times New Roman"/>
      <w:b/>
      <w:kern w:val="0"/>
      <w:sz w:val="24"/>
      <w:szCs w:val="24"/>
    </w:rPr>
  </w:style>
  <w:style w:type="character" w:customStyle="1" w:styleId="98">
    <w:name w:val="U_正文 Char"/>
    <w:link w:val="99"/>
    <w:qFormat/>
    <w:uiPriority w:val="0"/>
    <w:rPr>
      <w:sz w:val="24"/>
      <w:szCs w:val="24"/>
    </w:rPr>
  </w:style>
  <w:style w:type="paragraph" w:customStyle="1" w:styleId="99">
    <w:name w:val="U_正文"/>
    <w:basedOn w:val="1"/>
    <w:link w:val="98"/>
    <w:qFormat/>
    <w:uiPriority w:val="0"/>
    <w:pPr>
      <w:adjustRightInd/>
      <w:spacing w:beforeLines="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批注主题 字符"/>
    <w:link w:val="59"/>
    <w:qFormat/>
    <w:uiPriority w:val="0"/>
    <w:rPr>
      <w:b/>
      <w:bCs/>
      <w:kern w:val="2"/>
      <w:sz w:val="21"/>
      <w:szCs w:val="24"/>
    </w:rPr>
  </w:style>
  <w:style w:type="character" w:customStyle="1" w:styleId="102">
    <w:name w:val="Char Char51"/>
    <w:qFormat/>
    <w:uiPriority w:val="0"/>
    <w:rPr>
      <w:rFonts w:ascii="宋体" w:hAnsi="Courier New" w:eastAsia="宋体"/>
      <w:kern w:val="2"/>
      <w:sz w:val="21"/>
      <w:lang w:val="en-US" w:eastAsia="zh-CN"/>
    </w:rPr>
  </w:style>
  <w:style w:type="character" w:customStyle="1" w:styleId="103">
    <w:name w:val="表正文 Char"/>
    <w:qFormat/>
    <w:uiPriority w:val="0"/>
    <w:rPr>
      <w:rFonts w:ascii="宋体" w:eastAsia="宋体"/>
      <w:snapToGrid w:val="0"/>
      <w:color w:val="000000"/>
      <w:kern w:val="28"/>
      <w:sz w:val="28"/>
      <w:lang w:val="en-US" w:eastAsia="zh-CN" w:bidi="ar-SA"/>
    </w:rPr>
  </w:style>
  <w:style w:type="character" w:customStyle="1" w:styleId="104">
    <w:name w:val="Char Char34"/>
    <w:qFormat/>
    <w:uiPriority w:val="6"/>
    <w:rPr>
      <w:b/>
      <w:kern w:val="1"/>
      <w:sz w:val="28"/>
      <w:szCs w:val="28"/>
    </w:rPr>
  </w:style>
  <w:style w:type="character" w:customStyle="1" w:styleId="105">
    <w:name w:val="Normal Indent Char"/>
    <w:qFormat/>
    <w:uiPriority w:val="0"/>
    <w:rPr>
      <w:rFonts w:ascii="Calibri" w:hAnsi="Calibri" w:eastAsia="宋体" w:cs="黑体"/>
      <w:snapToGrid w:val="0"/>
      <w:kern w:val="2"/>
      <w:sz w:val="24"/>
      <w:szCs w:val="22"/>
      <w:lang w:val="en-US" w:eastAsia="zh-CN" w:bidi="ar-SA"/>
    </w:rPr>
  </w:style>
  <w:style w:type="character" w:customStyle="1" w:styleId="106">
    <w:name w:val="哈哈正文 Char"/>
    <w:link w:val="107"/>
    <w:qFormat/>
    <w:uiPriority w:val="0"/>
    <w:rPr>
      <w:rFonts w:ascii="宋体" w:hAnsi="宋体" w:eastAsia="宋体"/>
      <w:kern w:val="2"/>
      <w:sz w:val="24"/>
      <w:lang w:bidi="ar-SA"/>
    </w:rPr>
  </w:style>
  <w:style w:type="paragraph" w:customStyle="1" w:styleId="107">
    <w:name w:val="哈哈正文"/>
    <w:basedOn w:val="1"/>
    <w:link w:val="106"/>
    <w:qFormat/>
    <w:uiPriority w:val="0"/>
    <w:pPr>
      <w:adjustRightInd/>
      <w:spacing w:line="360" w:lineRule="auto"/>
      <w:ind w:firstLine="200" w:firstLineChars="200"/>
    </w:pPr>
    <w:rPr>
      <w:rFonts w:ascii="宋体" w:hAnsi="宋体"/>
      <w:sz w:val="24"/>
      <w:szCs w:val="20"/>
    </w:rPr>
  </w:style>
  <w:style w:type="character" w:customStyle="1" w:styleId="108">
    <w:name w:val="未处理的提及1"/>
    <w:qFormat/>
    <w:uiPriority w:val="0"/>
    <w:rPr>
      <w:color w:val="808080"/>
      <w:shd w:val="clear" w:color="auto" w:fill="E6E6E6"/>
    </w:rPr>
  </w:style>
  <w:style w:type="character" w:customStyle="1" w:styleId="109">
    <w:name w:val="txt"/>
    <w:qFormat/>
    <w:uiPriority w:val="0"/>
    <w:rPr>
      <w:rFonts w:ascii="仿宋_GB2312" w:eastAsia="微软雅黑"/>
      <w:b/>
      <w:kern w:val="2"/>
      <w:sz w:val="32"/>
      <w:szCs w:val="32"/>
      <w:lang w:val="en-US" w:eastAsia="zh-CN" w:bidi="ar-SA"/>
    </w:rPr>
  </w:style>
  <w:style w:type="character" w:customStyle="1" w:styleId="110">
    <w:name w:val="二级标题 Char Char"/>
    <w:qFormat/>
    <w:uiPriority w:val="0"/>
    <w:rPr>
      <w:rFonts w:ascii="宋体" w:hAnsi="宋体" w:eastAsia="宋体"/>
      <w:b/>
      <w:snapToGrid w:val="0"/>
      <w:kern w:val="2"/>
      <w:sz w:val="24"/>
      <w:szCs w:val="24"/>
      <w:lang w:val="en-US" w:eastAsia="zh-CN" w:bidi="ar-SA"/>
    </w:rPr>
  </w:style>
  <w:style w:type="character" w:customStyle="1" w:styleId="111">
    <w:name w:val="Char Char32"/>
    <w:qFormat/>
    <w:uiPriority w:val="6"/>
    <w:rPr>
      <w:b/>
      <w:kern w:val="1"/>
      <w:sz w:val="24"/>
      <w:szCs w:val="24"/>
    </w:rPr>
  </w:style>
  <w:style w:type="character" w:customStyle="1" w:styleId="112">
    <w:name w:val="PI Char1"/>
    <w:qFormat/>
    <w:uiPriority w:val="0"/>
    <w:rPr>
      <w:rFonts w:ascii="宋体" w:hAnsi="宋体"/>
      <w:kern w:val="2"/>
      <w:sz w:val="24"/>
      <w:szCs w:val="24"/>
    </w:rPr>
  </w:style>
  <w:style w:type="character" w:customStyle="1" w:styleId="113">
    <w:name w:val="tw4winTerm"/>
    <w:qFormat/>
    <w:uiPriority w:val="0"/>
    <w:rPr>
      <w:color w:val="0000FF"/>
    </w:rPr>
  </w:style>
  <w:style w:type="character" w:customStyle="1" w:styleId="114">
    <w:name w:val="Footer Char_6fa7a96f-08da-414f-91f4-85668e2075f9"/>
    <w:qFormat/>
    <w:uiPriority w:val="0"/>
    <w:rPr>
      <w:rFonts w:eastAsia="宋体"/>
      <w:kern w:val="2"/>
      <w:sz w:val="18"/>
      <w:lang w:val="en-US" w:eastAsia="zh-CN" w:bidi="ar-SA"/>
    </w:rPr>
  </w:style>
  <w:style w:type="character" w:customStyle="1" w:styleId="115">
    <w:name w:val="普通文字 Char Char1"/>
    <w:qFormat/>
    <w:uiPriority w:val="0"/>
    <w:rPr>
      <w:rFonts w:ascii="宋体" w:hAnsi="Courier New"/>
      <w:kern w:val="2"/>
      <w:sz w:val="21"/>
    </w:rPr>
  </w:style>
  <w:style w:type="character" w:customStyle="1" w:styleId="116">
    <w:name w:val="Char Char101"/>
    <w:qFormat/>
    <w:uiPriority w:val="6"/>
    <w:rPr>
      <w:rFonts w:ascii="宋体" w:hAnsi="宋体"/>
      <w:kern w:val="2"/>
      <w:sz w:val="21"/>
      <w:szCs w:val="24"/>
      <w:lang w:val="en-US" w:eastAsia="zh-CN"/>
    </w:rPr>
  </w:style>
  <w:style w:type="character" w:customStyle="1" w:styleId="117">
    <w:name w:val="标题 4 Char"/>
    <w:qFormat/>
    <w:uiPriority w:val="0"/>
    <w:rPr>
      <w:rFonts w:ascii="Arial" w:hAnsi="Arial" w:eastAsia="黑体"/>
      <w:b/>
      <w:kern w:val="2"/>
      <w:sz w:val="28"/>
    </w:rPr>
  </w:style>
  <w:style w:type="character" w:customStyle="1" w:styleId="118">
    <w:name w:val="链接"/>
    <w:qFormat/>
    <w:uiPriority w:val="0"/>
    <w:rPr>
      <w:color w:val="0000FF"/>
      <w:sz w:val="21"/>
      <w:szCs w:val="21"/>
      <w:u w:val="single"/>
    </w:rPr>
  </w:style>
  <w:style w:type="character" w:customStyle="1" w:styleId="119">
    <w:name w:val="h4 Char"/>
    <w:qFormat/>
    <w:uiPriority w:val="0"/>
    <w:rPr>
      <w:rFonts w:ascii="Arial" w:hAnsi="Arial" w:eastAsia="黑体"/>
      <w:b/>
      <w:bCs/>
      <w:kern w:val="2"/>
      <w:sz w:val="28"/>
      <w:szCs w:val="28"/>
      <w:lang w:val="zh-CN" w:eastAsia="zh-CN" w:bidi="ar-SA"/>
    </w:rPr>
  </w:style>
  <w:style w:type="character" w:customStyle="1" w:styleId="120">
    <w:name w:val="5正文 Char"/>
    <w:link w:val="121"/>
    <w:qFormat/>
    <w:uiPriority w:val="0"/>
    <w:rPr>
      <w:rFonts w:ascii="仿宋_GB2312" w:hAnsi="微软雅黑" w:eastAsia="仿宋_GB2312"/>
      <w:sz w:val="28"/>
      <w:szCs w:val="21"/>
    </w:rPr>
  </w:style>
  <w:style w:type="paragraph" w:customStyle="1" w:styleId="121">
    <w:name w:val="5正文"/>
    <w:basedOn w:val="1"/>
    <w:link w:val="12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qFormat/>
    <w:uiPriority w:val="9"/>
    <w:rPr>
      <w:b/>
      <w:bCs/>
      <w:kern w:val="2"/>
      <w:sz w:val="32"/>
      <w:szCs w:val="32"/>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文本首行缩进 2 字符"/>
    <w:link w:val="61"/>
    <w:qFormat/>
    <w:uiPriority w:val="0"/>
    <w:rPr>
      <w:rFonts w:ascii="宋体" w:hAnsi="宋体"/>
      <w:kern w:val="2"/>
      <w:sz w:val="21"/>
      <w:szCs w:val="24"/>
    </w:rPr>
  </w:style>
  <w:style w:type="character" w:customStyle="1" w:styleId="127">
    <w:name w:val="font11"/>
    <w:basedOn w:val="69"/>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snapToGrid w:val="0"/>
      <w:color w:val="000000"/>
      <w:kern w:val="28"/>
      <w:sz w:val="28"/>
    </w:rPr>
  </w:style>
  <w:style w:type="character" w:customStyle="1" w:styleId="129">
    <w:name w:val="blue1"/>
    <w:basedOn w:val="69"/>
    <w:qFormat/>
    <w:uiPriority w:val="0"/>
    <w:rPr>
      <w:rFonts w:ascii="Arial" w:hAnsi="Arial" w:eastAsia="黑体" w:cs="Arial"/>
      <w:snapToGrid w:val="0"/>
      <w:kern w:val="0"/>
      <w:szCs w:val="21"/>
    </w:rPr>
  </w:style>
  <w:style w:type="character" w:customStyle="1" w:styleId="130">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字符"/>
    <w:link w:val="46"/>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145"/>
    <w:qFormat/>
    <w:uiPriority w:val="1"/>
    <w:rPr>
      <w:sz w:val="22"/>
      <w:szCs w:val="22"/>
      <w:lang w:val="en-US" w:eastAsia="zh-CN" w:bidi="ar-SA"/>
    </w:rPr>
  </w:style>
  <w:style w:type="paragraph" w:customStyle="1" w:styleId="145">
    <w:name w:val="无间隔1"/>
    <w:link w:val="144"/>
    <w:qFormat/>
    <w:uiPriority w:val="1"/>
    <w:pPr>
      <w:spacing w:after="160" w:line="278" w:lineRule="auto"/>
    </w:pPr>
    <w:rPr>
      <w:rFonts w:ascii="Times New Roman" w:hAnsi="Times New Roman" w:eastAsia="宋体" w:cs="Times New Roman"/>
      <w:sz w:val="22"/>
      <w:szCs w:val="22"/>
      <w:lang w:val="en-US" w:eastAsia="zh-CN" w:bidi="ar-SA"/>
    </w:rPr>
  </w:style>
  <w:style w:type="character" w:customStyle="1" w:styleId="146">
    <w:name w:val="样式7 Char"/>
    <w:qFormat/>
    <w:uiPriority w:val="0"/>
    <w:rPr>
      <w:rFonts w:ascii="仿宋_GB2312" w:hAnsi="仿宋" w:eastAsia="仿宋_GB2312"/>
      <w:b/>
      <w:kern w:val="2"/>
      <w:sz w:val="24"/>
      <w:szCs w:val="24"/>
    </w:rPr>
  </w:style>
  <w:style w:type="character" w:customStyle="1" w:styleId="147">
    <w:name w:val="font12gray1"/>
    <w:qFormat/>
    <w:uiPriority w:val="0"/>
    <w:rPr>
      <w:rFonts w:ascii="仿宋_GB2312" w:eastAsia="微软雅黑"/>
      <w:b/>
      <w:spacing w:val="300"/>
      <w:kern w:val="2"/>
      <w:sz w:val="18"/>
      <w:szCs w:val="18"/>
      <w:lang w:val="en-US" w:eastAsia="zh-CN" w:bidi="ar-SA"/>
    </w:rPr>
  </w:style>
  <w:style w:type="character" w:customStyle="1" w:styleId="148">
    <w:name w:val="Char Char7"/>
    <w:qFormat/>
    <w:uiPriority w:val="0"/>
    <w:rPr>
      <w:rFonts w:eastAsia="宋体"/>
      <w:kern w:val="2"/>
      <w:sz w:val="21"/>
      <w:szCs w:val="24"/>
      <w:lang w:val="en-US" w:eastAsia="zh-CN" w:bidi="ar-SA"/>
    </w:rPr>
  </w:style>
  <w:style w:type="character" w:customStyle="1" w:styleId="149">
    <w:name w:val="表名 Char"/>
    <w:qFormat/>
    <w:uiPriority w:val="0"/>
    <w:rPr>
      <w:rFonts w:eastAsia="宋体"/>
      <w:b/>
      <w:bCs/>
      <w:kern w:val="2"/>
      <w:sz w:val="24"/>
      <w:szCs w:val="24"/>
      <w:lang w:val="en-US" w:eastAsia="zh-CN" w:bidi="ar-SA"/>
    </w:rPr>
  </w:style>
  <w:style w:type="character" w:customStyle="1" w:styleId="150">
    <w:name w:val="Document Map Char"/>
    <w:qFormat/>
    <w:uiPriority w:val="0"/>
    <w:rPr>
      <w:rFonts w:eastAsia="宋体"/>
      <w:kern w:val="2"/>
      <w:sz w:val="21"/>
      <w:szCs w:val="24"/>
      <w:lang w:val="en-US" w:eastAsia="zh-CN" w:bidi="ar-SA"/>
    </w:rPr>
  </w:style>
  <w:style w:type="character" w:customStyle="1" w:styleId="151">
    <w:name w:val="font41"/>
    <w:qFormat/>
    <w:uiPriority w:val="0"/>
    <w:rPr>
      <w:rFonts w:hint="eastAsia" w:ascii="仿宋_GB2312" w:eastAsia="仿宋_GB2312" w:cs="仿宋_GB2312"/>
      <w:color w:val="000000"/>
      <w:sz w:val="22"/>
      <w:szCs w:val="22"/>
      <w:u w:val="none"/>
    </w:rPr>
  </w:style>
  <w:style w:type="character" w:customStyle="1" w:styleId="152">
    <w:name w:val="标题 6 字符"/>
    <w:link w:val="7"/>
    <w:qFormat/>
    <w:uiPriority w:val="0"/>
    <w:rPr>
      <w:rFonts w:ascii="Arial" w:hAnsi="Arial" w:eastAsia="黑体"/>
      <w:b/>
      <w:bCs/>
      <w:kern w:val="2"/>
      <w:sz w:val="24"/>
      <w:szCs w:val="24"/>
    </w:rPr>
  </w:style>
  <w:style w:type="character" w:customStyle="1" w:styleId="153">
    <w:name w:val="纯文本 Char_0"/>
    <w:link w:val="154"/>
    <w:qFormat/>
    <w:uiPriority w:val="0"/>
    <w:rPr>
      <w:rFonts w:ascii="宋体" w:hAnsi="Courier New"/>
      <w:kern w:val="2"/>
      <w:sz w:val="21"/>
      <w:szCs w:val="21"/>
      <w:lang w:val="en-US" w:eastAsia="zh-CN"/>
    </w:rPr>
  </w:style>
  <w:style w:type="paragraph" w:customStyle="1" w:styleId="154">
    <w:name w:val="纯文本_0_0"/>
    <w:basedOn w:val="155"/>
    <w:link w:val="153"/>
    <w:qFormat/>
    <w:uiPriority w:val="0"/>
    <w:rPr>
      <w:rFonts w:ascii="宋体" w:hAnsi="Courier New"/>
      <w:szCs w:val="21"/>
    </w:rPr>
  </w:style>
  <w:style w:type="paragraph" w:customStyle="1" w:styleId="155">
    <w:name w:val="正文_1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156">
    <w:name w:val="Balloon Text Char"/>
    <w:qFormat/>
    <w:uiPriority w:val="0"/>
    <w:rPr>
      <w:rFonts w:eastAsia="宋体"/>
      <w:kern w:val="2"/>
      <w:sz w:val="18"/>
      <w:szCs w:val="18"/>
      <w:lang w:val="en-US" w:eastAsia="zh-CN" w:bidi="ar-SA"/>
    </w:rPr>
  </w:style>
  <w:style w:type="character" w:customStyle="1" w:styleId="157">
    <w:name w:val="正文 项目2 Char"/>
    <w:basedOn w:val="158"/>
    <w:qFormat/>
    <w:uiPriority w:val="0"/>
    <w:rPr>
      <w:rFonts w:ascii="仿宋_GB2312" w:hAnsi="仿宋_GB2312" w:eastAsia="仿宋_GB2312"/>
      <w:kern w:val="2"/>
      <w:sz w:val="24"/>
      <w:lang w:bidi="ar-SA"/>
    </w:rPr>
  </w:style>
  <w:style w:type="character" w:customStyle="1" w:styleId="158">
    <w:name w:val="正文 项目 Char"/>
    <w:qFormat/>
    <w:uiPriority w:val="0"/>
    <w:rPr>
      <w:rFonts w:ascii="仿宋_GB2312" w:hAnsi="仿宋_GB2312" w:eastAsia="仿宋_GB2312"/>
      <w:kern w:val="2"/>
      <w:sz w:val="24"/>
      <w:lang w:bidi="ar-SA"/>
    </w:rPr>
  </w:style>
  <w:style w:type="character" w:customStyle="1" w:styleId="159">
    <w:name w:val="h Char Char1"/>
    <w:qFormat/>
    <w:uiPriority w:val="0"/>
    <w:rPr>
      <w:rFonts w:eastAsia="宋体"/>
      <w:kern w:val="2"/>
      <w:sz w:val="18"/>
      <w:szCs w:val="18"/>
      <w:lang w:val="en-US" w:eastAsia="zh-CN" w:bidi="ar-SA"/>
    </w:rPr>
  </w:style>
  <w:style w:type="character" w:customStyle="1" w:styleId="160">
    <w:name w:val="Char Char27"/>
    <w:qFormat/>
    <w:uiPriority w:val="6"/>
    <w:rPr>
      <w:rFonts w:ascii="宋体" w:hAnsi="宋体" w:eastAsia="宋体"/>
      <w:color w:val="000000"/>
      <w:kern w:val="1"/>
      <w:sz w:val="28"/>
      <w:lang w:val="en-US" w:eastAsia="zh-CN" w:bidi="ar-SA"/>
    </w:rPr>
  </w:style>
  <w:style w:type="character" w:customStyle="1" w:styleId="161">
    <w:name w:val="px14"/>
    <w:qFormat/>
    <w:uiPriority w:val="0"/>
    <w:rPr>
      <w:rFonts w:ascii="仿宋_GB2312" w:eastAsia="微软雅黑" w:cs="Times New Roman"/>
      <w:b/>
      <w:kern w:val="2"/>
      <w:sz w:val="32"/>
      <w:szCs w:val="32"/>
      <w:lang w:val="en-US" w:eastAsia="zh-CN" w:bidi="ar-SA"/>
    </w:rPr>
  </w:style>
  <w:style w:type="character" w:customStyle="1" w:styleId="162">
    <w:name w:val="HTML 预设格式 Char1"/>
    <w:qFormat/>
    <w:uiPriority w:val="0"/>
    <w:rPr>
      <w:rFonts w:ascii="Courier New" w:hAnsi="Courier New" w:eastAsia="宋体" w:cs="Courier New"/>
      <w:sz w:val="20"/>
      <w:szCs w:val="20"/>
    </w:rPr>
  </w:style>
  <w:style w:type="character" w:customStyle="1" w:styleId="163">
    <w:name w:val="普通文字 Char1"/>
    <w:qFormat/>
    <w:uiPriority w:val="0"/>
    <w:rPr>
      <w:rFonts w:ascii="宋体" w:hAnsi="Courier New" w:eastAsia="宋体"/>
      <w:kern w:val="2"/>
      <w:sz w:val="21"/>
      <w:lang w:val="en-US" w:eastAsia="zh-CN"/>
    </w:rPr>
  </w:style>
  <w:style w:type="character" w:customStyle="1" w:styleId="164">
    <w:name w:val="hei16b1"/>
    <w:qFormat/>
    <w:uiPriority w:val="0"/>
    <w:rPr>
      <w:rFonts w:hint="default" w:ascii="Arial" w:hAnsi="Arial" w:cs="Arial"/>
      <w:b/>
      <w:bCs/>
      <w:color w:val="000000"/>
      <w:sz w:val="24"/>
      <w:szCs w:val="24"/>
    </w:rPr>
  </w:style>
  <w:style w:type="character" w:customStyle="1" w:styleId="165">
    <w:name w:val="正文（绿盟科技） Char"/>
    <w:link w:val="166"/>
    <w:qFormat/>
    <w:uiPriority w:val="0"/>
    <w:rPr>
      <w:rFonts w:ascii="Arial" w:hAnsi="Arial"/>
      <w:sz w:val="21"/>
      <w:szCs w:val="21"/>
    </w:rPr>
  </w:style>
  <w:style w:type="paragraph" w:customStyle="1" w:styleId="166">
    <w:name w:val="正文（绿盟科技）"/>
    <w:link w:val="165"/>
    <w:qFormat/>
    <w:uiPriority w:val="0"/>
    <w:pPr>
      <w:spacing w:after="160" w:line="300" w:lineRule="auto"/>
    </w:pPr>
    <w:rPr>
      <w:rFonts w:ascii="Arial" w:hAnsi="Arial" w:eastAsia="宋体" w:cs="Times New Roman"/>
      <w:sz w:val="21"/>
      <w:szCs w:val="21"/>
      <w:lang w:val="en-US" w:eastAsia="zh-CN" w:bidi="ar-SA"/>
    </w:rPr>
  </w:style>
  <w:style w:type="character" w:customStyle="1" w:styleId="167">
    <w:name w:val="Char Char19"/>
    <w:qFormat/>
    <w:uiPriority w:val="6"/>
    <w:rPr>
      <w:rFonts w:ascii="宋体" w:hAnsi="宋体"/>
      <w:i/>
      <w:sz w:val="24"/>
      <w:szCs w:val="24"/>
    </w:rPr>
  </w:style>
  <w:style w:type="character" w:customStyle="1" w:styleId="168">
    <w:name w:val="页脚 Char"/>
    <w:qFormat/>
    <w:uiPriority w:val="0"/>
    <w:rPr>
      <w:rFonts w:eastAsia="仿宋_GB2312"/>
      <w:kern w:val="2"/>
      <w:sz w:val="18"/>
      <w:lang w:val="en-US" w:eastAsia="zh-CN"/>
    </w:rPr>
  </w:style>
  <w:style w:type="character" w:customStyle="1" w:styleId="169">
    <w:name w:val="批注主题 Char"/>
    <w:qFormat/>
    <w:uiPriority w:val="0"/>
    <w:rPr>
      <w:rFonts w:eastAsia="宋体"/>
      <w:b/>
      <w:bCs/>
      <w:kern w:val="2"/>
      <w:sz w:val="21"/>
      <w:szCs w:val="24"/>
      <w:lang w:val="en-US" w:eastAsia="zh-CN" w:bidi="ar-SA"/>
    </w:rPr>
  </w:style>
  <w:style w:type="character" w:customStyle="1" w:styleId="170">
    <w:name w:val="Comment Text Char"/>
    <w:qFormat/>
    <w:uiPriority w:val="0"/>
    <w:rPr>
      <w:rFonts w:ascii="宋体" w:hAnsi="宋体" w:eastAsia="宋体"/>
      <w:kern w:val="2"/>
      <w:sz w:val="24"/>
      <w:lang w:val="en-US" w:eastAsia="zh-CN" w:bidi="ar-SA"/>
    </w:rPr>
  </w:style>
  <w:style w:type="character" w:customStyle="1" w:styleId="171">
    <w:name w:val="标题 2 字符"/>
    <w:qFormat/>
    <w:uiPriority w:val="1"/>
    <w:rPr>
      <w:rFonts w:ascii="仿宋_GB2312" w:hAnsi="Times New Roman" w:eastAsia="仿宋_GB2312" w:cs="Times New Roman"/>
      <w:b/>
      <w:kern w:val="2"/>
      <w:sz w:val="24"/>
      <w:lang w:val="zh-CN"/>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3"/>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字符"/>
    <w:link w:val="35"/>
    <w:qFormat/>
    <w:uiPriority w:val="0"/>
    <w:rPr>
      <w:rFonts w:ascii="宋体"/>
      <w:kern w:val="2"/>
      <w:sz w:val="24"/>
      <w:szCs w:val="21"/>
      <w:lang w:val="zh-CN"/>
    </w:rPr>
  </w:style>
  <w:style w:type="character" w:customStyle="1" w:styleId="187">
    <w:name w:val="标题 9 字符"/>
    <w:link w:val="10"/>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0"/>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qFormat/>
    <w:uiPriority w:val="99"/>
    <w:rPr>
      <w:rFonts w:ascii="Times New Roman" w:hAnsi="Times New Roman" w:eastAsia="宋体" w:cs="Times New Roman"/>
      <w:szCs w:val="24"/>
    </w:rPr>
  </w:style>
  <w:style w:type="character" w:customStyle="1" w:styleId="193">
    <w:name w:val="批注框文本 字符1"/>
    <w:link w:val="38"/>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字符2"/>
    <w:link w:val="15"/>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字符"/>
    <w:link w:val="18"/>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标题 2 Char"/>
    <w:qFormat/>
    <w:uiPriority w:val="0"/>
    <w:rPr>
      <w:rFonts w:ascii="Arial" w:hAnsi="Arial" w:eastAsia="黑体"/>
      <w:b/>
      <w:kern w:val="2"/>
      <w:sz w:val="32"/>
      <w:lang w:val="en-US" w:eastAsia="zh-CN"/>
    </w:rPr>
  </w:style>
  <w:style w:type="character" w:customStyle="1" w:styleId="215">
    <w:name w:val="maywed421"/>
    <w:qFormat/>
    <w:uiPriority w:val="0"/>
    <w:rPr>
      <w:color w:val="366FB6"/>
      <w:u w:val="none"/>
    </w:rPr>
  </w:style>
  <w:style w:type="character" w:customStyle="1" w:styleId="216">
    <w:name w:val="正文文本缩进 Char"/>
    <w:qFormat/>
    <w:uiPriority w:val="0"/>
    <w:rPr>
      <w:rFonts w:ascii="宋体" w:hAnsi="宋体"/>
      <w:kern w:val="2"/>
      <w:sz w:val="24"/>
      <w:szCs w:val="24"/>
    </w:rPr>
  </w:style>
  <w:style w:type="character" w:customStyle="1" w:styleId="217">
    <w:name w:val="Char Char102"/>
    <w:qFormat/>
    <w:uiPriority w:val="0"/>
    <w:rPr>
      <w:rFonts w:ascii="宋体" w:hAnsi="宋体"/>
      <w:kern w:val="2"/>
      <w:sz w:val="21"/>
      <w:szCs w:val="24"/>
      <w:lang w:val="en-US" w:eastAsia="zh-CN"/>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md"/>
    <w:basedOn w:val="69"/>
    <w:qFormat/>
    <w:uiPriority w:val="0"/>
    <w:rPr>
      <w:rFonts w:ascii="Arial" w:hAnsi="Arial" w:eastAsia="黑体" w:cs="Arial"/>
      <w:snapToGrid w:val="0"/>
      <w:kern w:val="0"/>
      <w:szCs w:val="21"/>
    </w:rPr>
  </w:style>
  <w:style w:type="character" w:customStyle="1" w:styleId="220">
    <w:name w:val="big1"/>
    <w:qFormat/>
    <w:uiPriority w:val="0"/>
    <w:rPr>
      <w:rFonts w:hint="eastAsia" w:ascii="宋体" w:hAnsi="宋体" w:eastAsia="宋体"/>
      <w:color w:val="333333"/>
      <w:sz w:val="22"/>
      <w:szCs w:val="22"/>
    </w:rPr>
  </w:style>
  <w:style w:type="character" w:customStyle="1" w:styleId="221">
    <w:name w:val="Char Char311"/>
    <w:qFormat/>
    <w:uiPriority w:val="0"/>
    <w:rPr>
      <w:rFonts w:eastAsia="宋体"/>
      <w:kern w:val="2"/>
      <w:sz w:val="21"/>
      <w:szCs w:val="24"/>
      <w:lang w:val="en-US" w:eastAsia="zh-CN" w:bidi="ar-SA"/>
    </w:rPr>
  </w:style>
  <w:style w:type="character" w:customStyle="1" w:styleId="222">
    <w:name w:val="Char Char81"/>
    <w:qFormat/>
    <w:uiPriority w:val="6"/>
    <w:rPr>
      <w:rFonts w:eastAsia="宋体"/>
      <w:b/>
      <w:sz w:val="24"/>
      <w:lang w:val="en-GB" w:eastAsia="zh-CN"/>
    </w:rPr>
  </w:style>
  <w:style w:type="character" w:customStyle="1" w:styleId="223">
    <w:name w:val="样式3 Char"/>
    <w:basedOn w:val="174"/>
    <w:qFormat/>
    <w:uiPriority w:val="0"/>
    <w:rPr>
      <w:rFonts w:ascii="仿宋_GB2312" w:hAnsi="仿宋" w:eastAsia="仿宋_GB2312" w:cs="仿宋_GB2312"/>
      <w:sz w:val="32"/>
      <w:szCs w:val="30"/>
      <w:lang w:val="zh-CN"/>
    </w:rPr>
  </w:style>
  <w:style w:type="character" w:customStyle="1" w:styleId="224">
    <w:name w:val="HTML 地址 字符"/>
    <w:link w:val="29"/>
    <w:qFormat/>
    <w:uiPriority w:val="0"/>
    <w:rPr>
      <w:rFonts w:ascii="宋体" w:hAnsi="宋体"/>
      <w:i/>
      <w:iCs/>
      <w:sz w:val="24"/>
      <w:szCs w:val="24"/>
    </w:rPr>
  </w:style>
  <w:style w:type="character" w:customStyle="1" w:styleId="225">
    <w:name w:val="正文首行缩进 2 Char1"/>
    <w:qFormat/>
    <w:uiPriority w:val="0"/>
    <w:rPr>
      <w:rFonts w:ascii="Times New Roman" w:hAnsi="Times New Roman" w:eastAsia="宋体" w:cs="Times New Roman"/>
      <w:kern w:val="2"/>
      <w:sz w:val="24"/>
      <w:szCs w:val="24"/>
    </w:rPr>
  </w:style>
  <w:style w:type="character" w:customStyle="1" w:styleId="226">
    <w:name w:val="副标题 Char2"/>
    <w:qFormat/>
    <w:uiPriority w:val="0"/>
    <w:rPr>
      <w:rFonts w:ascii="Cambria" w:hAnsi="Cambria" w:eastAsia="宋体" w:cs="Times New Roman"/>
      <w:b/>
      <w:bCs/>
      <w:snapToGrid w:val="0"/>
      <w:kern w:val="28"/>
      <w:sz w:val="32"/>
      <w:szCs w:val="32"/>
    </w:rPr>
  </w:style>
  <w:style w:type="character" w:customStyle="1" w:styleId="227">
    <w:name w:val="标题4-dyf Char"/>
    <w:link w:val="228"/>
    <w:qFormat/>
    <w:uiPriority w:val="0"/>
    <w:rPr>
      <w:rFonts w:ascii="Cambria" w:hAnsi="Cambria"/>
      <w:b/>
      <w:bCs/>
      <w:color w:val="000000"/>
      <w:kern w:val="2"/>
      <w:sz w:val="21"/>
      <w:szCs w:val="21"/>
    </w:rPr>
  </w:style>
  <w:style w:type="paragraph" w:customStyle="1" w:styleId="228">
    <w:name w:val="标题4-dyf"/>
    <w:basedOn w:val="5"/>
    <w:link w:val="227"/>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qFormat/>
    <w:uiPriority w:val="0"/>
    <w:rPr>
      <w:rFonts w:ascii="宋体" w:hAnsi="宋体" w:eastAsia="宋体"/>
      <w:color w:val="333333"/>
      <w:sz w:val="21"/>
      <w:szCs w:val="21"/>
      <w:u w:val="none"/>
    </w:rPr>
  </w:style>
  <w:style w:type="character" w:customStyle="1" w:styleId="230">
    <w:name w:val="冯 Char"/>
    <w:link w:val="231"/>
    <w:qFormat/>
    <w:uiPriority w:val="0"/>
    <w:rPr>
      <w:rFonts w:ascii="宋体" w:hAnsi="宋体"/>
      <w:color w:val="000000"/>
      <w:sz w:val="24"/>
      <w:szCs w:val="24"/>
    </w:rPr>
  </w:style>
  <w:style w:type="paragraph" w:customStyle="1" w:styleId="231">
    <w:name w:val="冯"/>
    <w:basedOn w:val="1"/>
    <w:link w:val="230"/>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_e0e403fc-0f7a-44bb-8fa3-2d77cd1f9f10"/>
    <w:qFormat/>
    <w:uiPriority w:val="0"/>
    <w:rPr>
      <w:rFonts w:eastAsia="宋体"/>
      <w:kern w:val="2"/>
      <w:sz w:val="18"/>
      <w:szCs w:val="18"/>
      <w:lang w:val="en-US" w:eastAsia="zh-CN" w:bidi="ar-SA"/>
    </w:rPr>
  </w:style>
  <w:style w:type="character" w:customStyle="1" w:styleId="233">
    <w:name w:val="Char Char12"/>
    <w:qFormat/>
    <w:uiPriority w:val="0"/>
    <w:rPr>
      <w:rFonts w:ascii="仿宋_GB2312" w:eastAsia="仿宋_GB2312"/>
      <w:b/>
      <w:bCs/>
      <w:kern w:val="2"/>
      <w:sz w:val="24"/>
      <w:szCs w:val="24"/>
      <w:lang w:val="zh-CN" w:eastAsia="zh-CN" w:bidi="ar-SA"/>
    </w:rPr>
  </w:style>
  <w:style w:type="character" w:customStyle="1" w:styleId="234">
    <w:name w:val="题注 字符"/>
    <w:link w:val="16"/>
    <w:qFormat/>
    <w:uiPriority w:val="0"/>
    <w:rPr>
      <w:b/>
      <w:kern w:val="2"/>
      <w:sz w:val="28"/>
    </w:rPr>
  </w:style>
  <w:style w:type="character" w:customStyle="1" w:styleId="235">
    <w:name w:val="普通文字 Char3"/>
    <w:qFormat/>
    <w:uiPriority w:val="0"/>
    <w:rPr>
      <w:rFonts w:ascii="宋体" w:hAnsi="Courier New" w:eastAsia="宋体"/>
      <w:kern w:val="2"/>
      <w:sz w:val="21"/>
      <w:lang w:val="en-US" w:eastAsia="zh-CN" w:bidi="ar-SA"/>
    </w:rPr>
  </w:style>
  <w:style w:type="character" w:customStyle="1" w:styleId="236">
    <w:name w:val="公文正文 Char"/>
    <w:qFormat/>
    <w:uiPriority w:val="0"/>
    <w:rPr>
      <w:rFonts w:ascii="仿宋_GB2312" w:eastAsia="仿宋_GB2312"/>
      <w:kern w:val="2"/>
      <w:sz w:val="24"/>
      <w:szCs w:val="24"/>
      <w:lang w:val="en-US" w:eastAsia="zh-CN" w:bidi="ar-SA"/>
    </w:rPr>
  </w:style>
  <w:style w:type="character" w:customStyle="1" w:styleId="237">
    <w:name w:val="正文首行缩进 Char Char Char Char Char"/>
    <w:qFormat/>
    <w:uiPriority w:val="0"/>
    <w:rPr>
      <w:rFonts w:ascii="宋体"/>
      <w:kern w:val="2"/>
      <w:sz w:val="24"/>
      <w:lang w:val="zh-CN"/>
    </w:rPr>
  </w:style>
  <w:style w:type="character" w:customStyle="1" w:styleId="238">
    <w:name w:val="PI Char"/>
    <w:qFormat/>
    <w:uiPriority w:val="0"/>
    <w:rPr>
      <w:rFonts w:ascii="宋体" w:hAnsi="宋体" w:eastAsia="宋体"/>
      <w:kern w:val="2"/>
      <w:sz w:val="24"/>
      <w:szCs w:val="24"/>
      <w:lang w:val="en-US" w:eastAsia="zh-CN" w:bidi="ar-SA"/>
    </w:rPr>
  </w:style>
  <w:style w:type="character" w:customStyle="1" w:styleId="239">
    <w:name w:val="Default Char"/>
    <w:link w:val="82"/>
    <w:qFormat/>
    <w:uiPriority w:val="0"/>
    <w:rPr>
      <w:rFonts w:ascii="仿宋_GB2312" w:eastAsia="仿宋_GB2312" w:cs="仿宋_GB2312"/>
      <w:color w:val="000000"/>
      <w:sz w:val="24"/>
      <w:szCs w:val="24"/>
      <w:lang w:val="en-US" w:eastAsia="zh-CN" w:bidi="ar-SA"/>
    </w:rPr>
  </w:style>
  <w:style w:type="paragraph" w:customStyle="1" w:styleId="240">
    <w:name w:val="TOC 71"/>
    <w:next w:val="1"/>
    <w:qFormat/>
    <w:uiPriority w:val="0"/>
    <w:pPr>
      <w:wordWrap w:val="0"/>
      <w:spacing w:after="160" w:line="278" w:lineRule="auto"/>
      <w:ind w:left="2550"/>
      <w:jc w:val="both"/>
    </w:pPr>
    <w:rPr>
      <w:rFonts w:ascii="Times New Roman" w:hAnsi="Times New Roman" w:eastAsia="宋体" w:cs="Times New Roman"/>
      <w:sz w:val="21"/>
      <w:szCs w:val="22"/>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sz w:val="24"/>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263"/>
    <w:link w:val="261"/>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3">
    <w:name w:val="列出段落1"/>
    <w:basedOn w:val="1"/>
    <w:qFormat/>
    <w:uiPriority w:val="34"/>
    <w:pPr>
      <w:spacing w:line="360" w:lineRule="auto"/>
      <w:ind w:firstLine="200" w:firstLineChars="200"/>
    </w:pPr>
    <w:rPr>
      <w:rFonts w:eastAsia="楷体_GB2312" w:cs="Lucida Sans"/>
      <w:sz w:val="24"/>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字符1"/>
    <w:link w:val="24"/>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_32c08311-0094-411d-bbf8-50129f016075"/>
    <w:qFormat/>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标题 1 字符1"/>
    <w:link w:val="2"/>
    <w:qFormat/>
    <w:uiPriority w:val="9"/>
    <w:rPr>
      <w:b/>
      <w:bCs/>
      <w:kern w:val="44"/>
      <w:sz w:val="44"/>
      <w:szCs w:val="44"/>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字符"/>
    <w:link w:val="58"/>
    <w:qFormat/>
    <w:uiPriority w:val="10"/>
    <w:rPr>
      <w:b/>
      <w:sz w:val="24"/>
      <w:lang w:val="en-GB"/>
    </w:rPr>
  </w:style>
  <w:style w:type="character" w:customStyle="1" w:styleId="292">
    <w:name w:val="font81"/>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5 字符"/>
    <w:link w:val="6"/>
    <w:qFormat/>
    <w:uiPriority w:val="9"/>
    <w:rPr>
      <w:b/>
      <w:bCs/>
      <w:kern w:val="2"/>
      <w:sz w:val="28"/>
      <w:szCs w:val="28"/>
    </w:rPr>
  </w:style>
  <w:style w:type="character" w:customStyle="1" w:styleId="299">
    <w:name w:val="标题 6 Char1"/>
    <w:qFormat/>
    <w:uiPriority w:val="0"/>
    <w:rPr>
      <w:rFonts w:ascii="Arial" w:hAnsi="Arial" w:eastAsia="黑体" w:cs="Times New Roman"/>
      <w:b/>
      <w:sz w:val="24"/>
      <w:szCs w:val="20"/>
      <w:lang w:bidi="ar-SA"/>
    </w:rPr>
  </w:style>
  <w:style w:type="character" w:customStyle="1" w:styleId="300">
    <w:name w:val="带编号样式 Char"/>
    <w:qFormat/>
    <w:uiPriority w:val="0"/>
    <w:rPr>
      <w:rFonts w:ascii="仿宋_GB2312" w:eastAsia="仿宋_GB2312"/>
      <w:color w:val="000000"/>
      <w:sz w:val="24"/>
      <w:lang w:bidi="ar-SA"/>
    </w:rPr>
  </w:style>
  <w:style w:type="character" w:customStyle="1" w:styleId="301">
    <w:name w:val="unnamed31"/>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qFormat/>
    <w:uiPriority w:val="0"/>
    <w:rPr>
      <w:rFonts w:ascii="宋体" w:eastAsia="宋体"/>
      <w:kern w:val="2"/>
      <w:sz w:val="24"/>
      <w:szCs w:val="24"/>
      <w:lang w:val="zh-CN" w:bidi="ar-SA"/>
    </w:rPr>
  </w:style>
  <w:style w:type="character" w:customStyle="1" w:styleId="303">
    <w:name w:val="称呼 字符"/>
    <w:link w:val="20"/>
    <w:qFormat/>
    <w:uiPriority w:val="0"/>
    <w:rPr>
      <w:rFonts w:ascii="仿宋_GB2312" w:eastAsia="仿宋_GB2312"/>
      <w:kern w:val="2"/>
      <w:sz w:val="28"/>
    </w:rPr>
  </w:style>
  <w:style w:type="character" w:customStyle="1" w:styleId="304">
    <w:name w:val="文本正文 Char Char"/>
    <w:qFormat/>
    <w:uiPriority w:val="0"/>
    <w:rPr>
      <w:sz w:val="24"/>
      <w:lang w:bidi="ar-SA"/>
    </w:rPr>
  </w:style>
  <w:style w:type="character" w:customStyle="1" w:styleId="305">
    <w:name w:val="正文缩进 字符"/>
    <w:qFormat/>
    <w:uiPriority w:val="0"/>
    <w:rPr>
      <w:rFonts w:ascii="宋体" w:eastAsia="宋体"/>
      <w:snapToGrid w:val="0"/>
      <w:color w:val="000000"/>
      <w:kern w:val="28"/>
      <w:sz w:val="28"/>
      <w:lang w:val="en-US" w:eastAsia="zh-CN" w:bidi="ar-SA"/>
    </w:rPr>
  </w:style>
  <w:style w:type="character" w:customStyle="1" w:styleId="306">
    <w:name w:val="HTML 预设格式 字符"/>
    <w:link w:val="56"/>
    <w:qFormat/>
    <w:uiPriority w:val="0"/>
    <w:rPr>
      <w:rFonts w:ascii="黑体" w:hAnsi="Courier New" w:eastAsia="黑体"/>
    </w:rPr>
  </w:style>
  <w:style w:type="character" w:customStyle="1" w:styleId="307">
    <w:name w:val="正文文本 2 字符1"/>
    <w:link w:val="55"/>
    <w:qFormat/>
    <w:uiPriority w:val="0"/>
    <w:rPr>
      <w:kern w:val="2"/>
      <w:sz w:val="21"/>
      <w:szCs w:val="24"/>
    </w:rPr>
  </w:style>
  <w:style w:type="character" w:customStyle="1" w:styleId="308">
    <w:name w:val="样式 样式 标题 4h4H4Fab-4T5Ref Heading 1rh1Heading sqlsect 1.2.3.... +... Char"/>
    <w:link w:val="309"/>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qFormat/>
    <w:uiPriority w:val="0"/>
    <w:pPr>
      <w:tabs>
        <w:tab w:val="left" w:pos="2356"/>
      </w:tabs>
    </w:pPr>
  </w:style>
  <w:style w:type="paragraph" w:customStyle="1" w:styleId="310">
    <w:name w:val="样式 标题 4h4H4Fab-4T5Ref Heading 1rh1Heading sqlsect 1.2.3...."/>
    <w:basedOn w:val="5"/>
    <w:link w:val="418"/>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qFormat/>
    <w:uiPriority w:val="0"/>
    <w:rPr>
      <w:rFonts w:ascii="宋体" w:eastAsia="宋体"/>
      <w:snapToGrid w:val="0"/>
      <w:color w:val="000000"/>
      <w:kern w:val="28"/>
      <w:sz w:val="28"/>
      <w:lang w:val="en-US" w:eastAsia="zh-CN" w:bidi="ar-SA"/>
    </w:rPr>
  </w:style>
  <w:style w:type="character" w:customStyle="1" w:styleId="312">
    <w:name w:val="标题 7 字符"/>
    <w:link w:val="8"/>
    <w:qFormat/>
    <w:uiPriority w:val="0"/>
    <w:rPr>
      <w:b/>
      <w:bCs/>
      <w:kern w:val="2"/>
      <w:sz w:val="24"/>
      <w:szCs w:val="24"/>
    </w:rPr>
  </w:style>
  <w:style w:type="character" w:customStyle="1" w:styleId="313">
    <w:name w:val="正文文本缩进 2 字符"/>
    <w:link w:val="36"/>
    <w:qFormat/>
    <w:uiPriority w:val="0"/>
    <w:rPr>
      <w:rFonts w:ascii="宋体"/>
      <w:sz w:val="28"/>
    </w:rPr>
  </w:style>
  <w:style w:type="character" w:customStyle="1" w:styleId="314">
    <w:name w:val="Char Char5"/>
    <w:qFormat/>
    <w:uiPriority w:val="0"/>
    <w:rPr>
      <w:rFonts w:ascii="宋体" w:hAnsi="Courier New" w:eastAsia="宋体"/>
      <w:kern w:val="2"/>
      <w:sz w:val="21"/>
      <w:lang w:val="en-US" w:eastAsia="zh-CN"/>
    </w:rPr>
  </w:style>
  <w:style w:type="character" w:customStyle="1" w:styleId="315">
    <w:name w:val="脚注文本 字符"/>
    <w:link w:val="49"/>
    <w:qFormat/>
    <w:uiPriority w:val="0"/>
    <w:rPr>
      <w:color w:val="0000FF"/>
      <w:sz w:val="21"/>
    </w:rPr>
  </w:style>
  <w:style w:type="character" w:customStyle="1" w:styleId="316">
    <w:name w:val="称呼 Char1"/>
    <w:qFormat/>
    <w:uiPriority w:val="0"/>
    <w:rPr>
      <w:rFonts w:ascii="Times New Roman" w:hAnsi="Times New Roman" w:eastAsia="宋体" w:cs="Times New Roman"/>
      <w:szCs w:val="24"/>
    </w:rPr>
  </w:style>
  <w:style w:type="character" w:customStyle="1" w:styleId="317">
    <w:name w:val="正文1 Char"/>
    <w:qFormat/>
    <w:uiPriority w:val="0"/>
    <w:rPr>
      <w:rFonts w:ascii="宋体" w:eastAsia="宋体"/>
      <w:snapToGrid w:val="0"/>
      <w:color w:val="000000"/>
      <w:kern w:val="28"/>
      <w:sz w:val="28"/>
      <w:lang w:val="en-US" w:eastAsia="zh-CN" w:bidi="ar-SA"/>
    </w:rPr>
  </w:style>
  <w:style w:type="character" w:customStyle="1" w:styleId="318">
    <w:name w:val="正文缩进 Char1"/>
    <w:qFormat/>
    <w:uiPriority w:val="0"/>
    <w:rPr>
      <w:rFonts w:ascii="宋体" w:eastAsia="宋体"/>
      <w:snapToGrid w:val="0"/>
      <w:color w:val="000000"/>
      <w:kern w:val="28"/>
      <w:sz w:val="28"/>
      <w:lang w:val="en-US" w:eastAsia="zh-CN" w:bidi="ar-SA"/>
    </w:rPr>
  </w:style>
  <w:style w:type="character" w:customStyle="1" w:styleId="319">
    <w:name w:val="font21"/>
    <w:qFormat/>
    <w:uiPriority w:val="0"/>
    <w:rPr>
      <w:rFonts w:hint="eastAsia" w:ascii="宋体" w:hAnsi="宋体" w:eastAsia="宋体"/>
      <w:kern w:val="2"/>
      <w:sz w:val="28"/>
      <w:szCs w:val="28"/>
      <w:lang w:val="en-US" w:eastAsia="zh-CN" w:bidi="ar-SA"/>
    </w:rPr>
  </w:style>
  <w:style w:type="character" w:customStyle="1" w:styleId="320">
    <w:name w:val="Char Char26"/>
    <w:qFormat/>
    <w:uiPriority w:val="6"/>
    <w:rPr>
      <w:kern w:val="1"/>
      <w:sz w:val="21"/>
      <w:szCs w:val="24"/>
    </w:rPr>
  </w:style>
  <w:style w:type="character" w:customStyle="1" w:styleId="321">
    <w:name w:val="Item List Char"/>
    <w:link w:val="322"/>
    <w:qFormat/>
    <w:uiPriority w:val="0"/>
    <w:rPr>
      <w:rFonts w:ascii="Arial"/>
      <w:bCs/>
      <w:sz w:val="21"/>
      <w:szCs w:val="21"/>
      <w:lang w:val="en-US" w:eastAsia="zh-CN" w:bidi="ar-SA"/>
    </w:rPr>
  </w:style>
  <w:style w:type="paragraph" w:customStyle="1" w:styleId="322">
    <w:name w:val="Item List"/>
    <w:link w:val="32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3">
    <w:name w:val="批注框文本 Char1"/>
    <w:qFormat/>
    <w:uiPriority w:val="0"/>
    <w:rPr>
      <w:rFonts w:ascii="Times New Roman" w:hAnsi="Times New Roman" w:eastAsia="宋体" w:cs="Times New Roman"/>
      <w:sz w:val="18"/>
      <w:szCs w:val="18"/>
    </w:rPr>
  </w:style>
  <w:style w:type="character" w:customStyle="1" w:styleId="324">
    <w:name w:val="纯文本 Char1"/>
    <w:link w:val="325"/>
    <w:qFormat/>
    <w:uiPriority w:val="0"/>
    <w:rPr>
      <w:rFonts w:ascii="宋体" w:hAnsi="Courier New"/>
    </w:rPr>
  </w:style>
  <w:style w:type="paragraph" w:customStyle="1" w:styleId="325">
    <w:name w:val="纯文本1"/>
    <w:basedOn w:val="1"/>
    <w:link w:val="324"/>
    <w:qFormat/>
    <w:uiPriority w:val="0"/>
    <w:pPr>
      <w:adjustRightInd/>
    </w:pPr>
    <w:rPr>
      <w:rFonts w:ascii="宋体" w:hAnsi="Courier New"/>
      <w:kern w:val="0"/>
      <w:sz w:val="20"/>
      <w:szCs w:val="20"/>
    </w:rPr>
  </w:style>
  <w:style w:type="character" w:customStyle="1" w:styleId="326">
    <w:name w:val="正文文本首行缩进 字符"/>
    <w:link w:val="60"/>
    <w:qFormat/>
    <w:uiPriority w:val="0"/>
    <w:rPr>
      <w:rFonts w:ascii="宋体"/>
      <w:kern w:val="2"/>
      <w:sz w:val="24"/>
      <w:lang w:val="zh-CN"/>
    </w:rPr>
  </w:style>
  <w:style w:type="character" w:customStyle="1" w:styleId="327">
    <w:name w:val="h3 Char"/>
    <w:qFormat/>
    <w:uiPriority w:val="0"/>
    <w:rPr>
      <w:rFonts w:eastAsia="宋体"/>
      <w:b/>
      <w:kern w:val="2"/>
      <w:sz w:val="32"/>
      <w:lang w:val="en-US" w:eastAsia="zh-CN" w:bidi="ar-SA"/>
    </w:rPr>
  </w:style>
  <w:style w:type="character" w:customStyle="1" w:styleId="328">
    <w:name w:val="dandyren_title1"/>
    <w:qFormat/>
    <w:uiPriority w:val="0"/>
    <w:rPr>
      <w:b/>
      <w:bCs/>
      <w:color w:val="FF6633"/>
      <w:sz w:val="18"/>
      <w:szCs w:val="18"/>
    </w:rPr>
  </w:style>
  <w:style w:type="character" w:customStyle="1" w:styleId="329">
    <w:name w:val="Char Char31"/>
    <w:qFormat/>
    <w:uiPriority w:val="6"/>
    <w:rPr>
      <w:rFonts w:ascii="Arial" w:hAnsi="Arial" w:eastAsia="黑体"/>
      <w:kern w:val="1"/>
      <w:sz w:val="24"/>
      <w:szCs w:val="24"/>
    </w:rPr>
  </w:style>
  <w:style w:type="character" w:customStyle="1" w:styleId="330">
    <w:name w:val="h Char1"/>
    <w:qFormat/>
    <w:uiPriority w:val="0"/>
    <w:rPr>
      <w:sz w:val="18"/>
      <w:szCs w:val="18"/>
    </w:rPr>
  </w:style>
  <w:style w:type="character" w:customStyle="1" w:styleId="331">
    <w:name w:val="solutionfonts"/>
    <w:qFormat/>
    <w:uiPriority w:val="0"/>
  </w:style>
  <w:style w:type="character" w:customStyle="1" w:styleId="332">
    <w:name w:val="标题 4 字符1"/>
    <w:link w:val="5"/>
    <w:qFormat/>
    <w:uiPriority w:val="9"/>
    <w:rPr>
      <w:rFonts w:ascii="Arial" w:hAnsi="Arial" w:eastAsia="黑体"/>
      <w:b/>
      <w:bCs/>
      <w:kern w:val="2"/>
      <w:sz w:val="28"/>
      <w:szCs w:val="28"/>
      <w:lang w:val="zh-CN"/>
    </w:rPr>
  </w:style>
  <w:style w:type="character" w:customStyle="1" w:styleId="333">
    <w:name w:val="首行缩进 Char"/>
    <w:qFormat/>
    <w:uiPriority w:val="0"/>
    <w:rPr>
      <w:rFonts w:ascii="宋体" w:eastAsia="宋体"/>
      <w:kern w:val="2"/>
      <w:sz w:val="24"/>
      <w:lang w:val="en-US" w:eastAsia="zh-CN" w:bidi="ar-SA"/>
    </w:rPr>
  </w:style>
  <w:style w:type="character" w:customStyle="1" w:styleId="334">
    <w:name w:val="Char Char52"/>
    <w:qFormat/>
    <w:uiPriority w:val="0"/>
    <w:rPr>
      <w:rFonts w:ascii="宋体" w:hAnsi="Courier New" w:eastAsia="宋体"/>
      <w:kern w:val="2"/>
      <w:sz w:val="21"/>
      <w:lang w:val="en-US" w:eastAsia="zh-CN"/>
    </w:rPr>
  </w:style>
  <w:style w:type="character" w:customStyle="1" w:styleId="335">
    <w:name w:val="正文文本 3 字符"/>
    <w:link w:val="21"/>
    <w:qFormat/>
    <w:uiPriority w:val="0"/>
    <w:rPr>
      <w:kern w:val="2"/>
      <w:sz w:val="21"/>
    </w:rPr>
  </w:style>
  <w:style w:type="character" w:customStyle="1" w:styleId="336">
    <w:name w:val="font31"/>
    <w:qFormat/>
    <w:uiPriority w:val="0"/>
    <w:rPr>
      <w:rFonts w:hint="eastAsia" w:ascii="仿宋" w:hAnsi="仿宋" w:eastAsia="仿宋" w:cs="仿宋"/>
      <w:color w:val="000000"/>
      <w:sz w:val="20"/>
      <w:szCs w:val="20"/>
      <w:u w:val="none"/>
    </w:rPr>
  </w:style>
  <w:style w:type="character" w:customStyle="1" w:styleId="337">
    <w:name w:val="正文说明 Char"/>
    <w:link w:val="338"/>
    <w:qFormat/>
    <w:uiPriority w:val="0"/>
    <w:rPr>
      <w:sz w:val="24"/>
      <w:szCs w:val="24"/>
    </w:rPr>
  </w:style>
  <w:style w:type="paragraph" w:customStyle="1" w:styleId="338">
    <w:name w:val="正文说明"/>
    <w:basedOn w:val="1"/>
    <w:link w:val="337"/>
    <w:qFormat/>
    <w:uiPriority w:val="0"/>
    <w:pPr>
      <w:adjustRightInd/>
      <w:spacing w:line="360" w:lineRule="auto"/>
    </w:pPr>
    <w:rPr>
      <w:kern w:val="0"/>
      <w:sz w:val="24"/>
    </w:rPr>
  </w:style>
  <w:style w:type="character" w:customStyle="1" w:styleId="339">
    <w:name w:val="脚注文本 Char1"/>
    <w:qFormat/>
    <w:uiPriority w:val="0"/>
    <w:rPr>
      <w:rFonts w:ascii="Times New Roman" w:hAnsi="Times New Roman" w:eastAsia="宋体" w:cs="Times New Roman"/>
      <w:sz w:val="18"/>
      <w:szCs w:val="18"/>
    </w:rPr>
  </w:style>
  <w:style w:type="character" w:customStyle="1" w:styleId="340">
    <w:name w:val="Char Char1211"/>
    <w:qFormat/>
    <w:uiPriority w:val="0"/>
    <w:rPr>
      <w:rFonts w:ascii="仿宋_GB2312" w:eastAsia="仿宋_GB2312"/>
      <w:b/>
      <w:bCs/>
      <w:kern w:val="2"/>
      <w:sz w:val="24"/>
      <w:szCs w:val="24"/>
      <w:lang w:val="zh-CN" w:eastAsia="zh-CN" w:bidi="ar-SA"/>
    </w:rPr>
  </w:style>
  <w:style w:type="character" w:customStyle="1" w:styleId="341">
    <w:name w:val="标题 Char"/>
    <w:qFormat/>
    <w:uiPriority w:val="0"/>
    <w:rPr>
      <w:rFonts w:eastAsia="宋体"/>
      <w:b/>
      <w:sz w:val="24"/>
      <w:lang w:val="en-GB" w:eastAsia="zh-CN" w:bidi="ar-SA"/>
    </w:rPr>
  </w:style>
  <w:style w:type="character" w:customStyle="1" w:styleId="342">
    <w:name w:val="Char Char35"/>
    <w:qFormat/>
    <w:uiPriority w:val="6"/>
    <w:rPr>
      <w:rFonts w:ascii="Arial" w:hAnsi="Arial" w:eastAsia="黑体"/>
      <w:b/>
      <w:kern w:val="1"/>
      <w:sz w:val="28"/>
      <w:szCs w:val="28"/>
      <w:lang w:val="zh-CN"/>
    </w:rPr>
  </w:style>
  <w:style w:type="character" w:customStyle="1" w:styleId="343">
    <w:name w:val="纯文本 Char Char Char"/>
    <w:qFormat/>
    <w:uiPriority w:val="0"/>
    <w:rPr>
      <w:rFonts w:ascii="宋体" w:hAnsi="Courier New" w:eastAsia="宋体"/>
      <w:kern w:val="2"/>
      <w:sz w:val="21"/>
      <w:lang w:val="en-US" w:eastAsia="zh-CN" w:bidi="ar-SA"/>
    </w:rPr>
  </w:style>
  <w:style w:type="character" w:customStyle="1" w:styleId="344">
    <w:name w:val="Table Text Char"/>
    <w:link w:val="345"/>
    <w:qFormat/>
    <w:uiPriority w:val="0"/>
    <w:rPr>
      <w:sz w:val="24"/>
      <w:szCs w:val="24"/>
    </w:rPr>
  </w:style>
  <w:style w:type="paragraph" w:customStyle="1" w:styleId="345">
    <w:name w:val="Table Text"/>
    <w:basedOn w:val="1"/>
    <w:link w:val="344"/>
    <w:qFormat/>
    <w:uiPriority w:val="0"/>
    <w:pPr>
      <w:widowControl/>
      <w:spacing w:before="60" w:after="60"/>
      <w:jc w:val="left"/>
    </w:pPr>
    <w:rPr>
      <w:kern w:val="0"/>
      <w:sz w:val="24"/>
    </w:rPr>
  </w:style>
  <w:style w:type="character" w:customStyle="1" w:styleId="346">
    <w:name w:val="正文1 Char1"/>
    <w:qFormat/>
    <w:uiPriority w:val="0"/>
    <w:rPr>
      <w:rFonts w:ascii="仿宋_GB2312" w:hAnsi="Courier New" w:eastAsia="仿宋_GB2312"/>
      <w:kern w:val="28"/>
      <w:sz w:val="24"/>
      <w:szCs w:val="24"/>
      <w:lang w:val="en-US" w:eastAsia="zh-CN"/>
    </w:rPr>
  </w:style>
  <w:style w:type="character" w:customStyle="1" w:styleId="347">
    <w:name w:val="页脚 Char1"/>
    <w:qFormat/>
    <w:uiPriority w:val="0"/>
    <w:rPr>
      <w:rFonts w:eastAsia="宋体"/>
      <w:kern w:val="2"/>
      <w:sz w:val="18"/>
      <w:szCs w:val="18"/>
      <w:lang w:val="en-US" w:eastAsia="zh-CN" w:bidi="ar-SA"/>
    </w:rPr>
  </w:style>
  <w:style w:type="character" w:customStyle="1" w:styleId="348">
    <w:name w:val="Bold"/>
    <w:qFormat/>
    <w:uiPriority w:val="0"/>
    <w:rPr>
      <w:rFonts w:ascii="Arial" w:hAnsi="Arial" w:eastAsia="黑体" w:cs="Times New Roman"/>
      <w:b/>
      <w:kern w:val="2"/>
      <w:sz w:val="32"/>
      <w:szCs w:val="32"/>
      <w:lang w:val="en-US" w:eastAsia="zh-CN" w:bidi="ar-SA"/>
    </w:rPr>
  </w:style>
  <w:style w:type="character" w:customStyle="1" w:styleId="349">
    <w:name w:val="批注文字 字符1"/>
    <w:link w:val="19"/>
    <w:qFormat/>
    <w:uiPriority w:val="99"/>
    <w:rPr>
      <w:kern w:val="2"/>
      <w:sz w:val="21"/>
      <w:szCs w:val="24"/>
    </w:rPr>
  </w:style>
  <w:style w:type="character" w:customStyle="1" w:styleId="350">
    <w:name w:val="签名 字符"/>
    <w:link w:val="41"/>
    <w:qFormat/>
    <w:uiPriority w:val="0"/>
    <w:rPr>
      <w:rFonts w:eastAsia="仿宋_GB2312"/>
      <w:sz w:val="24"/>
    </w:rPr>
  </w:style>
  <w:style w:type="character" w:customStyle="1" w:styleId="351">
    <w:name w:val="hui3"/>
    <w:qFormat/>
    <w:uiPriority w:val="0"/>
    <w:rPr>
      <w:color w:val="333333"/>
    </w:rPr>
  </w:style>
  <w:style w:type="character" w:customStyle="1" w:styleId="352">
    <w:name w:val="Char Char17"/>
    <w:qFormat/>
    <w:uiPriority w:val="6"/>
    <w:rPr>
      <w:rFonts w:eastAsia="仿宋_GB2312"/>
      <w:sz w:val="24"/>
    </w:rPr>
  </w:style>
  <w:style w:type="character" w:customStyle="1" w:styleId="353">
    <w:name w:val="标题 4 字符"/>
    <w:qFormat/>
    <w:uiPriority w:val="9"/>
    <w:rPr>
      <w:rFonts w:ascii="等线 Light" w:hAnsi="等线 Light" w:eastAsia="等线 Light" w:cs="Times New Roman"/>
      <w:b/>
      <w:bCs/>
      <w:snapToGrid w:val="0"/>
      <w:kern w:val="0"/>
      <w:sz w:val="28"/>
      <w:szCs w:val="28"/>
    </w:rPr>
  </w:style>
  <w:style w:type="character" w:customStyle="1" w:styleId="354">
    <w:name w:val="Char Char37"/>
    <w:qFormat/>
    <w:uiPriority w:val="6"/>
    <w:rPr>
      <w:b/>
      <w:kern w:val="1"/>
      <w:sz w:val="44"/>
      <w:szCs w:val="44"/>
    </w:rPr>
  </w:style>
  <w:style w:type="character" w:customStyle="1" w:styleId="355">
    <w:name w:val="列出段落 Char"/>
    <w:qFormat/>
    <w:uiPriority w:val="0"/>
    <w:rPr>
      <w:rFonts w:eastAsia="楷体_GB2312" w:cs="Lucida Sans"/>
      <w:kern w:val="2"/>
      <w:sz w:val="24"/>
      <w:szCs w:val="24"/>
      <w:lang w:val="en-US" w:eastAsia="zh-CN" w:bidi="ar-SA"/>
    </w:rPr>
  </w:style>
  <w:style w:type="character" w:customStyle="1" w:styleId="356">
    <w:name w:val="正文文本缩进 3 Char1"/>
    <w:qFormat/>
    <w:uiPriority w:val="99"/>
    <w:rPr>
      <w:rFonts w:ascii="Times New Roman" w:hAnsi="Times New Roman" w:eastAsia="宋体" w:cs="Times New Roman"/>
      <w:sz w:val="16"/>
      <w:szCs w:val="16"/>
    </w:rPr>
  </w:style>
  <w:style w:type="character" w:customStyle="1" w:styleId="357">
    <w:name w:val="公文正文 Char Char"/>
    <w:link w:val="358"/>
    <w:qFormat/>
    <w:uiPriority w:val="0"/>
    <w:rPr>
      <w:rFonts w:ascii="仿宋_GB2312" w:eastAsia="仿宋_GB2312"/>
      <w:kern w:val="2"/>
      <w:sz w:val="24"/>
      <w:szCs w:val="24"/>
    </w:rPr>
  </w:style>
  <w:style w:type="paragraph" w:customStyle="1" w:styleId="358">
    <w:name w:val="公文正文"/>
    <w:basedOn w:val="1"/>
    <w:link w:val="357"/>
    <w:qFormat/>
    <w:uiPriority w:val="0"/>
    <w:pPr>
      <w:adjustRightInd/>
      <w:spacing w:before="156" w:line="360" w:lineRule="auto"/>
      <w:ind w:firstLine="360" w:firstLineChars="200"/>
    </w:pPr>
    <w:rPr>
      <w:rFonts w:ascii="仿宋_GB2312" w:eastAsia="仿宋_GB2312"/>
      <w:sz w:val="24"/>
    </w:rPr>
  </w:style>
  <w:style w:type="character" w:customStyle="1" w:styleId="359">
    <w:name w:val="Table Text Char1"/>
    <w:qFormat/>
    <w:uiPriority w:val="0"/>
    <w:rPr>
      <w:rFonts w:eastAsia="宋体"/>
      <w:sz w:val="24"/>
      <w:szCs w:val="24"/>
      <w:lang w:val="en-US" w:eastAsia="zh-CN" w:bidi="ar-SA"/>
    </w:rPr>
  </w:style>
  <w:style w:type="character" w:customStyle="1" w:styleId="360">
    <w:name w:val="标题 1 Char Char"/>
    <w:qFormat/>
    <w:uiPriority w:val="0"/>
    <w:rPr>
      <w:rFonts w:hint="eastAsia" w:ascii="宋体" w:hAnsi="宋体" w:eastAsia="宋体"/>
      <w:b/>
      <w:spacing w:val="-2"/>
      <w:sz w:val="24"/>
      <w:lang w:val="en-US" w:eastAsia="zh-CN" w:bidi="ar-SA"/>
    </w:rPr>
  </w:style>
  <w:style w:type="character" w:customStyle="1" w:styleId="361">
    <w:name w:val="正文（缩进2汉字） Char"/>
    <w:link w:val="362"/>
    <w:qFormat/>
    <w:uiPriority w:val="0"/>
    <w:rPr>
      <w:rFonts w:ascii="宋体"/>
    </w:rPr>
  </w:style>
  <w:style w:type="paragraph" w:customStyle="1" w:styleId="362">
    <w:name w:val="正文（缩进2汉字）"/>
    <w:basedOn w:val="1"/>
    <w:link w:val="36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题 8 字符"/>
    <w:link w:val="9"/>
    <w:qFormat/>
    <w:uiPriority w:val="0"/>
    <w:rPr>
      <w:rFonts w:ascii="Arial" w:hAnsi="Arial" w:eastAsia="黑体"/>
      <w:kern w:val="2"/>
      <w:sz w:val="24"/>
      <w:szCs w:val="24"/>
    </w:rPr>
  </w:style>
  <w:style w:type="character" w:customStyle="1" w:styleId="364">
    <w:name w:val="标书表格字体格式 Char"/>
    <w:qFormat/>
    <w:uiPriority w:val="0"/>
    <w:rPr>
      <w:kern w:val="2"/>
      <w:sz w:val="21"/>
      <w:szCs w:val="24"/>
      <w:lang w:bidi="ar-SA"/>
    </w:rPr>
  </w:style>
  <w:style w:type="character" w:customStyle="1" w:styleId="365">
    <w:name w:val="tw4winError"/>
    <w:qFormat/>
    <w:uiPriority w:val="0"/>
    <w:rPr>
      <w:rFonts w:ascii="Courier New" w:hAnsi="Courier New" w:cs="Courier New"/>
      <w:color w:val="00FF00"/>
      <w:sz w:val="40"/>
      <w:szCs w:val="40"/>
    </w:rPr>
  </w:style>
  <w:style w:type="character" w:customStyle="1" w:styleId="366">
    <w:name w:val="Body Text(ch) Char Char"/>
    <w:qFormat/>
    <w:uiPriority w:val="0"/>
    <w:rPr>
      <w:rFonts w:ascii="宋体"/>
      <w:kern w:val="2"/>
      <w:sz w:val="24"/>
      <w:szCs w:val="21"/>
      <w:lang w:val="zh-CN"/>
    </w:rPr>
  </w:style>
  <w:style w:type="character" w:customStyle="1" w:styleId="367">
    <w:name w:val="正文首行缩进两字 Char"/>
    <w:qFormat/>
    <w:uiPriority w:val="0"/>
    <w:rPr>
      <w:sz w:val="24"/>
      <w:szCs w:val="24"/>
      <w:lang w:val="en-US" w:eastAsia="zh-CN" w:bidi="ar-SA"/>
    </w:rPr>
  </w:style>
  <w:style w:type="character" w:customStyle="1" w:styleId="368">
    <w:name w:val="正文文本 Char"/>
    <w:qFormat/>
    <w:uiPriority w:val="0"/>
    <w:rPr>
      <w:rFonts w:eastAsia="宋体"/>
      <w:kern w:val="2"/>
      <w:sz w:val="24"/>
      <w:szCs w:val="24"/>
      <w:lang w:val="en-US" w:eastAsia="zh-CN" w:bidi="ar-SA"/>
    </w:rPr>
  </w:style>
  <w:style w:type="character" w:customStyle="1" w:styleId="369">
    <w:name w:val="文档结构图 字符1"/>
    <w:qFormat/>
    <w:uiPriority w:val="0"/>
    <w:rPr>
      <w:rFonts w:ascii="宋体" w:hAnsi="Calibri" w:eastAsia="黑体" w:cs="Arial"/>
      <w:snapToGrid w:val="0"/>
      <w:kern w:val="2"/>
      <w:sz w:val="18"/>
      <w:szCs w:val="18"/>
    </w:rPr>
  </w:style>
  <w:style w:type="character" w:customStyle="1" w:styleId="370">
    <w:name w:val="content"/>
    <w:qFormat/>
    <w:uiPriority w:val="0"/>
  </w:style>
  <w:style w:type="character" w:customStyle="1" w:styleId="371">
    <w:name w:val="tw4winPopup"/>
    <w:qFormat/>
    <w:uiPriority w:val="0"/>
    <w:rPr>
      <w:rFonts w:ascii="Courier New" w:hAnsi="Courier New" w:cs="Courier New"/>
      <w:color w:val="008000"/>
      <w:lang w:val="en-US" w:eastAsia="zh-CN"/>
    </w:rPr>
  </w:style>
  <w:style w:type="character" w:customStyle="1" w:styleId="372">
    <w:name w:val="param-name"/>
    <w:qFormat/>
    <w:uiPriority w:val="99"/>
    <w:rPr>
      <w:rFonts w:ascii="Arial" w:hAnsi="Arial" w:eastAsia="黑体" w:cs="Arial"/>
      <w:snapToGrid w:val="0"/>
      <w:kern w:val="0"/>
      <w:szCs w:val="21"/>
    </w:rPr>
  </w:style>
  <w:style w:type="character" w:customStyle="1" w:styleId="373">
    <w:name w:val="标准正文格式 Char"/>
    <w:qFormat/>
    <w:uiPriority w:val="0"/>
    <w:rPr>
      <w:rFonts w:ascii="宋体" w:eastAsia="仿宋_GB2312" w:cs="宋体"/>
      <w:color w:val="000000"/>
      <w:sz w:val="24"/>
      <w:lang w:val="en-US" w:eastAsia="zh-CN" w:bidi="ar-SA"/>
    </w:rPr>
  </w:style>
  <w:style w:type="character" w:customStyle="1" w:styleId="374">
    <w:name w:val="Char Char212"/>
    <w:qFormat/>
    <w:uiPriority w:val="0"/>
    <w:rPr>
      <w:rFonts w:eastAsia="宋体"/>
      <w:b/>
      <w:bCs/>
      <w:kern w:val="2"/>
      <w:sz w:val="21"/>
      <w:szCs w:val="24"/>
      <w:lang w:val="en-US" w:eastAsia="zh-CN" w:bidi="ar-SA"/>
    </w:rPr>
  </w:style>
  <w:style w:type="character" w:customStyle="1" w:styleId="375">
    <w:name w:val="文档结构图 Char"/>
    <w:qFormat/>
    <w:uiPriority w:val="0"/>
    <w:rPr>
      <w:rFonts w:eastAsia="宋体"/>
      <w:kern w:val="2"/>
      <w:sz w:val="21"/>
      <w:szCs w:val="24"/>
      <w:lang w:val="en-US" w:eastAsia="zh-CN" w:bidi="ar-SA"/>
    </w:rPr>
  </w:style>
  <w:style w:type="character" w:customStyle="1" w:styleId="376">
    <w:name w:val="zbggmain style9"/>
    <w:qFormat/>
    <w:uiPriority w:val="0"/>
  </w:style>
  <w:style w:type="character" w:customStyle="1" w:styleId="377">
    <w:name w:val="Char Char16"/>
    <w:qFormat/>
    <w:uiPriority w:val="6"/>
    <w:rPr>
      <w:kern w:val="1"/>
      <w:sz w:val="18"/>
      <w:szCs w:val="18"/>
    </w:rPr>
  </w:style>
  <w:style w:type="character" w:customStyle="1" w:styleId="378">
    <w:name w:val="font51"/>
    <w:qFormat/>
    <w:uiPriority w:val="0"/>
    <w:rPr>
      <w:rFonts w:hint="eastAsia" w:ascii="仿宋" w:hAnsi="仿宋" w:eastAsia="仿宋" w:cs="仿宋"/>
      <w:color w:val="000000"/>
      <w:sz w:val="20"/>
      <w:szCs w:val="20"/>
      <w:u w:val="none"/>
    </w:rPr>
  </w:style>
  <w:style w:type="character" w:customStyle="1" w:styleId="379">
    <w:name w:val="Char Char82"/>
    <w:qFormat/>
    <w:uiPriority w:val="0"/>
    <w:rPr>
      <w:rFonts w:eastAsia="宋体"/>
      <w:b/>
      <w:sz w:val="24"/>
      <w:lang w:val="en-GB" w:eastAsia="zh-CN"/>
    </w:rPr>
  </w:style>
  <w:style w:type="character" w:customStyle="1" w:styleId="380">
    <w:name w:val="正文文本缩进 3 字符"/>
    <w:link w:val="52"/>
    <w:qFormat/>
    <w:uiPriority w:val="0"/>
    <w:rPr>
      <w:kern w:val="2"/>
      <w:sz w:val="24"/>
    </w:rPr>
  </w:style>
  <w:style w:type="character" w:customStyle="1" w:styleId="381">
    <w:name w:val="日期 Char1"/>
    <w:qFormat/>
    <w:uiPriority w:val="99"/>
    <w:rPr>
      <w:rFonts w:ascii="Times New Roman" w:hAnsi="Times New Roman" w:eastAsia="宋体" w:cs="Times New Roman"/>
      <w:szCs w:val="24"/>
    </w:rPr>
  </w:style>
  <w:style w:type="character" w:customStyle="1" w:styleId="382">
    <w:name w:val="页眉 字符"/>
    <w:qFormat/>
    <w:uiPriority w:val="99"/>
    <w:rPr>
      <w:kern w:val="2"/>
      <w:sz w:val="18"/>
      <w:szCs w:val="18"/>
    </w:rPr>
  </w:style>
  <w:style w:type="character" w:customStyle="1" w:styleId="383">
    <w:name w:val="Char Char33"/>
    <w:qFormat/>
    <w:uiPriority w:val="6"/>
    <w:rPr>
      <w:rFonts w:ascii="Arial" w:hAnsi="Arial" w:eastAsia="黑体"/>
      <w:b/>
      <w:kern w:val="1"/>
      <w:sz w:val="24"/>
      <w:szCs w:val="24"/>
    </w:rPr>
  </w:style>
  <w:style w:type="character" w:customStyle="1" w:styleId="384">
    <w:name w:val="b11_01b Char"/>
    <w:link w:val="385"/>
    <w:qFormat/>
    <w:uiPriority w:val="0"/>
    <w:rPr>
      <w:rFonts w:ascii="Verdana" w:hAnsi="Verdana"/>
      <w:b/>
      <w:bCs/>
      <w:color w:val="4A82CA"/>
      <w:sz w:val="17"/>
      <w:szCs w:val="17"/>
    </w:rPr>
  </w:style>
  <w:style w:type="paragraph" w:customStyle="1" w:styleId="385">
    <w:name w:val="b11_01b"/>
    <w:basedOn w:val="1"/>
    <w:next w:val="1"/>
    <w:link w:val="384"/>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6">
    <w:name w:val="Char Char121"/>
    <w:qFormat/>
    <w:uiPriority w:val="6"/>
    <w:rPr>
      <w:rFonts w:ascii="仿宋_GB2312" w:eastAsia="仿宋_GB2312"/>
      <w:b/>
      <w:bCs/>
      <w:kern w:val="2"/>
      <w:sz w:val="24"/>
      <w:szCs w:val="24"/>
      <w:lang w:val="zh-CN" w:eastAsia="zh-CN" w:bidi="ar-SA"/>
    </w:rPr>
  </w:style>
  <w:style w:type="character" w:customStyle="1" w:styleId="387">
    <w:name w:val="Footer-Even Char"/>
    <w:qFormat/>
    <w:uiPriority w:val="0"/>
    <w:rPr>
      <w:rFonts w:eastAsia="宋体"/>
      <w:kern w:val="2"/>
      <w:sz w:val="18"/>
      <w:lang w:val="en-US" w:eastAsia="zh-CN" w:bidi="ar-SA"/>
    </w:rPr>
  </w:style>
  <w:style w:type="character" w:customStyle="1" w:styleId="388">
    <w:name w:val="页脚 字符2"/>
    <w:link w:val="39"/>
    <w:qFormat/>
    <w:uiPriority w:val="99"/>
    <w:rPr>
      <w:kern w:val="2"/>
      <w:sz w:val="18"/>
      <w:szCs w:val="18"/>
    </w:rPr>
  </w:style>
  <w:style w:type="character" w:customStyle="1" w:styleId="389">
    <w:name w:val="Char Char36"/>
    <w:qFormat/>
    <w:uiPriority w:val="6"/>
    <w:rPr>
      <w:rFonts w:ascii="仿宋_GB2312" w:hAnsi="仿宋_GB2312" w:eastAsia="仿宋_GB2312" w:cs="Arial"/>
      <w:b/>
      <w:kern w:val="1"/>
      <w:sz w:val="32"/>
      <w:szCs w:val="32"/>
      <w:lang w:val="zh-CN" w:eastAsia="zh-CN" w:bidi="ar-SA"/>
    </w:rPr>
  </w:style>
  <w:style w:type="character" w:customStyle="1" w:styleId="390">
    <w:name w:val="Char Char61"/>
    <w:qFormat/>
    <w:uiPriority w:val="6"/>
    <w:rPr>
      <w:rFonts w:eastAsia="宋体"/>
      <w:kern w:val="2"/>
      <w:sz w:val="21"/>
      <w:szCs w:val="24"/>
      <w:lang w:val="en-US" w:eastAsia="zh-CN" w:bidi="ar-SA"/>
    </w:rPr>
  </w:style>
  <w:style w:type="character" w:customStyle="1" w:styleId="391">
    <w:name w:val="正文文字缩进 2 Char Char"/>
    <w:qFormat/>
    <w:uiPriority w:val="0"/>
    <w:rPr>
      <w:rFonts w:ascii="宋体"/>
      <w:sz w:val="28"/>
    </w:rPr>
  </w:style>
  <w:style w:type="character" w:customStyle="1" w:styleId="392">
    <w:name w:val="f141"/>
    <w:qFormat/>
    <w:uiPriority w:val="0"/>
    <w:rPr>
      <w:rFonts w:ascii="Tahoma" w:hAnsi="Tahoma" w:eastAsia="宋体"/>
      <w:b/>
      <w:kern w:val="2"/>
      <w:sz w:val="21"/>
      <w:szCs w:val="21"/>
      <w:lang w:val="en-US" w:eastAsia="zh-CN" w:bidi="ar-SA"/>
    </w:rPr>
  </w:style>
  <w:style w:type="character" w:customStyle="1" w:styleId="393">
    <w:name w:val="段落 Char Char"/>
    <w:link w:val="394"/>
    <w:qFormat/>
    <w:uiPriority w:val="0"/>
    <w:rPr>
      <w:rFonts w:ascii="宋体" w:hAnsi="宋体"/>
      <w:sz w:val="24"/>
    </w:rPr>
  </w:style>
  <w:style w:type="paragraph" w:customStyle="1" w:styleId="394">
    <w:name w:val="段落"/>
    <w:basedOn w:val="1"/>
    <w:link w:val="393"/>
    <w:qFormat/>
    <w:uiPriority w:val="0"/>
    <w:pPr>
      <w:adjustRightInd/>
      <w:spacing w:line="360" w:lineRule="auto"/>
      <w:ind w:firstLine="480" w:firstLineChars="200"/>
    </w:pPr>
    <w:rPr>
      <w:rFonts w:ascii="宋体" w:hAnsi="宋体"/>
      <w:kern w:val="0"/>
      <w:sz w:val="24"/>
      <w:szCs w:val="20"/>
    </w:rPr>
  </w:style>
  <w:style w:type="character" w:customStyle="1" w:styleId="395">
    <w:name w:val="标题 3 Char2"/>
    <w:qFormat/>
    <w:uiPriority w:val="0"/>
    <w:rPr>
      <w:rFonts w:eastAsia="宋体"/>
      <w:b/>
      <w:bCs/>
      <w:kern w:val="2"/>
      <w:sz w:val="32"/>
      <w:szCs w:val="32"/>
      <w:lang w:val="en-US" w:eastAsia="zh-CN" w:bidi="ar-SA"/>
    </w:rPr>
  </w:style>
  <w:style w:type="character" w:customStyle="1" w:styleId="396">
    <w:name w:val="apple-converted-space"/>
    <w:qFormat/>
    <w:uiPriority w:val="0"/>
  </w:style>
  <w:style w:type="character" w:customStyle="1" w:styleId="397">
    <w:name w:val="页眉 字符2"/>
    <w:link w:val="40"/>
    <w:qFormat/>
    <w:uiPriority w:val="99"/>
    <w:rPr>
      <w:kern w:val="2"/>
      <w:sz w:val="18"/>
      <w:szCs w:val="18"/>
    </w:rPr>
  </w:style>
  <w:style w:type="character" w:customStyle="1" w:styleId="398">
    <w:name w:val="Char Char9"/>
    <w:qFormat/>
    <w:uiPriority w:val="0"/>
    <w:rPr>
      <w:rFonts w:eastAsia="宋体"/>
      <w:kern w:val="2"/>
      <w:sz w:val="18"/>
      <w:szCs w:val="18"/>
      <w:lang w:val="en-US" w:eastAsia="zh-CN" w:bidi="ar-SA"/>
    </w:rPr>
  </w:style>
  <w:style w:type="character" w:customStyle="1" w:styleId="399">
    <w:name w:val="Char Char41"/>
    <w:qFormat/>
    <w:uiPriority w:val="0"/>
    <w:rPr>
      <w:rFonts w:eastAsia="宋体"/>
      <w:b/>
      <w:sz w:val="24"/>
      <w:lang w:val="en-GB" w:eastAsia="zh-CN" w:bidi="ar-SA"/>
    </w:rPr>
  </w:style>
  <w:style w:type="character" w:customStyle="1" w:styleId="400">
    <w:name w:val="large1"/>
    <w:qFormat/>
    <w:uiPriority w:val="0"/>
    <w:rPr>
      <w:rFonts w:hint="eastAsia" w:ascii="宋体" w:hAnsi="宋体" w:eastAsia="宋体"/>
      <w:sz w:val="21"/>
      <w:szCs w:val="21"/>
    </w:rPr>
  </w:style>
  <w:style w:type="character" w:customStyle="1" w:styleId="401">
    <w:name w:val="正文段 Char"/>
    <w:link w:val="402"/>
    <w:qFormat/>
    <w:uiPriority w:val="0"/>
    <w:rPr>
      <w:sz w:val="24"/>
    </w:rPr>
  </w:style>
  <w:style w:type="paragraph" w:customStyle="1" w:styleId="402">
    <w:name w:val="正文段"/>
    <w:basedOn w:val="1"/>
    <w:link w:val="401"/>
    <w:qFormat/>
    <w:uiPriority w:val="0"/>
    <w:pPr>
      <w:widowControl/>
      <w:snapToGrid w:val="0"/>
      <w:spacing w:afterLines="50"/>
      <w:ind w:firstLine="200" w:firstLineChars="200"/>
    </w:pPr>
    <w:rPr>
      <w:kern w:val="0"/>
      <w:sz w:val="24"/>
      <w:szCs w:val="20"/>
    </w:rPr>
  </w:style>
  <w:style w:type="character" w:customStyle="1" w:styleId="403">
    <w:name w:val="Char Char13"/>
    <w:qFormat/>
    <w:uiPriority w:val="6"/>
    <w:rPr>
      <w:rFonts w:ascii="宋体" w:hAnsi="宋体"/>
      <w:kern w:val="1"/>
      <w:sz w:val="21"/>
      <w:szCs w:val="24"/>
    </w:rPr>
  </w:style>
  <w:style w:type="character" w:customStyle="1" w:styleId="404">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5">
    <w:name w:val="冯广丽 Char"/>
    <w:link w:val="406"/>
    <w:qFormat/>
    <w:uiPriority w:val="0"/>
    <w:rPr>
      <w:rFonts w:ascii="宋体" w:hAnsi="宋体"/>
      <w:kern w:val="2"/>
      <w:sz w:val="24"/>
      <w:szCs w:val="22"/>
    </w:rPr>
  </w:style>
  <w:style w:type="paragraph" w:customStyle="1" w:styleId="406">
    <w:name w:val="冯广丽"/>
    <w:basedOn w:val="1"/>
    <w:link w:val="405"/>
    <w:qFormat/>
    <w:uiPriority w:val="0"/>
    <w:pPr>
      <w:adjustRightInd/>
      <w:spacing w:line="360" w:lineRule="auto"/>
      <w:ind w:firstLine="480" w:firstLineChars="200"/>
    </w:pPr>
    <w:rPr>
      <w:rFonts w:ascii="宋体" w:hAnsi="宋体"/>
      <w:sz w:val="24"/>
      <w:szCs w:val="22"/>
    </w:rPr>
  </w:style>
  <w:style w:type="character" w:customStyle="1" w:styleId="407">
    <w:name w:val="批注文字 字符"/>
    <w:qFormat/>
    <w:uiPriority w:val="0"/>
    <w:rPr>
      <w:rFonts w:ascii="Arial" w:hAnsi="Arial" w:eastAsia="黑体" w:cs="Arial"/>
      <w:snapToGrid w:val="0"/>
      <w:kern w:val="0"/>
      <w:szCs w:val="21"/>
    </w:rPr>
  </w:style>
  <w:style w:type="character" w:customStyle="1" w:styleId="408">
    <w:name w:val="Char Char161"/>
    <w:qFormat/>
    <w:uiPriority w:val="0"/>
    <w:rPr>
      <w:rFonts w:eastAsia="宋体"/>
      <w:b/>
      <w:kern w:val="2"/>
      <w:sz w:val="32"/>
      <w:lang w:val="en-US" w:eastAsia="zh-CN"/>
    </w:rPr>
  </w:style>
  <w:style w:type="character" w:customStyle="1" w:styleId="409">
    <w:name w:val="javascript"/>
    <w:qFormat/>
    <w:uiPriority w:val="0"/>
  </w:style>
  <w:style w:type="character" w:customStyle="1" w:styleId="410">
    <w:name w:val="图名 Char"/>
    <w:qFormat/>
    <w:uiPriority w:val="0"/>
    <w:rPr>
      <w:rFonts w:ascii="Arial" w:hAnsi="Arial" w:eastAsia="黑体"/>
      <w:kern w:val="2"/>
      <w:sz w:val="24"/>
      <w:szCs w:val="24"/>
      <w:lang w:val="en-US" w:eastAsia="zh-CN" w:bidi="ar-SA"/>
    </w:rPr>
  </w:style>
  <w:style w:type="character" w:customStyle="1" w:styleId="411">
    <w:name w:val="Used by Word for text of Help footnotes Char Char"/>
    <w:qFormat/>
    <w:uiPriority w:val="0"/>
    <w:rPr>
      <w:rFonts w:ascii="Times New Roman" w:hAnsi="Times New Roman" w:eastAsia="宋体" w:cs="Times New Roman"/>
      <w:sz w:val="20"/>
      <w:szCs w:val="20"/>
    </w:rPr>
  </w:style>
  <w:style w:type="character" w:customStyle="1" w:styleId="412">
    <w:name w:val="编号，小四 Char"/>
    <w:link w:val="413"/>
    <w:qFormat/>
    <w:uiPriority w:val="0"/>
    <w:rPr>
      <w:rFonts w:ascii="Arial" w:hAnsi="Arial"/>
      <w:sz w:val="24"/>
    </w:rPr>
  </w:style>
  <w:style w:type="paragraph" w:customStyle="1" w:styleId="413">
    <w:name w:val="编号，小四"/>
    <w:basedOn w:val="1"/>
    <w:link w:val="412"/>
    <w:qFormat/>
    <w:uiPriority w:val="0"/>
    <w:pPr>
      <w:tabs>
        <w:tab w:val="left" w:pos="432"/>
      </w:tabs>
      <w:adjustRightInd/>
      <w:spacing w:line="360" w:lineRule="auto"/>
      <w:ind w:left="432" w:hanging="432"/>
    </w:pPr>
    <w:rPr>
      <w:rFonts w:ascii="Arial" w:hAnsi="Arial"/>
      <w:kern w:val="0"/>
      <w:sz w:val="24"/>
      <w:szCs w:val="20"/>
    </w:rPr>
  </w:style>
  <w:style w:type="character" w:customStyle="1" w:styleId="414">
    <w:name w:val="Font Style82"/>
    <w:qFormat/>
    <w:uiPriority w:val="99"/>
    <w:rPr>
      <w:rFonts w:ascii="宋体" w:eastAsia="宋体" w:cs="宋体"/>
      <w:color w:val="000000"/>
      <w:sz w:val="14"/>
      <w:szCs w:val="14"/>
    </w:rPr>
  </w:style>
  <w:style w:type="character" w:customStyle="1" w:styleId="415">
    <w:name w:val="标题 2 Char Char"/>
    <w:qFormat/>
    <w:uiPriority w:val="0"/>
    <w:rPr>
      <w:rFonts w:ascii="楷体_GB2312" w:hAnsi="Arial" w:eastAsia="楷体_GB2312"/>
      <w:b/>
      <w:bCs/>
      <w:kern w:val="2"/>
      <w:sz w:val="24"/>
      <w:szCs w:val="32"/>
      <w:lang w:val="en-US" w:eastAsia="zh-CN" w:bidi="ar-SA"/>
    </w:rPr>
  </w:style>
  <w:style w:type="character" w:customStyle="1" w:styleId="416">
    <w:name w:val="未用 Char"/>
    <w:qFormat/>
    <w:uiPriority w:val="0"/>
    <w:rPr>
      <w:rFonts w:ascii="Arial" w:hAnsi="Arial" w:eastAsia="黑体"/>
      <w:kern w:val="2"/>
      <w:sz w:val="21"/>
      <w:szCs w:val="21"/>
      <w:lang w:val="en-US" w:eastAsia="zh-CN" w:bidi="ar-SA"/>
    </w:rPr>
  </w:style>
  <w:style w:type="character" w:customStyle="1" w:styleId="417">
    <w:name w:val="myp1111"/>
    <w:qFormat/>
    <w:uiPriority w:val="0"/>
    <w:rPr>
      <w:rFonts w:hint="default" w:ascii="ˎ̥" w:hAnsi="ˎ̥"/>
      <w:color w:val="000000"/>
      <w:sz w:val="20"/>
      <w:szCs w:val="20"/>
      <w:u w:val="none"/>
    </w:rPr>
  </w:style>
  <w:style w:type="character" w:customStyle="1" w:styleId="418">
    <w:name w:val="样式 标题 4h4H4Fab-4T5Ref Heading 1rh1Heading sqlsect 1.2.3.... Char"/>
    <w:link w:val="310"/>
    <w:qFormat/>
    <w:uiPriority w:val="0"/>
    <w:rPr>
      <w:rFonts w:ascii="微软雅黑" w:hAnsi="微软雅黑" w:eastAsia="微软雅黑"/>
      <w:b/>
      <w:bCs/>
      <w:kern w:val="2"/>
      <w:sz w:val="24"/>
      <w:szCs w:val="28"/>
    </w:rPr>
  </w:style>
  <w:style w:type="character" w:customStyle="1" w:styleId="419">
    <w:name w:val="h Char Char"/>
    <w:qFormat/>
    <w:uiPriority w:val="0"/>
    <w:rPr>
      <w:rFonts w:eastAsia="宋体"/>
      <w:kern w:val="2"/>
      <w:sz w:val="18"/>
      <w:lang w:val="en-US" w:eastAsia="zh-CN" w:bidi="ar-SA"/>
    </w:rPr>
  </w:style>
  <w:style w:type="character" w:customStyle="1" w:styleId="420">
    <w:name w:val="仿宋正文 Char"/>
    <w:link w:val="421"/>
    <w:qFormat/>
    <w:uiPriority w:val="0"/>
    <w:rPr>
      <w:rFonts w:ascii="仿宋_GB2312" w:eastAsia="仿宋_GB2312"/>
      <w:kern w:val="2"/>
      <w:sz w:val="24"/>
      <w:lang w:val="en-US" w:eastAsia="zh-CN" w:bidi="ar-SA"/>
    </w:rPr>
  </w:style>
  <w:style w:type="paragraph" w:customStyle="1" w:styleId="421">
    <w:name w:val="仿宋正文"/>
    <w:basedOn w:val="1"/>
    <w:link w:val="420"/>
    <w:qFormat/>
    <w:uiPriority w:val="0"/>
    <w:pPr>
      <w:adjustRightInd/>
      <w:spacing w:line="360" w:lineRule="auto"/>
      <w:ind w:firstLine="480" w:firstLineChars="200"/>
    </w:pPr>
    <w:rPr>
      <w:rFonts w:ascii="仿宋_GB2312" w:eastAsia="仿宋_GB2312"/>
      <w:sz w:val="24"/>
      <w:szCs w:val="20"/>
    </w:rPr>
  </w:style>
  <w:style w:type="character" w:customStyle="1" w:styleId="422">
    <w:name w:val="正文首行缩进 Char Char Char Char Char Char"/>
    <w:qFormat/>
    <w:uiPriority w:val="0"/>
    <w:rPr>
      <w:rFonts w:ascii="宋体" w:eastAsia="宋体"/>
      <w:kern w:val="2"/>
      <w:sz w:val="24"/>
      <w:lang w:val="zh-CN" w:bidi="ar-SA"/>
    </w:rPr>
  </w:style>
  <w:style w:type="character" w:customStyle="1" w:styleId="423">
    <w:name w:val="样式 宋体"/>
    <w:qFormat/>
    <w:uiPriority w:val="0"/>
    <w:rPr>
      <w:rFonts w:ascii="宋体" w:hAnsi="宋体"/>
      <w:sz w:val="24"/>
    </w:rPr>
  </w:style>
  <w:style w:type="character" w:customStyle="1" w:styleId="424">
    <w:name w:val="tw4winJump"/>
    <w:qFormat/>
    <w:uiPriority w:val="0"/>
    <w:rPr>
      <w:rFonts w:ascii="Courier New" w:hAnsi="Courier New" w:cs="Courier New"/>
      <w:color w:val="008080"/>
      <w:lang w:val="en-US" w:eastAsia="zh-CN"/>
    </w:rPr>
  </w:style>
  <w:style w:type="character" w:customStyle="1" w:styleId="425">
    <w:name w:val="标题 1 字符"/>
    <w:qFormat/>
    <w:uiPriority w:val="9"/>
    <w:rPr>
      <w:rFonts w:ascii="Arial" w:hAnsi="Arial" w:eastAsia="黑体" w:cs="Arial"/>
      <w:b/>
      <w:bCs/>
      <w:snapToGrid w:val="0"/>
      <w:kern w:val="44"/>
      <w:sz w:val="44"/>
      <w:szCs w:val="44"/>
    </w:rPr>
  </w:style>
  <w:style w:type="character" w:customStyle="1" w:styleId="426">
    <w:name w:val="style36"/>
    <w:basedOn w:val="69"/>
    <w:qFormat/>
    <w:uiPriority w:val="0"/>
    <w:rPr>
      <w:rFonts w:ascii="Arial" w:hAnsi="Arial" w:eastAsia="黑体" w:cs="Arial"/>
      <w:snapToGrid w:val="0"/>
      <w:kern w:val="0"/>
      <w:szCs w:val="21"/>
    </w:rPr>
  </w:style>
  <w:style w:type="character" w:customStyle="1" w:styleId="427">
    <w:name w:val="pt9"/>
    <w:qFormat/>
    <w:uiPriority w:val="0"/>
    <w:rPr>
      <w:rFonts w:ascii="仿宋_GB2312" w:eastAsia="微软雅黑"/>
      <w:b/>
      <w:kern w:val="2"/>
      <w:sz w:val="32"/>
      <w:szCs w:val="32"/>
      <w:lang w:val="en-US" w:eastAsia="zh-CN" w:bidi="ar-SA"/>
    </w:rPr>
  </w:style>
  <w:style w:type="character" w:customStyle="1" w:styleId="428">
    <w:name w:val="DO_NOT_TRANSLATE"/>
    <w:qFormat/>
    <w:uiPriority w:val="0"/>
    <w:rPr>
      <w:rFonts w:ascii="Courier New" w:hAnsi="Courier New" w:cs="Courier New"/>
      <w:color w:val="800000"/>
      <w:lang w:val="en-US" w:eastAsia="zh-CN"/>
    </w:rPr>
  </w:style>
  <w:style w:type="character" w:customStyle="1" w:styleId="429">
    <w:name w:val="标书1 Char1"/>
    <w:qFormat/>
    <w:uiPriority w:val="0"/>
    <w:rPr>
      <w:rFonts w:eastAsia="宋体"/>
      <w:b/>
      <w:bCs/>
      <w:kern w:val="44"/>
      <w:sz w:val="44"/>
      <w:szCs w:val="44"/>
      <w:lang w:val="en-US" w:eastAsia="zh-CN" w:bidi="ar-SA"/>
    </w:rPr>
  </w:style>
  <w:style w:type="character" w:customStyle="1" w:styleId="430">
    <w:name w:val="页脚 字符"/>
    <w:qFormat/>
    <w:uiPriority w:val="99"/>
    <w:rPr>
      <w:kern w:val="2"/>
      <w:sz w:val="18"/>
      <w:szCs w:val="18"/>
    </w:rPr>
  </w:style>
  <w:style w:type="character" w:customStyle="1" w:styleId="431">
    <w:name w:val="正文2 Char"/>
    <w:qFormat/>
    <w:uiPriority w:val="0"/>
    <w:rPr>
      <w:rFonts w:eastAsia="宋体"/>
      <w:kern w:val="2"/>
      <w:sz w:val="24"/>
      <w:lang w:val="en-US" w:eastAsia="zh-CN" w:bidi="ar-SA"/>
    </w:rPr>
  </w:style>
  <w:style w:type="character" w:customStyle="1" w:styleId="432">
    <w:name w:val="Char Char21"/>
    <w:qFormat/>
    <w:uiPriority w:val="6"/>
    <w:rPr>
      <w:rFonts w:ascii="宋体" w:hAnsi="宋体"/>
      <w:kern w:val="1"/>
      <w:sz w:val="24"/>
      <w:szCs w:val="21"/>
      <w:lang w:val="zh-CN"/>
    </w:rPr>
  </w:style>
  <w:style w:type="character" w:customStyle="1" w:styleId="433">
    <w:name w:val="样式 正文缩进 + 首行缩进:  2 字符 Char Char"/>
    <w:link w:val="434"/>
    <w:qFormat/>
    <w:uiPriority w:val="0"/>
    <w:rPr>
      <w:rFonts w:cs="宋体"/>
      <w:kern w:val="2"/>
      <w:sz w:val="24"/>
    </w:rPr>
  </w:style>
  <w:style w:type="paragraph" w:customStyle="1" w:styleId="434">
    <w:name w:val="样式 正文缩进 + 首行缩进:  2 字符"/>
    <w:basedOn w:val="15"/>
    <w:link w:val="433"/>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5">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6">
    <w:name w:val="gray6"/>
    <w:basedOn w:val="69"/>
    <w:qFormat/>
    <w:uiPriority w:val="0"/>
    <w:rPr>
      <w:rFonts w:ascii="Arial" w:hAnsi="Arial" w:eastAsia="黑体" w:cs="Arial"/>
      <w:snapToGrid w:val="0"/>
      <w:kern w:val="0"/>
      <w:szCs w:val="21"/>
    </w:rPr>
  </w:style>
  <w:style w:type="character" w:customStyle="1" w:styleId="437">
    <w:name w:val="hui"/>
    <w:basedOn w:val="69"/>
    <w:qFormat/>
    <w:uiPriority w:val="0"/>
    <w:rPr>
      <w:rFonts w:ascii="Arial" w:hAnsi="Arial" w:eastAsia="黑体" w:cs="Arial"/>
      <w:snapToGrid w:val="0"/>
      <w:kern w:val="0"/>
      <w:szCs w:val="21"/>
    </w:rPr>
  </w:style>
  <w:style w:type="character" w:customStyle="1" w:styleId="438">
    <w:name w:val="哈哈正文 Char Char"/>
    <w:qFormat/>
    <w:uiPriority w:val="0"/>
    <w:rPr>
      <w:rFonts w:ascii="宋体" w:hAnsi="宋体" w:eastAsia="宋体" w:cs="宋体"/>
      <w:kern w:val="2"/>
      <w:sz w:val="24"/>
      <w:lang w:val="en-US" w:eastAsia="zh-CN" w:bidi="ar-SA"/>
    </w:rPr>
  </w:style>
  <w:style w:type="paragraph" w:customStyle="1" w:styleId="43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1">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2">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3">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4">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5">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6">
    <w:name w:val="标题4_自定义"/>
    <w:basedOn w:val="5"/>
    <w:qFormat/>
    <w:uiPriority w:val="0"/>
    <w:pPr>
      <w:adjustRightInd/>
      <w:spacing w:before="0" w:after="0" w:line="360" w:lineRule="auto"/>
    </w:pPr>
    <w:rPr>
      <w:rFonts w:ascii="Verdana" w:eastAsia="Verdana"/>
      <w:sz w:val="21"/>
      <w:lang w:val="en-US"/>
    </w:rPr>
  </w:style>
  <w:style w:type="paragraph" w:customStyle="1" w:styleId="447">
    <w:name w:val="正文 内标 序号标"/>
    <w:basedOn w:val="448"/>
    <w:qFormat/>
    <w:uiPriority w:val="0"/>
    <w:pPr>
      <w:tabs>
        <w:tab w:val="left" w:pos="0"/>
      </w:tabs>
      <w:adjustRightInd/>
      <w:spacing w:before="0"/>
      <w:ind w:firstLine="482"/>
    </w:pPr>
    <w:rPr>
      <w:rFonts w:ascii="微软雅黑" w:hAnsi="微软雅黑"/>
      <w:sz w:val="24"/>
      <w:szCs w:val="24"/>
    </w:rPr>
  </w:style>
  <w:style w:type="paragraph" w:customStyle="1" w:styleId="448">
    <w:name w:val="My正文"/>
    <w:basedOn w:val="1"/>
    <w:qFormat/>
    <w:uiPriority w:val="0"/>
    <w:pPr>
      <w:spacing w:before="120" w:line="360" w:lineRule="auto"/>
      <w:ind w:firstLine="567"/>
    </w:pPr>
    <w:rPr>
      <w:rFonts w:ascii="Arial" w:hAnsi="Arial"/>
      <w:sz w:val="20"/>
      <w:szCs w:val="20"/>
    </w:rPr>
  </w:style>
  <w:style w:type="paragraph" w:customStyle="1" w:styleId="449">
    <w:name w:val="彩色底纹 - 强调文字颜色 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450">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2">
    <w:name w:val="修订2"/>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45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5">
    <w:name w:val="文章标题"/>
    <w:next w:val="456"/>
    <w:qFormat/>
    <w:uiPriority w:val="0"/>
    <w:pPr>
      <w:spacing w:beforeLines="800" w:after="160" w:afterLines="100" w:line="278" w:lineRule="auto"/>
      <w:jc w:val="center"/>
    </w:pPr>
    <w:rPr>
      <w:rFonts w:ascii="Arial" w:hAnsi="Arial" w:eastAsia="黑体" w:cs="宋体"/>
      <w:bCs/>
      <w:kern w:val="2"/>
      <w:sz w:val="52"/>
      <w:lang w:val="en-US" w:eastAsia="zh-CN" w:bidi="ar-SA"/>
    </w:rPr>
  </w:style>
  <w:style w:type="paragraph" w:customStyle="1" w:styleId="456">
    <w:name w:val="封面公司名"/>
    <w:qFormat/>
    <w:uiPriority w:val="0"/>
    <w:pPr>
      <w:spacing w:after="160" w:line="278" w:lineRule="auto"/>
      <w:jc w:val="center"/>
    </w:pPr>
    <w:rPr>
      <w:rFonts w:ascii="Arial" w:hAnsi="Arial" w:eastAsia="楷体_GB2312" w:cs="宋体"/>
      <w:bCs/>
      <w:kern w:val="2"/>
      <w:sz w:val="28"/>
      <w:lang w:val="en-US" w:eastAsia="zh-CN" w:bidi="ar-SA"/>
    </w:rPr>
  </w:style>
  <w:style w:type="paragraph" w:customStyle="1" w:styleId="457">
    <w:name w:val="Char1 Char Char Char5"/>
    <w:basedOn w:val="1"/>
    <w:qFormat/>
    <w:uiPriority w:val="0"/>
    <w:pPr>
      <w:adjustRightInd/>
      <w:ind w:firstLine="200" w:firstLineChars="200"/>
    </w:pPr>
    <w:rPr>
      <w:rFonts w:ascii="Tahoma" w:hAnsi="Tahoma"/>
      <w:sz w:val="24"/>
      <w:szCs w:val="20"/>
    </w:rPr>
  </w:style>
  <w:style w:type="paragraph" w:customStyle="1" w:styleId="4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9">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0">
    <w:name w:val="Char Char Char Char Char Char Char Char"/>
    <w:basedOn w:val="1"/>
    <w:qFormat/>
    <w:uiPriority w:val="0"/>
    <w:pPr>
      <w:tabs>
        <w:tab w:val="left" w:pos="360"/>
      </w:tabs>
    </w:pPr>
    <w:rPr>
      <w:sz w:val="24"/>
      <w:szCs w:val="20"/>
    </w:rPr>
  </w:style>
  <w:style w:type="paragraph" w:customStyle="1" w:styleId="461">
    <w:name w:val="Char Char11 Char Char Char"/>
    <w:basedOn w:val="1"/>
    <w:qFormat/>
    <w:uiPriority w:val="0"/>
    <w:pPr>
      <w:spacing w:line="360" w:lineRule="auto"/>
    </w:pPr>
    <w:rPr>
      <w:szCs w:val="20"/>
    </w:rPr>
  </w:style>
  <w:style w:type="paragraph" w:customStyle="1" w:styleId="462">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qFormat/>
    <w:uiPriority w:val="0"/>
    <w:pPr>
      <w:tabs>
        <w:tab w:val="left" w:pos="840"/>
      </w:tabs>
      <w:ind w:left="840" w:hanging="420"/>
    </w:pPr>
    <w:rPr>
      <w:rFonts w:ascii="Tahoma" w:hAnsi="Tahoma"/>
      <w:sz w:val="24"/>
    </w:rPr>
  </w:style>
  <w:style w:type="paragraph" w:customStyle="1" w:styleId="46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3"/>
    <w:qFormat/>
    <w:uiPriority w:val="0"/>
    <w:pPr>
      <w:keepLines w:val="0"/>
      <w:widowControl/>
      <w:tabs>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qFormat/>
    <w:uiPriority w:val="0"/>
    <w:pPr>
      <w:adjustRightInd/>
      <w:spacing w:before="156" w:line="360" w:lineRule="auto"/>
      <w:ind w:firstLine="510" w:firstLineChars="200"/>
    </w:pPr>
    <w:rPr>
      <w:sz w:val="24"/>
      <w:szCs w:val="20"/>
    </w:rPr>
  </w:style>
  <w:style w:type="paragraph" w:customStyle="1" w:styleId="470">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qFormat/>
    <w:uiPriority w:val="0"/>
    <w:rPr>
      <w:rFonts w:ascii="仿宋_GB2312" w:eastAsia="仿宋_GB2312"/>
      <w:b/>
      <w:sz w:val="32"/>
      <w:szCs w:val="32"/>
    </w:rPr>
  </w:style>
  <w:style w:type="paragraph" w:customStyle="1" w:styleId="47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6">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qFormat/>
    <w:uiPriority w:val="0"/>
    <w:pPr>
      <w:keepNext/>
      <w:tabs>
        <w:tab w:val="left" w:pos="360"/>
      </w:tabs>
      <w:outlineLvl w:val="5"/>
    </w:pPr>
  </w:style>
  <w:style w:type="paragraph" w:customStyle="1" w:styleId="478">
    <w:name w:val="5级标题"/>
    <w:basedOn w:val="479"/>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9">
    <w:name w:val="4级标题"/>
    <w:basedOn w:val="26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qFormat/>
    <w:uiPriority w:val="0"/>
    <w:pPr>
      <w:adjustRightInd/>
      <w:ind w:left="420" w:leftChars="200"/>
      <w:jc w:val="left"/>
    </w:pPr>
    <w:rPr>
      <w:sz w:val="28"/>
      <w:szCs w:val="20"/>
      <w:lang w:eastAsia="zh-TW"/>
    </w:rPr>
  </w:style>
  <w:style w:type="paragraph" w:customStyle="1" w:styleId="481">
    <w:name w:val="Char2 Char Char"/>
    <w:basedOn w:val="1"/>
    <w:qFormat/>
    <w:uiPriority w:val="0"/>
    <w:pPr>
      <w:adjustRightInd/>
    </w:pPr>
    <w:rPr>
      <w:rFonts w:ascii="Tahoma" w:hAnsi="Tahoma"/>
      <w:sz w:val="24"/>
      <w:szCs w:val="20"/>
    </w:rPr>
  </w:style>
  <w:style w:type="paragraph" w:customStyle="1" w:styleId="482">
    <w:name w:val="_Style 11"/>
    <w:basedOn w:val="1"/>
    <w:qFormat/>
    <w:uiPriority w:val="34"/>
    <w:pPr>
      <w:adjustRightInd/>
      <w:ind w:firstLine="420" w:firstLineChars="200"/>
    </w:pPr>
    <w:rPr>
      <w:rFonts w:eastAsia="仿宋_GB2312"/>
      <w:sz w:val="28"/>
    </w:rPr>
  </w:style>
  <w:style w:type="paragraph" w:customStyle="1" w:styleId="483">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qFormat/>
    <w:uiPriority w:val="0"/>
    <w:rPr>
      <w:rFonts w:ascii="Tahoma" w:hAnsi="Tahoma"/>
      <w:sz w:val="24"/>
      <w:szCs w:val="20"/>
    </w:rPr>
  </w:style>
  <w:style w:type="paragraph" w:customStyle="1" w:styleId="485">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6">
    <w:name w:val="Table Cell"/>
    <w:qFormat/>
    <w:uiPriority w:val="0"/>
    <w:pPr>
      <w:adjustRightInd w:val="0"/>
      <w:snapToGrid w:val="0"/>
      <w:spacing w:before="20" w:after="20" w:line="278" w:lineRule="auto"/>
    </w:pPr>
    <w:rPr>
      <w:rFonts w:ascii="Courier New" w:hAnsi="Courier New" w:eastAsia="宋体" w:cs="Times New Roman"/>
      <w:sz w:val="24"/>
      <w:lang w:val="en-US" w:eastAsia="zh-CN" w:bidi="ar-SA"/>
    </w:rPr>
  </w:style>
  <w:style w:type="paragraph" w:customStyle="1" w:styleId="487">
    <w:name w:val="无间隔2"/>
    <w:basedOn w:val="1"/>
    <w:link w:val="936"/>
    <w:qFormat/>
    <w:uiPriority w:val="99"/>
    <w:rPr>
      <w:szCs w:val="22"/>
    </w:rPr>
  </w:style>
  <w:style w:type="paragraph" w:customStyle="1" w:styleId="488">
    <w:name w:val="??"/>
    <w:qFormat/>
    <w:uiPriority w:val="0"/>
    <w:pPr>
      <w:widowControl w:val="0"/>
      <w:overflowPunct w:val="0"/>
      <w:autoSpaceDE w:val="0"/>
      <w:autoSpaceDN w:val="0"/>
      <w:adjustRightInd w:val="0"/>
      <w:spacing w:after="160" w:line="278" w:lineRule="auto"/>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qFormat/>
    <w:uiPriority w:val="6"/>
    <w:rPr>
      <w:rFonts w:ascii="Tahoma" w:hAnsi="Tahoma" w:cs="仿宋_GB2312"/>
      <w:sz w:val="24"/>
      <w:szCs w:val="20"/>
    </w:rPr>
  </w:style>
  <w:style w:type="paragraph" w:customStyle="1" w:styleId="490">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qFormat/>
    <w:uiPriority w:val="6"/>
    <w:pPr>
      <w:widowControl/>
      <w:snapToGrid w:val="0"/>
      <w:spacing w:before="120" w:line="360" w:lineRule="auto"/>
      <w:ind w:right="-360"/>
      <w:jc w:val="left"/>
    </w:pPr>
    <w:rPr>
      <w:rFonts w:ascii="Arial" w:hAnsi="Arial"/>
      <w:kern w:val="0"/>
      <w:sz w:val="24"/>
      <w:lang w:eastAsia="en-US"/>
    </w:rPr>
  </w:style>
  <w:style w:type="paragraph" w:customStyle="1" w:styleId="492">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3"/>
    <w:qFormat/>
    <w:uiPriority w:val="0"/>
    <w:pPr>
      <w:tabs>
        <w:tab w:val="left" w:pos="1260"/>
      </w:tabs>
      <w:ind w:left="1260" w:hanging="420"/>
    </w:pPr>
    <w:rPr>
      <w:rFonts w:ascii="Arial" w:hAnsi="Arial" w:eastAsia="黑体"/>
      <w:lang w:val="en-US"/>
    </w:rPr>
  </w:style>
  <w:style w:type="paragraph" w:customStyle="1" w:styleId="494">
    <w:name w:val="五级无标题条"/>
    <w:basedOn w:val="1"/>
    <w:qFormat/>
    <w:uiPriority w:val="0"/>
    <w:pPr>
      <w:adjustRightInd/>
    </w:pPr>
  </w:style>
  <w:style w:type="paragraph" w:customStyle="1" w:styleId="495">
    <w:name w:val="Char5"/>
    <w:basedOn w:val="1"/>
    <w:qFormat/>
    <w:uiPriority w:val="0"/>
    <w:rPr>
      <w:rFonts w:ascii="仿宋_GB2312" w:eastAsia="仿宋_GB2312"/>
      <w:b/>
      <w:sz w:val="32"/>
      <w:szCs w:val="32"/>
    </w:rPr>
  </w:style>
  <w:style w:type="paragraph" w:customStyle="1" w:styleId="496">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qFormat/>
    <w:uiPriority w:val="0"/>
    <w:rPr>
      <w:rFonts w:ascii="仿宋_GB2312" w:eastAsia="仿宋_GB2312"/>
      <w:b/>
      <w:sz w:val="32"/>
      <w:szCs w:val="32"/>
    </w:rPr>
  </w:style>
  <w:style w:type="paragraph" w:customStyle="1" w:styleId="500">
    <w:name w:val="数字标题3"/>
    <w:basedOn w:val="4"/>
    <w:next w:val="1"/>
    <w:qFormat/>
    <w:uiPriority w:val="0"/>
    <w:pPr>
      <w:spacing w:line="240" w:lineRule="auto"/>
    </w:pPr>
    <w:rPr>
      <w:sz w:val="28"/>
      <w:szCs w:val="28"/>
    </w:rPr>
  </w:style>
  <w:style w:type="paragraph" w:customStyle="1" w:styleId="501">
    <w:name w:val="FA正文"/>
    <w:basedOn w:val="1"/>
    <w:qFormat/>
    <w:uiPriority w:val="0"/>
    <w:pPr>
      <w:spacing w:line="360" w:lineRule="auto"/>
      <w:ind w:firstLine="480" w:firstLineChars="200"/>
    </w:pPr>
    <w:rPr>
      <w:rFonts w:hAnsi="宋体"/>
      <w:sz w:val="24"/>
      <w:szCs w:val="20"/>
    </w:rPr>
  </w:style>
  <w:style w:type="paragraph" w:customStyle="1" w:styleId="502">
    <w:name w:val="MM Topic 5"/>
    <w:basedOn w:val="6"/>
    <w:qFormat/>
    <w:uiPriority w:val="0"/>
    <w:pPr>
      <w:tabs>
        <w:tab w:val="left" w:pos="2520"/>
      </w:tabs>
      <w:adjustRightInd/>
      <w:ind w:left="2520" w:hanging="420"/>
    </w:pPr>
  </w:style>
  <w:style w:type="paragraph" w:customStyle="1" w:styleId="503">
    <w:name w:val="Char Char Char Char Char Char Char Char Char Char1"/>
    <w:basedOn w:val="1"/>
    <w:qFormat/>
    <w:uiPriority w:val="0"/>
    <w:rPr>
      <w:rFonts w:ascii="仿宋_GB2312" w:eastAsia="仿宋_GB2312"/>
      <w:b/>
      <w:sz w:val="32"/>
      <w:szCs w:val="32"/>
    </w:rPr>
  </w:style>
  <w:style w:type="paragraph" w:customStyle="1" w:styleId="50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qFormat/>
    <w:uiPriority w:val="3"/>
    <w:pPr>
      <w:spacing w:after="160" w:line="278" w:lineRule="auto"/>
    </w:pPr>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qFormat/>
    <w:uiPriority w:val="0"/>
    <w:rPr>
      <w:rFonts w:ascii="仿宋_GB2312" w:eastAsia="仿宋_GB2312"/>
      <w:b/>
      <w:sz w:val="32"/>
      <w:szCs w:val="32"/>
    </w:rPr>
  </w:style>
  <w:style w:type="paragraph" w:customStyle="1" w:styleId="507">
    <w:name w:val="Char2 Char Char Char1"/>
    <w:basedOn w:val="1"/>
    <w:qFormat/>
    <w:uiPriority w:val="6"/>
    <w:rPr>
      <w:rFonts w:ascii="仿宋_GB2312" w:eastAsia="仿宋_GB2312"/>
      <w:b/>
      <w:sz w:val="32"/>
      <w:szCs w:val="32"/>
    </w:rPr>
  </w:style>
  <w:style w:type="paragraph" w:customStyle="1" w:styleId="508">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qFormat/>
    <w:uiPriority w:val="0"/>
    <w:pPr>
      <w:snapToGrid w:val="0"/>
      <w:spacing w:line="0" w:lineRule="atLeast"/>
      <w:ind w:firstLine="200" w:firstLineChars="200"/>
      <w:jc w:val="center"/>
    </w:pPr>
    <w:rPr>
      <w:sz w:val="24"/>
      <w:szCs w:val="20"/>
    </w:rPr>
  </w:style>
  <w:style w:type="paragraph" w:customStyle="1" w:styleId="5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4"/>
    <w:qFormat/>
    <w:uiPriority w:val="0"/>
    <w:pPr>
      <w:tabs>
        <w:tab w:val="left" w:pos="1680"/>
      </w:tabs>
      <w:adjustRightInd/>
      <w:ind w:left="1680" w:hanging="420"/>
    </w:pPr>
  </w:style>
  <w:style w:type="paragraph" w:customStyle="1" w:styleId="512">
    <w:name w:val="标准小四"/>
    <w:basedOn w:val="1"/>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qFormat/>
    <w:uiPriority w:val="0"/>
    <w:pPr>
      <w:adjustRightInd/>
      <w:snapToGrid w:val="0"/>
      <w:spacing w:line="300" w:lineRule="auto"/>
    </w:pPr>
    <w:rPr>
      <w:rFonts w:eastAsia="仿宋"/>
      <w:szCs w:val="21"/>
    </w:rPr>
  </w:style>
  <w:style w:type="paragraph" w:customStyle="1" w:styleId="515">
    <w:name w:val="Char Char Char Char Char Char1 Char"/>
    <w:basedOn w:val="1"/>
    <w:qFormat/>
    <w:uiPriority w:val="0"/>
    <w:pPr>
      <w:widowControl/>
      <w:spacing w:line="240" w:lineRule="exact"/>
      <w:jc w:val="left"/>
    </w:pPr>
    <w:rPr>
      <w:rFonts w:ascii="Verdana" w:hAnsi="Verdana"/>
      <w:kern w:val="0"/>
      <w:szCs w:val="20"/>
      <w:lang w:eastAsia="en-US"/>
    </w:rPr>
  </w:style>
  <w:style w:type="paragraph" w:customStyle="1" w:styleId="516">
    <w:name w:val="Char2 Char Char1"/>
    <w:basedOn w:val="1"/>
    <w:qFormat/>
    <w:uiPriority w:val="6"/>
    <w:pPr>
      <w:adjustRightInd/>
    </w:pPr>
    <w:rPr>
      <w:rFonts w:ascii="Tahoma" w:hAnsi="Tahoma"/>
      <w:sz w:val="24"/>
      <w:szCs w:val="20"/>
    </w:rPr>
  </w:style>
  <w:style w:type="paragraph" w:customStyle="1" w:styleId="517">
    <w:name w:val="列出段落5"/>
    <w:basedOn w:val="1"/>
    <w:qFormat/>
    <w:uiPriority w:val="0"/>
    <w:pPr>
      <w:spacing w:line="360" w:lineRule="auto"/>
      <w:ind w:firstLine="200" w:firstLineChars="200"/>
    </w:pPr>
    <w:rPr>
      <w:rFonts w:eastAsia="楷体_GB2312" w:cs="Lucida Sans"/>
      <w:sz w:val="24"/>
    </w:rPr>
  </w:style>
  <w:style w:type="paragraph" w:customStyle="1" w:styleId="51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Item Step in Table"/>
    <w:qFormat/>
    <w:uiPriority w:val="0"/>
    <w:pPr>
      <w:tabs>
        <w:tab w:val="left" w:pos="397"/>
        <w:tab w:val="left" w:pos="840"/>
      </w:tabs>
      <w:spacing w:before="40" w:after="40" w:line="278" w:lineRule="auto"/>
      <w:ind w:left="840" w:hanging="420"/>
      <w:jc w:val="both"/>
    </w:pPr>
    <w:rPr>
      <w:rFonts w:ascii="Arial" w:hAnsi="Arial" w:eastAsia="宋体" w:cs="Arial"/>
      <w:sz w:val="18"/>
      <w:szCs w:val="18"/>
      <w:lang w:val="en-US" w:eastAsia="zh-CN" w:bidi="ar-SA"/>
    </w:rPr>
  </w:style>
  <w:style w:type="paragraph" w:customStyle="1" w:styleId="520">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line="240" w:lineRule="exact"/>
      <w:jc w:val="left"/>
    </w:pPr>
    <w:rPr>
      <w:rFonts w:ascii="Arial" w:hAnsi="Arial" w:eastAsia="Times New Roman" w:cs="Verdana"/>
      <w:b/>
      <w:kern w:val="0"/>
      <w:sz w:val="24"/>
      <w:szCs w:val="20"/>
      <w:lang w:eastAsia="en-US"/>
    </w:rPr>
  </w:style>
  <w:style w:type="paragraph" w:customStyle="1" w:styleId="524">
    <w:name w:val="_Style 3"/>
    <w:basedOn w:val="1"/>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spacing w:line="300" w:lineRule="auto"/>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qFormat/>
    <w:uiPriority w:val="0"/>
    <w:pPr>
      <w:widowControl w:val="0"/>
      <w:tabs>
        <w:tab w:val="left" w:pos="840"/>
      </w:tabs>
      <w:spacing w:after="160"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5"/>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rFonts w:ascii="Calibri" w:hAnsi="Calibri"/>
      <w:szCs w:val="22"/>
    </w:rPr>
  </w:style>
  <w:style w:type="paragraph" w:customStyle="1" w:styleId="539">
    <w:name w:val="加粗正文"/>
    <w:basedOn w:val="1"/>
    <w:qFormat/>
    <w:uiPriority w:val="0"/>
    <w:pPr>
      <w:adjustRightInd/>
      <w:spacing w:beforeLines="50"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82"/>
    <w:next w:val="82"/>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qFormat/>
    <w:uiPriority w:val="0"/>
    <w:pPr>
      <w:widowControl w:val="0"/>
      <w:spacing w:after="160" w:line="278" w:lineRule="auto"/>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82"/>
    <w:next w:val="82"/>
    <w:qFormat/>
    <w:uiPriority w:val="0"/>
    <w:rPr>
      <w:rFonts w:ascii="宋体" w:eastAsia="宋体" w:cs="Times New Roman"/>
      <w:color w:val="auto"/>
    </w:rPr>
  </w:style>
  <w:style w:type="paragraph" w:customStyle="1" w:styleId="553">
    <w:name w:val="正文首行缩进两字"/>
    <w:qFormat/>
    <w:uiPriority w:val="0"/>
    <w:pPr>
      <w:spacing w:after="160"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Wonder Arial" w:hAnsi="Wonder Arial"/>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after="160"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line="278" w:lineRule="auto"/>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after="160"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line="278" w:lineRule="auto"/>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5"/>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9">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after="160"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2"/>
    <w:qFormat/>
    <w:uiPriority w:val="0"/>
    <w:pPr>
      <w:tabs>
        <w:tab w:val="left" w:pos="840"/>
      </w:tabs>
      <w:adjustRightInd/>
      <w:ind w:left="840" w:hanging="420"/>
    </w:pPr>
  </w:style>
  <w:style w:type="paragraph" w:customStyle="1" w:styleId="62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160" w:afterLines="100" w:line="278" w:lineRule="auto"/>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spacing w:after="160" w:line="278" w:lineRule="auto"/>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line="278" w:lineRule="auto"/>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ind w:left="1680"/>
      <w:outlineLvl w:val="2"/>
    </w:pPr>
  </w:style>
  <w:style w:type="paragraph" w:customStyle="1" w:styleId="661">
    <w:name w:val="章标题"/>
    <w:next w:val="643"/>
    <w:qFormat/>
    <w:uiPriority w:val="0"/>
    <w:pPr>
      <w:tabs>
        <w:tab w:val="left" w:pos="1260"/>
      </w:tabs>
      <w:spacing w:beforeLines="50" w:after="160" w:afterLines="50" w:line="278" w:lineRule="auto"/>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spacing w:after="160" w:line="278" w:lineRule="auto"/>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spacing w:after="160" w:line="278" w:lineRule="auto"/>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5"/>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Lines="50" w:afterLines="50"/>
      <w:ind w:left="432" w:hanging="432" w:firstLineChars="200"/>
    </w:pPr>
    <w:rPr>
      <w:sz w:val="24"/>
    </w:rPr>
  </w:style>
  <w:style w:type="paragraph" w:customStyle="1" w:styleId="691">
    <w:name w:val="gjt_正文"/>
    <w:qFormat/>
    <w:uiPriority w:val="0"/>
    <w:pPr>
      <w:widowControl w:val="0"/>
      <w:spacing w:after="160"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after="160"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line="278" w:lineRule="auto"/>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pPr>
      <w:spacing w:after="160" w:line="278" w:lineRule="auto"/>
    </w:pPr>
    <w:rPr>
      <w:rFonts w:ascii="Times New Roman" w:hAnsi="Times New Roman" w:eastAsia="宋体" w:cs="Times New Roman"/>
      <w:lang w:val="en-US" w:eastAsia="en-US" w:bidi="ar-SA"/>
    </w:rPr>
  </w:style>
  <w:style w:type="paragraph" w:customStyle="1" w:styleId="712">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after="160"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6"/>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4"/>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after="160"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771">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77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3">
    <w:name w:val="无间隔2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775">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line="278" w:lineRule="auto"/>
      <w:jc w:val="right"/>
    </w:pPr>
    <w:rPr>
      <w:rFonts w:ascii="Times New Roman" w:hAnsi="Times New Roman" w:eastAsia="宋体" w:cs="Times New Roman"/>
      <w:sz w:val="21"/>
      <w:lang w:val="en-US" w:eastAsia="zh-CN" w:bidi="ar-SA"/>
    </w:rPr>
  </w:style>
  <w:style w:type="paragraph" w:customStyle="1" w:styleId="784">
    <w:name w:val="正文－恩普"/>
    <w:basedOn w:val="1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3"/>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qFormat/>
    <w:uiPriority w:val="0"/>
    <w:pPr>
      <w:tabs>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7"/>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6">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spacing w:after="160" w:line="278" w:lineRule="auto"/>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line="240" w:lineRule="exact"/>
      <w:jc w:val="left"/>
    </w:pPr>
    <w:rPr>
      <w:rFonts w:ascii="Arial" w:hAnsi="Arial" w:eastAsia="Times New Roman" w:cs="Verdana"/>
      <w:b/>
      <w:kern w:val="0"/>
      <w:sz w:val="24"/>
      <w:szCs w:val="20"/>
      <w:lang w:eastAsia="en-US"/>
    </w:rPr>
  </w:style>
  <w:style w:type="paragraph" w:customStyle="1" w:styleId="831">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line="278" w:lineRule="auto"/>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正文1"/>
    <w:basedOn w:val="31"/>
    <w:qFormat/>
    <w:uiPriority w:val="0"/>
    <w:pPr>
      <w:tabs>
        <w:tab w:val="right" w:leader="dot" w:pos="8268"/>
      </w:tabs>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after="160"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4"/>
    <w:qFormat/>
    <w:uiPriority w:val="2"/>
    <w:pPr>
      <w:tabs>
        <w:tab w:val="clear" w:pos="390"/>
        <w:tab w:val="clear" w:pos="454"/>
      </w:tabs>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18"/>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line="360" w:lineRule="auto"/>
      <w:ind w:right="-360"/>
      <w:jc w:val="left"/>
    </w:pPr>
    <w:rPr>
      <w:rFonts w:ascii="Arial" w:hAnsi="Arial"/>
      <w:kern w:val="0"/>
      <w:sz w:val="24"/>
      <w:lang w:eastAsia="en-US"/>
    </w:rPr>
  </w:style>
  <w:style w:type="paragraph" w:customStyle="1" w:styleId="879">
    <w:name w:val="_Style 94"/>
    <w:basedOn w:val="1"/>
    <w:next w:val="263"/>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spacing w:after="160" w:line="278" w:lineRule="auto"/>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1"/>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2"/>
    <w:qFormat/>
    <w:uiPriority w:val="0"/>
    <w:rPr>
      <w:b w:val="0"/>
      <w:sz w:val="20"/>
    </w:rPr>
  </w:style>
  <w:style w:type="paragraph" w:customStyle="1" w:styleId="897">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6"/>
    <w:next w:val="1"/>
    <w:qFormat/>
    <w:uiPriority w:val="0"/>
    <w:pPr>
      <w:tabs>
        <w:tab w:val="left" w:pos="1080"/>
      </w:tabs>
      <w:ind w:left="1080" w:hanging="1080"/>
    </w:pPr>
  </w:style>
  <w:style w:type="paragraph" w:customStyle="1" w:styleId="900">
    <w:name w:val="数字标题1"/>
    <w:basedOn w:val="2"/>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spacing w:after="160" w:line="278" w:lineRule="auto"/>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Wonder Arial" w:hAnsi="Wonder Arial"/>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line="240" w:lineRule="exact"/>
      <w:jc w:val="left"/>
    </w:pPr>
    <w:rPr>
      <w:rFonts w:eastAsia="仿宋_GB2312"/>
      <w:sz w:val="28"/>
    </w:rPr>
  </w:style>
  <w:style w:type="paragraph" w:customStyle="1" w:styleId="917">
    <w:name w:val="正文 图"/>
    <w:basedOn w:val="448"/>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5"/>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字符"/>
    <w:link w:val="37"/>
    <w:qFormat/>
    <w:uiPriority w:val="0"/>
    <w:rPr>
      <w:kern w:val="2"/>
      <w:sz w:val="21"/>
      <w:szCs w:val="24"/>
      <w:lang w:val="zh-CN"/>
    </w:rPr>
  </w:style>
  <w:style w:type="character" w:customStyle="1" w:styleId="936">
    <w:name w:val="无间隔 Char"/>
    <w:link w:val="487"/>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3"/>
    <w:qFormat/>
    <w:uiPriority w:val="34"/>
    <w:pPr>
      <w:adjustRightInd/>
      <w:ind w:firstLine="420" w:firstLineChars="200"/>
    </w:pPr>
  </w:style>
  <w:style w:type="paragraph" w:customStyle="1" w:styleId="953">
    <w:name w:val="正文5"/>
    <w:qFormat/>
    <w:uiPriority w:val="0"/>
    <w:pPr>
      <w:spacing w:after="160" w:line="278" w:lineRule="auto"/>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3"/>
    <w:qFormat/>
    <w:uiPriority w:val="0"/>
    <w:pPr>
      <w:tabs>
        <w:tab w:val="clear" w:pos="432"/>
      </w:tabs>
      <w:spacing w:before="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69"/>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968">
    <w:name w:val="toc 71"/>
    <w:next w:val="1"/>
    <w:qFormat/>
    <w:uiPriority w:val="0"/>
    <w:pPr>
      <w:wordWrap w:val="0"/>
      <w:spacing w:after="160" w:line="278" w:lineRule="auto"/>
      <w:ind w:left="2550"/>
      <w:jc w:val="both"/>
    </w:pPr>
    <w:rPr>
      <w:rFonts w:ascii="Times New Roman" w:hAnsi="Times New Roman" w:eastAsia="宋体" w:cs="Times New Roman"/>
      <w:sz w:val="21"/>
      <w:szCs w:val="22"/>
      <w:lang w:val="en-US" w:eastAsia="zh-CN" w:bidi="ar-SA"/>
    </w:rPr>
  </w:style>
  <w:style w:type="character" w:customStyle="1" w:styleId="969">
    <w:name w:val="font111"/>
    <w:basedOn w:val="69"/>
    <w:qFormat/>
    <w:uiPriority w:val="0"/>
    <w:rPr>
      <w:rFonts w:hint="eastAsia" w:ascii="微软雅黑" w:hAnsi="微软雅黑" w:eastAsia="微软雅黑" w:cs="微软雅黑"/>
      <w:color w:val="333333"/>
      <w:sz w:val="16"/>
      <w:szCs w:val="16"/>
      <w:u w:val="none"/>
    </w:rPr>
  </w:style>
  <w:style w:type="paragraph" w:customStyle="1" w:styleId="970">
    <w:name w:val="Proposals body"/>
    <w:basedOn w:val="1"/>
    <w:next w:val="1"/>
    <w:qFormat/>
    <w:uiPriority w:val="0"/>
    <w:pPr>
      <w:widowControl/>
      <w:snapToGrid w:val="0"/>
      <w:jc w:val="left"/>
    </w:pPr>
    <w:rPr>
      <w:rFonts w:ascii="宋体"/>
      <w:color w:val="000000"/>
      <w:kern w:val="0"/>
      <w:szCs w:val="20"/>
    </w:rPr>
  </w:style>
  <w:style w:type="character" w:customStyle="1" w:styleId="971">
    <w:name w:val="NormalCharacter"/>
    <w:qFormat/>
    <w:uiPriority w:val="0"/>
    <w:rPr>
      <w:rFonts w:ascii="Times New Roman" w:hAnsi="Times New Roman" w:eastAsia="宋体"/>
    </w:rPr>
  </w:style>
  <w:style w:type="table" w:customStyle="1" w:styleId="972">
    <w:name w:val="Table Normal"/>
    <w:qFormat/>
    <w:uiPriority w:val="2"/>
    <w:pPr>
      <w:widowControl w:val="0"/>
    </w:pPr>
    <w:rPr>
      <w:sz w:val="22"/>
      <w:lang w:eastAsia="en-US"/>
    </w:rPr>
    <w:tblPr>
      <w:tblCellMar>
        <w:top w:w="0" w:type="dxa"/>
        <w:left w:w="0" w:type="dxa"/>
        <w:bottom w:w="0" w:type="dxa"/>
        <w:right w:w="0" w:type="dxa"/>
      </w:tblCellMar>
    </w:tblPr>
  </w:style>
  <w:style w:type="paragraph" w:customStyle="1" w:styleId="973">
    <w:name w:val="[Normal]"/>
    <w:qFormat/>
    <w:uiPriority w:val="99"/>
    <w:pPr>
      <w:spacing w:after="160" w:line="278" w:lineRule="auto"/>
    </w:pPr>
    <w:rPr>
      <w:rFonts w:ascii="宋体" w:hAnsi="宋体" w:eastAsia="宋体" w:cs="宋体"/>
      <w:sz w:val="24"/>
      <w:szCs w:val="24"/>
      <w:lang w:val="zh-CN" w:eastAsia="zh-CN" w:bidi="ar-SA"/>
    </w:rPr>
  </w:style>
  <w:style w:type="paragraph" w:customStyle="1" w:styleId="974">
    <w:name w:val="列出段落6"/>
    <w:basedOn w:val="1"/>
    <w:qFormat/>
    <w:uiPriority w:val="99"/>
    <w:pPr>
      <w:ind w:firstLine="420" w:firstLineChars="200"/>
    </w:pPr>
  </w:style>
  <w:style w:type="paragraph" w:customStyle="1" w:styleId="975">
    <w:name w:val="Normal Indent_b952337a-2760-4b92-9f15-aff8d2ed04be"/>
    <w:qFormat/>
    <w:uiPriority w:val="0"/>
    <w:pPr>
      <w:spacing w:after="160" w:line="278" w:lineRule="auto"/>
      <w:ind w:firstLine="420"/>
    </w:pPr>
    <w:rPr>
      <w:rFonts w:ascii="Times New Roman" w:hAnsi="Times New Roman" w:eastAsia="仿宋_GB2312" w:cs="宋体"/>
      <w:b/>
      <w:bCs/>
      <w:color w:val="000000"/>
      <w:sz w:val="21"/>
      <w:szCs w:val="22"/>
      <w:lang w:val="en-US" w:eastAsia="zh-CN" w:bidi="ar-SA"/>
    </w:rPr>
  </w:style>
  <w:style w:type="paragraph" w:customStyle="1" w:styleId="976">
    <w:name w:val="zhang"/>
    <w:basedOn w:val="1"/>
    <w:qFormat/>
    <w:uiPriority w:val="0"/>
    <w:pPr>
      <w:widowControl/>
      <w:spacing w:before="100" w:beforeAutospacing="1" w:after="100" w:afterAutospacing="1"/>
      <w:textAlignment w:val="baseline"/>
    </w:pPr>
    <w:rPr>
      <w:b/>
      <w:bCs/>
      <w:smallCaps/>
      <w:color w:val="000000"/>
      <w:sz w:val="20"/>
      <w:szCs w:val="20"/>
    </w:rPr>
  </w:style>
  <w:style w:type="paragraph" w:customStyle="1" w:styleId="977">
    <w:name w:val="Normal Indent1"/>
    <w:qFormat/>
    <w:uiPriority w:val="0"/>
    <w:pPr>
      <w:spacing w:after="160" w:line="278" w:lineRule="auto"/>
      <w:ind w:firstLine="420"/>
    </w:pPr>
    <w:rPr>
      <w:rFonts w:ascii="Times New Roman" w:hAnsi="Times New Roman" w:eastAsia="仿宋_GB2312" w:cs="宋体"/>
      <w:b/>
      <w:bCs/>
      <w:color w:val="000000"/>
      <w:sz w:val="21"/>
      <w:szCs w:val="22"/>
      <w:lang w:val="en-US" w:eastAsia="zh-CN" w:bidi="ar-SA"/>
    </w:rPr>
  </w:style>
  <w:style w:type="paragraph" w:customStyle="1" w:styleId="978">
    <w:name w:val="Heading1"/>
    <w:basedOn w:val="1"/>
    <w:next w:val="1"/>
    <w:qFormat/>
    <w:uiPriority w:val="0"/>
    <w:pPr>
      <w:keepNext/>
      <w:keepLines/>
      <w:widowControl/>
      <w:spacing w:before="340" w:after="330" w:line="576" w:lineRule="auto"/>
      <w:textAlignment w:val="baseline"/>
    </w:pPr>
    <w:rPr>
      <w:b/>
      <w:bCs/>
      <w:kern w:val="44"/>
      <w:sz w:val="44"/>
      <w:szCs w:val="44"/>
    </w:rPr>
  </w:style>
  <w:style w:type="character" w:customStyle="1" w:styleId="979">
    <w:name w:val="fontstyle01"/>
    <w:basedOn w:val="69"/>
    <w:qFormat/>
    <w:uiPriority w:val="0"/>
    <w:rPr>
      <w:rFonts w:ascii="????" w:hAnsi="????" w:eastAsia="????" w:cs="????"/>
      <w:color w:val="000000"/>
      <w:sz w:val="20"/>
      <w:szCs w:val="20"/>
    </w:rPr>
  </w:style>
  <w:style w:type="character" w:customStyle="1" w:styleId="980">
    <w:name w:val="无"/>
    <w:qFormat/>
    <w:uiPriority w:val="0"/>
    <w:rPr>
      <w:rFonts w:ascii="Times New Roman" w:hAnsi="Times New Roman" w:eastAsia="Arial Unicode M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83</Pages>
  <Words>18063</Words>
  <Characters>19920</Characters>
  <Lines>1553</Lines>
  <Paragraphs>1386</Paragraphs>
  <TotalTime>1</TotalTime>
  <ScaleCrop>false</ScaleCrop>
  <LinksUpToDate>false</LinksUpToDate>
  <CharactersWithSpaces>20240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2026-05-08T08:08:00Z</dcterms:created>
  <dc:creator>jg</dc:creator>
  <cp:lastModifiedBy>繁华终易逝</cp:lastModifiedBy>
  <cp:lastPrinted>2021-12-27T19:06:00Z</cp:lastPrinted>
  <dcterms:modified xsi:type="dcterms:W3CDTF">2026-05-12T01:41:20Z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EB6A6D1942F54C5BA85ED8CBECFAEC6D_13</vt:lpwstr>
  </property>
  <property fmtid="{D5CDD505-2E9C-101B-9397-08002B2CF9AE}" pid="5" name="KSOTemplateDocerSaveRecord">
    <vt:lpwstr>eyJoZGlkIjoiM2FjM2Y2Yzk1Njg3ZTdjNTE3MjE2MDVlZThhZThjMGQiLCJ1c2VySWQiOiIzNTc0MjA0ODEifQ==</vt:lpwstr>
  </property>
</Properties>
</file>