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2DE38">
      <w:pPr>
        <w:spacing w:line="360" w:lineRule="auto"/>
        <w:jc w:val="center"/>
        <w:rPr>
          <w:rFonts w:hint="eastAsia" w:ascii="宋体" w:hAnsi="宋体" w:cs="宋体"/>
          <w:b/>
          <w:color w:val="auto"/>
          <w:sz w:val="24"/>
          <w:highlight w:val="none"/>
        </w:rPr>
      </w:pPr>
    </w:p>
    <w:p w14:paraId="5093FC75">
      <w:pPr>
        <w:spacing w:line="360" w:lineRule="auto"/>
        <w:jc w:val="center"/>
        <w:rPr>
          <w:rFonts w:hint="eastAsia" w:ascii="宋体" w:hAnsi="宋体" w:cs="宋体"/>
          <w:b/>
          <w:color w:val="auto"/>
          <w:sz w:val="24"/>
          <w:highlight w:val="none"/>
        </w:rPr>
      </w:pPr>
      <w:bookmarkStart w:id="1034" w:name="_GoBack"/>
      <w:bookmarkEnd w:id="1034"/>
    </w:p>
    <w:p w14:paraId="584906EB">
      <w:pPr>
        <w:adjustRightInd/>
        <w:spacing w:line="360" w:lineRule="auto"/>
        <w:jc w:val="center"/>
        <w:rPr>
          <w:rFonts w:hint="eastAsia" w:ascii="宋体" w:hAnsi="宋体" w:cs="宋体"/>
          <w:b/>
          <w:color w:val="auto"/>
          <w:sz w:val="44"/>
          <w:szCs w:val="44"/>
          <w:highlight w:val="none"/>
        </w:rPr>
      </w:pPr>
    </w:p>
    <w:p w14:paraId="049B4D3A">
      <w:pPr>
        <w:spacing w:line="360" w:lineRule="auto"/>
        <w:jc w:val="center"/>
        <w:rPr>
          <w:rFonts w:hint="eastAsia" w:ascii="宋体" w:hAnsi="宋体" w:cs="宋体"/>
          <w:b/>
          <w:color w:val="auto"/>
          <w:sz w:val="44"/>
          <w:szCs w:val="44"/>
          <w:highlight w:val="none"/>
        </w:rPr>
      </w:pPr>
    </w:p>
    <w:p w14:paraId="54EE541B">
      <w:pPr>
        <w:adjustRightInd/>
        <w:spacing w:line="360" w:lineRule="auto"/>
        <w:jc w:val="center"/>
        <w:rPr>
          <w:rFonts w:hint="eastAsia" w:ascii="宋体" w:hAnsi="宋体" w:cs="宋体"/>
          <w:b/>
          <w:color w:val="auto"/>
          <w:sz w:val="48"/>
          <w:szCs w:val="48"/>
          <w:highlight w:val="none"/>
        </w:rPr>
      </w:pPr>
    </w:p>
    <w:p w14:paraId="561D65D3">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lang w:eastAsia="zh-CN"/>
        </w:rPr>
        <w:t>学生宿舍改造二期</w:t>
      </w:r>
      <w:r>
        <w:rPr>
          <w:rFonts w:hint="eastAsia" w:ascii="宋体" w:hAnsi="宋体" w:cs="宋体"/>
          <w:color w:val="auto"/>
          <w:sz w:val="48"/>
          <w:szCs w:val="48"/>
          <w:highlight w:val="none"/>
        </w:rPr>
        <w:t xml:space="preserve"> </w:t>
      </w:r>
    </w:p>
    <w:p w14:paraId="40D83D93">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竞争性磋商文件</w:t>
      </w:r>
    </w:p>
    <w:p w14:paraId="42BEF5C9">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（电子交易）</w:t>
      </w:r>
    </w:p>
    <w:p w14:paraId="32E80181">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330100261010240000003-0603</w:t>
      </w:r>
    </w:p>
    <w:p w14:paraId="098E7168">
      <w:pPr>
        <w:adjustRightInd/>
        <w:spacing w:line="360" w:lineRule="auto"/>
        <w:rPr>
          <w:rFonts w:hint="eastAsia" w:ascii="宋体" w:hAnsi="宋体" w:cs="宋体"/>
          <w:color w:val="auto"/>
          <w:sz w:val="28"/>
          <w:szCs w:val="20"/>
          <w:highlight w:val="none"/>
        </w:rPr>
      </w:pPr>
    </w:p>
    <w:p w14:paraId="38A15775">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20A4F195">
      <w:pPr>
        <w:spacing w:line="360" w:lineRule="auto"/>
        <w:jc w:val="center"/>
        <w:rPr>
          <w:rFonts w:hint="eastAsia" w:ascii="宋体" w:hAnsi="宋体" w:cs="宋体"/>
          <w:b/>
          <w:color w:val="auto"/>
          <w:sz w:val="44"/>
          <w:szCs w:val="44"/>
          <w:highlight w:val="none"/>
        </w:rPr>
      </w:pPr>
    </w:p>
    <w:p w14:paraId="72D49EF1">
      <w:pPr>
        <w:spacing w:line="360" w:lineRule="auto"/>
        <w:jc w:val="center"/>
        <w:rPr>
          <w:rFonts w:hint="eastAsia" w:ascii="宋体" w:hAnsi="宋体" w:cs="宋体"/>
          <w:color w:val="auto"/>
          <w:sz w:val="24"/>
          <w:highlight w:val="none"/>
        </w:rPr>
      </w:pPr>
    </w:p>
    <w:p w14:paraId="61E27E22">
      <w:pPr>
        <w:spacing w:line="360" w:lineRule="auto"/>
        <w:jc w:val="center"/>
        <w:rPr>
          <w:rFonts w:hint="eastAsia" w:ascii="宋体" w:hAnsi="宋体" w:cs="宋体"/>
          <w:color w:val="auto"/>
          <w:sz w:val="24"/>
          <w:highlight w:val="none"/>
        </w:rPr>
      </w:pPr>
    </w:p>
    <w:p w14:paraId="490DBE7C">
      <w:pPr>
        <w:spacing w:line="360" w:lineRule="auto"/>
        <w:rPr>
          <w:rFonts w:hint="eastAsia" w:ascii="宋体" w:hAnsi="宋体" w:cs="宋体"/>
          <w:color w:val="auto"/>
          <w:sz w:val="32"/>
          <w:szCs w:val="32"/>
          <w:highlight w:val="none"/>
        </w:rPr>
      </w:pPr>
    </w:p>
    <w:p w14:paraId="2F51769C">
      <w:pPr>
        <w:tabs>
          <w:tab w:val="left" w:pos="3780"/>
        </w:tabs>
        <w:snapToGrid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eastAsia="zh-CN"/>
        </w:rPr>
        <w:t>浙江省杭州第十一中学</w:t>
      </w:r>
      <w:r>
        <w:rPr>
          <w:rFonts w:hint="eastAsia" w:ascii="宋体" w:hAnsi="宋体" w:cs="宋体"/>
          <w:color w:val="auto"/>
          <w:sz w:val="32"/>
          <w:szCs w:val="32"/>
          <w:highlight w:val="none"/>
        </w:rPr>
        <w:t xml:space="preserve">    </w:t>
      </w:r>
    </w:p>
    <w:p w14:paraId="63401729">
      <w:pPr>
        <w:tabs>
          <w:tab w:val="left" w:pos="3780"/>
        </w:tabs>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浙江中通通信有限公司</w:t>
      </w:r>
    </w:p>
    <w:p w14:paraId="2CC56D97">
      <w:pPr>
        <w:tabs>
          <w:tab w:val="left" w:pos="3780"/>
        </w:tabs>
        <w:snapToGrid w:val="0"/>
        <w:spacing w:line="360" w:lineRule="auto"/>
        <w:jc w:val="center"/>
        <w:rPr>
          <w:rFonts w:hint="default"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六月</w:t>
      </w:r>
    </w:p>
    <w:p w14:paraId="2D0A10B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762F6A82">
      <w:pPr>
        <w:spacing w:line="360" w:lineRule="auto"/>
        <w:jc w:val="center"/>
        <w:rPr>
          <w:rFonts w:hint="eastAsia" w:ascii="宋体" w:hAnsi="宋体" w:cs="宋体"/>
          <w:color w:val="auto"/>
          <w:sz w:val="24"/>
          <w:highlight w:val="none"/>
        </w:rPr>
      </w:pPr>
    </w:p>
    <w:p w14:paraId="1415E202">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268C260B">
      <w:pPr>
        <w:spacing w:line="360" w:lineRule="auto"/>
        <w:rPr>
          <w:rFonts w:hint="eastAsia" w:ascii="宋体" w:hAnsi="宋体" w:cs="宋体"/>
          <w:color w:val="auto"/>
          <w:sz w:val="32"/>
          <w:szCs w:val="32"/>
          <w:highlight w:val="none"/>
        </w:rPr>
      </w:pPr>
    </w:p>
    <w:p w14:paraId="699C3A20">
      <w:pPr>
        <w:spacing w:line="360" w:lineRule="auto"/>
        <w:rPr>
          <w:rFonts w:hint="eastAsia" w:ascii="宋体" w:hAnsi="宋体" w:cs="宋体"/>
          <w:color w:val="auto"/>
          <w:sz w:val="32"/>
          <w:szCs w:val="32"/>
          <w:highlight w:val="none"/>
        </w:rPr>
      </w:pPr>
    </w:p>
    <w:p w14:paraId="296EDE6E">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第一部分      竞争性磋商公告</w:t>
      </w:r>
    </w:p>
    <w:p w14:paraId="1D57DEA8">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第二部分      供应商须知</w:t>
      </w:r>
    </w:p>
    <w:p w14:paraId="4F058B74">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2C3B25D">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第四部分      评审办法</w:t>
      </w:r>
    </w:p>
    <w:p w14:paraId="489E6FBA">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01311987">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53ACF32F">
      <w:pPr>
        <w:spacing w:line="360" w:lineRule="auto"/>
        <w:ind w:firstLine="1280" w:firstLineChars="400"/>
        <w:rPr>
          <w:rFonts w:hint="eastAsia" w:ascii="宋体" w:hAnsi="宋体" w:cs="宋体"/>
          <w:color w:val="auto"/>
          <w:sz w:val="32"/>
          <w:szCs w:val="32"/>
          <w:highlight w:val="none"/>
        </w:rPr>
      </w:pPr>
    </w:p>
    <w:p w14:paraId="2CFA332F">
      <w:pPr>
        <w:spacing w:line="360" w:lineRule="auto"/>
        <w:ind w:firstLine="549" w:firstLineChars="229"/>
        <w:rPr>
          <w:rFonts w:hint="eastAsia" w:ascii="宋体" w:hAnsi="宋体" w:cs="宋体"/>
          <w:color w:val="auto"/>
          <w:sz w:val="24"/>
          <w:highlight w:val="none"/>
        </w:rPr>
      </w:pPr>
      <w:bookmarkStart w:id="1" w:name="_Hlt91233176"/>
      <w:bookmarkEnd w:id="1"/>
      <w:bookmarkStart w:id="2" w:name="_Toc91899869"/>
    </w:p>
    <w:p w14:paraId="158A609A">
      <w:pPr>
        <w:spacing w:line="360" w:lineRule="auto"/>
        <w:ind w:firstLine="549" w:firstLineChars="229"/>
        <w:rPr>
          <w:rFonts w:hint="eastAsia" w:ascii="宋体" w:hAnsi="宋体" w:cs="宋体"/>
          <w:color w:val="auto"/>
          <w:sz w:val="24"/>
          <w:highlight w:val="none"/>
        </w:rPr>
      </w:pPr>
    </w:p>
    <w:p w14:paraId="78A8B534">
      <w:pPr>
        <w:spacing w:line="360" w:lineRule="auto"/>
        <w:ind w:firstLine="549" w:firstLineChars="229"/>
        <w:rPr>
          <w:rFonts w:hint="eastAsia" w:ascii="宋体" w:hAnsi="宋体" w:cs="宋体"/>
          <w:color w:val="auto"/>
          <w:sz w:val="24"/>
          <w:highlight w:val="none"/>
        </w:rPr>
      </w:pPr>
    </w:p>
    <w:p w14:paraId="7B3C941B">
      <w:pPr>
        <w:spacing w:line="360" w:lineRule="auto"/>
        <w:ind w:firstLine="549" w:firstLineChars="229"/>
        <w:rPr>
          <w:rFonts w:hint="eastAsia" w:ascii="宋体" w:hAnsi="宋体" w:cs="宋体"/>
          <w:color w:val="auto"/>
          <w:sz w:val="24"/>
          <w:highlight w:val="none"/>
        </w:rPr>
      </w:pPr>
    </w:p>
    <w:p w14:paraId="5E0AD8B3">
      <w:pPr>
        <w:spacing w:line="360" w:lineRule="auto"/>
        <w:ind w:firstLine="549" w:firstLineChars="229"/>
        <w:rPr>
          <w:rFonts w:hint="eastAsia" w:ascii="宋体" w:hAnsi="宋体" w:cs="宋体"/>
          <w:color w:val="auto"/>
          <w:sz w:val="24"/>
          <w:highlight w:val="none"/>
        </w:rPr>
      </w:pPr>
    </w:p>
    <w:p w14:paraId="612845D5">
      <w:pPr>
        <w:spacing w:line="360" w:lineRule="auto"/>
        <w:ind w:firstLine="549" w:firstLineChars="229"/>
        <w:rPr>
          <w:rFonts w:hint="eastAsia" w:ascii="宋体" w:hAnsi="宋体" w:cs="宋体"/>
          <w:color w:val="auto"/>
          <w:sz w:val="24"/>
          <w:highlight w:val="none"/>
        </w:rPr>
      </w:pPr>
    </w:p>
    <w:p w14:paraId="610BF16A">
      <w:pPr>
        <w:spacing w:line="360" w:lineRule="auto"/>
        <w:ind w:firstLine="549" w:firstLineChars="229"/>
        <w:rPr>
          <w:rFonts w:hint="eastAsia" w:ascii="宋体" w:hAnsi="宋体" w:cs="宋体"/>
          <w:color w:val="auto"/>
          <w:sz w:val="24"/>
          <w:highlight w:val="none"/>
        </w:rPr>
      </w:pPr>
    </w:p>
    <w:p w14:paraId="22396513">
      <w:pPr>
        <w:spacing w:line="360" w:lineRule="auto"/>
        <w:ind w:firstLine="549" w:firstLineChars="229"/>
        <w:rPr>
          <w:rFonts w:hint="eastAsia" w:ascii="宋体" w:hAnsi="宋体" w:cs="宋体"/>
          <w:color w:val="auto"/>
          <w:sz w:val="24"/>
          <w:highlight w:val="none"/>
        </w:rPr>
      </w:pPr>
    </w:p>
    <w:p w14:paraId="0EE73D28">
      <w:pPr>
        <w:spacing w:line="360" w:lineRule="auto"/>
        <w:ind w:firstLine="549" w:firstLineChars="229"/>
        <w:rPr>
          <w:rFonts w:hint="eastAsia" w:ascii="宋体" w:hAnsi="宋体" w:cs="宋体"/>
          <w:color w:val="auto"/>
          <w:sz w:val="24"/>
          <w:highlight w:val="none"/>
        </w:rPr>
      </w:pPr>
    </w:p>
    <w:p w14:paraId="5821E44C">
      <w:pPr>
        <w:spacing w:line="360" w:lineRule="auto"/>
        <w:ind w:firstLine="549" w:firstLineChars="229"/>
        <w:rPr>
          <w:rFonts w:hint="eastAsia" w:ascii="宋体" w:hAnsi="宋体" w:cs="宋体"/>
          <w:color w:val="auto"/>
          <w:sz w:val="24"/>
          <w:highlight w:val="none"/>
        </w:rPr>
      </w:pPr>
    </w:p>
    <w:p w14:paraId="27401D5D">
      <w:pPr>
        <w:spacing w:line="360" w:lineRule="auto"/>
        <w:ind w:firstLine="549" w:firstLineChars="229"/>
        <w:rPr>
          <w:rFonts w:hint="eastAsia" w:ascii="宋体" w:hAnsi="宋体" w:cs="宋体"/>
          <w:color w:val="auto"/>
          <w:sz w:val="24"/>
          <w:highlight w:val="none"/>
        </w:rPr>
      </w:pPr>
    </w:p>
    <w:p w14:paraId="61B345E2">
      <w:pPr>
        <w:spacing w:line="360" w:lineRule="auto"/>
        <w:ind w:firstLine="549" w:firstLineChars="229"/>
        <w:rPr>
          <w:rFonts w:hint="eastAsia" w:ascii="宋体" w:hAnsi="宋体" w:cs="宋体"/>
          <w:color w:val="auto"/>
          <w:sz w:val="24"/>
          <w:highlight w:val="none"/>
        </w:rPr>
      </w:pPr>
    </w:p>
    <w:p w14:paraId="358CEBC8">
      <w:pPr>
        <w:spacing w:line="360" w:lineRule="auto"/>
        <w:ind w:firstLine="549" w:firstLineChars="229"/>
        <w:rPr>
          <w:rFonts w:hint="eastAsia" w:ascii="宋体" w:hAnsi="宋体" w:cs="宋体"/>
          <w:color w:val="auto"/>
          <w:sz w:val="24"/>
          <w:highlight w:val="none"/>
        </w:rPr>
      </w:pPr>
    </w:p>
    <w:p w14:paraId="7A3E3B15">
      <w:pPr>
        <w:spacing w:line="360" w:lineRule="auto"/>
        <w:rPr>
          <w:rFonts w:hint="eastAsia" w:ascii="宋体" w:hAnsi="宋体" w:cs="宋体"/>
          <w:color w:val="auto"/>
          <w:sz w:val="24"/>
          <w:highlight w:val="none"/>
        </w:rPr>
      </w:pPr>
    </w:p>
    <w:p w14:paraId="406D9641">
      <w:pPr>
        <w:adjustRightInd/>
        <w:spacing w:line="360" w:lineRule="auto"/>
        <w:jc w:val="center"/>
        <w:outlineLvl w:val="0"/>
        <w:rPr>
          <w:rFonts w:hint="eastAsia"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竞争性磋商公告</w:t>
      </w:r>
    </w:p>
    <w:p w14:paraId="472A1EB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35EA44C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学生宿舍改造二期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采购项目的潜在供应商应在政采云平台（</w:t>
      </w:r>
      <w:r>
        <w:rPr>
          <w:rFonts w:hint="eastAsia"/>
          <w:color w:val="auto"/>
          <w:highlight w:val="none"/>
        </w:rPr>
        <w:fldChar w:fldCharType="begin"/>
      </w:r>
      <w:r>
        <w:rPr>
          <w:color w:val="auto"/>
          <w:highlight w:val="none"/>
        </w:rPr>
        <w:instrText xml:space="preserve"> HYPERLINK "https://www.zcygov.cn/）获取（下载）招标文件，并于2021年" </w:instrText>
      </w:r>
      <w:r>
        <w:rPr>
          <w:rFonts w:hint="eastAsia"/>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https://www.zcygov.cn/）获取（下载）采购文件，并于</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lang w:eastAsia="zh-CN"/>
        </w:rPr>
        <w:t>点</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lang w:eastAsia="zh-CN"/>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u w:val="singl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提交（上传）响应文件。</w:t>
      </w:r>
    </w:p>
    <w:p w14:paraId="775D536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2552002">
      <w:pPr>
        <w:snapToGrid w:val="0"/>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330100261010240000003-0603</w:t>
      </w:r>
    </w:p>
    <w:p w14:paraId="26B9D029">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lang w:eastAsia="zh-CN"/>
        </w:rPr>
        <w:t>学生宿舍改造二期</w:t>
      </w:r>
      <w:r>
        <w:rPr>
          <w:rFonts w:hint="eastAsia" w:ascii="宋体" w:hAnsi="宋体" w:cs="宋体"/>
          <w:color w:val="auto"/>
          <w:sz w:val="24"/>
          <w:highlight w:val="none"/>
        </w:rPr>
        <w:t xml:space="preserve"> </w:t>
      </w:r>
    </w:p>
    <w:p w14:paraId="417369CB">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预算金额（元）：</w:t>
      </w:r>
      <w:r>
        <w:rPr>
          <w:rFonts w:hint="eastAsia" w:ascii="宋体" w:hAnsi="宋体" w:cs="宋体"/>
          <w:b/>
          <w:color w:val="auto"/>
          <w:sz w:val="24"/>
          <w:highlight w:val="none"/>
          <w:lang w:eastAsia="zh-CN"/>
        </w:rPr>
        <w:t>1190000</w:t>
      </w:r>
      <w:r>
        <w:rPr>
          <w:rFonts w:hint="eastAsia" w:ascii="宋体" w:hAnsi="宋体" w:cs="宋体"/>
          <w:color w:val="auto"/>
          <w:sz w:val="24"/>
          <w:highlight w:val="none"/>
        </w:rPr>
        <w:t xml:space="preserve"> </w:t>
      </w:r>
    </w:p>
    <w:p w14:paraId="03AE73BB">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eastAsia="zh-CN"/>
        </w:rPr>
        <w:t>1189907</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569A7E63">
      <w:pPr>
        <w:pStyle w:val="5"/>
        <w:spacing w:line="360" w:lineRule="auto"/>
        <w:ind w:firstLine="482" w:firstLineChars="200"/>
        <w:rPr>
          <w:rFonts w:hint="eastAsia"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学生宿舍改造二期</w:t>
      </w:r>
      <w:r>
        <w:rPr>
          <w:rFonts w:hint="eastAsia" w:hAnsi="宋体" w:cs="宋体"/>
          <w:bCs/>
          <w:snapToGrid/>
          <w:color w:val="auto"/>
          <w:kern w:val="2"/>
          <w:sz w:val="24"/>
          <w:szCs w:val="24"/>
          <w:highlight w:val="none"/>
        </w:rPr>
        <w:t>，主要内容：原部分墙体拆除、门拆除、原门洞封堵等</w:t>
      </w:r>
      <w:r>
        <w:rPr>
          <w:rFonts w:hint="eastAsia" w:hAnsi="宋体" w:cs="宋体"/>
          <w:bCs/>
          <w:snapToGrid/>
          <w:color w:val="auto"/>
          <w:kern w:val="2"/>
          <w:sz w:val="24"/>
          <w:szCs w:val="24"/>
          <w:highlight w:val="none"/>
          <w:lang w:eastAsia="zh-CN"/>
        </w:rPr>
        <w:t>，</w:t>
      </w:r>
      <w:r>
        <w:rPr>
          <w:rFonts w:hint="eastAsia" w:hAnsi="宋体" w:cs="宋体"/>
          <w:bCs/>
          <w:snapToGrid/>
          <w:color w:val="auto"/>
          <w:kern w:val="2"/>
          <w:sz w:val="24"/>
          <w:szCs w:val="24"/>
          <w:highlight w:val="none"/>
        </w:rPr>
        <w:t>新增墙体、门窗</w:t>
      </w:r>
      <w:r>
        <w:rPr>
          <w:rFonts w:hint="eastAsia" w:hAnsi="宋体" w:cs="宋体"/>
          <w:bCs/>
          <w:snapToGrid/>
          <w:color w:val="auto"/>
          <w:kern w:val="2"/>
          <w:sz w:val="24"/>
          <w:szCs w:val="24"/>
          <w:highlight w:val="none"/>
          <w:lang w:eastAsia="zh-CN"/>
        </w:rPr>
        <w:t>，</w:t>
      </w:r>
      <w:r>
        <w:rPr>
          <w:rFonts w:hint="eastAsia" w:hAnsi="宋体" w:cs="宋体"/>
          <w:bCs/>
          <w:snapToGrid/>
          <w:color w:val="auto"/>
          <w:kern w:val="2"/>
          <w:sz w:val="24"/>
          <w:szCs w:val="24"/>
          <w:highlight w:val="none"/>
        </w:rPr>
        <w:t>房间装饰装修及其他改造</w:t>
      </w:r>
      <w:r>
        <w:rPr>
          <w:rFonts w:hint="eastAsia" w:hAnsi="宋体" w:cs="宋体"/>
          <w:bCs/>
          <w:snapToGrid/>
          <w:color w:val="auto"/>
          <w:kern w:val="2"/>
          <w:sz w:val="24"/>
          <w:szCs w:val="24"/>
          <w:highlight w:val="none"/>
          <w:lang w:eastAsia="zh-CN"/>
        </w:rPr>
        <w:t>，</w:t>
      </w:r>
      <w:r>
        <w:rPr>
          <w:rFonts w:hint="eastAsia" w:hAnsi="宋体" w:cs="宋体"/>
          <w:bCs/>
          <w:snapToGrid/>
          <w:color w:val="auto"/>
          <w:kern w:val="2"/>
          <w:sz w:val="24"/>
          <w:szCs w:val="24"/>
          <w:highlight w:val="none"/>
        </w:rPr>
        <w:t>配套给排水、电气改造等；详见采购文件第三部分采购需求。</w:t>
      </w:r>
    </w:p>
    <w:p w14:paraId="7FEF714E">
      <w:pPr>
        <w:pStyle w:val="132"/>
        <w:snapToGrid w:val="0"/>
        <w:spacing w:before="0"/>
        <w:ind w:firstLine="482"/>
        <w:outlineLvl w:val="2"/>
        <w:rPr>
          <w:rFonts w:hint="eastAsia" w:ascii="宋体" w:hAnsi="宋体" w:cs="宋体"/>
          <w:color w:val="auto"/>
          <w:highlight w:val="none"/>
        </w:rPr>
      </w:pPr>
      <w:r>
        <w:rPr>
          <w:rFonts w:hint="eastAsia" w:ascii="宋体" w:hAnsi="宋体" w:cs="宋体"/>
          <w:b/>
          <w:color w:val="auto"/>
          <w:highlight w:val="none"/>
        </w:rPr>
        <w:t>合同履约期限：工期：</w:t>
      </w:r>
      <w:r>
        <w:rPr>
          <w:rFonts w:hint="eastAsia" w:ascii="宋体" w:hAnsi="宋体" w:cs="宋体"/>
          <w:b/>
          <w:color w:val="auto"/>
          <w:highlight w:val="none"/>
          <w:lang w:val="en-US" w:eastAsia="zh-CN"/>
        </w:rPr>
        <w:t>35</w:t>
      </w:r>
      <w:r>
        <w:rPr>
          <w:rFonts w:hint="eastAsia" w:ascii="宋体" w:hAnsi="宋体" w:cs="宋体"/>
          <w:b/>
          <w:color w:val="auto"/>
          <w:highlight w:val="none"/>
          <w:lang w:eastAsia="zh-CN"/>
        </w:rPr>
        <w:t>日历天</w:t>
      </w:r>
      <w:r>
        <w:rPr>
          <w:rFonts w:hint="eastAsia" w:ascii="宋体" w:hAnsi="宋体" w:cs="宋体"/>
          <w:b/>
          <w:color w:val="auto"/>
          <w:highlight w:val="none"/>
        </w:rPr>
        <w:t>。</w:t>
      </w:r>
    </w:p>
    <w:p w14:paraId="1FDAB945">
      <w:pPr>
        <w:pStyle w:val="5"/>
        <w:spacing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本项目接受联合体：</w:t>
      </w:r>
    </w:p>
    <w:p w14:paraId="25025054">
      <w:pPr>
        <w:pStyle w:val="5"/>
        <w:spacing w:line="360" w:lineRule="auto"/>
        <w:ind w:firstLine="480" w:firstLineChars="200"/>
        <w:rPr>
          <w:rFonts w:hint="eastAsia" w:hAnsi="宋体" w:cs="宋体"/>
          <w:color w:val="auto"/>
          <w:sz w:val="24"/>
          <w:highlight w:val="none"/>
        </w:rPr>
      </w:pP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color w:val="auto"/>
          <w:sz w:val="24"/>
          <w:highlight w:val="none"/>
        </w:rPr>
        <w:t>是；</w:t>
      </w:r>
    </w:p>
    <w:p w14:paraId="64D06C32">
      <w:pPr>
        <w:pStyle w:val="5"/>
        <w:spacing w:line="360" w:lineRule="auto"/>
        <w:ind w:firstLine="480" w:firstLineChars="200"/>
        <w:rPr>
          <w:rFonts w:hint="eastAsia" w:hAnsi="宋体" w:cs="宋体"/>
          <w:color w:val="auto"/>
          <w:kern w:val="0"/>
          <w:sz w:val="24"/>
          <w:highlight w:val="none"/>
        </w:rPr>
      </w:pPr>
      <w:sdt>
        <w:sdtPr>
          <w:rPr>
            <w:rFonts w:hint="eastAsia" w:hAnsi="宋体" w:cs="宋体"/>
            <w:color w:val="auto"/>
            <w:kern w:val="0"/>
            <w:sz w:val="24"/>
            <w:highlight w:val="none"/>
          </w:rPr>
          <w:id w:val="8716812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t>☐</w:t>
          </w:r>
        </w:sdtContent>
      </w:sdt>
      <w:r>
        <w:rPr>
          <w:rFonts w:hint="eastAsia" w:hAnsi="宋体" w:cs="宋体"/>
          <w:color w:val="auto"/>
          <w:sz w:val="24"/>
          <w:highlight w:val="none"/>
        </w:rPr>
        <w:t>否</w:t>
      </w:r>
      <w:r>
        <w:rPr>
          <w:rFonts w:hint="eastAsia" w:hAnsi="宋体" w:cs="宋体"/>
          <w:color w:val="auto"/>
          <w:kern w:val="0"/>
          <w:sz w:val="24"/>
          <w:highlight w:val="none"/>
        </w:rPr>
        <w:t>，不接受联合体理由：</w:t>
      </w:r>
      <w:r>
        <w:rPr>
          <w:rFonts w:hAnsi="宋体" w:cs="宋体"/>
          <w:color w:val="auto"/>
          <w:kern w:val="0"/>
          <w:sz w:val="24"/>
          <w:highlight w:val="none"/>
          <w:u w:val="single"/>
        </w:rPr>
        <w:t xml:space="preserve">              </w:t>
      </w:r>
      <w:r>
        <w:rPr>
          <w:rFonts w:hint="eastAsia" w:hAnsi="宋体" w:cs="宋体"/>
          <w:color w:val="auto"/>
          <w:kern w:val="0"/>
          <w:sz w:val="24"/>
          <w:highlight w:val="none"/>
        </w:rPr>
        <w:t>。</w:t>
      </w:r>
    </w:p>
    <w:p w14:paraId="2AD3B785">
      <w:pPr>
        <w:pStyle w:val="132"/>
        <w:snapToGrid w:val="0"/>
        <w:spacing w:before="0"/>
        <w:ind w:firstLine="482"/>
        <w:outlineLvl w:val="2"/>
        <w:rPr>
          <w:rFonts w:hint="eastAsia" w:ascii="宋体" w:hAnsi="宋体" w:cs="宋体"/>
          <w:b/>
          <w:color w:val="auto"/>
          <w:highlight w:val="none"/>
        </w:rPr>
      </w:pPr>
      <w:r>
        <w:rPr>
          <w:rFonts w:hint="eastAsia" w:ascii="宋体" w:hAnsi="宋体" w:cs="宋体"/>
          <w:b/>
          <w:color w:val="auto"/>
          <w:highlight w:val="none"/>
        </w:rPr>
        <w:t>注：不得限制大中型企业与小微企业组成联合体参与。</w:t>
      </w:r>
    </w:p>
    <w:p w14:paraId="17343EBD">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4A578ED5">
      <w:pPr>
        <w:spacing w:line="360" w:lineRule="auto"/>
        <w:ind w:firstLine="48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1C0F67BC">
      <w:pPr>
        <w:spacing w:line="360" w:lineRule="auto"/>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以联合体形式参与的，提供联合协议(本项目不接受联合体或者供应商不以联合体形式参与的，则不需要提供) ；</w:t>
      </w:r>
    </w:p>
    <w:p w14:paraId="160B4F6C">
      <w:pPr>
        <w:spacing w:line="360" w:lineRule="auto"/>
        <w:ind w:firstLine="480" w:firstLineChars="200"/>
        <w:rPr>
          <w:rFonts w:hint="eastAsia"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4AF29795">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无；</w:t>
      </w:r>
    </w:p>
    <w:p w14:paraId="57AE158E">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6091594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C7DCE0A">
      <w:pPr>
        <w:spacing w:line="360" w:lineRule="auto"/>
        <w:ind w:firstLine="897" w:firstLineChars="374"/>
        <w:rPr>
          <w:rFonts w:hint="eastAsia" w:ascii="宋体" w:hAnsi="宋体" w:cs="宋体"/>
          <w:color w:val="auto"/>
          <w:sz w:val="24"/>
          <w:highlight w:val="none"/>
          <w:u w:val="single"/>
        </w:rPr>
      </w:pPr>
      <w:sdt>
        <w:sdtPr>
          <w:rPr>
            <w:rFonts w:hint="eastAsia" w:ascii="宋体" w:hAnsi="宋体" w:cs="宋体"/>
            <w:color w:val="auto"/>
            <w:kern w:val="0"/>
            <w:sz w:val="24"/>
            <w:highlight w:val="none"/>
          </w:rPr>
          <w:id w:val="22816380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工程全部由符合政策要求的中小企业承建，提供中小企业声明函；</w:t>
      </w:r>
    </w:p>
    <w:p w14:paraId="11562D3A">
      <w:pPr>
        <w:spacing w:line="360" w:lineRule="auto"/>
        <w:ind w:firstLine="897" w:firstLineChars="374"/>
        <w:rPr>
          <w:rFonts w:hint="eastAsia" w:ascii="宋体" w:hAnsi="宋体" w:cs="宋体"/>
          <w:color w:val="auto"/>
          <w:sz w:val="24"/>
          <w:highlight w:val="none"/>
        </w:rPr>
      </w:pPr>
      <w:sdt>
        <w:sdtPr>
          <w:rPr>
            <w:rFonts w:hint="eastAsia" w:ascii="宋体" w:hAnsi="宋体" w:cs="宋体"/>
            <w:color w:val="auto"/>
            <w:kern w:val="0"/>
            <w:sz w:val="24"/>
            <w:highlight w:val="none"/>
          </w:rPr>
          <w:id w:val="70114385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工程全部由符合政策要求的</w:t>
      </w:r>
      <w:r>
        <w:rPr>
          <w:rFonts w:hint="eastAsia" w:ascii="宋体" w:hAnsi="宋体" w:cs="宋体"/>
          <w:color w:val="auto"/>
          <w:sz w:val="24"/>
          <w:highlight w:val="none"/>
        </w:rPr>
        <w:t>小微企业承建，提供中小企业声明函；</w:t>
      </w:r>
    </w:p>
    <w:p w14:paraId="3211CA83">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392801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6F92BF28">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如果供应商本身提供所有标的均由中小企业承建，并相应达到了前述比例要求，视同符合了资格条件，无需再向中小企业分包，无需提供分包意向协议</w:t>
      </w:r>
      <w:r>
        <w:rPr>
          <w:rFonts w:hint="eastAsia" w:ascii="宋体" w:hAnsi="宋体" w:cs="宋体"/>
          <w:color w:val="auto"/>
          <w:sz w:val="24"/>
          <w:highlight w:val="none"/>
        </w:rPr>
        <w:t>；</w:t>
      </w:r>
    </w:p>
    <w:p w14:paraId="6BBC4AE1">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5FCD3D1F">
      <w:pPr>
        <w:spacing w:line="360" w:lineRule="auto"/>
        <w:ind w:firstLine="512" w:firstLineChars="200"/>
        <w:rPr>
          <w:rFonts w:hint="eastAsia" w:ascii="宋体" w:hAnsi="宋体" w:cs="宋体"/>
          <w:color w:val="auto"/>
          <w:spacing w:val="8"/>
          <w:kern w:val="0"/>
          <w:sz w:val="24"/>
          <w:highlight w:val="none"/>
          <w:lang w:val="en-US" w:eastAsia="zh-CN"/>
        </w:rPr>
      </w:pPr>
      <w:sdt>
        <w:sdtPr>
          <w:rPr>
            <w:rFonts w:hint="eastAsia" w:ascii="宋体" w:hAnsi="宋体" w:cs="宋体"/>
            <w:color w:val="auto"/>
            <w:spacing w:val="8"/>
            <w:kern w:val="0"/>
            <w:sz w:val="24"/>
            <w:highlight w:val="none"/>
          </w:rPr>
          <w:id w:val="147453782"/>
          <w14:checkbox>
            <w14:checked w14:val="0"/>
            <w14:checkedState w14:val="00FE" w14:font="Wingdings"/>
            <w14:uncheckedState w14:val="2610" w14:font="MS Gothic"/>
          </w14:checkbox>
        </w:sdtPr>
        <w:sdtEndPr>
          <w:rPr>
            <w:rFonts w:hint="eastAsia" w:ascii="宋体" w:hAnsi="宋体" w:cs="宋体"/>
            <w:color w:val="auto"/>
            <w:spacing w:val="8"/>
            <w:kern w:val="0"/>
            <w:sz w:val="24"/>
            <w:highlight w:val="none"/>
          </w:rPr>
        </w:sdtEndPr>
        <w:sdtContent>
          <w:r>
            <w:rPr>
              <w:rFonts w:hint="eastAsia" w:ascii="宋体" w:hAnsi="宋体" w:cs="宋体"/>
              <w:color w:val="auto"/>
              <w:spacing w:val="8"/>
              <w:kern w:val="0"/>
              <w:sz w:val="24"/>
              <w:highlight w:val="none"/>
            </w:rPr>
            <w:t>☐</w:t>
          </w:r>
        </w:sdtContent>
      </w:sdt>
      <w:r>
        <w:rPr>
          <w:rFonts w:hint="eastAsia" w:ascii="宋体" w:hAnsi="宋体" w:cs="宋体"/>
          <w:color w:val="auto"/>
          <w:spacing w:val="8"/>
          <w:kern w:val="0"/>
          <w:sz w:val="24"/>
          <w:highlight w:val="none"/>
          <w:lang w:val="en-US" w:eastAsia="zh-CN"/>
        </w:rPr>
        <w:t>无。</w:t>
      </w:r>
    </w:p>
    <w:p w14:paraId="0E8FFA66">
      <w:pPr>
        <w:spacing w:line="360" w:lineRule="auto"/>
        <w:ind w:firstLine="512" w:firstLineChars="200"/>
        <w:rPr>
          <w:rFonts w:hint="eastAsia" w:ascii="宋体" w:hAnsi="宋体" w:cs="宋体"/>
          <w:color w:val="auto"/>
          <w:spacing w:val="8"/>
          <w:kern w:val="0"/>
          <w:sz w:val="24"/>
          <w:highlight w:val="none"/>
        </w:rPr>
      </w:pPr>
      <w:sdt>
        <w:sdtPr>
          <w:rPr>
            <w:rFonts w:hint="eastAsia" w:ascii="宋体" w:hAnsi="宋体" w:cs="宋体"/>
            <w:color w:val="auto"/>
            <w:spacing w:val="8"/>
            <w:kern w:val="0"/>
            <w:sz w:val="24"/>
            <w:highlight w:val="none"/>
          </w:rPr>
          <w:id w:val="147466364"/>
          <w14:checkbox>
            <w14:checked w14:val="1"/>
            <w14:checkedState w14:val="00FE" w14:font="Wingdings"/>
            <w14:uncheckedState w14:val="2610" w14:font="MS Gothic"/>
          </w14:checkbox>
        </w:sdtPr>
        <w:sdtEndPr>
          <w:rPr>
            <w:rFonts w:hint="eastAsia" w:ascii="宋体" w:hAnsi="宋体" w:cs="宋体"/>
            <w:color w:val="auto"/>
            <w:spacing w:val="8"/>
            <w:kern w:val="0"/>
            <w:sz w:val="24"/>
            <w:highlight w:val="none"/>
          </w:rPr>
        </w:sdtEndPr>
        <w:sdtContent>
          <w:r>
            <w:rPr>
              <w:rFonts w:hint="eastAsia" w:ascii="Wingdings" w:hAnsi="Wingdings" w:eastAsia="宋体" w:cs="宋体"/>
              <w:color w:val="auto"/>
              <w:spacing w:val="8"/>
              <w:kern w:val="0"/>
              <w:sz w:val="24"/>
              <w:szCs w:val="24"/>
              <w:highlight w:val="none"/>
              <w:lang w:val="en-US" w:eastAsia="zh-CN" w:bidi="ar-SA"/>
            </w:rPr>
            <w:t>þ</w:t>
          </w:r>
        </w:sdtContent>
      </w:sdt>
      <w:r>
        <w:rPr>
          <w:rFonts w:hint="eastAsia" w:ascii="宋体" w:hAnsi="宋体" w:cs="宋体"/>
          <w:color w:val="auto"/>
          <w:spacing w:val="8"/>
          <w:kern w:val="0"/>
          <w:sz w:val="24"/>
          <w:highlight w:val="none"/>
        </w:rPr>
        <w:t>有特定资格要求：</w:t>
      </w:r>
      <w:r>
        <w:rPr>
          <w:rFonts w:hint="eastAsia" w:ascii="宋体" w:hAnsi="宋体" w:cs="宋体"/>
          <w:color w:val="auto"/>
          <w:spacing w:val="8"/>
          <w:kern w:val="0"/>
          <w:sz w:val="24"/>
          <w:highlight w:val="none"/>
          <w:u w:val="single"/>
        </w:rPr>
        <w:t>（1）具有有效的专业承包企业建筑装修装饰工程二级及以上资质；（2）具有有效的建筑施工企业安全生产许可证</w:t>
      </w:r>
      <w:r>
        <w:rPr>
          <w:rFonts w:hint="eastAsia" w:ascii="宋体" w:hAnsi="宋体" w:cs="宋体"/>
          <w:color w:val="auto"/>
          <w:spacing w:val="8"/>
          <w:kern w:val="0"/>
          <w:sz w:val="24"/>
          <w:highlight w:val="none"/>
          <w:u w:val="single"/>
          <w:lang w:val="en-US" w:eastAsia="zh-CN"/>
        </w:rPr>
        <w:t xml:space="preserve"> </w:t>
      </w:r>
      <w:r>
        <w:rPr>
          <w:rFonts w:hint="eastAsia" w:ascii="宋体" w:hAnsi="宋体" w:cs="宋体"/>
          <w:color w:val="auto"/>
          <w:spacing w:val="8"/>
          <w:kern w:val="0"/>
          <w:sz w:val="24"/>
          <w:highlight w:val="none"/>
        </w:rPr>
        <w:t>，该特定条件的法律法规依据：</w:t>
      </w:r>
      <w:r>
        <w:rPr>
          <w:rFonts w:hint="eastAsia" w:ascii="宋体" w:hAnsi="宋体" w:cs="宋体"/>
          <w:color w:val="auto"/>
          <w:spacing w:val="8"/>
          <w:kern w:val="0"/>
          <w:sz w:val="24"/>
          <w:highlight w:val="none"/>
          <w:u w:val="single"/>
        </w:rPr>
        <w:t xml:space="preserve"> 《中华人民共和国建筑法》、《建设工程质量管理条例》、《建筑业企业资质管理规定》及《安全生产许可证条例》</w:t>
      </w:r>
      <w:r>
        <w:rPr>
          <w:rFonts w:hint="eastAsia" w:ascii="宋体" w:hAnsi="宋体" w:cs="宋体"/>
          <w:color w:val="auto"/>
          <w:spacing w:val="8"/>
          <w:kern w:val="0"/>
          <w:sz w:val="24"/>
          <w:highlight w:val="none"/>
        </w:rPr>
        <w:t xml:space="preserve"> 。</w:t>
      </w:r>
    </w:p>
    <w:p w14:paraId="1D6FF393">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AE00D31">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三、获取采购文件 </w:t>
      </w:r>
    </w:p>
    <w:p w14:paraId="3066F2E2">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w:t>
      </w:r>
      <w:r>
        <w:rPr>
          <w:rFonts w:hint="eastAsia" w:ascii="宋体" w:hAnsi="宋体" w:cs="宋体"/>
          <w:color w:val="auto"/>
          <w:sz w:val="24"/>
          <w:highlight w:val="none"/>
        </w:rPr>
        <w:t>，</w:t>
      </w:r>
      <w:r>
        <w:rPr>
          <w:rFonts w:hint="eastAsia" w:ascii="宋体" w:hAnsi="宋体" w:cs="宋体"/>
          <w:color w:val="auto"/>
          <w:sz w:val="24"/>
          <w:highlight w:val="none"/>
        </w:rPr>
        <w:t>每天上午00:00至12:00 ，下午12:00至23:59（北京时间，线上获取法定节假日均可，线下获取文件法定节假日除外）</w:t>
      </w:r>
    </w:p>
    <w:p w14:paraId="78809919">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787E3B7B">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DBCD100">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6FAAB57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四、响应文件提交（上传）</w:t>
      </w:r>
    </w:p>
    <w:p w14:paraId="030015C9">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lang w:eastAsia="zh-CN"/>
        </w:rPr>
        <w:t>点</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0分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35507033">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9ED2680">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五、响应文件开启 </w:t>
      </w:r>
    </w:p>
    <w:p w14:paraId="49EAE267">
      <w:pPr>
        <w:spacing w:line="360" w:lineRule="auto"/>
        <w:ind w:firstLine="482" w:firstLineChars="200"/>
        <w:rPr>
          <w:rFonts w:hint="eastAsia" w:ascii="宋体" w:hAnsi="宋体" w:cs="宋体"/>
          <w:bCs/>
          <w:color w:val="auto"/>
          <w:sz w:val="24"/>
          <w:highlight w:val="none"/>
          <w:u w:val="single"/>
        </w:rPr>
      </w:pPr>
      <w:r>
        <w:rPr>
          <w:rFonts w:hint="eastAsia" w:ascii="宋体" w:hAnsi="宋体" w:cs="宋体"/>
          <w:b/>
          <w:color w:val="auto"/>
          <w:sz w:val="24"/>
          <w:highlight w:val="none"/>
        </w:rPr>
        <w:t>开启时间：</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lang w:eastAsia="zh-CN"/>
        </w:rPr>
        <w:t>点</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0分</w:t>
      </w:r>
      <w:r>
        <w:rPr>
          <w:rFonts w:hint="eastAsia" w:ascii="宋体" w:hAnsi="宋体" w:cs="宋体"/>
          <w:bCs/>
          <w:color w:val="auto"/>
          <w:sz w:val="24"/>
          <w:highlight w:val="none"/>
          <w:u w:val="single"/>
        </w:rPr>
        <w:t xml:space="preserve"> </w:t>
      </w:r>
    </w:p>
    <w:p w14:paraId="52FC6474">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37A6AA94">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六、公告期限 </w:t>
      </w:r>
    </w:p>
    <w:p w14:paraId="0FEAD3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自本公告发布之日起3个工作日。</w:t>
      </w:r>
    </w:p>
    <w:p w14:paraId="3ED1BF2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七、其他补充事宜</w:t>
      </w:r>
    </w:p>
    <w:p w14:paraId="585AA0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w:t>
      </w:r>
      <w:r>
        <w:rPr>
          <w:rFonts w:hint="eastAsia" w:ascii="宋体" w:hAnsi="宋体" w:cs="宋体"/>
          <w:color w:val="auto"/>
          <w:sz w:val="24"/>
          <w:highlight w:val="none"/>
        </w:rPr>
        <w:t>《</w:t>
      </w:r>
      <w:r>
        <w:rPr>
          <w:rFonts w:ascii="华文中宋" w:hAnsi="华文中宋" w:eastAsia="华文中宋" w:cs="华文中宋"/>
          <w:color w:val="auto"/>
          <w:sz w:val="24"/>
          <w:highlight w:val="none"/>
          <w:shd w:val="clear" w:color="auto" w:fill="FFFFFF"/>
        </w:rPr>
        <w:t>浙江省财政厅关于进一步加大政府采购 支持中小企业力度 助力扎实稳住经济 的通知</w:t>
      </w:r>
      <w:r>
        <w:rPr>
          <w:rFonts w:hint="eastAsia" w:ascii="华文中宋" w:hAnsi="华文中宋" w:eastAsia="华文中宋" w:cs="华文中宋"/>
          <w:color w:val="auto"/>
          <w:sz w:val="24"/>
          <w:highlight w:val="none"/>
          <w:shd w:val="clear" w:color="auto" w:fill="FFFFFF"/>
        </w:rPr>
        <w:t>》（浙财采监〔2022〕8号）</w:t>
      </w:r>
      <w:r>
        <w:rPr>
          <w:rFonts w:hint="eastAsia" w:ascii="宋体" w:hAnsi="宋体" w:cs="宋体"/>
          <w:color w:val="auto"/>
          <w:sz w:val="24"/>
          <w:highlight w:val="none"/>
        </w:rPr>
        <w:t>已分别于2022年1月29日、2022年2月1日</w:t>
      </w:r>
      <w:r>
        <w:rPr>
          <w:rFonts w:hint="eastAsia" w:ascii="宋体" w:hAnsi="宋体" w:cs="宋体"/>
          <w:color w:val="auto"/>
          <w:sz w:val="24"/>
          <w:highlight w:val="none"/>
        </w:rPr>
        <w:t>和2022年7月1日</w:t>
      </w:r>
      <w:r>
        <w:rPr>
          <w:rFonts w:hint="eastAsia" w:ascii="宋体" w:hAnsi="宋体" w:cs="宋体"/>
          <w:color w:val="auto"/>
          <w:sz w:val="24"/>
          <w:highlight w:val="none"/>
        </w:rPr>
        <w:t>开始实施，此前有关规定与上述文件内容不一致的，按上述文件要求执行。</w:t>
      </w:r>
    </w:p>
    <w:p w14:paraId="552B19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F264E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38A58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14:paraId="18453DB3">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八、对本次采购提出询问、质疑、投诉，请按以下方式联系</w:t>
      </w:r>
    </w:p>
    <w:p w14:paraId="335CC39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1.采购人信息</w:t>
      </w:r>
    </w:p>
    <w:p w14:paraId="08C816E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浙江省杭州第十一中学</w:t>
      </w:r>
      <w:r>
        <w:rPr>
          <w:rFonts w:hint="eastAsia" w:ascii="宋体" w:hAnsi="宋体" w:cs="宋体"/>
          <w:color w:val="auto"/>
          <w:sz w:val="24"/>
          <w:highlight w:val="none"/>
        </w:rPr>
        <w:t xml:space="preserve"> </w:t>
      </w:r>
    </w:p>
    <w:p w14:paraId="7F2270D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Theme="majorEastAsia" w:hAnsiTheme="majorEastAsia" w:eastAsiaTheme="majorEastAsia"/>
          <w:color w:val="auto"/>
          <w:sz w:val="24"/>
          <w:highlight w:val="none"/>
          <w:lang w:eastAsia="zh-CN"/>
        </w:rPr>
        <w:t>杭州市拱墅区八丈井东路150号</w:t>
      </w:r>
      <w:r>
        <w:rPr>
          <w:rFonts w:hint="eastAsia" w:ascii="宋体" w:hAnsi="宋体" w:cs="宋体"/>
          <w:color w:val="auto"/>
          <w:sz w:val="24"/>
          <w:highlight w:val="none"/>
        </w:rPr>
        <w:t xml:space="preserve">       </w:t>
      </w:r>
    </w:p>
    <w:p w14:paraId="6750677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    真： /</w:t>
      </w:r>
    </w:p>
    <w:p w14:paraId="129DF4E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项目联系人（询问）： </w:t>
      </w:r>
      <w:r>
        <w:rPr>
          <w:rFonts w:hint="eastAsia" w:asciiTheme="majorEastAsia" w:hAnsiTheme="majorEastAsia" w:eastAsiaTheme="majorEastAsia"/>
          <w:color w:val="auto"/>
          <w:sz w:val="24"/>
          <w:highlight w:val="none"/>
          <w:lang w:eastAsia="zh-CN"/>
        </w:rPr>
        <w:t>翁老师</w:t>
      </w:r>
      <w:r>
        <w:rPr>
          <w:rFonts w:hint="eastAsia" w:ascii="宋体" w:hAnsi="宋体" w:cs="宋体"/>
          <w:color w:val="auto"/>
          <w:sz w:val="24"/>
          <w:highlight w:val="none"/>
        </w:rPr>
        <w:t xml:space="preserve"> </w:t>
      </w:r>
    </w:p>
    <w:p w14:paraId="50C9365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0571-88038395</w:t>
      </w:r>
      <w:r>
        <w:rPr>
          <w:rFonts w:hint="eastAsia" w:ascii="宋体" w:hAnsi="宋体" w:cs="宋体"/>
          <w:color w:val="auto"/>
          <w:sz w:val="24"/>
          <w:highlight w:val="none"/>
        </w:rPr>
        <w:t xml:space="preserve"> </w:t>
      </w:r>
    </w:p>
    <w:p w14:paraId="5237253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w:t>
      </w:r>
      <w:r>
        <w:rPr>
          <w:rFonts w:hint="eastAsia" w:asciiTheme="majorEastAsia" w:hAnsiTheme="majorEastAsia" w:eastAsiaTheme="majorEastAsia"/>
          <w:color w:val="auto"/>
          <w:sz w:val="24"/>
          <w:highlight w:val="none"/>
        </w:rPr>
        <w:t>李老师</w:t>
      </w:r>
      <w:r>
        <w:rPr>
          <w:rFonts w:hint="eastAsia" w:ascii="宋体" w:hAnsi="宋体" w:cs="宋体"/>
          <w:color w:val="auto"/>
          <w:sz w:val="24"/>
          <w:highlight w:val="none"/>
        </w:rPr>
        <w:t xml:space="preserve"> </w:t>
      </w:r>
    </w:p>
    <w:p w14:paraId="289C696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质疑联系方式： </w:t>
      </w:r>
      <w:r>
        <w:rPr>
          <w:rFonts w:hint="eastAsia" w:asciiTheme="majorEastAsia" w:hAnsiTheme="majorEastAsia" w:eastAsiaTheme="majorEastAsia"/>
          <w:color w:val="auto"/>
          <w:sz w:val="24"/>
          <w:highlight w:val="none"/>
          <w:lang w:eastAsia="zh-CN"/>
        </w:rPr>
        <w:t>0571-87881268</w:t>
      </w:r>
      <w:r>
        <w:rPr>
          <w:rFonts w:hint="eastAsia" w:ascii="宋体" w:hAnsi="宋体" w:cs="宋体"/>
          <w:color w:val="auto"/>
          <w:sz w:val="24"/>
          <w:highlight w:val="none"/>
        </w:rPr>
        <w:t xml:space="preserve"> </w:t>
      </w:r>
    </w:p>
    <w:p w14:paraId="13838E6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            </w:t>
      </w:r>
    </w:p>
    <w:p w14:paraId="38F9AE1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称：浙江中通通信有限公司</w:t>
      </w:r>
    </w:p>
    <w:p w14:paraId="5D97E76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址：杭州市拱墅区河东路215号</w:t>
      </w:r>
    </w:p>
    <w:p w14:paraId="2794D50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13BD1E0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蒋亦文</w:t>
      </w:r>
      <w:r>
        <w:rPr>
          <w:rFonts w:hint="eastAsia" w:ascii="宋体" w:hAnsi="宋体" w:cs="宋体"/>
          <w:color w:val="auto"/>
          <w:sz w:val="24"/>
          <w:highlight w:val="none"/>
        </w:rPr>
        <w:t xml:space="preserve">          </w:t>
      </w:r>
    </w:p>
    <w:p w14:paraId="593593A9">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19157898865</w:t>
      </w:r>
    </w:p>
    <w:p w14:paraId="776E9F2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严老师</w:t>
      </w:r>
      <w:r>
        <w:rPr>
          <w:rFonts w:hint="eastAsia" w:ascii="宋体" w:hAnsi="宋体" w:cs="宋体"/>
          <w:color w:val="auto"/>
          <w:sz w:val="24"/>
          <w:highlight w:val="none"/>
        </w:rPr>
        <w:t xml:space="preserve">             </w:t>
      </w:r>
    </w:p>
    <w:p w14:paraId="69DD4096">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13967186642</w:t>
      </w:r>
    </w:p>
    <w:p w14:paraId="6803A00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6E1EBE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称：杭州市财政局政府采购监管处 /浙江省政府采购行政裁决服务中心（杭州）</w:t>
      </w:r>
    </w:p>
    <w:p w14:paraId="2C7A4B8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 </w:t>
      </w:r>
    </w:p>
    <w:p w14:paraId="6AB168F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3314B88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3CF7E2F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监督投诉电话：0571-87227671,0571-87800218     </w:t>
      </w:r>
    </w:p>
    <w:p w14:paraId="0CCBFCD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color w:val="auto"/>
          <w:sz w:val="24"/>
          <w:highlight w:val="none"/>
        </w:rPr>
        <w:t>95763</w:t>
      </w:r>
      <w:r>
        <w:rPr>
          <w:rFonts w:hint="eastAsia" w:ascii="宋体" w:hAnsi="宋体" w:cs="宋体"/>
          <w:color w:val="auto"/>
          <w:sz w:val="24"/>
          <w:highlight w:val="none"/>
        </w:rPr>
        <w:t>获取热线服务帮助。</w:t>
      </w:r>
    </w:p>
    <w:p w14:paraId="08AFCAC1">
      <w:pPr>
        <w:snapToGrid w:val="0"/>
        <w:spacing w:line="360" w:lineRule="auto"/>
        <w:ind w:firstLine="480" w:firstLineChars="200"/>
        <w:rPr>
          <w:rFonts w:hint="eastAsia" w:ascii="宋体" w:hAnsi="宋体" w:cs="宋体"/>
          <w:color w:val="auto"/>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color w:val="auto"/>
          <w:sz w:val="24"/>
          <w:highlight w:val="none"/>
        </w:rPr>
        <w:t>CA问题联系电话（人工）：汇信CA 400-888-4636；天谷CA 400-087-8198。</w:t>
      </w:r>
    </w:p>
    <w:p w14:paraId="5B02113F">
      <w:pPr>
        <w:pStyle w:val="33"/>
        <w:spacing w:line="360" w:lineRule="auto"/>
        <w:jc w:val="center"/>
        <w:outlineLvl w:val="0"/>
        <w:rPr>
          <w:rFonts w:hint="eastAsia" w:hAnsi="宋体" w:cs="宋体"/>
          <w:b/>
          <w:snapToGrid/>
          <w:color w:val="auto"/>
          <w:sz w:val="36"/>
          <w:szCs w:val="20"/>
          <w:highlight w:val="none"/>
        </w:rPr>
      </w:pPr>
      <w:r>
        <w:rPr>
          <w:rFonts w:hint="eastAsia" w:hAnsi="宋体" w:cs="宋体"/>
          <w:b/>
          <w:snapToGrid/>
          <w:color w:val="auto"/>
          <w:sz w:val="36"/>
          <w:szCs w:val="20"/>
          <w:highlight w:val="none"/>
        </w:rPr>
        <w:t>第二部分</w:t>
      </w:r>
      <w:bookmarkEnd w:id="8"/>
      <w:r>
        <w:rPr>
          <w:rFonts w:hint="eastAsia" w:hAnsi="宋体" w:cs="宋体"/>
          <w:b/>
          <w:snapToGrid/>
          <w:color w:val="auto"/>
          <w:sz w:val="36"/>
          <w:szCs w:val="20"/>
          <w:highlight w:val="none"/>
        </w:rPr>
        <w:t xml:space="preserve"> 供应商须知</w:t>
      </w:r>
      <w:bookmarkEnd w:id="9"/>
    </w:p>
    <w:p w14:paraId="795C947F">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14:paraId="7B10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6FB9BA94">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093" w:type="dxa"/>
            <w:vAlign w:val="center"/>
          </w:tcPr>
          <w:p w14:paraId="4337B614">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事项</w:t>
            </w:r>
          </w:p>
        </w:tc>
        <w:tc>
          <w:tcPr>
            <w:tcW w:w="6927" w:type="dxa"/>
            <w:vAlign w:val="center"/>
          </w:tcPr>
          <w:p w14:paraId="4B50EFE9">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本项目的特别规定</w:t>
            </w:r>
          </w:p>
        </w:tc>
      </w:tr>
      <w:tr w14:paraId="240F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4892CA9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093" w:type="dxa"/>
            <w:vAlign w:val="center"/>
          </w:tcPr>
          <w:p w14:paraId="427213BD">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项目属性</w:t>
            </w:r>
          </w:p>
        </w:tc>
        <w:tc>
          <w:tcPr>
            <w:tcW w:w="6927" w:type="dxa"/>
            <w:vAlign w:val="center"/>
          </w:tcPr>
          <w:p w14:paraId="2D6C0530">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工程</w:t>
            </w:r>
            <w:r>
              <w:rPr>
                <w:rFonts w:hint="eastAsia" w:ascii="宋体" w:hAnsi="宋体" w:cs="宋体"/>
                <w:color w:val="auto"/>
                <w:sz w:val="24"/>
                <w:highlight w:val="none"/>
              </w:rPr>
              <w:t>类</w:t>
            </w:r>
          </w:p>
        </w:tc>
      </w:tr>
      <w:tr w14:paraId="383D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00C5B4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093" w:type="dxa"/>
            <w:vAlign w:val="center"/>
          </w:tcPr>
          <w:p w14:paraId="4515C65F">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927" w:type="dxa"/>
            <w:vAlign w:val="center"/>
          </w:tcPr>
          <w:p w14:paraId="6F680AB8">
            <w:pPr>
              <w:pStyle w:val="3"/>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学生宿舍改造二期</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建筑业 </w:t>
            </w:r>
            <w:r>
              <w:rPr>
                <w:rFonts w:hint="eastAsia" w:ascii="宋体" w:hAnsi="宋体" w:cs="宋体"/>
                <w:color w:val="auto"/>
                <w:kern w:val="0"/>
                <w:sz w:val="24"/>
                <w:highlight w:val="none"/>
              </w:rPr>
              <w:t>行业；</w:t>
            </w:r>
          </w:p>
          <w:p w14:paraId="05701761">
            <w:pPr>
              <w:pStyle w:val="3"/>
              <w:ind w:left="0" w:firstLine="0"/>
              <w:rPr>
                <w:rFonts w:hint="eastAsia"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626A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D23227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093" w:type="dxa"/>
            <w:vAlign w:val="center"/>
          </w:tcPr>
          <w:p w14:paraId="37EDFE6E">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927" w:type="dxa"/>
            <w:vAlign w:val="center"/>
          </w:tcPr>
          <w:p w14:paraId="40469B93">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3934812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FCB3988">
            <w:pPr>
              <w:spacing w:line="360" w:lineRule="auto"/>
              <w:rPr>
                <w:rFonts w:hint="eastAsia" w:ascii="宋体" w:hAnsi="宋体" w:cs="宋体"/>
                <w:color w:val="auto"/>
                <w:highlight w:val="none"/>
              </w:rPr>
            </w:pPr>
            <w:sdt>
              <w:sdtPr>
                <w:rPr>
                  <w:rFonts w:hint="eastAsia" w:ascii="宋体" w:hAnsi="宋体" w:cs="宋体"/>
                  <w:color w:val="auto"/>
                  <w:kern w:val="0"/>
                  <w:sz w:val="24"/>
                  <w:highlight w:val="none"/>
                </w:rPr>
                <w:id w:val="9342490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32E2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3D587E2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093" w:type="dxa"/>
            <w:vAlign w:val="center"/>
          </w:tcPr>
          <w:p w14:paraId="06EC35B3">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分包</w:t>
            </w:r>
          </w:p>
        </w:tc>
        <w:tc>
          <w:tcPr>
            <w:tcW w:w="6927" w:type="dxa"/>
            <w:vAlign w:val="center"/>
          </w:tcPr>
          <w:p w14:paraId="2ED4C8DA">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83050787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342A2F35">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8957932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不同意分包，具体理由：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61E031">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427E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383F3AA8">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093" w:type="dxa"/>
            <w:vAlign w:val="center"/>
          </w:tcPr>
          <w:p w14:paraId="6CBA17BE">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磋商前答疑会或现场考察</w:t>
            </w:r>
          </w:p>
        </w:tc>
        <w:tc>
          <w:tcPr>
            <w:tcW w:w="6927" w:type="dxa"/>
            <w:vAlign w:val="center"/>
          </w:tcPr>
          <w:p w14:paraId="3A2DD6A0">
            <w:pPr>
              <w:pStyle w:val="82"/>
              <w:spacing w:line="360" w:lineRule="auto"/>
              <w:ind w:firstLine="0" w:firstLineChars="0"/>
              <w:rPr>
                <w:rFonts w:hint="eastAsia" w:ascii="宋体" w:hAnsi="宋体" w:cs="宋体"/>
                <w:color w:val="auto"/>
                <w:sz w:val="24"/>
                <w:highlight w:val="none"/>
              </w:rPr>
            </w:pPr>
            <w:sdt>
              <w:sdtPr>
                <w:rPr>
                  <w:rFonts w:hint="eastAsia" w:ascii="宋体" w:hAnsi="宋体" w:cs="宋体"/>
                  <w:color w:val="auto"/>
                  <w:sz w:val="24"/>
                  <w:highlight w:val="none"/>
                </w:rPr>
                <w:id w:val="688692135"/>
                <w14:checkbox>
                  <w14:checked w14:val="1"/>
                  <w14:checkedState w14:val="00FE" w14:font="Wingdings"/>
                  <w14:uncheckedState w14:val="2610" w14:font="MS Gothic"/>
                </w14:checkbox>
              </w:sdtPr>
              <w:sdtEndPr>
                <w:rPr>
                  <w:rFonts w:hint="eastAsia" w:ascii="宋体" w:hAnsi="宋体" w:cs="宋体"/>
                  <w:color w:val="auto"/>
                  <w:sz w:val="24"/>
                  <w:highlight w:val="none"/>
                </w:rPr>
              </w:sdtEndPr>
              <w:sdtContent>
                <w:r>
                  <w:rPr>
                    <w:rFonts w:hint="eastAsia" w:ascii="宋体" w:hAnsi="宋体" w:cs="宋体"/>
                    <w:color w:val="auto"/>
                    <w:sz w:val="24"/>
                    <w:highlight w:val="none"/>
                  </w:rPr>
                  <w:sym w:font="Wingdings" w:char="F0FE"/>
                </w:r>
              </w:sdtContent>
            </w:sdt>
            <w:r>
              <w:rPr>
                <w:rFonts w:hint="eastAsia" w:ascii="宋体" w:hAnsi="宋体" w:cs="宋体"/>
                <w:color w:val="auto"/>
                <w:sz w:val="24"/>
                <w:highlight w:val="none"/>
              </w:rPr>
              <w:t>A不组织。</w:t>
            </w:r>
          </w:p>
          <w:p w14:paraId="0B8F82AF">
            <w:pPr>
              <w:pStyle w:val="82"/>
              <w:spacing w:line="360" w:lineRule="auto"/>
              <w:ind w:firstLine="0" w:firstLineChars="0"/>
              <w:rPr>
                <w:rFonts w:hint="eastAsia" w:ascii="宋体" w:hAnsi="宋体" w:cs="宋体"/>
                <w:color w:val="auto"/>
                <w:sz w:val="24"/>
                <w:szCs w:val="20"/>
                <w:highlight w:val="none"/>
              </w:rPr>
            </w:pPr>
            <w:sdt>
              <w:sdtPr>
                <w:rPr>
                  <w:rFonts w:hint="eastAsia" w:ascii="宋体" w:hAnsi="宋体" w:cs="宋体"/>
                  <w:color w:val="auto"/>
                  <w:sz w:val="24"/>
                  <w:highlight w:val="none"/>
                </w:rPr>
                <w:id w:val="374731186"/>
                <w14:checkbox>
                  <w14:checked w14:val="0"/>
                  <w14:checkedState w14:val="00FE" w14:font="Wingdings"/>
                  <w14:uncheckedState w14:val="2610" w14:font="MS Gothic"/>
                </w14:checkbox>
              </w:sdtPr>
              <w:sdtEndPr>
                <w:rPr>
                  <w:rFonts w:hint="eastAsia" w:ascii="宋体" w:hAnsi="宋体" w:cs="宋体"/>
                  <w:color w:val="auto"/>
                  <w:sz w:val="24"/>
                  <w:highlight w:val="none"/>
                </w:rPr>
              </w:sdtEndPr>
              <w:sdtContent>
                <w:r>
                  <w:rPr>
                    <w:rFonts w:hint="eastAsia" w:ascii="宋体" w:hAnsi="宋体" w:cs="宋体"/>
                    <w:color w:val="auto"/>
                    <w:sz w:val="24"/>
                    <w:highlight w:val="none"/>
                  </w:rPr>
                  <w:t>☐</w:t>
                </w:r>
              </w:sdtContent>
            </w:sdt>
            <w:r>
              <w:rPr>
                <w:rFonts w:hint="eastAsia" w:ascii="宋体" w:hAnsi="宋体" w:cs="宋体"/>
                <w:color w:val="auto"/>
                <w:sz w:val="24"/>
                <w:highlight w:val="none"/>
              </w:rPr>
              <w:t>B组织，时间：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1B951CCA">
            <w:pPr>
              <w:pStyle w:val="82"/>
              <w:ind w:firstLine="0" w:firstLineChars="0"/>
              <w:rPr>
                <w:rFonts w:hint="eastAsia"/>
                <w:color w:val="auto"/>
                <w:highlight w:val="none"/>
              </w:rPr>
            </w:pPr>
            <w:r>
              <w:rPr>
                <w:rFonts w:hint="eastAsia" w:ascii="宋体" w:hAnsi="宋体" w:cs="宋体"/>
                <w:color w:val="auto"/>
                <w:sz w:val="24"/>
                <w:highlight w:val="none"/>
              </w:rPr>
              <w:t>☐C不统一组织，供应商在获取采购文件后，自行至项目现场考察。地点： ，联系人： ，联系方式： 。</w:t>
            </w:r>
          </w:p>
        </w:tc>
      </w:tr>
      <w:tr w14:paraId="6564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7BC9240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2093" w:type="dxa"/>
            <w:vAlign w:val="center"/>
          </w:tcPr>
          <w:p w14:paraId="6E793B13">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样品提供</w:t>
            </w:r>
          </w:p>
        </w:tc>
        <w:tc>
          <w:tcPr>
            <w:tcW w:w="6927" w:type="dxa"/>
            <w:vAlign w:val="center"/>
          </w:tcPr>
          <w:p w14:paraId="3BDC29D6">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58621118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083DB9CF">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B要求提供，</w:t>
            </w:r>
          </w:p>
          <w:p w14:paraId="430DDD1E">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5E8941B">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68678DF">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评审办法</w:t>
            </w:r>
            <w:r>
              <w:rPr>
                <w:rFonts w:hint="eastAsia" w:ascii="宋体" w:hAnsi="宋体" w:cs="宋体"/>
                <w:color w:val="auto"/>
                <w:kern w:val="0"/>
                <w:sz w:val="24"/>
                <w:highlight w:val="none"/>
              </w:rPr>
              <w:t>；</w:t>
            </w:r>
          </w:p>
          <w:p w14:paraId="2FD7CB2B">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49A07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14:paraId="241A47D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(6)采购活动结束后，对于未成交供应商提供的样品，采购人、采购代理机构将通知未成交供应商在规定的时间内取回，逾期未取回的，采购人、采购代理机构不负保管义务；对于成交供应商提供的样品，采购人将进行保管、封存，并作为履约验收的参考。</w:t>
            </w:r>
          </w:p>
          <w:p w14:paraId="1F42EC02">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14:paraId="42F6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649D4E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2093" w:type="dxa"/>
            <w:vAlign w:val="center"/>
          </w:tcPr>
          <w:p w14:paraId="39799515">
            <w:pPr>
              <w:snapToGrid w:val="0"/>
              <w:spacing w:line="360" w:lineRule="auto"/>
              <w:jc w:val="center"/>
              <w:rPr>
                <w:rFonts w:hint="eastAsia" w:ascii="宋体" w:hAnsi="宋体" w:cs="宋体"/>
                <w:bCs/>
                <w:color w:val="auto"/>
                <w:sz w:val="24"/>
                <w:highlight w:val="none"/>
              </w:rPr>
            </w:pPr>
            <w:r>
              <w:rPr>
                <w:rFonts w:hint="eastAsia" w:ascii="宋体" w:hAnsi="宋体" w:cs="宋体"/>
                <w:b/>
                <w:color w:val="auto"/>
                <w:sz w:val="24"/>
                <w:highlight w:val="none"/>
              </w:rPr>
              <w:t>方案讲解演示</w:t>
            </w:r>
          </w:p>
        </w:tc>
        <w:tc>
          <w:tcPr>
            <w:tcW w:w="6927" w:type="dxa"/>
            <w:vAlign w:val="center"/>
          </w:tcPr>
          <w:p w14:paraId="08592771">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50545689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F4AC13D">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51E41AE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人。讲解演示结束后按要求解答磋商小组提问。</w:t>
            </w:r>
          </w:p>
          <w:p w14:paraId="36E9C0C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409655F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方式一：政采云平台在线讲解演示。政采云平台在线讲解需供应商根据政采云平台操作要求做好准备工作，提前完善软硬件配置环境。</w:t>
            </w:r>
          </w:p>
          <w:p w14:paraId="626D7265">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方式二：现场讲解演示。现场讲解地点为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1BCA8255">
            <w:pPr>
              <w:snapToGrid w:val="0"/>
              <w:spacing w:line="360" w:lineRule="auto"/>
              <w:rPr>
                <w:rFonts w:hint="eastAsia"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59A0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restart"/>
            <w:vAlign w:val="center"/>
          </w:tcPr>
          <w:p w14:paraId="0CF4EB18">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2093" w:type="dxa"/>
            <w:vMerge w:val="restart"/>
            <w:vAlign w:val="center"/>
          </w:tcPr>
          <w:p w14:paraId="2AEBB77C">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927" w:type="dxa"/>
            <w:vAlign w:val="center"/>
          </w:tcPr>
          <w:p w14:paraId="2FEAD9A1">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（1）资格证明文件：见采购文件第二部分11.1。</w:t>
            </w:r>
          </w:p>
          <w:p w14:paraId="5FABB733">
            <w:pPr>
              <w:spacing w:line="360" w:lineRule="auto"/>
              <w:rPr>
                <w:rFonts w:hint="eastAsia"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供应商未提供有效的资格证明文件的，视为供应商不具备采购文件中规定的资格要求，响应文件无效。</w:t>
            </w:r>
          </w:p>
        </w:tc>
      </w:tr>
      <w:tr w14:paraId="4A2A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continue"/>
            <w:vAlign w:val="center"/>
          </w:tcPr>
          <w:p w14:paraId="6AE62908">
            <w:pPr>
              <w:snapToGrid w:val="0"/>
              <w:spacing w:line="360" w:lineRule="auto"/>
              <w:jc w:val="center"/>
              <w:rPr>
                <w:rFonts w:hint="eastAsia" w:ascii="宋体" w:hAnsi="宋体" w:cs="宋体"/>
                <w:color w:val="auto"/>
                <w:sz w:val="24"/>
                <w:highlight w:val="none"/>
              </w:rPr>
            </w:pPr>
          </w:p>
        </w:tc>
        <w:tc>
          <w:tcPr>
            <w:tcW w:w="2093" w:type="dxa"/>
            <w:vMerge w:val="continue"/>
            <w:vAlign w:val="center"/>
          </w:tcPr>
          <w:p w14:paraId="1AC106F4">
            <w:pPr>
              <w:snapToGrid w:val="0"/>
              <w:spacing w:line="360" w:lineRule="auto"/>
              <w:jc w:val="center"/>
              <w:rPr>
                <w:rFonts w:hint="eastAsia" w:ascii="宋体" w:hAnsi="宋体" w:cs="宋体"/>
                <w:b/>
                <w:color w:val="auto"/>
                <w:sz w:val="24"/>
                <w:highlight w:val="none"/>
              </w:rPr>
            </w:pPr>
          </w:p>
        </w:tc>
        <w:tc>
          <w:tcPr>
            <w:tcW w:w="6927" w:type="dxa"/>
            <w:vAlign w:val="center"/>
          </w:tcPr>
          <w:p w14:paraId="7A34799B">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（2）资信证明文件：根据采购文件第四部分评审标准提供。</w:t>
            </w:r>
          </w:p>
        </w:tc>
      </w:tr>
      <w:tr w14:paraId="499B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4F25A9A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2093" w:type="dxa"/>
            <w:vAlign w:val="center"/>
          </w:tcPr>
          <w:p w14:paraId="72E9FA34">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927" w:type="dxa"/>
            <w:vAlign w:val="center"/>
          </w:tcPr>
          <w:p w14:paraId="15307FE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0A665E8">
            <w:pPr>
              <w:pStyle w:val="82"/>
              <w:ind w:firstLine="480"/>
              <w:rPr>
                <w:rFonts w:hint="eastAsia"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147454912"/>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hint="eastAsia" w:ascii="宋体" w:hAnsi="宋体" w:eastAsia="宋体" w:cs="宋体"/>
                    <w:color w:val="auto"/>
                    <w:sz w:val="24"/>
                    <w:szCs w:val="24"/>
                    <w:highlight w:val="none"/>
                  </w:rPr>
                  <w:t>☐</w:t>
                </w:r>
              </w:sdtContent>
            </w:sdt>
            <w:r>
              <w:rPr>
                <w:rFonts w:hint="eastAsia" w:ascii="宋体" w:hAnsi="宋体" w:eastAsia="宋体" w:cs="宋体"/>
                <w:color w:val="auto"/>
                <w:sz w:val="24"/>
                <w:szCs w:val="24"/>
                <w:highlight w:val="none"/>
              </w:rPr>
              <w:t xml:space="preserve">强制采购节能产品。产品：    </w:t>
            </w:r>
          </w:p>
          <w:p w14:paraId="0AA02B3C">
            <w:pPr>
              <w:pStyle w:val="82"/>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□优先采购节能产品。产品：   </w:t>
            </w:r>
          </w:p>
          <w:p w14:paraId="3DA747E2">
            <w:pPr>
              <w:pStyle w:val="82"/>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□优先采购环保产品。产品：    </w:t>
            </w:r>
          </w:p>
          <w:p w14:paraId="557D7916">
            <w:pPr>
              <w:pStyle w:val="82"/>
              <w:ind w:firstLine="480"/>
              <w:rPr>
                <w:rFonts w:hint="eastAsia"/>
                <w:color w:val="auto"/>
                <w:highlight w:val="none"/>
              </w:rPr>
            </w:pPr>
            <w:r>
              <w:rPr>
                <w:rFonts w:hint="eastAsia" w:ascii="宋体" w:hAnsi="宋体" w:eastAsia="宋体" w:cs="宋体"/>
                <w:color w:val="auto"/>
                <w:sz w:val="24"/>
                <w:szCs w:val="24"/>
                <w:highlight w:val="none"/>
              </w:rPr>
              <w:t>□无</w:t>
            </w:r>
          </w:p>
        </w:tc>
      </w:tr>
      <w:tr w14:paraId="5D4F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0AE748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2093" w:type="dxa"/>
            <w:vAlign w:val="center"/>
          </w:tcPr>
          <w:p w14:paraId="1FB9AAB3">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报价要求</w:t>
            </w:r>
          </w:p>
        </w:tc>
        <w:tc>
          <w:tcPr>
            <w:tcW w:w="6927" w:type="dxa"/>
            <w:vAlign w:val="center"/>
          </w:tcPr>
          <w:p w14:paraId="30D66354">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color w:val="auto"/>
                <w:sz w:val="24"/>
                <w:highlight w:val="none"/>
              </w:rPr>
              <w:t>报价单是报价的唯一载体</w:t>
            </w:r>
            <w:r>
              <w:rPr>
                <w:rFonts w:hint="eastAsia" w:ascii="宋体" w:hAnsi="宋体" w:cs="宋体"/>
                <w:color w:val="auto"/>
                <w:kern w:val="0"/>
                <w:sz w:val="24"/>
                <w:highlight w:val="none"/>
                <w:lang w:val="zh-CN"/>
              </w:rPr>
              <w:t>。响应文件中价格全部采用人民币报价。采购文件未列明，而供应商认为必需的费用也需列入报价。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提醒：验收时检测费用由采购人承担，不包含在总价中。</w:t>
            </w:r>
          </w:p>
          <w:p w14:paraId="2BAD603D">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最后报价出现下列情形的，响应文件无效：</w:t>
            </w:r>
          </w:p>
          <w:p w14:paraId="3551CC04">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响应文件出现不是唯一的、有选择性最后报价的；</w:t>
            </w:r>
          </w:p>
          <w:p w14:paraId="1E0C96B6">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最后报价超过采购文件中规定的预算金额或者最高限价的;</w:t>
            </w:r>
          </w:p>
          <w:p w14:paraId="38AB60F0">
            <w:pPr>
              <w:spacing w:line="360" w:lineRule="auto"/>
              <w:rPr>
                <w:rFonts w:hint="eastAsia" w:ascii="宋体" w:hAnsi="宋体" w:cs="宋体"/>
                <w:b/>
                <w:color w:val="auto"/>
                <w:sz w:val="24"/>
                <w:highlight w:val="none"/>
              </w:rPr>
            </w:pPr>
            <w:r>
              <w:rPr>
                <w:rFonts w:hint="eastAsia" w:ascii="宋体" w:hAnsi="宋体" w:cs="宋体"/>
                <w:b/>
                <w:color w:val="auto"/>
                <w:kern w:val="0"/>
                <w:sz w:val="24"/>
                <w:highlight w:val="none"/>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21B2A424">
            <w:pPr>
              <w:spacing w:line="360" w:lineRule="auto"/>
              <w:rPr>
                <w:rFonts w:hint="eastAsia" w:ascii="宋体" w:hAnsi="宋体" w:cs="宋体"/>
                <w:b/>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p w14:paraId="01369C6A">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磋商小组评审时如发现供应商的报价明显高于其市场报价或某些分项报价明显不合理或者低于成本，或明显低于其他通过符合性审查供应商的报价，有可能影响产品质量和不能诚信履约的，可要求该供应商在35分钟内书面说明并提供相关证明材料。该供应商不能合理说明原因并提供证明材料的，磋商小组应将该响应文件作无效处理。</w:t>
            </w:r>
          </w:p>
          <w:p w14:paraId="0FBC76CF">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采购评审中出现下列情形之一的，磋商小组应当启动异常低价投标（响应）审查程序：</w:t>
            </w:r>
          </w:p>
          <w:p w14:paraId="7304C7E0">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①　投标（响应）报价低于全部通过符合性审查供应商投标（响应）报价平均值</w:t>
            </w:r>
            <w:r>
              <w:rPr>
                <w:rFonts w:hint="eastAsia" w:ascii="宋体" w:hAnsi="宋体" w:cs="宋体"/>
                <w:snapToGrid w:val="0"/>
                <w:color w:val="auto"/>
                <w:kern w:val="28"/>
                <w:sz w:val="24"/>
                <w:highlight w:val="none"/>
                <w:lang w:val="en-US" w:eastAsia="zh-CN"/>
              </w:rPr>
              <w:t>6</w:t>
            </w:r>
            <w:r>
              <w:rPr>
                <w:rFonts w:hint="eastAsia" w:ascii="宋体" w:hAnsi="宋体" w:cs="宋体"/>
                <w:snapToGrid w:val="0"/>
                <w:color w:val="auto"/>
                <w:kern w:val="28"/>
                <w:sz w:val="24"/>
                <w:highlight w:val="none"/>
              </w:rPr>
              <w:t>0%的，即投标（响应）报价&lt;全部通过符合性审查供应商投标（响应）报价平均值×</w:t>
            </w:r>
            <w:r>
              <w:rPr>
                <w:rFonts w:hint="eastAsia" w:ascii="宋体" w:hAnsi="宋体" w:cs="宋体"/>
                <w:snapToGrid w:val="0"/>
                <w:color w:val="auto"/>
                <w:kern w:val="28"/>
                <w:sz w:val="24"/>
                <w:highlight w:val="none"/>
                <w:lang w:val="en-US" w:eastAsia="zh-CN"/>
              </w:rPr>
              <w:t>6</w:t>
            </w:r>
            <w:r>
              <w:rPr>
                <w:rFonts w:hint="eastAsia" w:ascii="宋体" w:hAnsi="宋体" w:cs="宋体"/>
                <w:snapToGrid w:val="0"/>
                <w:color w:val="auto"/>
                <w:kern w:val="28"/>
                <w:sz w:val="24"/>
                <w:highlight w:val="none"/>
              </w:rPr>
              <w:t>0%；</w:t>
            </w:r>
          </w:p>
          <w:p w14:paraId="08D7400F">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②　投标（响应）报价低于通过符合性审查的次低报价供应商投标（响应）报价</w:t>
            </w:r>
            <w:r>
              <w:rPr>
                <w:rFonts w:hint="eastAsia" w:ascii="宋体" w:hAnsi="宋体" w:cs="宋体"/>
                <w:snapToGrid w:val="0"/>
                <w:color w:val="auto"/>
                <w:kern w:val="28"/>
                <w:sz w:val="24"/>
                <w:highlight w:val="none"/>
                <w:lang w:val="en-US" w:eastAsia="zh-CN"/>
              </w:rPr>
              <w:t>6</w:t>
            </w:r>
            <w:r>
              <w:rPr>
                <w:rFonts w:hint="eastAsia" w:ascii="宋体" w:hAnsi="宋体" w:cs="宋体"/>
                <w:snapToGrid w:val="0"/>
                <w:color w:val="auto"/>
                <w:kern w:val="28"/>
                <w:sz w:val="24"/>
                <w:highlight w:val="none"/>
              </w:rPr>
              <w:t>0%的，即投标（响应）报价&lt;通过符合性审查的次低报价供应商投标（响应）报价×</w:t>
            </w:r>
            <w:r>
              <w:rPr>
                <w:rFonts w:hint="eastAsia" w:ascii="宋体" w:hAnsi="宋体" w:cs="宋体"/>
                <w:snapToGrid w:val="0"/>
                <w:color w:val="auto"/>
                <w:kern w:val="28"/>
                <w:sz w:val="24"/>
                <w:highlight w:val="none"/>
                <w:lang w:val="en-US" w:eastAsia="zh-CN"/>
              </w:rPr>
              <w:t>6</w:t>
            </w:r>
            <w:r>
              <w:rPr>
                <w:rFonts w:hint="eastAsia" w:ascii="宋体" w:hAnsi="宋体" w:cs="宋体"/>
                <w:snapToGrid w:val="0"/>
                <w:color w:val="auto"/>
                <w:kern w:val="28"/>
                <w:sz w:val="24"/>
                <w:highlight w:val="none"/>
              </w:rPr>
              <w:t>0%；</w:t>
            </w:r>
          </w:p>
          <w:p w14:paraId="18CA195F">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③　投标（响应）报价低于采购项目最高限价</w:t>
            </w:r>
            <w:r>
              <w:rPr>
                <w:rFonts w:hint="eastAsia" w:ascii="宋体" w:hAnsi="宋体" w:cs="宋体"/>
                <w:snapToGrid w:val="0"/>
                <w:color w:val="auto"/>
                <w:kern w:val="28"/>
                <w:sz w:val="24"/>
                <w:highlight w:val="none"/>
                <w:lang w:val="en-US" w:eastAsia="zh-CN"/>
              </w:rPr>
              <w:t>60</w:t>
            </w:r>
            <w:r>
              <w:rPr>
                <w:rFonts w:hint="eastAsia" w:ascii="宋体" w:hAnsi="宋体" w:cs="宋体"/>
                <w:snapToGrid w:val="0"/>
                <w:color w:val="auto"/>
                <w:kern w:val="28"/>
                <w:sz w:val="24"/>
                <w:highlight w:val="none"/>
              </w:rPr>
              <w:t>%的，即投标（响应）报价&lt;采购项目最高限价×</w:t>
            </w:r>
            <w:r>
              <w:rPr>
                <w:rFonts w:hint="eastAsia" w:ascii="宋体" w:hAnsi="宋体" w:cs="宋体"/>
                <w:snapToGrid w:val="0"/>
                <w:color w:val="auto"/>
                <w:kern w:val="28"/>
                <w:sz w:val="24"/>
                <w:highlight w:val="none"/>
                <w:lang w:val="en-US" w:eastAsia="zh-CN"/>
              </w:rPr>
              <w:t>60</w:t>
            </w:r>
            <w:r>
              <w:rPr>
                <w:rFonts w:hint="eastAsia" w:ascii="宋体" w:hAnsi="宋体" w:cs="宋体"/>
                <w:snapToGrid w:val="0"/>
                <w:color w:val="auto"/>
                <w:kern w:val="28"/>
                <w:sz w:val="24"/>
                <w:highlight w:val="none"/>
              </w:rPr>
              <w:t>%；</w:t>
            </w:r>
          </w:p>
          <w:p w14:paraId="2A8F61CC">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④　磋商小组基于专业判断，认为供应商报价过低，有可能影响产品质量或者不能诚信履约的其他情形。</w:t>
            </w:r>
          </w:p>
          <w:p w14:paraId="5E87201D">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相关法律法规对供应商报价有规定的，从其规定。</w:t>
            </w:r>
          </w:p>
          <w:p w14:paraId="31FBE8FA">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磋商小组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其中，属于第③项情形，供应商已随投标（响应）文件一并提交相关书面说明及必要的证明材料的，在评审现场可不再重复提交。</w:t>
            </w:r>
          </w:p>
          <w:p w14:paraId="5D50D4F3">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171E2F37">
            <w:pPr>
              <w:spacing w:line="360" w:lineRule="auto"/>
              <w:ind w:firstLine="480" w:firstLineChars="200"/>
              <w:rPr>
                <w:rFonts w:hint="eastAsia"/>
                <w:color w:val="auto"/>
                <w:highlight w:val="none"/>
              </w:rPr>
            </w:pPr>
            <w:r>
              <w:rPr>
                <w:rFonts w:hint="eastAsia" w:ascii="宋体" w:hAnsi="宋体" w:cs="宋体"/>
                <w:snapToGrid w:val="0"/>
                <w:color w:val="auto"/>
                <w:kern w:val="28"/>
                <w:sz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tc>
      </w:tr>
      <w:tr w14:paraId="3ED8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4" w:hRule="atLeast"/>
        </w:trPr>
        <w:tc>
          <w:tcPr>
            <w:tcW w:w="714" w:type="dxa"/>
            <w:vAlign w:val="center"/>
          </w:tcPr>
          <w:p w14:paraId="57BD912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2093" w:type="dxa"/>
            <w:vAlign w:val="center"/>
          </w:tcPr>
          <w:p w14:paraId="1E7745DD">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中小企业信用融资</w:t>
            </w:r>
          </w:p>
        </w:tc>
        <w:tc>
          <w:tcPr>
            <w:tcW w:w="6927" w:type="dxa"/>
            <w:vAlign w:val="center"/>
          </w:tcPr>
          <w:p w14:paraId="60BFF2F2">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706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0CDE75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2093" w:type="dxa"/>
            <w:vAlign w:val="center"/>
          </w:tcPr>
          <w:p w14:paraId="7631AD34">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备份响应文件送达地点和签收人员</w:t>
            </w:r>
          </w:p>
        </w:tc>
        <w:tc>
          <w:tcPr>
            <w:tcW w:w="6927" w:type="dxa"/>
            <w:vAlign w:val="center"/>
          </w:tcPr>
          <w:p w14:paraId="6ACE9C99">
            <w:pPr>
              <w:pStyle w:val="33"/>
              <w:spacing w:line="360" w:lineRule="auto"/>
              <w:rPr>
                <w:rFonts w:hint="eastAsia" w:hAnsi="宋体" w:cs="宋体"/>
                <w:color w:val="auto"/>
                <w:kern w:val="28"/>
                <w:sz w:val="24"/>
                <w:szCs w:val="24"/>
                <w:highlight w:val="none"/>
              </w:rPr>
            </w:pPr>
            <w:r>
              <w:rPr>
                <w:rFonts w:hint="eastAsia" w:hAnsi="宋体" w:cs="宋体"/>
                <w:color w:val="auto"/>
                <w:kern w:val="28"/>
                <w:sz w:val="24"/>
                <w:szCs w:val="24"/>
                <w:highlight w:val="none"/>
              </w:rPr>
              <w:t>备份响应文件送达地点：</w:t>
            </w:r>
            <w:r>
              <w:rPr>
                <w:rFonts w:hint="eastAsia" w:hAnsi="宋体" w:cs="宋体"/>
                <w:color w:val="auto"/>
                <w:sz w:val="24"/>
                <w:highlight w:val="none"/>
                <w:u w:val="single"/>
              </w:rPr>
              <w:t>杭州市拱墅区河东路215号D楼</w:t>
            </w:r>
            <w:r>
              <w:rPr>
                <w:rFonts w:hint="eastAsia" w:hAnsi="宋体" w:cs="宋体"/>
                <w:color w:val="auto"/>
                <w:sz w:val="24"/>
                <w:highlight w:val="none"/>
                <w:u w:val="single"/>
                <w:lang w:val="en-US" w:eastAsia="zh-CN"/>
              </w:rPr>
              <w:t>二</w:t>
            </w:r>
            <w:r>
              <w:rPr>
                <w:rFonts w:hint="eastAsia" w:hAnsi="宋体" w:cs="宋体"/>
                <w:color w:val="auto"/>
                <w:sz w:val="24"/>
                <w:highlight w:val="none"/>
                <w:u w:val="single"/>
              </w:rPr>
              <w:t>楼</w:t>
            </w:r>
            <w:r>
              <w:rPr>
                <w:rFonts w:hint="eastAsia" w:hAnsi="宋体" w:cs="宋体"/>
                <w:color w:val="auto"/>
                <w:kern w:val="28"/>
                <w:sz w:val="24"/>
                <w:szCs w:val="24"/>
                <w:highlight w:val="none"/>
              </w:rPr>
              <w:t>；</w:t>
            </w:r>
          </w:p>
          <w:p w14:paraId="135A96F1">
            <w:pPr>
              <w:pStyle w:val="33"/>
              <w:spacing w:line="360" w:lineRule="auto"/>
              <w:rPr>
                <w:rFonts w:hint="eastAsia" w:hAnsi="宋体" w:cs="宋体"/>
                <w:color w:val="auto"/>
                <w:sz w:val="24"/>
                <w:szCs w:val="24"/>
                <w:highlight w:val="none"/>
              </w:rPr>
            </w:pPr>
            <w:r>
              <w:rPr>
                <w:rFonts w:hint="eastAsia" w:hAnsi="宋体" w:cs="宋体"/>
                <w:color w:val="auto"/>
                <w:kern w:val="28"/>
                <w:sz w:val="24"/>
                <w:szCs w:val="24"/>
                <w:highlight w:val="none"/>
              </w:rPr>
              <w:t>备份响应文件签收人员联系电话：</w:t>
            </w:r>
            <w:r>
              <w:rPr>
                <w:rFonts w:hint="eastAsia" w:hAnsi="宋体" w:cs="宋体"/>
                <w:color w:val="auto"/>
                <w:sz w:val="24"/>
                <w:highlight w:val="none"/>
                <w:u w:val="single"/>
              </w:rPr>
              <w:t xml:space="preserve">  蒋亦文</w:t>
            </w:r>
            <w:r>
              <w:rPr>
                <w:rFonts w:hint="eastAsia" w:hAnsi="宋体" w:cs="宋体"/>
                <w:color w:val="auto"/>
                <w:sz w:val="24"/>
                <w:highlight w:val="none"/>
                <w:u w:val="single"/>
                <w:lang w:eastAsia="zh-CN"/>
              </w:rPr>
              <w:t>19157898865</w:t>
            </w:r>
            <w:r>
              <w:rPr>
                <w:rFonts w:hint="eastAsia" w:hAnsi="宋体" w:cs="宋体"/>
                <w:color w:val="auto"/>
                <w:sz w:val="24"/>
                <w:highlight w:val="none"/>
                <w:u w:val="single"/>
              </w:rPr>
              <w:t xml:space="preserve">   </w:t>
            </w:r>
            <w:r>
              <w:rPr>
                <w:rFonts w:hint="eastAsia" w:hAnsi="宋体" w:cs="宋体"/>
                <w:color w:val="auto"/>
                <w:sz w:val="24"/>
                <w:szCs w:val="24"/>
                <w:highlight w:val="none"/>
              </w:rPr>
              <w:t>。</w:t>
            </w:r>
          </w:p>
          <w:p w14:paraId="155D4AAF">
            <w:pPr>
              <w:pStyle w:val="33"/>
              <w:spacing w:line="360" w:lineRule="auto"/>
              <w:rPr>
                <w:rFonts w:hint="eastAsia" w:hAnsi="宋体" w:cs="宋体"/>
                <w:color w:val="auto"/>
                <w:kern w:val="28"/>
                <w:sz w:val="24"/>
                <w:highlight w:val="none"/>
              </w:rPr>
            </w:pPr>
            <w:r>
              <w:rPr>
                <w:rFonts w:hint="eastAsia" w:hAnsi="宋体" w:cs="宋体"/>
                <w:b/>
                <w:color w:val="auto"/>
                <w:sz w:val="24"/>
                <w:szCs w:val="24"/>
                <w:highlight w:val="none"/>
              </w:rPr>
              <w:t>采购人、采购代理机构不强制或变相强制供应商提交备份响应文件。</w:t>
            </w:r>
          </w:p>
        </w:tc>
      </w:tr>
      <w:tr w14:paraId="415E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CB4C6B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2093" w:type="dxa"/>
            <w:vAlign w:val="center"/>
          </w:tcPr>
          <w:p w14:paraId="5E3812FA">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其它说明</w:t>
            </w:r>
          </w:p>
        </w:tc>
        <w:tc>
          <w:tcPr>
            <w:tcW w:w="6927" w:type="dxa"/>
            <w:vAlign w:val="center"/>
          </w:tcPr>
          <w:p w14:paraId="283CD903">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cs="宋体"/>
                <w:b/>
                <w:color w:val="auto"/>
                <w:kern w:val="0"/>
                <w:sz w:val="24"/>
                <w:highlight w:val="none"/>
              </w:rPr>
              <w:t>。</w:t>
            </w:r>
          </w:p>
        </w:tc>
      </w:tr>
      <w:tr w14:paraId="1D5A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5214E6F8">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2093" w:type="dxa"/>
            <w:vAlign w:val="center"/>
          </w:tcPr>
          <w:p w14:paraId="06EDA472">
            <w:pPr>
              <w:snapToGrid w:val="0"/>
              <w:spacing w:line="360" w:lineRule="auto"/>
              <w:jc w:val="center"/>
              <w:rPr>
                <w:rFonts w:hint="eastAsia"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rPr>
              <w:t>成交候选人数量</w:t>
            </w:r>
          </w:p>
        </w:tc>
        <w:tc>
          <w:tcPr>
            <w:tcW w:w="6927" w:type="dxa"/>
            <w:vAlign w:val="center"/>
          </w:tcPr>
          <w:p w14:paraId="65CA4F8D">
            <w:pPr>
              <w:spacing w:line="360" w:lineRule="auto"/>
              <w:rPr>
                <w:rFonts w:hint="eastAsia" w:ascii="宋体" w:hAnsi="宋体" w:cs="宋体"/>
                <w:snapToGrid w:val="0"/>
                <w:color w:val="auto"/>
                <w:kern w:val="28"/>
                <w:sz w:val="24"/>
                <w:highlight w:val="none"/>
              </w:rPr>
            </w:pPr>
            <w:r>
              <w:rPr>
                <w:rFonts w:hint="eastAsia" w:ascii="宋体" w:hAnsi="宋体" w:cs="宋体"/>
                <w:color w:val="auto"/>
                <w:kern w:val="0"/>
                <w:sz w:val="24"/>
                <w:highlight w:val="none"/>
                <w:lang w:val="en"/>
              </w:rPr>
              <w:t>本项目推荐的成交候选人数量：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rPr>
              <w:t xml:space="preserve">家    </w:t>
            </w:r>
            <w:r>
              <w:rPr>
                <w:rFonts w:hint="eastAsia" w:ascii="宋体" w:hAnsi="宋体" w:cs="宋体"/>
                <w:color w:val="auto"/>
                <w:kern w:val="0"/>
                <w:sz w:val="24"/>
                <w:highlight w:val="none"/>
                <w:lang w:val="en"/>
              </w:rPr>
              <w:t>。</w:t>
            </w:r>
          </w:p>
        </w:tc>
      </w:tr>
      <w:tr w14:paraId="65C8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27" w:hRule="atLeast"/>
        </w:trPr>
        <w:tc>
          <w:tcPr>
            <w:tcW w:w="714" w:type="dxa"/>
          </w:tcPr>
          <w:p w14:paraId="48CC1646">
            <w:pPr>
              <w:snapToGrid w:val="0"/>
              <w:spacing w:line="360" w:lineRule="auto"/>
              <w:jc w:val="center"/>
              <w:rPr>
                <w:rFonts w:hint="eastAsia" w:ascii="宋体" w:hAnsi="宋体" w:eastAsia="宋体" w:cs="宋体"/>
                <w:color w:val="auto"/>
                <w:sz w:val="24"/>
                <w:highlight w:val="none"/>
              </w:rPr>
            </w:pPr>
          </w:p>
          <w:p w14:paraId="15E0DD88">
            <w:pPr>
              <w:snapToGrid w:val="0"/>
              <w:spacing w:line="360" w:lineRule="auto"/>
              <w:jc w:val="center"/>
              <w:rPr>
                <w:rFonts w:hint="eastAsia" w:ascii="宋体" w:hAnsi="宋体" w:eastAsia="宋体" w:cs="宋体"/>
                <w:color w:val="auto"/>
                <w:sz w:val="24"/>
                <w:highlight w:val="none"/>
              </w:rPr>
            </w:pPr>
          </w:p>
          <w:p w14:paraId="3745AD5C">
            <w:pPr>
              <w:snapToGrid w:val="0"/>
              <w:spacing w:line="360" w:lineRule="auto"/>
              <w:jc w:val="center"/>
              <w:rPr>
                <w:rFonts w:hint="eastAsia" w:ascii="宋体" w:hAnsi="宋体" w:eastAsia="宋体" w:cs="宋体"/>
                <w:color w:val="auto"/>
                <w:sz w:val="24"/>
                <w:highlight w:val="none"/>
              </w:rPr>
            </w:pPr>
          </w:p>
          <w:p w14:paraId="61587DBD">
            <w:pPr>
              <w:snapToGrid w:val="0"/>
              <w:spacing w:line="360" w:lineRule="auto"/>
              <w:jc w:val="center"/>
              <w:rPr>
                <w:rFonts w:hint="eastAsia" w:ascii="宋体" w:hAnsi="宋体" w:eastAsia="宋体" w:cs="宋体"/>
                <w:color w:val="auto"/>
                <w:sz w:val="24"/>
                <w:highlight w:val="none"/>
              </w:rPr>
            </w:pPr>
          </w:p>
          <w:p w14:paraId="0555965B">
            <w:pPr>
              <w:snapToGrid w:val="0"/>
              <w:spacing w:line="360" w:lineRule="auto"/>
              <w:jc w:val="center"/>
              <w:rPr>
                <w:rFonts w:hint="eastAsia" w:ascii="宋体" w:hAnsi="宋体" w:eastAsia="宋体" w:cs="宋体"/>
                <w:color w:val="auto"/>
                <w:sz w:val="24"/>
                <w:highlight w:val="none"/>
              </w:rPr>
            </w:pPr>
          </w:p>
          <w:p w14:paraId="535E76A5">
            <w:pPr>
              <w:snapToGrid w:val="0"/>
              <w:spacing w:line="360" w:lineRule="auto"/>
              <w:jc w:val="center"/>
              <w:rPr>
                <w:rFonts w:hint="eastAsia" w:ascii="宋体" w:hAnsi="宋体" w:eastAsia="宋体" w:cs="宋体"/>
                <w:color w:val="auto"/>
                <w:sz w:val="24"/>
                <w:highlight w:val="none"/>
              </w:rPr>
            </w:pPr>
          </w:p>
          <w:p w14:paraId="3D722F5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2093" w:type="dxa"/>
            <w:vAlign w:val="center"/>
          </w:tcPr>
          <w:p w14:paraId="608F67F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
              </w:rPr>
              <w:t>代理费用收取方式及标准</w:t>
            </w:r>
          </w:p>
        </w:tc>
        <w:tc>
          <w:tcPr>
            <w:tcW w:w="6927" w:type="dxa"/>
            <w:vAlign w:val="center"/>
          </w:tcPr>
          <w:p w14:paraId="784D2297">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本项目采购代理服务费和造价咨询费由成交供应商支付给采购代理机构。各</w:t>
            </w:r>
            <w:r>
              <w:rPr>
                <w:rFonts w:hint="eastAsia" w:ascii="宋体" w:hAnsi="宋体" w:cs="宋体"/>
                <w:color w:val="auto"/>
                <w:kern w:val="0"/>
                <w:sz w:val="24"/>
                <w:highlight w:val="none"/>
                <w:lang w:val="en-US" w:eastAsia="zh-CN"/>
              </w:rPr>
              <w:t>响应</w:t>
            </w:r>
            <w:r>
              <w:rPr>
                <w:rFonts w:hint="eastAsia" w:ascii="宋体" w:hAnsi="宋体" w:cs="宋体"/>
                <w:color w:val="auto"/>
                <w:kern w:val="0"/>
                <w:sz w:val="24"/>
                <w:highlight w:val="none"/>
                <w:lang w:val="en"/>
              </w:rPr>
              <w:t>供应商在报价时应计入此费用。</w:t>
            </w:r>
          </w:p>
          <w:p w14:paraId="47CE22F5">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1、采购代理服务费以中标金额为基数按【2002】1980号文《招标代理服务收费管理办法》规定收费标准80%计取，计入报价中；</w:t>
            </w:r>
          </w:p>
          <w:p w14:paraId="24F7832B">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2.造价咨询费以中标金额为基数</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lang w:val="en"/>
              </w:rPr>
              <w:t>（浙建价协〔2021〕13号）文件规定的收费标准的80%计取，若实际结算价低于2000元的，按2000元计取，计入报价中；</w:t>
            </w:r>
          </w:p>
          <w:p w14:paraId="3653663D">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以上两项费用由成交人在收到成交通知书</w:t>
            </w:r>
            <w:r>
              <w:rPr>
                <w:rFonts w:hint="eastAsia" w:ascii="宋体" w:hAnsi="宋体" w:cs="宋体"/>
                <w:color w:val="auto"/>
                <w:kern w:val="0"/>
                <w:sz w:val="24"/>
                <w:highlight w:val="none"/>
                <w:lang w:val="en-US" w:eastAsia="zh-CN"/>
              </w:rPr>
              <w:t>后7个工作日内</w:t>
            </w:r>
            <w:r>
              <w:rPr>
                <w:rFonts w:hint="eastAsia" w:ascii="宋体" w:hAnsi="宋体" w:cs="宋体"/>
                <w:color w:val="auto"/>
                <w:kern w:val="0"/>
                <w:sz w:val="24"/>
                <w:highlight w:val="none"/>
                <w:lang w:val="en"/>
              </w:rPr>
              <w:t>支付给采购代理机构。</w:t>
            </w:r>
          </w:p>
          <w:p w14:paraId="1EF20DD4">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汇入以下账户：</w:t>
            </w:r>
          </w:p>
          <w:p w14:paraId="705A12A7">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户名：浙江中通通信有限公司</w:t>
            </w:r>
          </w:p>
          <w:p w14:paraId="08AEEB0B">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开户：中信银行杭州天水支行</w:t>
            </w:r>
          </w:p>
          <w:p w14:paraId="62689EE2">
            <w:pPr>
              <w:spacing w:line="360" w:lineRule="auto"/>
              <w:rPr>
                <w:rFonts w:hint="eastAsia" w:ascii="宋体" w:hAnsi="宋体" w:cs="宋体"/>
                <w:snapToGrid w:val="0"/>
                <w:color w:val="auto"/>
                <w:kern w:val="28"/>
                <w:sz w:val="24"/>
                <w:highlight w:val="none"/>
              </w:rPr>
            </w:pPr>
            <w:r>
              <w:rPr>
                <w:rFonts w:hint="eastAsia" w:ascii="宋体" w:hAnsi="宋体" w:cs="宋体"/>
                <w:color w:val="auto"/>
                <w:kern w:val="0"/>
                <w:sz w:val="24"/>
                <w:highlight w:val="none"/>
                <w:lang w:val="en"/>
              </w:rPr>
              <w:t>账号：</w:t>
            </w:r>
            <w:r>
              <w:rPr>
                <w:rFonts w:hint="eastAsia" w:ascii="宋体" w:hAnsi="宋体" w:cs="宋体"/>
                <w:color w:val="auto"/>
                <w:kern w:val="0"/>
                <w:sz w:val="24"/>
                <w:highlight w:val="none"/>
                <w:lang w:val="en" w:eastAsia="zh-CN"/>
              </w:rPr>
              <w:t>3110830019310031501</w:t>
            </w:r>
          </w:p>
        </w:tc>
      </w:tr>
    </w:tbl>
    <w:p w14:paraId="6615BF04">
      <w:pPr>
        <w:snapToGrid w:val="0"/>
        <w:spacing w:line="360" w:lineRule="auto"/>
        <w:jc w:val="center"/>
        <w:rPr>
          <w:rFonts w:hint="eastAsia" w:ascii="宋体" w:hAnsi="宋体" w:cs="宋体"/>
          <w:b/>
          <w:color w:val="auto"/>
          <w:sz w:val="32"/>
          <w:szCs w:val="20"/>
          <w:highlight w:val="none"/>
        </w:rPr>
      </w:pPr>
    </w:p>
    <w:bookmarkEnd w:id="10"/>
    <w:p w14:paraId="6B4DEBCB">
      <w:pPr>
        <w:widowControl/>
        <w:adjustRightInd/>
        <w:jc w:val="left"/>
        <w:rPr>
          <w:rFonts w:hint="eastAsia" w:ascii="宋体" w:hAnsi="宋体" w:cs="宋体"/>
          <w:b/>
          <w:color w:val="auto"/>
          <w:sz w:val="32"/>
          <w:szCs w:val="20"/>
          <w:highlight w:val="none"/>
        </w:rPr>
      </w:pPr>
      <w:bookmarkStart w:id="13" w:name="第三部分"/>
      <w:bookmarkStart w:id="14" w:name="_Toc164416483"/>
      <w:r>
        <w:rPr>
          <w:rFonts w:hint="eastAsia" w:ascii="宋体" w:hAnsi="宋体" w:cs="宋体"/>
          <w:b/>
          <w:color w:val="auto"/>
          <w:sz w:val="32"/>
          <w:szCs w:val="20"/>
          <w:highlight w:val="none"/>
        </w:rPr>
        <w:br w:type="page"/>
      </w:r>
    </w:p>
    <w:p w14:paraId="275BC7CE">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一、总则</w:t>
      </w:r>
    </w:p>
    <w:bookmarkEnd w:id="13"/>
    <w:bookmarkEnd w:id="14"/>
    <w:p w14:paraId="1A3D0D3F">
      <w:pPr>
        <w:snapToGrid w:val="0"/>
        <w:spacing w:line="360" w:lineRule="auto"/>
        <w:jc w:val="left"/>
        <w:outlineLvl w:val="1"/>
        <w:rPr>
          <w:rFonts w:ascii="宋体" w:hAnsi="宋体" w:cs="宋体"/>
          <w:b/>
          <w:color w:val="auto"/>
          <w:sz w:val="24"/>
          <w:highlight w:val="none"/>
        </w:rPr>
      </w:pPr>
      <w:bookmarkStart w:id="15" w:name="第四部分"/>
      <w:r>
        <w:rPr>
          <w:rFonts w:hint="eastAsia" w:ascii="宋体" w:hAnsi="宋体" w:cs="宋体"/>
          <w:b/>
          <w:color w:val="auto"/>
          <w:sz w:val="24"/>
          <w:highlight w:val="none"/>
        </w:rPr>
        <w:t>1. 适用范围</w:t>
      </w:r>
    </w:p>
    <w:p w14:paraId="36C8768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本采购文件适用于该项目的采购邀请、响应文件提交、响应文件开启、资格审查及信用信息查询、磋商、评审、成交供应商确定、合同、验收等行为（法律、法规另有规定的，从其规定）。</w:t>
      </w:r>
    </w:p>
    <w:p w14:paraId="13F38EDC">
      <w:pPr>
        <w:snapToGrid w:val="0"/>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2.定义</w:t>
      </w:r>
    </w:p>
    <w:p w14:paraId="5F9C3CC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“采购人”系指竞争性磋商公告中载明的本项目的采购人。</w:t>
      </w:r>
    </w:p>
    <w:p w14:paraId="3A597DF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”系指竞争性磋商公告中载明的本项目的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68965EC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“供应商”系指是指提交响应文件和报价、参与竞争性磋商采购活动的法人、其他组织或者自然人。</w:t>
      </w:r>
    </w:p>
    <w:p w14:paraId="72DA904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0DA3F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46CF4B0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3C8521F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1474645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1474725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系指不适用本项目的要求，“※”系指磋商过程中可能实质性变动的内容。</w:t>
      </w:r>
    </w:p>
    <w:p w14:paraId="5DF6030B">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42CD82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580385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629F8979">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auto"/>
          <w:sz w:val="24"/>
          <w:highlight w:val="none"/>
        </w:rPr>
        <w:t>采购人拟采购的产品属于政府强制采购的节能产品品目清单范围的，供应商未按采购文件要求提供国家确定的认证机构出具的、处于有效期之内的节能产品认证证书的，响应文件无效。</w:t>
      </w:r>
    </w:p>
    <w:p w14:paraId="0E81F65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65F595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54217FC2">
      <w:pPr>
        <w:pStyle w:val="3"/>
        <w:tabs>
          <w:tab w:val="left" w:pos="0"/>
          <w:tab w:val="clear" w:pos="432"/>
        </w:tabs>
        <w:ind w:left="0" w:firstLine="480" w:firstLineChars="200"/>
        <w:rPr>
          <w:color w:val="auto"/>
          <w:highlight w:val="none"/>
          <w:lang w:val="en-US"/>
        </w:rPr>
      </w:pPr>
      <w:r>
        <w:rPr>
          <w:rFonts w:ascii="宋体" w:hAnsi="宋体" w:eastAsia="宋体" w:cs="宋体"/>
          <w:b w:val="0"/>
          <w:bCs w:val="0"/>
          <w:color w:val="auto"/>
          <w:sz w:val="24"/>
          <w:szCs w:val="24"/>
          <w:highlight w:val="none"/>
          <w:lang w:val="en-US"/>
        </w:rPr>
        <w:t xml:space="preserve">3.2.4 </w:t>
      </w:r>
      <w:r>
        <w:rPr>
          <w:rFonts w:hint="eastAsia" w:ascii="宋体" w:hAnsi="宋体" w:eastAsia="宋体" w:cs="宋体"/>
          <w:b w:val="0"/>
          <w:bCs w:val="0"/>
          <w:color w:val="auto"/>
          <w:sz w:val="24"/>
          <w:szCs w:val="24"/>
          <w:highlight w:val="none"/>
          <w:lang w:val="en-US"/>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50AD7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6AF6F9D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E44F1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2EE5E43F">
      <w:pPr>
        <w:widowControl/>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3.3.2</w:t>
      </w:r>
      <w:r>
        <w:rPr>
          <w:rFonts w:hint="eastAsia" w:ascii="宋体" w:hAnsi="宋体" w:cs="宋体"/>
          <w:color w:val="auto"/>
          <w:kern w:val="0"/>
          <w:sz w:val="24"/>
          <w:highlight w:val="none"/>
        </w:rPr>
        <w:t>在政府采购活动中，供应商提供的工程符合下列情形的，享受中小企业扶持政策：</w:t>
      </w:r>
      <w:r>
        <w:rPr>
          <w:rFonts w:ascii="宋体" w:hAnsi="宋体" w:cs="宋体"/>
          <w:color w:val="auto"/>
          <w:sz w:val="24"/>
          <w:highlight w:val="none"/>
        </w:rPr>
        <w:t>在工程采购项目中，工程由中小企业承建，即工程施工单位为中小企业</w:t>
      </w:r>
      <w:r>
        <w:rPr>
          <w:rFonts w:hint="eastAsia" w:ascii="宋体" w:hAnsi="宋体" w:cs="宋体"/>
          <w:color w:val="auto"/>
          <w:kern w:val="0"/>
          <w:sz w:val="24"/>
          <w:highlight w:val="none"/>
        </w:rPr>
        <w:t>。</w:t>
      </w:r>
    </w:p>
    <w:p w14:paraId="13E0DBF7">
      <w:pPr>
        <w:widowControl/>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AD997B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，对联合体或者大中型企业的报价给予2%的扣除，用扣除后的价格参加评审。组成联合体或者接受分包的小微企业与联合体内其他企业、分包企业之间存在直接控股、管理关系的，不享受价格扣除优惠政策。</w:t>
      </w:r>
    </w:p>
    <w:p w14:paraId="4FE4709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0F8C9FB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459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w:t>
      </w:r>
      <w:r>
        <w:rPr>
          <w:rFonts w:hint="eastAsia" w:cs="宋体" w:asciiTheme="minorEastAsia" w:hAnsiTheme="minorEastAsia" w:eastAsiaTheme="minorEastAsia"/>
          <w:color w:val="auto"/>
          <w:sz w:val="24"/>
          <w:highlight w:val="none"/>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highlight w:val="none"/>
        </w:rPr>
        <w:t>。</w:t>
      </w:r>
    </w:p>
    <w:p w14:paraId="458197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1CCB7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7AB80564">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477A26C3">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7B0376C7">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cs="仿宋"/>
          <w:color w:val="auto"/>
          <w:sz w:val="24"/>
          <w:highlight w:val="none"/>
        </w:rPr>
        <w:t>、补偿救济</w:t>
      </w:r>
    </w:p>
    <w:p w14:paraId="0FA23D17">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4.1在线询问、质疑、投诉</w:t>
      </w:r>
    </w:p>
    <w:p w14:paraId="0F94E02E">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6448B42">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0A6EAB20">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97BE157">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902AE29">
      <w:pPr>
        <w:pStyle w:val="33"/>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.1提出质疑的供应商应当是参与所质疑项目采购活动的供应商。潜在供应商已依法获取其可质疑的采购文件的，可以对该文件提出质疑。</w:t>
      </w:r>
    </w:p>
    <w:p w14:paraId="35C24E4B">
      <w:pPr>
        <w:pStyle w:val="33"/>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.2供应商认为采购文件、采购过程和成交结果使自己的权益受到损害的，可以在知道或者应知其权益受到损害之日起七个工作日内，以书面形式向采购人或者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1F96D0D4">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4.3.2.1对采购文件提出质疑的，质疑期限为供应商获得采购文件之日或者采购文件公告期限届满之日起计算。</w:t>
      </w:r>
    </w:p>
    <w:p w14:paraId="55D85D75">
      <w:pPr>
        <w:pStyle w:val="3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4EC5AD10">
      <w:pPr>
        <w:pStyle w:val="3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0A838284">
      <w:pPr>
        <w:pStyle w:val="33"/>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C875E39">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00B35998">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7A8BC04B">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6AB807D6">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268CD41E">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0967BED4">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194A653D">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C443F50">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235B4411">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4E9E14B9">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5187DFAC">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5787ADD0">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6E1155C">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3D4BBD98">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9D1BB36">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58BE01E7">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14:paraId="214FC93C">
      <w:pPr>
        <w:pStyle w:val="890"/>
        <w:shd w:val="clear" w:color="auto" w:fill="FFFFFF"/>
        <w:snapToGrid w:val="0"/>
        <w:spacing w:after="240" w:afterAutospacing="0" w:line="360" w:lineRule="auto"/>
        <w:ind w:firstLine="480" w:firstLineChars="200"/>
        <w:contextualSpacing/>
        <w:rPr>
          <w:rFonts w:hint="eastAsia" w:eastAsia="宋体"/>
          <w:color w:val="auto"/>
          <w:highlight w:val="none"/>
          <w:lang w:val="en-US" w:eastAsia="zh-CN"/>
        </w:rPr>
      </w:pPr>
      <w:r>
        <w:rPr>
          <w:rFonts w:hint="eastAsia" w:asciiTheme="minorEastAsia" w:hAnsiTheme="minorEastAsia" w:eastAsiaTheme="minorEastAsia"/>
          <w:color w:val="auto"/>
          <w:highlight w:val="none"/>
        </w:rPr>
        <w:t>4.</w:t>
      </w: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rPr>
        <w:t>.5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仿宋"/>
          <w:color w:val="auto"/>
          <w:sz w:val="24"/>
          <w:highlight w:val="none"/>
        </w:rPr>
        <w:t>。</w:t>
      </w:r>
    </w:p>
    <w:p w14:paraId="2A946174">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1FBB70EF">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4DAA85B4">
      <w:pPr>
        <w:pStyle w:val="890"/>
        <w:shd w:val="clear" w:color="auto" w:fill="FFFFFF"/>
        <w:snapToGrid w:val="0"/>
        <w:spacing w:after="240" w:afterAutospacing="0" w:line="360" w:lineRule="auto"/>
        <w:ind w:firstLine="480" w:firstLineChars="200"/>
        <w:contextualSpacing/>
        <w:rPr>
          <w:rFonts w:hint="eastAsia"/>
          <w:color w:val="auto"/>
          <w:highlight w:val="none"/>
        </w:rPr>
      </w:pPr>
    </w:p>
    <w:p w14:paraId="0450B80C">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投诉书范本及制作说明详见附件3。</w:t>
      </w:r>
    </w:p>
    <w:p w14:paraId="02FEA4B4">
      <w:pPr>
        <w:pStyle w:val="132"/>
        <w:snapToGrid w:val="0"/>
        <w:spacing w:before="0"/>
        <w:ind w:firstLine="360"/>
        <w:rPr>
          <w:rFonts w:ascii="宋体" w:hAnsi="宋体" w:cs="宋体"/>
          <w:color w:val="auto"/>
          <w:sz w:val="18"/>
          <w:szCs w:val="18"/>
          <w:highlight w:val="none"/>
        </w:rPr>
      </w:pPr>
    </w:p>
    <w:p w14:paraId="7B9523FB">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二、采购文件的构成、澄清、修改</w:t>
      </w:r>
    </w:p>
    <w:p w14:paraId="3BC50491">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5．采购文件的构成</w:t>
      </w:r>
    </w:p>
    <w:p w14:paraId="1BEE6326">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采购文件包括下列文件及附件：</w:t>
      </w:r>
    </w:p>
    <w:p w14:paraId="667752C2">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5.1.1竞争性磋商公告；</w:t>
      </w:r>
    </w:p>
    <w:p w14:paraId="727BEED6">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5.1.2供应商须知；</w:t>
      </w:r>
    </w:p>
    <w:p w14:paraId="4E057601">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9C9A60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5.1.4评审办法；</w:t>
      </w:r>
    </w:p>
    <w:p w14:paraId="3524385F">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3CC73559">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3876F9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澄清或者修改的内容为采购文件的组成部分</w:t>
      </w:r>
      <w:r>
        <w:rPr>
          <w:rFonts w:hint="eastAsia" w:ascii="宋体" w:hAnsi="宋体" w:cs="宋体"/>
          <w:color w:val="auto"/>
          <w:sz w:val="24"/>
          <w:highlight w:val="none"/>
        </w:rPr>
        <w:t>。</w:t>
      </w:r>
    </w:p>
    <w:p w14:paraId="241963A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采购文件的澄清、修改</w:t>
      </w:r>
    </w:p>
    <w:p w14:paraId="09C74BE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6.1已获取采购文件的潜在供应商，若有问题需要澄清，应于响应文件提交（上传）截止时间前，以书面形式向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46CB26C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3B379D83">
      <w:pPr>
        <w:pStyle w:val="24"/>
        <w:rPr>
          <w:rFonts w:hAnsi="宋体" w:cs="宋体"/>
          <w:color w:val="auto"/>
          <w:sz w:val="18"/>
          <w:szCs w:val="18"/>
          <w:highlight w:val="none"/>
          <w:lang w:val="en-US"/>
        </w:rPr>
      </w:pPr>
    </w:p>
    <w:p w14:paraId="08EAEBA5">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三、提交响应文件</w:t>
      </w:r>
    </w:p>
    <w:p w14:paraId="25D7BED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采购文件的获取</w:t>
      </w:r>
    </w:p>
    <w:p w14:paraId="5353A6E8">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详见竞争性磋商公告中获取采购文件的时间期限、地点、方式及采购文件售价。</w:t>
      </w:r>
    </w:p>
    <w:p w14:paraId="5888366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8.磋商前答疑会或现场考察</w:t>
      </w:r>
    </w:p>
    <w:p w14:paraId="6B51A41B">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采购人组织潜在供应商现场考察或者召开磋商前答疑会的，潜在供应商按第二部分供应商须知前附表的规定参加现场考察或者磋商前答疑会。</w:t>
      </w:r>
    </w:p>
    <w:p w14:paraId="70C795E8">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9.磋商保证金</w:t>
      </w:r>
    </w:p>
    <w:p w14:paraId="4C0A0BB4">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本项目不需缴纳磋商保证金。</w:t>
      </w:r>
    </w:p>
    <w:p w14:paraId="258AD01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响应文件的语言</w:t>
      </w:r>
    </w:p>
    <w:p w14:paraId="21A9C8E1">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响应文件及供应商与采购有关的来往通知、函件和文件均应使用中文。</w:t>
      </w:r>
    </w:p>
    <w:p w14:paraId="6F71CC65">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响应文件的组成</w:t>
      </w:r>
    </w:p>
    <w:p w14:paraId="0AE97AC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157EF8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3B5B36D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Start w:id="18" w:name="_Hlk101257010"/>
      <w:r>
        <w:rPr>
          <w:rFonts w:hint="eastAsia" w:ascii="宋体" w:hAnsi="宋体" w:cs="宋体"/>
          <w:snapToGrid w:val="0"/>
          <w:color w:val="auto"/>
          <w:kern w:val="28"/>
          <w:sz w:val="24"/>
          <w:szCs w:val="20"/>
          <w:highlight w:val="none"/>
        </w:rPr>
        <w:t>（如果有)</w:t>
      </w:r>
      <w:bookmarkEnd w:id="17"/>
      <w:bookmarkEnd w:id="18"/>
      <w:r>
        <w:rPr>
          <w:rFonts w:hint="eastAsia" w:ascii="宋体" w:hAnsi="宋体" w:cs="宋体"/>
          <w:snapToGrid w:val="0"/>
          <w:color w:val="auto"/>
          <w:kern w:val="28"/>
          <w:sz w:val="24"/>
          <w:szCs w:val="20"/>
          <w:highlight w:val="none"/>
        </w:rPr>
        <w:t>；</w:t>
      </w:r>
    </w:p>
    <w:p w14:paraId="5C627DA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833199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CB1A82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D68960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11.2.1响应函；</w:t>
      </w:r>
      <w:r>
        <w:rPr>
          <w:rFonts w:hint="eastAsia" w:ascii="宋体" w:hAnsi="宋体" w:cs="宋体"/>
          <w:color w:val="auto"/>
          <w:sz w:val="24"/>
          <w:highlight w:val="none"/>
          <w:lang w:val="zh-CN"/>
        </w:rPr>
        <w:t xml:space="preserve"> </w:t>
      </w:r>
    </w:p>
    <w:p w14:paraId="302C6B5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143C92C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11.2.3分包意向协议（如果有)；</w:t>
      </w:r>
    </w:p>
    <w:p w14:paraId="487BF2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11.2.4符合性审查资料；</w:t>
      </w:r>
    </w:p>
    <w:p w14:paraId="73933AF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11.2.5评审标准相应的商务技术资料；</w:t>
      </w:r>
    </w:p>
    <w:p w14:paraId="0B28361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11.2.6商务技术偏离表；</w:t>
      </w:r>
    </w:p>
    <w:p w14:paraId="182A2759">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261EDA9F">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7249936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11.3.1报价单；</w:t>
      </w:r>
    </w:p>
    <w:p w14:paraId="11B11AF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11.3.2已标价工程量清单；</w:t>
      </w:r>
    </w:p>
    <w:p w14:paraId="7187AE61">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11.3.3中小企业声明函。</w:t>
      </w:r>
    </w:p>
    <w:p w14:paraId="173AB0DF">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响应文件含有采购人不能接受的附加条件的，响应文件无效；</w:t>
      </w:r>
    </w:p>
    <w:p w14:paraId="669F5441">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供应商提供虚假材料的，响应文件无效。</w:t>
      </w:r>
    </w:p>
    <w:p w14:paraId="3E57F5DC">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供应商可事先在公开官网查询、核对相关证书和报告内容，确保投标（响应）文件资料准确无误。供应商应对响应文件中材料的真实性、合法性负责。</w:t>
      </w:r>
    </w:p>
    <w:p w14:paraId="79A7F602">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响应文件的编制</w:t>
      </w:r>
    </w:p>
    <w:p w14:paraId="6E53F577">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10403B8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40ADDCE5">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315B3C2">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13.响应文件的签署、盖章</w:t>
      </w:r>
    </w:p>
    <w:p w14:paraId="4D086772">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13.1响应文件按照采购文件第六部分格式要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▲供应商的响应文件未按照采购文件要求签署、盖章的，其响应文件无效</w:t>
      </w:r>
      <w:r>
        <w:rPr>
          <w:rFonts w:hint="eastAsia" w:ascii="宋体" w:hAnsi="宋体" w:cs="宋体"/>
          <w:color w:val="auto"/>
          <w:szCs w:val="24"/>
          <w:highlight w:val="none"/>
        </w:rPr>
        <w:t>。</w:t>
      </w:r>
    </w:p>
    <w:p w14:paraId="3CC483F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13.2为确保网上操作合法、有效和安全，供应商应当在响应文件提交（上传）截止时间前完成在“政府采购云平台”的身份认证，确保在电子投标过程中能够对相关数据电文进行加密和使用电子签名。</w:t>
      </w:r>
    </w:p>
    <w:p w14:paraId="196CE33F">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13.3采购文件对响应文件签署、盖章的要求适用于电子签名。</w:t>
      </w:r>
    </w:p>
    <w:p w14:paraId="04813BFC">
      <w:pPr>
        <w:pStyle w:val="132"/>
        <w:snapToGrid w:val="0"/>
        <w:spacing w:before="0"/>
        <w:ind w:firstLine="0" w:firstLineChars="0"/>
        <w:rPr>
          <w:rFonts w:ascii="宋体" w:hAnsi="宋体" w:cs="宋体"/>
          <w:b/>
          <w:color w:val="auto"/>
          <w:szCs w:val="24"/>
          <w:highlight w:val="none"/>
        </w:rPr>
      </w:pPr>
    </w:p>
    <w:p w14:paraId="4FA2F12E">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响应文件的提交、补充、修改、撤回</w:t>
      </w:r>
    </w:p>
    <w:p w14:paraId="49A2A3D1">
      <w:pPr>
        <w:pStyle w:val="132"/>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43ABBC9C">
      <w:pPr>
        <w:pStyle w:val="132"/>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14.2电子交易平台收到响应文件，将妥善保存并即时向供应商发出确认回执通知。在响应文件提交（上传）截止时间前，除供应商补充、修改或者撤回响应文件外，任何单位和个人不得解密或提取响应文件。</w:t>
      </w:r>
    </w:p>
    <w:p w14:paraId="35C6880F">
      <w:pPr>
        <w:pStyle w:val="132"/>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可以视情况延长响应文件提交的截止时间。在上述情况下，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与供应商以前在响应文件提交截止时间方面的全部权利、责任和义务，将适用于延长至新的响应文件提交截止时间。</w:t>
      </w:r>
    </w:p>
    <w:p w14:paraId="351447D3">
      <w:pPr>
        <w:pStyle w:val="3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15.备份响应文件</w:t>
      </w:r>
    </w:p>
    <w:p w14:paraId="75544BDB">
      <w:pPr>
        <w:pStyle w:val="33"/>
        <w:snapToGrid w:val="0"/>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15.1供应商在电子交易平台传输递交响应文件后，还可以在响应文件提交（上传）截止时间前直接提交或者以邮政快递方式递交备份响应文件1份，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不强制或变相强制供应商提交备份响应文件。</w:t>
      </w:r>
    </w:p>
    <w:p w14:paraId="2F4961CB">
      <w:pPr>
        <w:pStyle w:val="33"/>
        <w:snapToGrid w:val="0"/>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15.2备份响应文件须在“政采云投标客户端”制作生成，并储存在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存储、密封规定的备份响应文件将被视为无效或者被拒绝接收。</w:t>
      </w:r>
    </w:p>
    <w:p w14:paraId="2EB16337">
      <w:pPr>
        <w:pStyle w:val="33"/>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15.3直接提交备份响应文件的，供应商应于响应文件提交（上传）截止时间前在竞争性磋商公告中载明的响应文件开启地点将备份响应文件提交给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将拒绝接受逾期送达的备份响应文件。</w:t>
      </w:r>
    </w:p>
    <w:p w14:paraId="532976F8">
      <w:pPr>
        <w:pStyle w:val="33"/>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color w:val="auto"/>
          <w:sz w:val="24"/>
          <w:szCs w:val="24"/>
          <w:highlight w:val="none"/>
        </w:rPr>
        <w:t>采购文件第二部分供应商须知前附表规定的备份响应文件送达地点；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将拒绝接受逾期送达的备份响应文件。邮寄过程中，电子备份响应文件发生泄露、遗失、损坏或延期送达等情况的，由供应商自行负责。</w:t>
      </w:r>
    </w:p>
    <w:p w14:paraId="2BE01B02">
      <w:pPr>
        <w:pStyle w:val="33"/>
        <w:snapToGrid w:val="0"/>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15.5供应商仅提交备份响应文件，未在电子交易平台传输递交响应文件的，响应文件无效。</w:t>
      </w:r>
    </w:p>
    <w:p w14:paraId="40577DFD">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16.响应文件的无效处理</w:t>
      </w:r>
    </w:p>
    <w:p w14:paraId="61E804F1">
      <w:pPr>
        <w:pStyle w:val="25"/>
        <w:spacing w:line="360" w:lineRule="auto"/>
        <w:ind w:firstLine="360" w:firstLineChars="150"/>
        <w:rPr>
          <w:rFonts w:cs="宋体"/>
          <w:color w:val="auto"/>
          <w:szCs w:val="21"/>
          <w:highlight w:val="none"/>
        </w:rPr>
      </w:pPr>
      <w:r>
        <w:rPr>
          <w:rFonts w:hint="eastAsia" w:cs="宋体"/>
          <w:color w:val="auto"/>
          <w:szCs w:val="21"/>
          <w:highlight w:val="none"/>
        </w:rPr>
        <w:t>有采购文件第四部分</w:t>
      </w:r>
      <w:r>
        <w:rPr>
          <w:rFonts w:hint="eastAsia" w:cs="宋体"/>
          <w:color w:val="auto"/>
          <w:highlight w:val="none"/>
        </w:rPr>
        <w:t>4.2规定</w:t>
      </w:r>
      <w:r>
        <w:rPr>
          <w:rFonts w:hint="eastAsia" w:cs="宋体"/>
          <w:color w:val="auto"/>
          <w:szCs w:val="21"/>
          <w:highlight w:val="none"/>
        </w:rPr>
        <w:t>的情形之一的，响应文件无效：</w:t>
      </w:r>
    </w:p>
    <w:p w14:paraId="57DBC14D">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17.响应文件有效期</w:t>
      </w:r>
    </w:p>
    <w:p w14:paraId="14D3D68F">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17.1响应文件有效期为从提交响应文件的截止之日起90天。▲</w:t>
      </w:r>
      <w:r>
        <w:rPr>
          <w:rFonts w:hint="eastAsia" w:ascii="宋体" w:hAnsi="宋体" w:cs="宋体"/>
          <w:b/>
          <w:color w:val="auto"/>
          <w:sz w:val="24"/>
          <w:szCs w:val="20"/>
          <w:highlight w:val="none"/>
        </w:rPr>
        <w:t>供应商的响应文件中承</w:t>
      </w:r>
      <w:r>
        <w:rPr>
          <w:rFonts w:hint="eastAsia" w:ascii="宋体" w:hAnsi="宋体" w:cs="宋体"/>
          <w:b/>
          <w:color w:val="auto"/>
          <w:sz w:val="24"/>
          <w:szCs w:val="21"/>
          <w:highlight w:val="none"/>
        </w:rPr>
        <w:t>诺的响应文件有效期少于采购文件中载明的响应文件有效期的，响应文件无效。</w:t>
      </w:r>
    </w:p>
    <w:p w14:paraId="44C4F022">
      <w:pPr>
        <w:pStyle w:val="132"/>
        <w:spacing w:before="0"/>
        <w:ind w:firstLine="480"/>
        <w:rPr>
          <w:rFonts w:ascii="宋体" w:hAnsi="宋体" w:cs="宋体"/>
          <w:color w:val="auto"/>
          <w:highlight w:val="none"/>
        </w:rPr>
      </w:pPr>
      <w:r>
        <w:rPr>
          <w:rFonts w:hint="eastAsia" w:ascii="宋体" w:hAnsi="宋体" w:cs="宋体"/>
          <w:color w:val="auto"/>
          <w:highlight w:val="none"/>
        </w:rPr>
        <w:t>17.2响应文件合格投递后，自响应文件提交截止时间起，在响应文件有效期内有效。</w:t>
      </w:r>
    </w:p>
    <w:p w14:paraId="58F8458C">
      <w:pPr>
        <w:pStyle w:val="132"/>
        <w:spacing w:before="0"/>
        <w:ind w:firstLine="480"/>
        <w:rPr>
          <w:rFonts w:ascii="宋体" w:hAnsi="宋体" w:cs="宋体"/>
          <w:color w:val="auto"/>
          <w:highlight w:val="none"/>
        </w:rPr>
      </w:pPr>
      <w:r>
        <w:rPr>
          <w:rFonts w:hint="eastAsia" w:ascii="宋体" w:hAnsi="宋体" w:cs="宋体"/>
          <w:color w:val="auto"/>
          <w:highlight w:val="none"/>
        </w:rPr>
        <w:t>17.3在原定响应文件有效期满之前，如果出现特殊情况，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可以以书面形式通知供应商延长响应文件有效期。供应商同意延长的，不得要求或被允许修改其响应文件，供应商拒绝延长的，其响应文件无效。</w:t>
      </w:r>
    </w:p>
    <w:p w14:paraId="51147B23">
      <w:pPr>
        <w:pStyle w:val="132"/>
        <w:spacing w:before="0"/>
        <w:ind w:firstLine="643"/>
        <w:rPr>
          <w:rFonts w:ascii="宋体" w:hAnsi="宋体" w:cs="宋体"/>
          <w:b/>
          <w:color w:val="auto"/>
          <w:sz w:val="32"/>
          <w:highlight w:val="none"/>
        </w:rPr>
      </w:pPr>
    </w:p>
    <w:p w14:paraId="45C7E013">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四、响应文件开启、资格审查与信用信息查询</w:t>
      </w:r>
    </w:p>
    <w:p w14:paraId="34C38DC5">
      <w:pPr>
        <w:pStyle w:val="558"/>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18.响应文件开启</w:t>
      </w:r>
      <w:r>
        <w:rPr>
          <w:rFonts w:hint="eastAsia" w:ascii="宋体" w:hAnsi="宋体" w:cs="宋体"/>
          <w:color w:val="auto"/>
          <w:sz w:val="24"/>
          <w:highlight w:val="none"/>
        </w:rPr>
        <w:t xml:space="preserve"> </w:t>
      </w:r>
    </w:p>
    <w:p w14:paraId="45030AEF">
      <w:pPr>
        <w:pStyle w:val="558"/>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按照采购文件规定的时间通过电子交易平台组织响应文件开启，所有供应商均应当准时在线参加。供应商不足3家的，不得开启。</w:t>
      </w:r>
    </w:p>
    <w:p w14:paraId="19D5FEF0">
      <w:pPr>
        <w:pStyle w:val="558"/>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18.2响应文件开启时，电子交易平台按响应文件开启时间自动提取所有响应文件。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依托电子交易平台发起开始解密指令，供应商按照平台提示和采购文件的规定在半小时内完成在线解密。</w:t>
      </w:r>
    </w:p>
    <w:p w14:paraId="16EB664C">
      <w:pPr>
        <w:pStyle w:val="558"/>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b/>
          <w:bCs/>
          <w:color w:val="auto"/>
          <w:sz w:val="24"/>
          <w:highlight w:val="none"/>
        </w:rPr>
        <w:t>响应文件未按时解密，供应商提供了备份响应文件的，以备份响应文件作为依据，否则视为响应文件撤回。响应文件已按时解密的，备份响应文件自动失效。</w:t>
      </w:r>
    </w:p>
    <w:p w14:paraId="1DBB44BA">
      <w:pPr>
        <w:pStyle w:val="558"/>
        <w:spacing w:before="0" w:line="360" w:lineRule="auto"/>
        <w:ind w:left="0" w:firstLine="0"/>
        <w:contextualSpacing/>
        <w:rPr>
          <w:rFonts w:ascii="宋体" w:hAnsi="宋体" w:cs="宋体"/>
          <w:b/>
          <w:color w:val="auto"/>
          <w:sz w:val="24"/>
          <w:szCs w:val="24"/>
          <w:highlight w:val="none"/>
        </w:rPr>
      </w:pPr>
      <w:r>
        <w:rPr>
          <w:rFonts w:hint="eastAsia" w:ascii="宋体" w:hAnsi="宋体" w:cs="宋体"/>
          <w:b/>
          <w:color w:val="auto"/>
          <w:sz w:val="24"/>
          <w:szCs w:val="24"/>
          <w:highlight w:val="none"/>
        </w:rPr>
        <w:t>19、资格审查</w:t>
      </w:r>
    </w:p>
    <w:p w14:paraId="79789D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或磋商小组依据法律法规和采购文件的规定，对供应商的资格进行审查。</w:t>
      </w:r>
    </w:p>
    <w:p w14:paraId="662F9981">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供应商未按照采购文件要求提供与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供应商不具备采购文件中规定的资格要求，其响应文件无效。</w:t>
      </w:r>
    </w:p>
    <w:p w14:paraId="720BF6A8">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对未通过资格审查的供应商，采购人或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5AD18DEF">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合格供应商不足3家的，不再评审。</w:t>
      </w:r>
    </w:p>
    <w:p w14:paraId="1E65B4DE">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18BDD043">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将在资格审查时通过“信用中国”网站(www.creditchina.gov.cn)、中国政府采购网(www.ccgp.gov.cn)渠道查询供应商接受资格审查时的信用记录。</w:t>
      </w:r>
    </w:p>
    <w:p w14:paraId="3C28207C">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20.2信用信息查询记录和证据留存的具体方式：现场查询的供应商的信用记录、查询结果经确认后将与采购文件一起存档。</w:t>
      </w:r>
    </w:p>
    <w:p w14:paraId="08FE3D39">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20.3信用信息的使用规则：经查询列入失信被执行人名单、重大税收违法案件当事人名单、政府采购严重违法失信行为记录名单的供应商将被拒绝参与政府采购活动。</w:t>
      </w:r>
    </w:p>
    <w:p w14:paraId="66A7A1A4">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4F6540D">
      <w:pPr>
        <w:pStyle w:val="132"/>
        <w:spacing w:before="0"/>
        <w:ind w:firstLine="0" w:firstLineChars="0"/>
        <w:rPr>
          <w:rFonts w:ascii="宋体" w:hAnsi="宋体" w:cs="宋体"/>
          <w:color w:val="auto"/>
          <w:kern w:val="0"/>
          <w:szCs w:val="24"/>
          <w:highlight w:val="none"/>
        </w:rPr>
      </w:pPr>
    </w:p>
    <w:p w14:paraId="6973DF51">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五、评审</w:t>
      </w:r>
    </w:p>
    <w:p w14:paraId="2AF61797">
      <w:pPr>
        <w:spacing w:line="360" w:lineRule="auto"/>
        <w:rPr>
          <w:rFonts w:ascii="宋体" w:hAnsi="宋体" w:cs="宋体"/>
          <w:b/>
          <w:color w:val="auto"/>
          <w:sz w:val="24"/>
          <w:highlight w:val="none"/>
        </w:rPr>
      </w:pPr>
      <w:bookmarkStart w:id="19"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color w:val="auto"/>
          <w:sz w:val="24"/>
          <w:highlight w:val="none"/>
        </w:rPr>
        <w:t>详见采购文件第四部分评审办法。</w:t>
      </w:r>
    </w:p>
    <w:p w14:paraId="22754A65">
      <w:pPr>
        <w:spacing w:line="360" w:lineRule="auto"/>
        <w:rPr>
          <w:rFonts w:ascii="宋体" w:hAnsi="宋体" w:cs="宋体"/>
          <w:b/>
          <w:color w:val="auto"/>
          <w:sz w:val="24"/>
          <w:highlight w:val="none"/>
        </w:rPr>
      </w:pPr>
    </w:p>
    <w:p w14:paraId="6B310591">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六、成交供应商确定</w:t>
      </w:r>
    </w:p>
    <w:p w14:paraId="687020F4">
      <w:pPr>
        <w:pStyle w:val="25"/>
        <w:spacing w:line="360" w:lineRule="auto"/>
        <w:ind w:left="479" w:hanging="479" w:hangingChars="199"/>
        <w:rPr>
          <w:rFonts w:cs="宋体"/>
          <w:b/>
          <w:color w:val="auto"/>
          <w:highlight w:val="none"/>
        </w:rPr>
      </w:pPr>
      <w:r>
        <w:rPr>
          <w:rFonts w:hint="eastAsia" w:cs="宋体"/>
          <w:b/>
          <w:color w:val="auto"/>
          <w:highlight w:val="none"/>
        </w:rPr>
        <w:t>22. 确定成交供应商</w:t>
      </w:r>
    </w:p>
    <w:p w14:paraId="67A80751">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w:t>
      </w:r>
      <w:r>
        <w:rPr>
          <w:rFonts w:hint="eastAsia" w:ascii="宋体" w:hAnsi="宋体" w:cs="宋体"/>
          <w:color w:val="auto"/>
          <w:szCs w:val="24"/>
          <w:highlight w:val="none"/>
        </w:rPr>
        <w:t>。中标、成交通知书和中标、成交结果公告应当在规定时间内同时发出。</w:t>
      </w:r>
    </w:p>
    <w:p w14:paraId="0C9DAE0E">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成交通知与成交结果公告</w:t>
      </w:r>
    </w:p>
    <w:p w14:paraId="320DFD0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23.1自成交供应商确定之日起1个工作日内，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通过电子交易平台向成交供应商发出成交通知书，同时编制发布采购结果公告。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也可以以纸质形式进行成交通知。</w:t>
      </w:r>
    </w:p>
    <w:p w14:paraId="04067398">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23.2成交结果公告内容包括采购人及其委托的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22A7C64C">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00E4310C">
      <w:pPr>
        <w:widowControl/>
        <w:shd w:val="clear" w:color="auto" w:fill="FFFFFF"/>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23.4</w:t>
      </w:r>
      <w:r>
        <w:rPr>
          <w:rFonts w:hint="eastAsia" w:ascii="宋体" w:hAnsi="宋体" w:eastAsia="宋体" w:cs="宋体"/>
          <w:b w:val="0"/>
          <w:bCs/>
          <w:color w:val="auto"/>
          <w:sz w:val="24"/>
          <w:szCs w:val="24"/>
          <w:highlight w:val="none"/>
        </w:rPr>
        <w:t>由于</w:t>
      </w:r>
      <w:r>
        <w:rPr>
          <w:rFonts w:hint="eastAsia" w:ascii="宋体" w:hAnsi="宋体" w:eastAsia="宋体" w:cs="宋体"/>
          <w:bCs/>
          <w:color w:val="auto"/>
          <w:sz w:val="24"/>
          <w:szCs w:val="24"/>
          <w:highlight w:val="none"/>
        </w:rPr>
        <w:t>成交供应商原因导致重新采购的，应当承担支付代理费和专家评审费等费用在内的赔偿责任。</w:t>
      </w:r>
    </w:p>
    <w:p w14:paraId="1D3C3428">
      <w:pPr>
        <w:snapToGrid w:val="0"/>
        <w:spacing w:line="360" w:lineRule="auto"/>
        <w:ind w:left="120" w:leftChars="57" w:firstLine="482" w:firstLineChars="150"/>
        <w:jc w:val="center"/>
        <w:rPr>
          <w:rFonts w:ascii="宋体" w:hAnsi="宋体" w:cs="宋体"/>
          <w:b/>
          <w:color w:val="auto"/>
          <w:sz w:val="32"/>
          <w:highlight w:val="none"/>
        </w:rPr>
      </w:pPr>
    </w:p>
    <w:p w14:paraId="4975CE3E">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七、合同授予</w:t>
      </w:r>
    </w:p>
    <w:p w14:paraId="4A06CA2D">
      <w:pPr>
        <w:pStyle w:val="25"/>
        <w:snapToGrid w:val="0"/>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15DF5686">
      <w:pPr>
        <w:pStyle w:val="25"/>
        <w:snapToGrid w:val="0"/>
        <w:spacing w:line="360" w:lineRule="auto"/>
        <w:ind w:left="479" w:hanging="479" w:hangingChars="199"/>
        <w:rPr>
          <w:rFonts w:cs="宋体"/>
          <w:b/>
          <w:color w:val="auto"/>
          <w:highlight w:val="none"/>
        </w:rPr>
      </w:pPr>
      <w:r>
        <w:rPr>
          <w:rFonts w:hint="eastAsia" w:cs="宋体"/>
          <w:b/>
          <w:color w:val="auto"/>
          <w:highlight w:val="none"/>
        </w:rPr>
        <w:t>25. 合同的签订</w:t>
      </w:r>
    </w:p>
    <w:p w14:paraId="68AE143F">
      <w:pPr>
        <w:widowControl/>
        <w:shd w:val="clear" w:color="auto" w:fill="FFFFFF"/>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3D074ABC">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25.2成交供应商按规定的日期、时间、地点，由法定代表人或其授权代表与采购人代表签订合同。如成交供应商为联合体的，由联合体成员各方法定代表人或其授权代表与采购人代表签订合同。</w:t>
      </w:r>
    </w:p>
    <w:p w14:paraId="45E35E3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752252A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1B59A8C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25.5采购合同由采购人与成交供应商根据采购文件、响应文件等内容通过政府采购电子交易平台在线签订，自动备案。</w:t>
      </w:r>
    </w:p>
    <w:p w14:paraId="638FC5AD">
      <w:pPr>
        <w:pStyle w:val="25"/>
        <w:snapToGrid w:val="0"/>
        <w:spacing w:line="360" w:lineRule="auto"/>
        <w:ind w:left="479" w:hanging="479" w:hangingChars="199"/>
        <w:rPr>
          <w:rFonts w:cs="宋体"/>
          <w:b/>
          <w:color w:val="auto"/>
          <w:highlight w:val="none"/>
        </w:rPr>
      </w:pPr>
      <w:r>
        <w:rPr>
          <w:rFonts w:hint="eastAsia" w:cs="宋体"/>
          <w:b/>
          <w:color w:val="auto"/>
          <w:highlight w:val="none"/>
        </w:rPr>
        <w:t>26. 履约保证金</w:t>
      </w:r>
    </w:p>
    <w:p w14:paraId="1D422CAC">
      <w:pPr>
        <w:tabs>
          <w:tab w:val="left" w:pos="0"/>
        </w:tabs>
        <w:snapToGrid w:val="0"/>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。杭州市政府采购网公布的供应商履约评价为满分的供应商，采购单位应当免收履约保证金。确需收取履约保证金的，履约保证金缴纳最高比例由不超过</w:t>
      </w:r>
      <w:r>
        <w:rPr>
          <w:rFonts w:hint="eastAsia" w:ascii="宋体" w:hAnsi="宋体" w:cs="宋体"/>
          <w:color w:val="auto"/>
          <w:kern w:val="2"/>
          <w:sz w:val="24"/>
          <w:highlight w:val="none"/>
        </w:rPr>
        <w:t>合同金额的</w:t>
      </w:r>
      <w:r>
        <w:rPr>
          <w:rFonts w:ascii="宋体" w:hAnsi="宋体" w:cs="宋体"/>
          <w:color w:val="auto"/>
          <w:kern w:val="2"/>
          <w:sz w:val="24"/>
          <w:highlight w:val="none"/>
        </w:rPr>
        <w:t>1%</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kern w:val="2"/>
          <w:sz w:val="24"/>
          <w:highlight w:val="none"/>
        </w:rPr>
        <w:t>。</w:t>
      </w:r>
      <w:r>
        <w:rPr>
          <w:rFonts w:hint="eastAsia" w:ascii="宋体" w:hAnsi="宋体" w:cs="宋体"/>
          <w:color w:val="auto"/>
          <w:sz w:val="24"/>
          <w:highlight w:val="none"/>
        </w:rPr>
        <w:t>采购单位鼓励供应商采取履约保函形式提供信用保证；供应商提供保函的，采购单位不得拒收。项目验收结束后应及时退还，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7018198C">
      <w:pPr>
        <w:pStyle w:val="3"/>
        <w:snapToGrid w:val="0"/>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21BD6B82">
      <w:pPr>
        <w:pStyle w:val="3"/>
        <w:rPr>
          <w:color w:val="auto"/>
          <w:highlight w:val="none"/>
        </w:rPr>
      </w:pPr>
      <w:r>
        <w:rPr>
          <w:rFonts w:ascii="宋体" w:hAnsi="宋体" w:eastAsia="宋体" w:cs="Times New Roman"/>
          <w:b/>
          <w:bCs/>
          <w:color w:val="auto"/>
          <w:kern w:val="2"/>
          <w:sz w:val="24"/>
          <w:szCs w:val="32"/>
          <w:highlight w:val="none"/>
          <w:lang w:val="en-US"/>
        </w:rPr>
        <w:t>27.预付款</w:t>
      </w:r>
    </w:p>
    <w:p w14:paraId="7674042F">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5085294B">
      <w:pPr>
        <w:rPr>
          <w:color w:val="auto"/>
          <w:highlight w:val="none"/>
        </w:rPr>
      </w:pPr>
    </w:p>
    <w:p w14:paraId="7AA8E11D">
      <w:pPr>
        <w:snapToGrid w:val="0"/>
        <w:spacing w:line="360" w:lineRule="auto"/>
        <w:ind w:firstLine="3357" w:firstLineChars="1045"/>
        <w:rPr>
          <w:rFonts w:ascii="宋体" w:hAnsi="宋体" w:cs="宋体"/>
          <w:b/>
          <w:color w:val="auto"/>
          <w:sz w:val="32"/>
          <w:highlight w:val="none"/>
        </w:rPr>
      </w:pPr>
    </w:p>
    <w:p w14:paraId="069C2720">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八、电子交易活动的中止</w:t>
      </w:r>
    </w:p>
    <w:p w14:paraId="6D94CDB6">
      <w:pPr>
        <w:pStyle w:val="132"/>
        <w:snapToGrid w:val="0"/>
        <w:spacing w:before="0"/>
        <w:ind w:firstLine="0" w:firstLineChars="0"/>
        <w:rPr>
          <w:rFonts w:ascii="宋体" w:hAnsi="宋体" w:cs="宋体"/>
          <w:color w:val="auto"/>
          <w:highlight w:val="none"/>
        </w:rPr>
      </w:pPr>
      <w:r>
        <w:rPr>
          <w:rFonts w:ascii="宋体" w:hAnsi="宋体" w:cs="宋体"/>
          <w:b/>
          <w:bCs/>
          <w:color w:val="auto"/>
          <w:kern w:val="2"/>
          <w:szCs w:val="20"/>
          <w:highlight w:val="none"/>
        </w:rPr>
        <w:t>2</w:t>
      </w:r>
      <w:r>
        <w:rPr>
          <w:rFonts w:ascii="宋体" w:hAnsi="宋体" w:cs="宋体"/>
          <w:b/>
          <w:bCs/>
          <w:color w:val="auto"/>
          <w:kern w:val="2"/>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54F730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2FEA4B86">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2779F83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968499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75EDD0D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DB74E8B">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19177AC">
      <w:pPr>
        <w:tabs>
          <w:tab w:val="left" w:pos="0"/>
        </w:tabs>
        <w:spacing w:line="360" w:lineRule="auto"/>
        <w:ind w:firstLine="480"/>
        <w:rPr>
          <w:rFonts w:ascii="宋体" w:hAnsi="宋体" w:cs="宋体"/>
          <w:color w:val="auto"/>
          <w:sz w:val="24"/>
          <w:highlight w:val="none"/>
        </w:rPr>
      </w:pPr>
    </w:p>
    <w:p w14:paraId="7496ED7D">
      <w:pPr>
        <w:snapToGrid w:val="0"/>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九、验收</w:t>
      </w:r>
    </w:p>
    <w:p w14:paraId="32321451">
      <w:pPr>
        <w:pStyle w:val="25"/>
        <w:spacing w:line="360" w:lineRule="auto"/>
        <w:ind w:firstLine="0" w:firstLineChars="0"/>
        <w:rPr>
          <w:rFonts w:cs="宋体"/>
          <w:b/>
          <w:color w:val="auto"/>
          <w:highlight w:val="none"/>
        </w:rPr>
      </w:pPr>
      <w:r>
        <w:rPr>
          <w:rFonts w:hint="eastAsia" w:cs="宋体"/>
          <w:b/>
          <w:color w:val="auto"/>
          <w:highlight w:val="none"/>
        </w:rPr>
        <w:t>30.验收</w:t>
      </w:r>
    </w:p>
    <w:p w14:paraId="62265F6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w:t>
      </w:r>
      <w:r>
        <w:rPr>
          <w:rFonts w:hint="eastAsia" w:ascii="宋体" w:hAnsi="宋体" w:cs="宋体"/>
          <w:color w:val="auto"/>
          <w:kern w:val="0"/>
          <w:sz w:val="24"/>
          <w:highlight w:val="none"/>
        </w:rPr>
        <w:t>采购人应当根据采购项目的具体情况，自行组织项目验收或者委托采购代理机构验收。</w:t>
      </w:r>
      <w:r>
        <w:rPr>
          <w:rFonts w:hint="eastAsia" w:ascii="宋体" w:hAnsi="宋体" w:cs="宋体"/>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ADD4C4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30.2采购人可以邀请参加本项目的其他供应商或者第三方机构参与验收。参与验收的供应商或者第三方机构的意见作为验收书的参考资料一并存档。</w:t>
      </w:r>
    </w:p>
    <w:p w14:paraId="264BE12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2F356D">
      <w:pPr>
        <w:tabs>
          <w:tab w:val="left" w:pos="0"/>
        </w:tabs>
        <w:spacing w:line="360" w:lineRule="auto"/>
        <w:ind w:firstLine="48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9"/>
    <w:p w14:paraId="4DA239AD">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bookmarkStart w:id="20" w:name="_Hlt68072990"/>
      <w:bookmarkEnd w:id="20"/>
      <w:bookmarkStart w:id="21" w:name="_Hlt68403820"/>
      <w:bookmarkEnd w:id="21"/>
      <w:bookmarkStart w:id="22" w:name="_Hlt75236011"/>
      <w:bookmarkEnd w:id="22"/>
      <w:bookmarkStart w:id="23" w:name="_Hlt75236290"/>
      <w:bookmarkEnd w:id="23"/>
      <w:bookmarkStart w:id="24" w:name="_Hlt68057669"/>
      <w:bookmarkEnd w:id="24"/>
      <w:bookmarkStart w:id="25" w:name="_Hlt75236101"/>
      <w:bookmarkEnd w:id="25"/>
      <w:bookmarkStart w:id="26" w:name="_Hlt74730295"/>
      <w:bookmarkEnd w:id="26"/>
      <w:bookmarkStart w:id="27" w:name="_Hlt74707468"/>
      <w:bookmarkEnd w:id="27"/>
      <w:bookmarkStart w:id="28" w:name="_Hlt68073093"/>
      <w:bookmarkEnd w:id="28"/>
      <w:bookmarkStart w:id="29" w:name="_Hlt74729768"/>
      <w:bookmarkEnd w:id="29"/>
      <w:bookmarkStart w:id="30" w:name="_Hlt68072998"/>
      <w:bookmarkEnd w:id="30"/>
      <w:bookmarkStart w:id="31" w:name="_Hlt74714665"/>
      <w:bookmarkEnd w:id="31"/>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305E3F97">
      <w:pPr>
        <w:pStyle w:val="80"/>
        <w:rPr>
          <w:color w:val="auto"/>
          <w:highlight w:val="none"/>
        </w:rPr>
        <w:sectPr>
          <w:pgSz w:w="11906" w:h="16838"/>
          <w:pgMar w:top="1440" w:right="1080" w:bottom="1440" w:left="1080" w:header="851" w:footer="992" w:gutter="0"/>
          <w:cols w:space="720" w:num="1"/>
          <w:titlePg/>
          <w:docGrid w:linePitch="312" w:charSpace="0"/>
        </w:sectPr>
      </w:pPr>
    </w:p>
    <w:p w14:paraId="3D96E298">
      <w:pPr>
        <w:pStyle w:val="33"/>
        <w:spacing w:line="360" w:lineRule="auto"/>
        <w:jc w:val="center"/>
        <w:outlineLvl w:val="0"/>
        <w:rPr>
          <w:rFonts w:hint="eastAsia" w:hAnsi="宋体" w:cs="宋体"/>
          <w:b/>
          <w:snapToGrid/>
          <w:color w:val="auto"/>
          <w:sz w:val="36"/>
          <w:szCs w:val="20"/>
          <w:highlight w:val="none"/>
        </w:rPr>
      </w:pPr>
      <w:r>
        <w:rPr>
          <w:rFonts w:hint="eastAsia" w:hAnsi="宋体" w:cs="宋体"/>
          <w:b/>
          <w:snapToGrid/>
          <w:color w:val="auto"/>
          <w:sz w:val="36"/>
          <w:szCs w:val="20"/>
          <w:highlight w:val="none"/>
        </w:rPr>
        <w:t>第三部分 采购需求</w:t>
      </w:r>
    </w:p>
    <w:p w14:paraId="607FC8C5">
      <w:pPr>
        <w:spacing w:line="360" w:lineRule="auto"/>
        <w:jc w:val="left"/>
        <w:outlineLvl w:val="0"/>
        <w:rPr>
          <w:rFonts w:hint="eastAsia" w:ascii="宋体" w:hAnsi="宋体" w:cs="仿宋_GB2312"/>
          <w:b/>
          <w:bCs/>
          <w:color w:val="auto"/>
          <w:sz w:val="24"/>
          <w:highlight w:val="none"/>
        </w:rPr>
      </w:pPr>
      <w:r>
        <w:rPr>
          <w:rFonts w:hint="eastAsia" w:ascii="宋体" w:hAnsi="宋体" w:cs="仿宋_GB2312"/>
          <w:b/>
          <w:bCs/>
          <w:color w:val="auto"/>
          <w:sz w:val="24"/>
          <w:highlight w:val="none"/>
        </w:rPr>
        <w:t>一、工程概况</w:t>
      </w:r>
    </w:p>
    <w:p w14:paraId="21460875">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lang w:eastAsia="zh-CN"/>
        </w:rPr>
        <w:t>学生宿舍改造二期</w:t>
      </w:r>
      <w:r>
        <w:rPr>
          <w:rFonts w:hint="eastAsia" w:ascii="宋体" w:hAnsi="宋体"/>
          <w:color w:val="auto"/>
          <w:sz w:val="24"/>
          <w:highlight w:val="none"/>
          <w:u w:val="single"/>
        </w:rPr>
        <w:t>，本项目具体范围包括但不限于以下内容：</w:t>
      </w:r>
      <w:r>
        <w:rPr>
          <w:rFonts w:hint="eastAsia" w:ascii="宋体" w:hAnsi="宋体"/>
          <w:color w:val="auto"/>
          <w:sz w:val="24"/>
          <w:highlight w:val="none"/>
          <w:u w:val="single"/>
        </w:rPr>
        <w:t>原部分墙体拆除、门拆除、原门洞封堵等，新增墙体、门窗，房间装饰装修及其他改造，配套给排水、电气改造等；具体详见竞争性磋商文件、工程量清单及编制说明和图纸全部内容。</w:t>
      </w:r>
    </w:p>
    <w:p w14:paraId="16BF30A5">
      <w:pPr>
        <w:spacing w:line="360" w:lineRule="auto"/>
        <w:jc w:val="left"/>
        <w:outlineLvl w:val="1"/>
        <w:rPr>
          <w:rFonts w:hint="eastAsia" w:ascii="宋体" w:hAnsi="宋体" w:cs="仿宋_GB2312"/>
          <w:color w:val="auto"/>
          <w:sz w:val="24"/>
          <w:highlight w:val="none"/>
        </w:rPr>
      </w:pPr>
      <w:r>
        <w:rPr>
          <w:rFonts w:hint="eastAsia" w:ascii="宋体" w:hAnsi="宋体" w:cs="仿宋_GB2312"/>
          <w:b/>
          <w:bCs/>
          <w:color w:val="auto"/>
          <w:sz w:val="24"/>
          <w:highlight w:val="none"/>
        </w:rPr>
        <w:t xml:space="preserve">二、工程内容 </w:t>
      </w:r>
    </w:p>
    <w:p w14:paraId="3FB9F000">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1.工程名称</w:t>
      </w:r>
    </w:p>
    <w:p w14:paraId="5B390378">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学生宿舍改造二期</w:t>
      </w:r>
      <w:r>
        <w:rPr>
          <w:rFonts w:hint="eastAsia" w:ascii="宋体" w:hAnsi="宋体"/>
          <w:color w:val="auto"/>
          <w:sz w:val="24"/>
          <w:highlight w:val="none"/>
          <w:u w:val="single"/>
        </w:rPr>
        <w:t xml:space="preserve">  </w:t>
      </w:r>
    </w:p>
    <w:p w14:paraId="3546F9C5">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2.现场条件</w:t>
      </w:r>
    </w:p>
    <w:p w14:paraId="7EE8D8F9">
      <w:pPr>
        <w:spacing w:line="360" w:lineRule="auto"/>
        <w:ind w:firstLine="720" w:firstLineChars="30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已具备现场施工条件。 </w:t>
      </w:r>
    </w:p>
    <w:p w14:paraId="45D8C390">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采购人不集中组织现场踏勘，供应商应需自行对工程现场和周围环境进行踏勘和了解，以获取有关编制响应文件和签署合同所需的各种资料，并应充分考虑影响本次报价的因素、预计实施过程中各种不利因素，由此可能发生的费用均由供应商考虑并包含在磋商响应报价中。成交后，成交供应商不得再以不完全了解现场情况等为理由而提出额外付款或延长工期等的要求，若有此类要求，采购人将不作任何答复与考虑，供应商应承担现场踏勘的责任和风险，踏勘现场的费用由供应商自行承担。</w:t>
      </w:r>
    </w:p>
    <w:p w14:paraId="27D355F0">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成交供应商必须按照采购人的施工管理规定进行施工，如需要按采购人管理需要临时调整施工时间等，施工作业环境的种种不利因素，如夜间施工、垃圾装袋外运等等均需由供应商考虑，并将所需费用包含在磋商响应报价中。</w:t>
      </w:r>
    </w:p>
    <w:p w14:paraId="71949DDE">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本项目采购人不提供住宿，由供应商自行解决，相关费用包含在报价中。</w:t>
      </w:r>
    </w:p>
    <w:p w14:paraId="6D794B00">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供应商须满足采购人管理的要求、遵守采购人的施工安全管理制度以及其他相关管理制度，服从监理的管理和协调，确保施工项目的安全、高效、顺利进行，满足采购人的日常需求，防范施工安全、消防等安全事件的发生。采购人的管理部门有权对施工项目的组织和实施进行监督、检查，并提出整改要求，但此类监督检查并不解除供应商对施工项目应负的全部责任，如成交供应商不按要求整改或整改后仍不符合采购人的规定，采购人可从工程进度款或履约保证金中酌情扣罚，情节严重的，可解除合同，给采购人造成的全部损失由供应商承担，并可拒绝该供应商继续参与采购人其他项目的投标活动。</w:t>
      </w:r>
    </w:p>
    <w:p w14:paraId="613F3ADB">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按采购人相关管理制度需要签订的承诺或协议将作为承包合同的附件，是承包采购人项目须遵守的内容之一。</w:t>
      </w:r>
    </w:p>
    <w:p w14:paraId="51C1C723">
      <w:pPr>
        <w:spacing w:line="360" w:lineRule="auto"/>
        <w:ind w:left="210" w:leftChars="100" w:firstLine="480" w:firstLineChars="200"/>
        <w:jc w:val="left"/>
        <w:rPr>
          <w:rFonts w:hint="eastAsia" w:ascii="宋体" w:hAnsi="宋体"/>
          <w:color w:val="auto"/>
          <w:sz w:val="24"/>
          <w:highlight w:val="none"/>
          <w:u w:val="single"/>
        </w:rPr>
      </w:pPr>
      <w:r>
        <w:rPr>
          <w:rFonts w:hint="eastAsia" w:ascii="宋体" w:hAnsi="宋体" w:cs="宋体"/>
          <w:color w:val="auto"/>
          <w:sz w:val="24"/>
          <w:highlight w:val="none"/>
          <w:u w:val="single"/>
        </w:rPr>
        <w:t>以上与施工相关的管理要求所需要的费用包含在各综合单价、合价和磋商响应总报价中。</w:t>
      </w:r>
    </w:p>
    <w:p w14:paraId="120172EB">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3.工程承包范围</w:t>
      </w:r>
    </w:p>
    <w:p w14:paraId="5CA255BF">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学生宿舍改造二期</w:t>
      </w:r>
      <w:r>
        <w:rPr>
          <w:rFonts w:hint="eastAsia" w:ascii="宋体" w:hAnsi="宋体"/>
          <w:color w:val="auto"/>
          <w:sz w:val="24"/>
          <w:highlight w:val="none"/>
          <w:u w:val="single"/>
        </w:rPr>
        <w:t>，本项目具体范围包括但不限于以下内容：</w:t>
      </w:r>
      <w:r>
        <w:rPr>
          <w:rFonts w:hint="eastAsia" w:ascii="宋体" w:hAnsi="宋体"/>
          <w:color w:val="auto"/>
          <w:sz w:val="24"/>
          <w:highlight w:val="none"/>
          <w:u w:val="single"/>
        </w:rPr>
        <w:t xml:space="preserve">原部分墙体拆除、门拆除、原门洞封堵等，新增墙体、门窗，房间装饰装修及其他改造，配套给排水、电气改造等；具体详见竞争性磋商文件、工程量清单及编制说明和图纸全部内容。 </w:t>
      </w:r>
    </w:p>
    <w:p w14:paraId="5AC058F3">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4.工程质量标准</w:t>
      </w:r>
    </w:p>
    <w:p w14:paraId="202156F1">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符合现行国家有关工程施工验收规范和标准的合格要求，注：如上述国家标准有最新版本或替代标准颁布，则执行最新版本或替代标准。</w:t>
      </w:r>
    </w:p>
    <w:p w14:paraId="3A112E46">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5.工程施工要求</w:t>
      </w:r>
    </w:p>
    <w:p w14:paraId="4028FB49">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（1）</w:t>
      </w:r>
      <w:r>
        <w:rPr>
          <w:rFonts w:hint="eastAsia" w:ascii="宋体" w:hAnsi="宋体"/>
          <w:color w:val="auto"/>
          <w:sz w:val="24"/>
          <w:highlight w:val="none"/>
          <w:u w:val="single"/>
        </w:rPr>
        <w:t>工程技术规范要求：</w:t>
      </w:r>
    </w:p>
    <w:p w14:paraId="7F3D00C6">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本工程项目的材料、设备、施工必须达到现行中华人民共和国及省、市、行业的一切有关法规、规范的要求，如标准及规范要求有出入则以较严格者为准。</w:t>
      </w:r>
    </w:p>
    <w:p w14:paraId="6253A34A">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对本工程所采用的标准或规范的任何部分，当成交供应商认为改用其他标准或规范，同样能够保证工程达到相同质量或更高的质量时，成交供应商可提出申请报经采购人审批后采用，但这种批准不免除成交供应商根据合同规定应承担的任何责任。申请报告中应对原采用的标准或规范与所建议改用的其他标准或规范之间的差异进行详细说明。获批之前成交供应商仍应执行原采用的标准或规范。</w:t>
      </w:r>
    </w:p>
    <w:p w14:paraId="3DAC355C">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（2）</w:t>
      </w:r>
      <w:r>
        <w:rPr>
          <w:rFonts w:hint="eastAsia" w:ascii="宋体" w:hAnsi="宋体"/>
          <w:color w:val="auto"/>
          <w:sz w:val="24"/>
          <w:highlight w:val="none"/>
          <w:u w:val="single"/>
        </w:rPr>
        <w:t>安全文明施工要求</w:t>
      </w:r>
    </w:p>
    <w:p w14:paraId="1287DE58">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①成交供应商应对进度施工现场的施工人员进行安全文明施工教育，配备必要的劳动保护用具，保证工程的施工安全和人身安全。</w:t>
      </w:r>
    </w:p>
    <w:p w14:paraId="01699A3C">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②成交供应商应强化安全意识，抓好安全生产，杜绝事故发生，施工中若因供应商原因发生安全及人身事故由成交供应商自行负责处理，并承担全部费用。</w:t>
      </w:r>
    </w:p>
    <w:p w14:paraId="4B4E8F1E">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③成交供应商须遵守地方政府和有关部门及采购人对施工场地交通、环卫、安全和施工噪音等的管理规定，并按规定办理相关审批手续。</w:t>
      </w:r>
    </w:p>
    <w:p w14:paraId="1FD548E5">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④成交供应商应采取有效措施尽量减小尘土和噪音污染，需要进行夜间作业时应经有关部门批准。</w:t>
      </w:r>
    </w:p>
    <w:p w14:paraId="545A33B6">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（3）</w:t>
      </w:r>
      <w:r>
        <w:rPr>
          <w:rFonts w:hint="eastAsia" w:ascii="宋体" w:hAnsi="宋体"/>
          <w:color w:val="auto"/>
          <w:sz w:val="24"/>
          <w:highlight w:val="none"/>
          <w:u w:val="single"/>
        </w:rPr>
        <w:t>其它施工过程中需注意事项</w:t>
      </w:r>
    </w:p>
    <w:p w14:paraId="390C03C2">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本工程在施工期间，成交供应商应注意保护好采购人周边现有成品，如有损坏，须无条件修复至采购人满意。</w:t>
      </w:r>
    </w:p>
    <w:p w14:paraId="1CF8FCE0">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①废弃材料不得丢弃或随意堆放在校园内，清理产生的拆除费、搬运费、交通运输费等各项费用均由供应商自行考虑并计入响应总价且一次性包干</w:t>
      </w:r>
    </w:p>
    <w:p w14:paraId="1709D739">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②工程完工后，成交供应商需对施工现场进行全面的清洁工作。 </w:t>
      </w:r>
    </w:p>
    <w:p w14:paraId="6F9261DF">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③本项目如需土方外运，成交供应商应根据《关于发布杭州市工程渣土消纳市场信息价的通知》（杭渣土领【2020】1号 ）及《关于明确杭州市工程渣土运输及消纳项目计价清单和报价口径的通知》等相关文件精神并结合项目方案实际合理报价，成交的施工企业须按照杭城管【2022】39号《关于进一步规范建筑垃圾审批管理和执法工作的通知》办理好相关备案手续。</w:t>
      </w:r>
    </w:p>
    <w:p w14:paraId="5DC1A2BE">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 4 \* GB3 \* MERGEFORMAT </w:instrText>
      </w:r>
      <w:r>
        <w:rPr>
          <w:rFonts w:hint="eastAsia" w:ascii="宋体" w:hAnsi="宋体"/>
          <w:color w:val="auto"/>
          <w:sz w:val="24"/>
          <w:highlight w:val="none"/>
          <w:u w:val="single"/>
        </w:rPr>
        <w:fldChar w:fldCharType="separate"/>
      </w:r>
      <w:r>
        <w:rPr>
          <w:rFonts w:hint="eastAsia" w:ascii="宋体" w:hAnsi="宋体"/>
          <w:color w:val="auto"/>
          <w:sz w:val="24"/>
          <w:highlight w:val="none"/>
          <w:u w:val="single"/>
        </w:rPr>
        <w:t>④</w:t>
      </w:r>
      <w:r>
        <w:rPr>
          <w:rFonts w:hint="eastAsia" w:ascii="宋体" w:hAnsi="宋体"/>
          <w:color w:val="auto"/>
          <w:sz w:val="24"/>
          <w:highlight w:val="none"/>
          <w:u w:val="single"/>
        </w:rPr>
        <w:fldChar w:fldCharType="end"/>
      </w:r>
      <w:r>
        <w:rPr>
          <w:rFonts w:hint="eastAsia" w:ascii="宋体" w:hAnsi="宋体"/>
          <w:color w:val="auto"/>
          <w:sz w:val="24"/>
          <w:highlight w:val="none"/>
          <w:u w:val="single"/>
        </w:rPr>
        <w:t>根据杭州市城乡建设委员会等五部门关于印发《杭州市建设工程建筑垃圾减量化工作实施办法的通知》及杭州市城乡建设委员会杭州市发展和改革委员会于2025年9月25日印发的《关于在全市房建市政工程推广应用建筑垃圾综合利用产品的通知》，成交供应商</w:t>
      </w:r>
      <w:r>
        <w:rPr>
          <w:rFonts w:ascii="宋体" w:hAnsi="宋体"/>
          <w:color w:val="auto"/>
          <w:sz w:val="24"/>
          <w:highlight w:val="none"/>
          <w:u w:val="single"/>
        </w:rPr>
        <w:t>应加强建筑垃圾产品的质量控制，委托具备相应资质的第三方检测机构进行质量检测，严禁不合格产品用于施工现场。</w:t>
      </w:r>
      <w:r>
        <w:rPr>
          <w:rFonts w:hint="eastAsia" w:ascii="宋体" w:hAnsi="宋体"/>
          <w:color w:val="auto"/>
          <w:sz w:val="24"/>
          <w:highlight w:val="none"/>
          <w:u w:val="single"/>
        </w:rPr>
        <w:t>成交供应商</w:t>
      </w:r>
      <w:r>
        <w:rPr>
          <w:rFonts w:ascii="宋体" w:hAnsi="宋体"/>
          <w:color w:val="auto"/>
          <w:sz w:val="24"/>
          <w:highlight w:val="none"/>
          <w:u w:val="single"/>
        </w:rPr>
        <w:t>根据</w:t>
      </w:r>
      <w:r>
        <w:rPr>
          <w:rFonts w:hint="eastAsia" w:ascii="宋体" w:hAnsi="宋体"/>
          <w:color w:val="auto"/>
          <w:sz w:val="24"/>
          <w:highlight w:val="none"/>
          <w:u w:val="single"/>
        </w:rPr>
        <w:t>竞争性磋商文件</w:t>
      </w:r>
      <w:r>
        <w:rPr>
          <w:rFonts w:ascii="宋体" w:hAnsi="宋体"/>
          <w:color w:val="auto"/>
          <w:sz w:val="24"/>
          <w:highlight w:val="none"/>
          <w:u w:val="single"/>
        </w:rPr>
        <w:t>和施工图纸要求使用建筑垃圾综合利用产品的，综合利用产品应符合《浙江省住房和城乡建设厅关于浙江省建筑垃圾综合利用产品推广应用的实施意见》（浙建〔2023]10号）中产品质量标准要求。采购的综合利用产品时应取得该产品生产企业的建筑垃圾处置核准证明，否则不得使用。</w:t>
      </w:r>
      <w:r>
        <w:rPr>
          <w:rFonts w:hint="eastAsia" w:ascii="宋体" w:hAnsi="宋体"/>
          <w:color w:val="auto"/>
          <w:sz w:val="24"/>
          <w:highlight w:val="none"/>
          <w:u w:val="single"/>
        </w:rPr>
        <w:t>成交供应商</w:t>
      </w:r>
      <w:r>
        <w:rPr>
          <w:rFonts w:ascii="宋体" w:hAnsi="宋体"/>
          <w:color w:val="auto"/>
          <w:sz w:val="24"/>
          <w:highlight w:val="none"/>
          <w:u w:val="single"/>
        </w:rPr>
        <w:t>应加强综合利用产品的施工质量控制，对建筑垃圾综合利用产品进行进场检验，严格按照设计要求以及施工规范进行施工和验收。</w:t>
      </w:r>
    </w:p>
    <w:p w14:paraId="688D413E">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fldChar w:fldCharType="begin"/>
      </w:r>
      <w:r>
        <w:rPr>
          <w:rFonts w:ascii="宋体" w:hAnsi="宋体"/>
          <w:color w:val="auto"/>
          <w:sz w:val="24"/>
          <w:highlight w:val="none"/>
          <w:u w:val="single"/>
        </w:rPr>
        <w:instrText xml:space="preserve"> = 5 \* GB3 \* MERGEFORMAT </w:instrText>
      </w:r>
      <w:r>
        <w:rPr>
          <w:rFonts w:ascii="宋体" w:hAnsi="宋体"/>
          <w:color w:val="auto"/>
          <w:sz w:val="24"/>
          <w:highlight w:val="none"/>
          <w:u w:val="single"/>
        </w:rPr>
        <w:fldChar w:fldCharType="separate"/>
      </w:r>
      <w:r>
        <w:rPr>
          <w:rFonts w:hint="eastAsia" w:ascii="宋体" w:hAnsi="宋体"/>
          <w:color w:val="auto"/>
          <w:sz w:val="24"/>
          <w:highlight w:val="none"/>
          <w:u w:val="single"/>
        </w:rPr>
        <w:t>⑤</w:t>
      </w:r>
      <w:r>
        <w:rPr>
          <w:rFonts w:ascii="宋体" w:hAnsi="宋体"/>
          <w:color w:val="auto"/>
          <w:sz w:val="24"/>
          <w:highlight w:val="none"/>
          <w:u w:val="single"/>
        </w:rPr>
        <w:fldChar w:fldCharType="end"/>
      </w:r>
      <w:r>
        <w:rPr>
          <w:rFonts w:ascii="宋体" w:hAnsi="宋体"/>
          <w:color w:val="auto"/>
          <w:sz w:val="24"/>
          <w:highlight w:val="none"/>
          <w:u w:val="single"/>
        </w:rPr>
        <w:t>建筑垃圾源头减量：</w:t>
      </w:r>
      <w:r>
        <w:rPr>
          <w:rFonts w:hint="eastAsia" w:ascii="宋体" w:hAnsi="宋体"/>
          <w:color w:val="auto"/>
          <w:sz w:val="24"/>
          <w:highlight w:val="none"/>
          <w:u w:val="single"/>
        </w:rPr>
        <w:t>成交供应商</w:t>
      </w:r>
      <w:r>
        <w:rPr>
          <w:rFonts w:ascii="宋体" w:hAnsi="宋体"/>
          <w:color w:val="auto"/>
          <w:sz w:val="24"/>
          <w:highlight w:val="none"/>
          <w:u w:val="single"/>
        </w:rPr>
        <w:t>应按照</w:t>
      </w:r>
      <w:r>
        <w:rPr>
          <w:rFonts w:hint="eastAsia" w:ascii="宋体" w:hAnsi="宋体"/>
          <w:color w:val="auto"/>
          <w:sz w:val="24"/>
          <w:highlight w:val="none"/>
          <w:u w:val="single"/>
        </w:rPr>
        <w:t>采购人</w:t>
      </w:r>
      <w:r>
        <w:rPr>
          <w:rFonts w:ascii="宋体" w:hAnsi="宋体"/>
          <w:color w:val="auto"/>
          <w:sz w:val="24"/>
          <w:highlight w:val="none"/>
          <w:u w:val="single"/>
        </w:rPr>
        <w:t>建筑垃圾源头减量的要求，优化施工方案，加强施工现场管理，落实建筑垃圾减量化措施。</w:t>
      </w:r>
    </w:p>
    <w:p w14:paraId="0A6B7499">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6.工程管理要求</w:t>
      </w:r>
    </w:p>
    <w:p w14:paraId="5764C355">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（1）</w:t>
      </w:r>
      <w:r>
        <w:rPr>
          <w:rFonts w:hint="eastAsia" w:ascii="宋体" w:hAnsi="宋体"/>
          <w:color w:val="auto"/>
          <w:sz w:val="24"/>
          <w:highlight w:val="none"/>
          <w:u w:val="single"/>
        </w:rPr>
        <w:t>工程管理原则：</w:t>
      </w:r>
    </w:p>
    <w:p w14:paraId="4FA68518">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①本工程承包范围内的工程项目，成交供应商未经采购人同意，一律不得转包，一经发现采购人有权立即取消其承包资格，成交供应商应承担由此引起的一切经济责任和法律责任；</w:t>
      </w:r>
    </w:p>
    <w:p w14:paraId="424CD52B">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②在工程实施过程中，如发现成交供应商为挂靠单位，采购人可立即终止合同。成交供应商应承担由此引起的一切经济责任和法律责任。</w:t>
      </w:r>
    </w:p>
    <w:p w14:paraId="189A983B">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③成交供应商须严格按照已确认的施工技术方案组织实施，并无条件接受采购人的项目管理部门的管理。</w:t>
      </w:r>
    </w:p>
    <w:p w14:paraId="7DCEDF74">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④成交供应商在响应文件中确定的工程项目经理及项目管理班子人员，未经采购人同意，不得调换和撤离，本工程确定的成交人的项目管理班子成员，不得兼任其他工程职务并应完全到位。采购人有权要求成交供应商撤换工作不负责任、管理不力、贻误工期、违法乱纪及造成严重安全事故和工程质量事故的项目班子的任何人员，直至项目经理本人。如项目班子成员被采购人撤换，按项目班子成员不到位处罚额度进行处罚，成交供应商不得姑息迁就，拖延撤换和有碍工程进展，否则，采购人有权单方面终止合同，并对由此造成的采购人损失，予以追究赔偿。</w:t>
      </w:r>
    </w:p>
    <w:p w14:paraId="045F650C">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（2）</w:t>
      </w:r>
      <w:r>
        <w:rPr>
          <w:rFonts w:hint="eastAsia" w:ascii="宋体" w:hAnsi="宋体"/>
          <w:color w:val="auto"/>
          <w:sz w:val="24"/>
          <w:highlight w:val="none"/>
          <w:u w:val="single"/>
        </w:rPr>
        <w:t>项目管理班子人员要求:</w:t>
      </w:r>
    </w:p>
    <w:p w14:paraId="535B6787">
      <w:pPr>
        <w:spacing w:line="360" w:lineRule="auto"/>
        <w:ind w:left="420" w:leftChars="200"/>
        <w:jc w:val="left"/>
        <w:rPr>
          <w:rFonts w:hint="eastAsia" w:ascii="宋体" w:hAnsi="宋体"/>
          <w:color w:val="auto"/>
          <w:sz w:val="24"/>
          <w:highlight w:val="none"/>
          <w:u w:val="single"/>
          <w:lang w:eastAsia="zh-CN"/>
        </w:rPr>
      </w:pPr>
      <w:r>
        <w:rPr>
          <w:rFonts w:hint="eastAsia" w:ascii="宋体" w:hAnsi="宋体"/>
          <w:color w:val="auto"/>
          <w:sz w:val="24"/>
          <w:highlight w:val="none"/>
          <w:u w:val="single"/>
        </w:rPr>
        <w:t>▲①项目经理：拟派项目经理具备</w:t>
      </w:r>
      <w:r>
        <w:rPr>
          <w:rFonts w:hint="eastAsia" w:ascii="宋体" w:hAnsi="宋体"/>
          <w:color w:val="auto"/>
          <w:sz w:val="24"/>
          <w:highlight w:val="none"/>
          <w:u w:val="single"/>
          <w:lang w:eastAsia="zh-CN"/>
        </w:rPr>
        <w:t>建筑工程</w:t>
      </w:r>
      <w:r>
        <w:rPr>
          <w:rFonts w:hint="eastAsia" w:ascii="宋体" w:hAnsi="宋体"/>
          <w:color w:val="auto"/>
          <w:sz w:val="24"/>
          <w:highlight w:val="none"/>
          <w:u w:val="single"/>
        </w:rPr>
        <w:t>二级</w:t>
      </w:r>
      <w:r>
        <w:rPr>
          <w:rFonts w:hint="eastAsia" w:ascii="宋体" w:hAnsi="宋体"/>
          <w:color w:val="auto"/>
          <w:sz w:val="24"/>
          <w:highlight w:val="none"/>
          <w:u w:val="single"/>
          <w:lang w:val="en-US" w:eastAsia="zh-CN"/>
        </w:rPr>
        <w:t>及以上</w:t>
      </w:r>
      <w:r>
        <w:rPr>
          <w:rFonts w:hint="eastAsia" w:ascii="宋体" w:hAnsi="宋体"/>
          <w:color w:val="auto"/>
          <w:sz w:val="24"/>
          <w:highlight w:val="none"/>
          <w:u w:val="single"/>
        </w:rPr>
        <w:t>建造师资格，且无在建、在投工程；【说明：响应文件中提供拟派项目经理</w:t>
      </w:r>
      <w:r>
        <w:rPr>
          <w:rFonts w:hint="eastAsia" w:ascii="宋体" w:hAnsi="宋体"/>
          <w:color w:val="auto"/>
          <w:sz w:val="24"/>
          <w:highlight w:val="none"/>
          <w:u w:val="single"/>
          <w:lang w:eastAsia="zh-CN"/>
        </w:rPr>
        <w:t>建筑工程</w:t>
      </w:r>
      <w:r>
        <w:rPr>
          <w:rFonts w:hint="eastAsia" w:ascii="宋体" w:hAnsi="宋体"/>
          <w:color w:val="auto"/>
          <w:sz w:val="24"/>
          <w:highlight w:val="none"/>
          <w:u w:val="single"/>
        </w:rPr>
        <w:t>建造师注册证书、《项目经理无在建、在投工程声明函》。】</w:t>
      </w:r>
    </w:p>
    <w:p w14:paraId="04E95A1B">
      <w:pPr>
        <w:spacing w:line="360" w:lineRule="auto"/>
        <w:ind w:left="420" w:leftChars="200"/>
        <w:jc w:val="left"/>
        <w:rPr>
          <w:rFonts w:hint="eastAsia" w:ascii="宋体" w:hAnsi="宋体"/>
          <w:color w:val="auto"/>
          <w:sz w:val="24"/>
          <w:highlight w:val="none"/>
          <w:u w:val="single"/>
        </w:rPr>
      </w:pPr>
      <w:r>
        <w:rPr>
          <w:rFonts w:hint="eastAsia" w:ascii="宋体" w:hAnsi="宋体"/>
          <w:color w:val="auto"/>
          <w:sz w:val="24"/>
          <w:highlight w:val="none"/>
          <w:u w:val="single"/>
        </w:rPr>
        <w:t>②项目经理无在建项目外，还应具有类似施工经验以及相关专业技术职称，在施工过程中，应确保到位率达到80%（含）以上。</w:t>
      </w:r>
    </w:p>
    <w:p w14:paraId="72FF4B60">
      <w:pPr>
        <w:spacing w:line="360" w:lineRule="auto"/>
        <w:ind w:left="420" w:leftChars="200"/>
        <w:jc w:val="left"/>
        <w:rPr>
          <w:rFonts w:hint="eastAsia" w:ascii="宋体" w:hAnsi="宋体"/>
          <w:color w:val="auto"/>
          <w:sz w:val="24"/>
          <w:highlight w:val="none"/>
          <w:u w:val="single"/>
        </w:rPr>
      </w:pPr>
      <w:r>
        <w:rPr>
          <w:rFonts w:hint="eastAsia" w:ascii="宋体" w:hAnsi="宋体"/>
          <w:color w:val="auto"/>
          <w:sz w:val="24"/>
          <w:highlight w:val="none"/>
          <w:u w:val="single"/>
        </w:rPr>
        <w:t>③拟派技术负责人应具有类似工程施工经验以及相关专业技术职称。</w:t>
      </w:r>
    </w:p>
    <w:p w14:paraId="46F96D4D">
      <w:pPr>
        <w:spacing w:line="360" w:lineRule="auto"/>
        <w:ind w:left="420" w:leftChars="200"/>
        <w:jc w:val="left"/>
        <w:rPr>
          <w:rFonts w:hint="eastAsia" w:ascii="宋体" w:hAnsi="宋体"/>
          <w:color w:val="auto"/>
          <w:sz w:val="24"/>
          <w:highlight w:val="none"/>
          <w:u w:val="single"/>
        </w:rPr>
      </w:pPr>
      <w:r>
        <w:rPr>
          <w:rFonts w:hint="eastAsia" w:ascii="宋体" w:hAnsi="宋体"/>
          <w:color w:val="auto"/>
          <w:sz w:val="24"/>
          <w:highlight w:val="none"/>
          <w:u w:val="single"/>
        </w:rPr>
        <w:t>④拟派项目管理班子中施工员、安全员、质检员、材料员等重要岗位应人员配置齐全。</w:t>
      </w:r>
    </w:p>
    <w:p w14:paraId="426DBB61">
      <w:pPr>
        <w:spacing w:line="360" w:lineRule="auto"/>
        <w:ind w:left="420" w:leftChars="200"/>
        <w:jc w:val="left"/>
        <w:rPr>
          <w:rFonts w:hint="eastAsia"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 5 \* GB3 \* MERGEFORMAT </w:instrText>
      </w:r>
      <w:r>
        <w:rPr>
          <w:rFonts w:hint="eastAsia" w:ascii="宋体" w:hAnsi="宋体"/>
          <w:color w:val="auto"/>
          <w:sz w:val="24"/>
          <w:highlight w:val="none"/>
          <w:u w:val="single"/>
        </w:rPr>
        <w:fldChar w:fldCharType="separate"/>
      </w:r>
      <w:r>
        <w:rPr>
          <w:color w:val="auto"/>
          <w:highlight w:val="none"/>
        </w:rPr>
        <w:t>⑤</w:t>
      </w:r>
      <w:r>
        <w:rPr>
          <w:rFonts w:hint="eastAsia" w:ascii="宋体" w:hAnsi="宋体"/>
          <w:color w:val="auto"/>
          <w:sz w:val="24"/>
          <w:highlight w:val="none"/>
          <w:u w:val="single"/>
        </w:rPr>
        <w:fldChar w:fldCharType="end"/>
      </w:r>
      <w:r>
        <w:rPr>
          <w:rFonts w:hint="eastAsia" w:ascii="宋体" w:hAnsi="宋体"/>
          <w:color w:val="auto"/>
          <w:sz w:val="24"/>
          <w:highlight w:val="none"/>
          <w:u w:val="single"/>
        </w:rPr>
        <w:t>拟派项目经理具有“三类人员”B类证书，拟派施工现场专职安全生产管理人员【符合中华人民共和国住房和城乡建设部《建筑施工企业安全生产管理机构设置及专职安全生产管理人员配备办法》的规定】具有“三类人员”C类证书；【说明：响应文件中提供项目经理的B类证书，安全生产管理人员的C类证书。】。</w:t>
      </w:r>
    </w:p>
    <w:p w14:paraId="13C56645">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（3）</w:t>
      </w:r>
      <w:r>
        <w:rPr>
          <w:rFonts w:hint="eastAsia" w:ascii="宋体" w:hAnsi="宋体"/>
          <w:color w:val="auto"/>
          <w:sz w:val="24"/>
          <w:highlight w:val="none"/>
          <w:u w:val="single"/>
        </w:rPr>
        <w:t>工程管理其他要求</w:t>
      </w:r>
    </w:p>
    <w:p w14:paraId="16F13338">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①本项目施工现场采购人不提供食宿，施工期间，所有施工人员的食宿均由成交供应商自行安排，材料的堆放及停车必须服从采购人的安排。</w:t>
      </w:r>
    </w:p>
    <w:p w14:paraId="3E46B021">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②施工现场严禁吸烟。</w:t>
      </w:r>
    </w:p>
    <w:p w14:paraId="38DFB216">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③如涉及学校安全管理需要，成交供应商须严格遵守采购人要求，所有进场人员需按照采购人要求做好登记办理施工出入手续。</w:t>
      </w:r>
    </w:p>
    <w:p w14:paraId="78BFD67F">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④承包人由于违反安全操作规范，被政府有关部门处罚，如通报批评、警告和罚款等，承包人承担一切责任，并每被查处一次，发包人每次扣罚违约金5000元，上述扣款在工程进度款中逐期扣除。</w:t>
      </w:r>
    </w:p>
    <w:p w14:paraId="7294C48A">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 5 \* GB3 \* MERGEFORMAT </w:instrText>
      </w:r>
      <w:r>
        <w:rPr>
          <w:rFonts w:hint="eastAsia" w:ascii="宋体" w:hAnsi="宋体"/>
          <w:color w:val="auto"/>
          <w:sz w:val="24"/>
          <w:highlight w:val="none"/>
          <w:u w:val="single"/>
        </w:rPr>
        <w:fldChar w:fldCharType="separate"/>
      </w:r>
      <w:r>
        <w:rPr>
          <w:color w:val="auto"/>
          <w:highlight w:val="none"/>
        </w:rPr>
        <w:t>⑤</w:t>
      </w:r>
      <w:r>
        <w:rPr>
          <w:rFonts w:hint="eastAsia" w:ascii="宋体" w:hAnsi="宋体"/>
          <w:color w:val="auto"/>
          <w:sz w:val="24"/>
          <w:highlight w:val="none"/>
          <w:u w:val="single"/>
        </w:rPr>
        <w:fldChar w:fldCharType="end"/>
      </w:r>
      <w:r>
        <w:rPr>
          <w:rFonts w:hint="eastAsia" w:ascii="宋体" w:hAnsi="宋体"/>
          <w:color w:val="auto"/>
          <w:sz w:val="24"/>
          <w:highlight w:val="none"/>
          <w:u w:val="single"/>
        </w:rPr>
        <w:t>承包人应强化安全意识，抓好安全生产，杜绝事故发生，施工中若发生安全及人身事故均由承包人自行负责处理，承担一切责任包括全部费用。安全事故每发生一次，承包人向发包人支付1万元的违约金，上述扣款在工程进度款中逐期扣除。</w:t>
      </w:r>
    </w:p>
    <w:p w14:paraId="5044CC75">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 6 \* GB3 \* MERGEFORMAT </w:instrText>
      </w:r>
      <w:r>
        <w:rPr>
          <w:rFonts w:hint="eastAsia" w:ascii="宋体" w:hAnsi="宋体"/>
          <w:color w:val="auto"/>
          <w:sz w:val="24"/>
          <w:highlight w:val="none"/>
          <w:u w:val="single"/>
        </w:rPr>
        <w:fldChar w:fldCharType="separate"/>
      </w:r>
      <w:r>
        <w:rPr>
          <w:color w:val="auto"/>
          <w:highlight w:val="none"/>
        </w:rPr>
        <w:t>⑥</w:t>
      </w:r>
      <w:r>
        <w:rPr>
          <w:rFonts w:hint="eastAsia" w:ascii="宋体" w:hAnsi="宋体"/>
          <w:color w:val="auto"/>
          <w:sz w:val="24"/>
          <w:highlight w:val="none"/>
          <w:u w:val="single"/>
        </w:rPr>
        <w:fldChar w:fldCharType="end"/>
      </w:r>
      <w:r>
        <w:rPr>
          <w:rFonts w:hint="eastAsia" w:ascii="宋体" w:hAnsi="宋体"/>
          <w:color w:val="auto"/>
          <w:sz w:val="24"/>
          <w:highlight w:val="none"/>
          <w:u w:val="single"/>
        </w:rPr>
        <w:t xml:space="preserve">发包人或监理工程师有权对承包人的安全施工状况进行检查，发现有违反安全施工情况的，有权提出整改要求，承包人须按要求进行整改。   </w:t>
      </w:r>
    </w:p>
    <w:p w14:paraId="7A6474C0">
      <w:pPr>
        <w:spacing w:line="360" w:lineRule="auto"/>
        <w:ind w:firstLine="420"/>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7.工程主要材料（设备）要求  </w:t>
      </w:r>
    </w:p>
    <w:p w14:paraId="7ADFD831">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ascii="宋体" w:hAnsi="宋体"/>
          <w:color w:val="auto"/>
          <w:sz w:val="24"/>
          <w:highlight w:val="none"/>
          <w:u w:val="single"/>
        </w:rPr>
        <w:t>（1）</w:t>
      </w:r>
      <w:r>
        <w:rPr>
          <w:rFonts w:hint="eastAsia" w:ascii="宋体" w:hAnsi="宋体"/>
          <w:color w:val="auto"/>
          <w:sz w:val="24"/>
          <w:highlight w:val="none"/>
          <w:u w:val="single"/>
        </w:rPr>
        <w:t>本项目涉及的所有材料设备，必须经采购人/监理公司确认后方能采购、进场、加工、安装。否则一律不予承认，不予支付相应款项。</w:t>
      </w:r>
    </w:p>
    <w:p w14:paraId="7875C61C">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t>（2）</w:t>
      </w:r>
      <w:r>
        <w:rPr>
          <w:rFonts w:hint="eastAsia" w:ascii="宋体" w:hAnsi="宋体"/>
          <w:color w:val="auto"/>
          <w:sz w:val="24"/>
          <w:highlight w:val="none"/>
          <w:u w:val="single"/>
        </w:rPr>
        <w:t>材料规格：本磋商文件涉及的主要设备和材料，各供应商须根据磋商文件要求的用材规格进行选材并报价，并符合环保要求，严禁选择不符合施工图纸要求的低档材料进行响应报价及组织施工实施，如有其它国家强制性认证要求的也必须满足；</w:t>
      </w:r>
    </w:p>
    <w:p w14:paraId="593E192E">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t>（3）</w:t>
      </w:r>
      <w:r>
        <w:rPr>
          <w:rFonts w:hint="eastAsia" w:ascii="宋体" w:hAnsi="宋体"/>
          <w:color w:val="auto"/>
          <w:sz w:val="24"/>
          <w:highlight w:val="none"/>
          <w:u w:val="single"/>
        </w:rPr>
        <w:t>供应商应在响应文件中写明各类主要材料（设备）的选用品牌、产地和规格，若未注明品牌的可由采购人自行选择。若成交后注明的品牌或采购人选择的品牌在施工期间市场上无现货供应，须进行订制，如该品牌无法订制时，采购人有权选择其它品牌。成交供应商不按该选用的材料和设备采购的，采购人有权拒绝验收。</w:t>
      </w:r>
    </w:p>
    <w:p w14:paraId="3E58E10A">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本项目材料品牌满足主材品牌表要求,详见清单编制说明；</w:t>
      </w:r>
    </w:p>
    <w:p w14:paraId="72BE029D">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t>（4）</w:t>
      </w:r>
      <w:r>
        <w:rPr>
          <w:rFonts w:hint="eastAsia" w:ascii="宋体" w:hAnsi="宋体"/>
          <w:color w:val="auto"/>
          <w:sz w:val="24"/>
          <w:highlight w:val="none"/>
          <w:u w:val="single"/>
        </w:rPr>
        <w:t>供应商应当有详细的材料（设备）供应计划及质量保证措施；</w:t>
      </w:r>
    </w:p>
    <w:p w14:paraId="7E7733E6">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t>（5）</w:t>
      </w:r>
      <w:r>
        <w:rPr>
          <w:rFonts w:hint="eastAsia" w:ascii="宋体" w:hAnsi="宋体"/>
          <w:color w:val="auto"/>
          <w:sz w:val="24"/>
          <w:highlight w:val="none"/>
          <w:u w:val="single"/>
        </w:rPr>
        <w:t>材料的质量要求：材料检验按法律、法规、文件规定的见证取样和送检规定的程序进行。凡检验结果证明其有害物质含量指标超标的产品不得在工程上使用。</w:t>
      </w:r>
    </w:p>
    <w:p w14:paraId="3E0EE9ED">
      <w:pPr>
        <w:spacing w:line="360" w:lineRule="auto"/>
        <w:jc w:val="left"/>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D310E2D">
      <w:pPr>
        <w:spacing w:line="360" w:lineRule="auto"/>
        <w:ind w:left="210" w:left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1.工期要求：</w:t>
      </w:r>
      <w:r>
        <w:rPr>
          <w:rFonts w:hint="eastAsia" w:ascii="宋体" w:hAnsi="宋体" w:cs="仿宋_GB2312"/>
          <w:color w:val="auto"/>
          <w:sz w:val="24"/>
          <w:highlight w:val="none"/>
          <w:u w:val="single"/>
          <w:lang w:val="en-US" w:eastAsia="zh-CN"/>
        </w:rPr>
        <w:t>35</w:t>
      </w:r>
      <w:r>
        <w:rPr>
          <w:rFonts w:hint="eastAsia" w:ascii="宋体" w:hAnsi="宋体"/>
          <w:color w:val="auto"/>
          <w:sz w:val="24"/>
          <w:highlight w:val="none"/>
          <w:u w:val="single"/>
          <w:lang w:eastAsia="zh-CN"/>
        </w:rPr>
        <w:t>日历天</w:t>
      </w:r>
    </w:p>
    <w:p w14:paraId="3DF9AF76">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olor w:val="auto"/>
          <w:sz w:val="24"/>
          <w:highlight w:val="none"/>
          <w:u w:val="single"/>
          <w:lang w:eastAsia="zh-CN"/>
        </w:rPr>
        <w:t>浙江省杭州第十一中学</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杭州市拱墅区八丈井东路150号</w:t>
      </w:r>
      <w:r>
        <w:rPr>
          <w:rFonts w:hint="eastAsia" w:ascii="宋体" w:hAnsi="宋体"/>
          <w:color w:val="auto"/>
          <w:sz w:val="24"/>
          <w:highlight w:val="none"/>
          <w:u w:val="single"/>
        </w:rPr>
        <w:t xml:space="preserve">） </w:t>
      </w:r>
    </w:p>
    <w:p w14:paraId="2ECD16EA">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3.付款条件（进度和方式）</w:t>
      </w:r>
    </w:p>
    <w:p w14:paraId="0CF4C8B5">
      <w:pPr>
        <w:pStyle w:val="259"/>
        <w:ind w:firstLine="0" w:firstLineChars="0"/>
        <w:rPr>
          <w:color w:val="auto"/>
          <w:highlight w:val="none"/>
        </w:rPr>
      </w:pPr>
    </w:p>
    <w:tbl>
      <w:tblPr>
        <w:tblStyle w:val="63"/>
        <w:tblW w:w="973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375"/>
        <w:gridCol w:w="2519"/>
        <w:gridCol w:w="5841"/>
      </w:tblGrid>
      <w:tr w14:paraId="020CCDA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1375" w:type="dxa"/>
            <w:shd w:val="clear" w:color="auto" w:fill="auto"/>
            <w:vAlign w:val="center"/>
          </w:tcPr>
          <w:p w14:paraId="25C475FD">
            <w:pPr>
              <w:spacing w:line="360" w:lineRule="auto"/>
              <w:jc w:val="center"/>
              <w:rPr>
                <w:rFonts w:hint="eastAsia" w:ascii="宋体" w:hAnsi="宋体" w:cs="仿宋_GB2312"/>
                <w:color w:val="auto"/>
                <w:sz w:val="24"/>
                <w:highlight w:val="none"/>
              </w:rPr>
            </w:pPr>
            <w:bookmarkStart w:id="32" w:name="_Hlk198637528"/>
            <w:r>
              <w:rPr>
                <w:rFonts w:hint="eastAsia" w:ascii="宋体" w:hAnsi="宋体" w:cs="仿宋_GB2312"/>
                <w:color w:val="auto"/>
                <w:sz w:val="24"/>
                <w:highlight w:val="none"/>
              </w:rPr>
              <w:t>序号</w:t>
            </w:r>
          </w:p>
        </w:tc>
        <w:tc>
          <w:tcPr>
            <w:tcW w:w="2519" w:type="dxa"/>
            <w:shd w:val="clear" w:color="auto" w:fill="auto"/>
            <w:vAlign w:val="center"/>
          </w:tcPr>
          <w:p w14:paraId="7CEF2128">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付款比例（%）</w:t>
            </w:r>
          </w:p>
        </w:tc>
        <w:tc>
          <w:tcPr>
            <w:tcW w:w="5841" w:type="dxa"/>
            <w:shd w:val="clear" w:color="auto" w:fill="auto"/>
            <w:vAlign w:val="center"/>
          </w:tcPr>
          <w:p w14:paraId="7CD7E8D9">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付款方式</w:t>
            </w:r>
          </w:p>
        </w:tc>
      </w:tr>
      <w:tr w14:paraId="2CABD58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65" w:hRule="atLeast"/>
        </w:trPr>
        <w:tc>
          <w:tcPr>
            <w:tcW w:w="1375" w:type="dxa"/>
            <w:shd w:val="clear" w:color="auto" w:fill="auto"/>
            <w:vAlign w:val="center"/>
          </w:tcPr>
          <w:p w14:paraId="4039A2FB">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2519" w:type="dxa"/>
            <w:shd w:val="clear" w:color="auto" w:fill="auto"/>
            <w:vAlign w:val="center"/>
          </w:tcPr>
          <w:p w14:paraId="7E2E5CEF">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50</w:t>
            </w:r>
          </w:p>
        </w:tc>
        <w:tc>
          <w:tcPr>
            <w:tcW w:w="5841" w:type="dxa"/>
            <w:shd w:val="clear" w:color="auto" w:fill="auto"/>
            <w:vAlign w:val="center"/>
          </w:tcPr>
          <w:p w14:paraId="53B0474A">
            <w:pPr>
              <w:pStyle w:val="82"/>
              <w:ind w:firstLine="480"/>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合同生效、具备实施条件后，成交供应商在5个工作日内提交银行或者保险公司出具的预付款保函，采购人在5个工作日内支付合同总价的50%作为预付款(因客观原因造成采购人预付款逾期支付的，不追究逾期支付违约责任，具体付款日期按实际支付时间执行)</w:t>
            </w:r>
          </w:p>
        </w:tc>
      </w:tr>
      <w:tr w14:paraId="44D166A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vAlign w:val="center"/>
          </w:tcPr>
          <w:p w14:paraId="572A4D64">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w:t>
            </w:r>
          </w:p>
        </w:tc>
        <w:tc>
          <w:tcPr>
            <w:tcW w:w="2519" w:type="dxa"/>
            <w:shd w:val="clear" w:color="auto" w:fill="auto"/>
            <w:vAlign w:val="center"/>
          </w:tcPr>
          <w:p w14:paraId="0CE7D085">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rPr>
              <w:t>3</w:t>
            </w:r>
            <w:r>
              <w:rPr>
                <w:rFonts w:hint="eastAsia" w:ascii="宋体" w:hAnsi="宋体" w:cs="仿宋_GB2312"/>
                <w:color w:val="auto"/>
                <w:sz w:val="24"/>
                <w:highlight w:val="none"/>
                <w:lang w:val="en-US" w:eastAsia="zh-CN"/>
              </w:rPr>
              <w:t>5</w:t>
            </w:r>
          </w:p>
        </w:tc>
        <w:tc>
          <w:tcPr>
            <w:tcW w:w="5841" w:type="dxa"/>
            <w:shd w:val="clear" w:color="auto" w:fill="auto"/>
            <w:vAlign w:val="center"/>
          </w:tcPr>
          <w:p w14:paraId="343733F7">
            <w:pPr>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工程竣工验收合格、提交所有竣工资料（包括但不限于监理工程师签署的全部工程验收合格的资料、缺陷修补完成的证明材料等）、并移交接收管理部门后，支付合同金额的35%；</w:t>
            </w:r>
          </w:p>
        </w:tc>
      </w:tr>
      <w:tr w14:paraId="5395B6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vAlign w:val="center"/>
          </w:tcPr>
          <w:p w14:paraId="305C8317">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3</w:t>
            </w:r>
          </w:p>
        </w:tc>
        <w:tc>
          <w:tcPr>
            <w:tcW w:w="2519" w:type="dxa"/>
            <w:shd w:val="clear" w:color="auto" w:fill="auto"/>
            <w:vAlign w:val="center"/>
          </w:tcPr>
          <w:p w14:paraId="681DE271">
            <w:pPr>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15</w:t>
            </w:r>
          </w:p>
        </w:tc>
        <w:tc>
          <w:tcPr>
            <w:tcW w:w="5841" w:type="dxa"/>
            <w:shd w:val="clear" w:color="auto" w:fill="auto"/>
            <w:vAlign w:val="center"/>
          </w:tcPr>
          <w:p w14:paraId="5D850821">
            <w:pPr>
              <w:spacing w:line="360" w:lineRule="auto"/>
              <w:jc w:val="left"/>
              <w:rPr>
                <w:rFonts w:hint="eastAsia" w:ascii="宋体" w:hAnsi="宋体" w:cs="仿宋_GB2312"/>
                <w:color w:val="auto"/>
                <w:sz w:val="24"/>
                <w:highlight w:val="none"/>
              </w:rPr>
            </w:pPr>
            <w:r>
              <w:rPr>
                <w:rFonts w:hint="eastAsia" w:ascii="宋体" w:hAnsi="宋体" w:cs="宋体"/>
                <w:color w:val="auto"/>
                <w:sz w:val="24"/>
                <w:highlight w:val="none"/>
              </w:rPr>
              <w:t>待工程决算审价结束且资料归档后，</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收到</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质量保证金保函</w:t>
            </w:r>
            <w:r>
              <w:rPr>
                <w:rFonts w:hint="eastAsia" w:ascii="宋体" w:hAnsi="宋体" w:cs="宋体"/>
                <w:color w:val="auto"/>
                <w:sz w:val="24"/>
                <w:highlight w:val="none"/>
                <w:lang w:eastAsia="zh-CN"/>
              </w:rPr>
              <w:t>（</w:t>
            </w:r>
            <w:r>
              <w:rPr>
                <w:rFonts w:hint="eastAsia" w:ascii="宋体" w:hAnsi="宋体" w:cs="宋体"/>
                <w:color w:val="auto"/>
                <w:sz w:val="24"/>
                <w:highlight w:val="none"/>
              </w:rPr>
              <w:t>质量保证金</w:t>
            </w:r>
            <w:r>
              <w:rPr>
                <w:rFonts w:hint="eastAsia" w:ascii="宋体" w:hAnsi="宋体" w:cs="宋体"/>
                <w:color w:val="auto"/>
                <w:sz w:val="24"/>
                <w:highlight w:val="none"/>
                <w:lang w:val="en-US" w:eastAsia="zh-CN"/>
              </w:rPr>
              <w:t>金额为</w:t>
            </w:r>
            <w:r>
              <w:rPr>
                <w:rFonts w:hint="eastAsia" w:ascii="宋体" w:hAnsi="宋体" w:cs="宋体"/>
                <w:color w:val="auto"/>
                <w:sz w:val="24"/>
                <w:highlight w:val="none"/>
              </w:rPr>
              <w:t>审定的工程结算总价</w:t>
            </w:r>
            <w:r>
              <w:rPr>
                <w:rFonts w:hint="eastAsia" w:ascii="宋体" w:hAnsi="宋体" w:cs="宋体"/>
                <w:color w:val="auto"/>
                <w:sz w:val="24"/>
                <w:highlight w:val="none"/>
                <w:lang w:val="en-US" w:eastAsia="zh-CN"/>
              </w:rPr>
              <w:t>的1%</w:t>
            </w:r>
            <w:r>
              <w:rPr>
                <w:rFonts w:hint="eastAsia" w:ascii="宋体" w:hAnsi="宋体" w:cs="宋体"/>
                <w:color w:val="auto"/>
                <w:sz w:val="24"/>
                <w:highlight w:val="none"/>
                <w:lang w:eastAsia="zh-CN"/>
              </w:rPr>
              <w:t>）</w:t>
            </w:r>
            <w:r>
              <w:rPr>
                <w:rFonts w:hint="eastAsia" w:ascii="宋体" w:hAnsi="宋体" w:cs="宋体"/>
                <w:color w:val="auto"/>
                <w:sz w:val="24"/>
                <w:highlight w:val="none"/>
              </w:rPr>
              <w:t>后付至经审定的工程结算总价（本工程结算造价以第三方审计单位审核为准）的100％。</w:t>
            </w:r>
          </w:p>
        </w:tc>
      </w:tr>
      <w:bookmarkEnd w:id="32"/>
    </w:tbl>
    <w:p w14:paraId="317C998D">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4.工程售后服务要求</w:t>
      </w:r>
    </w:p>
    <w:p w14:paraId="141B7ED5">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（1）保修期：按工程质量保修书规定执行，质量保证期为本项目验收合格后不少于2年（具体详见工程质量保修书）。</w:t>
      </w:r>
    </w:p>
    <w:p w14:paraId="7DDD653A">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成交供应商应与采购人签订工程质量保修书，在质量保修期内，按照有关法律、法规、规章的管理规定和双方约定，承担本工程质量保修责任。</w:t>
      </w:r>
    </w:p>
    <w:p w14:paraId="31815696">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（2）在保修期内，成交供应商对有缺陷的部位必须无偿地给予修理与更换，并承担一切由此引起的对采购人或第三者的直接损失，除非该缺陷是由于人为破坏或合同规定的不可抗因素造成的损坏。</w:t>
      </w:r>
    </w:p>
    <w:p w14:paraId="49E37D5A">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（3）成交供应商必须对所承包的工程的质量负全部责任，其责任不因其他材料生产商提供的保证书而减轻或更改。</w:t>
      </w:r>
    </w:p>
    <w:p w14:paraId="374CBCC3">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（4）供应商应当在缺陷责任期内具有完善的售后技术支持和服务体系，能够提供服务标准、服务流程、服务内容。 </w:t>
      </w:r>
    </w:p>
    <w:p w14:paraId="15F2613B">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5.其他商务要求（包装和运输、保险等）</w:t>
      </w:r>
    </w:p>
    <w:p w14:paraId="0E88C67D">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成交供应商在项目执行过程中必须严格按照有关安全操作规程进行操作，需为所有入场实施安装人员购买意外保险，做好安全防范工作，防止一切事故的发生；施工期间，出现人身伤亡等事故，一切后果均由供应商自行承担。</w:t>
      </w:r>
    </w:p>
    <w:p w14:paraId="303369C6">
      <w:pPr>
        <w:spacing w:line="360" w:lineRule="auto"/>
        <w:jc w:val="left"/>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五、其他要求</w:t>
      </w:r>
    </w:p>
    <w:p w14:paraId="3F6DABE5">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（1）、本项目采用工程量清单方式进行报价。</w:t>
      </w:r>
    </w:p>
    <w:p w14:paraId="6D68374C">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2）、本项目报价时，供应商在磋商文件、施工图纸的基础上，结合现场特殊情况、图纸无法表达或未表明的局部细节等进行报价。编制和报价过程须考虑为达到图纸表达的效果及需要的各项施工工艺、设备、材料、辅材辅料等，并填报综合单价和合价、按规定计取各项费用等。</w:t>
      </w:r>
    </w:p>
    <w:p w14:paraId="521E46E9">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3）、磋商总报价包含从项目实施到竣工验收、质量保期满需要的全部费用。供应商应根据国家、浙江省、杭州市的有关规定并结合企业的实际情况进行磋商响应报价。磋商响应报价是完成本磋商文件规定的所有采购内容和要求的总费用。</w:t>
      </w:r>
    </w:p>
    <w:p w14:paraId="6E932C7D">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4）、供应商的技术文件中或磋商文件及所附采购图纸、技术规范要求中有关的施工要求所产生的费用应包括在磋商响应报价中，上述要求凡采购人提供的工程量清单特征描述中未列入的，由供应商在相应的分部分项工程量清单项目的综合单价中考虑，否则视同磋商响应优惠，采购人不单独列项支付。综合单价在合同实施时间保持不变，不得以任何理由予以变更，并不因设计方案优化、劳务、材料、设备、机械等成本的价格变动而作任何调整。</w:t>
      </w:r>
    </w:p>
    <w:p w14:paraId="1F1E9B11">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（5）、供应商应先到工地踏勘以充分了解工地位置、情况、道路、储存空间、装卸限制及任何其它足以影响承包价的情况，任何因忽视或误解工地情况而导致的索赔或工期延长申请将不获批准。</w:t>
      </w:r>
    </w:p>
    <w:p w14:paraId="742FA521">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（6）、供应商应充分考虑停电、停水、二次搬运、施工场地不足、成品保护、重大活动引起的中断施工等情况可能引起的费用和工期。</w:t>
      </w:r>
    </w:p>
    <w:p w14:paraId="62DEC78A">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（7）、公共费用（如交通、市容、环保、噪音、治安等费用）由供应商自行调研作为单项费用计入措施项目费中，否则视作优惠。</w:t>
      </w:r>
    </w:p>
    <w:p w14:paraId="1799F059">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（8）、根据相关规范要求，部分材料设备须通过第三方检测，涉及到的检测、监测、质检费用由成交供应商在磋商响应报价中综合考虑。</w:t>
      </w:r>
    </w:p>
    <w:p w14:paraId="07A63970">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9）、成交供应商在验收前需进行室内空气检测（依据GB-1883-2002标准），合格的检测报告作为验收合格依据，室内空气检测≥3个点位，初次检测不合格的，进行整改。直至检测合格，费用由成交供应商在磋商响应报价中综合考虑。</w:t>
      </w:r>
    </w:p>
    <w:p w14:paraId="0EF62C85">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（10）、本工程所有需要拆除的项目及现场要求的其他物体的拆除、清理、外运和处置，按“项”包干，结算不作调整，具体由供应商根据图纸和现场实际情况自行考虑。</w:t>
      </w:r>
    </w:p>
    <w:p w14:paraId="1516B1F3">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（11）、竣工后的开荒保洁费用包含在磋商总报价中，成交后，不另行支付。</w:t>
      </w:r>
    </w:p>
    <w:p w14:paraId="22B583A2">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（12）、响应文件中价格全部采用人民币报价。报价应是唯一的，采购人将不接受有选择的报价，且该磋商响应总价不受外汇汇率及其它因素的影响。</w:t>
      </w:r>
    </w:p>
    <w:p w14:paraId="288794DA">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13）、本项目采用固定单价，工程量按实结算。供应商所报价格中应包含规费、税金、企业管理费、措施费等国家、省、市强制性要求的费用。若磋商供应商报价不足或未报价，则视作优惠，一旦中标，磋商供应商自行承担该费用。</w:t>
      </w:r>
    </w:p>
    <w:p w14:paraId="545EE9BE">
      <w:pPr>
        <w:spacing w:line="360" w:lineRule="auto"/>
        <w:jc w:val="left"/>
        <w:outlineLvl w:val="1"/>
        <w:rPr>
          <w:rFonts w:hint="default" w:ascii="宋体" w:hAnsi="宋体" w:eastAsia="宋体" w:cs="仿宋_GB2312"/>
          <w:b/>
          <w:bCs/>
          <w:color w:val="auto"/>
          <w:sz w:val="24"/>
          <w:highlight w:val="none"/>
          <w:lang w:val="en-US" w:eastAsia="zh-CN"/>
        </w:rPr>
      </w:pPr>
      <w:r>
        <w:rPr>
          <w:rFonts w:hint="eastAsia" w:ascii="宋体" w:hAnsi="宋体" w:cs="仿宋_GB2312"/>
          <w:b/>
          <w:bCs/>
          <w:color w:val="auto"/>
          <w:sz w:val="24"/>
          <w:highlight w:val="none"/>
          <w:lang w:val="en-US" w:eastAsia="zh-CN"/>
        </w:rPr>
        <w:t>六</w:t>
      </w:r>
      <w:r>
        <w:rPr>
          <w:rFonts w:hint="eastAsia" w:ascii="宋体" w:hAnsi="宋体" w:cs="仿宋_GB2312"/>
          <w:b/>
          <w:bCs/>
          <w:color w:val="auto"/>
          <w:sz w:val="24"/>
          <w:highlight w:val="none"/>
        </w:rPr>
        <w:t>、</w:t>
      </w:r>
      <w:r>
        <w:rPr>
          <w:rFonts w:hint="eastAsia" w:ascii="宋体" w:hAnsi="宋体" w:eastAsia="宋体" w:cs="宋体"/>
          <w:color w:val="auto"/>
          <w:sz w:val="24"/>
          <w:highlight w:val="none"/>
        </w:rPr>
        <w:t>参考制造商或品牌</w:t>
      </w:r>
      <w:r>
        <w:rPr>
          <w:rFonts w:hint="eastAsia" w:ascii="宋体" w:hAnsi="宋体" w:eastAsia="宋体" w:cs="宋体"/>
          <w:color w:val="auto"/>
          <w:sz w:val="24"/>
          <w:highlight w:val="none"/>
          <w:lang w:val="en-US" w:eastAsia="zh-CN"/>
        </w:rPr>
        <w:t>相关要求</w:t>
      </w:r>
    </w:p>
    <w:p w14:paraId="7B1B2F67">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1.工程用全部材料及设备应是全新的和质量合格的产品，均应满足设计文件的要求，并得到采购人、设计单位认可，且必须符合国家标准和相关技术规范规范，满足全年全天候工作。材料、设备进场前应向采购人和监理人提交产品说明（中文）、合格证、样品、装箱单、图纸等相关资料，并得到认可。</w:t>
      </w:r>
    </w:p>
    <w:p w14:paraId="2BF64EC8">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在投标报价时在推荐表中的推荐品牌内任选其一（或选择相当于推荐品牌同档次的品牌），并在材料表中或编制说明中注明主材的品牌、规格。</w:t>
      </w:r>
    </w:p>
    <w:p w14:paraId="6BB009EE">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所有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未确定品牌厂家的材料必须采用信誉好、品牌好、知名度高、同等行业中规模中等以上的生产厂家的产品，产品必须满足国家质量标准，由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自行采购。</w:t>
      </w:r>
    </w:p>
    <w:p w14:paraId="500AD872">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本编制说明中主要材料（设备）推荐品牌表中对材料设备品牌及系列、规格、型号等有要求的，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应按要求选择，并在"工程量清单报价说明"中注明。如未标明，则由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在要求范围内指定。</w:t>
      </w:r>
    </w:p>
    <w:p w14:paraId="053D82D8">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w:t>
      </w:r>
      <w:r>
        <w:rPr>
          <w:rFonts w:hint="eastAsia" w:ascii="宋体" w:hAnsi="宋体" w:cs="宋体"/>
          <w:color w:val="auto"/>
          <w:sz w:val="24"/>
          <w:highlight w:val="none"/>
          <w:lang w:eastAsia="zh-CN"/>
        </w:rPr>
        <w:t>磋商响应文件</w:t>
      </w:r>
      <w:r>
        <w:rPr>
          <w:rFonts w:hint="eastAsia" w:ascii="宋体" w:hAnsi="宋体" w:cs="宋体"/>
          <w:color w:val="auto"/>
          <w:sz w:val="24"/>
          <w:highlight w:val="none"/>
        </w:rPr>
        <w:t>中若提供了</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推荐品牌外的产品，应同时提供相当于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推荐品牌产品的证明材料。</w:t>
      </w:r>
    </w:p>
    <w:p w14:paraId="37DEC74B">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lang w:val="en-US" w:eastAsia="zh-CN"/>
        </w:rPr>
        <w:t>6.供应商</w:t>
      </w:r>
      <w:r>
        <w:rPr>
          <w:rFonts w:hint="eastAsia" w:ascii="宋体" w:hAnsi="宋体" w:cs="宋体"/>
          <w:color w:val="auto"/>
          <w:sz w:val="24"/>
          <w:highlight w:val="none"/>
        </w:rPr>
        <w:t>在施工过程中若采用与招标同档次品牌，必须经发包人签证同意后实施，否则不予以实施和结算。</w:t>
      </w:r>
    </w:p>
    <w:p w14:paraId="74834949">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本工程所选用建筑材料应符合《民用建筑工程室内环境污染控制规范》《建筑设计防火规范》等有关要求。</w:t>
      </w:r>
    </w:p>
    <w:p w14:paraId="537554DE">
      <w:pPr>
        <w:snapToGrid w:val="0"/>
        <w:spacing w:line="360" w:lineRule="auto"/>
        <w:ind w:firstLine="470" w:firstLineChars="196"/>
        <w:jc w:val="center"/>
        <w:rPr>
          <w:rFonts w:hint="eastAsia" w:ascii="宋体" w:hAnsi="宋体" w:cs="宋体"/>
          <w:b/>
          <w:color w:val="auto"/>
          <w:sz w:val="36"/>
          <w:szCs w:val="20"/>
          <w:highlight w:val="none"/>
        </w:rPr>
      </w:pPr>
      <w:r>
        <w:rPr>
          <w:rFonts w:hint="eastAsia" w:ascii="宋体" w:hAnsi="宋体" w:eastAsia="宋体" w:cs="宋体"/>
          <w:color w:val="auto"/>
          <w:sz w:val="24"/>
          <w:highlight w:val="none"/>
        </w:rPr>
        <w:t>参考制造商或品牌的材料表</w:t>
      </w:r>
    </w:p>
    <w:tbl>
      <w:tblPr>
        <w:tblStyle w:val="63"/>
        <w:tblpPr w:leftFromText="180" w:rightFromText="180" w:vertAnchor="text" w:horzAnchor="page" w:tblpX="1780" w:tblpY="455"/>
        <w:tblOverlap w:val="never"/>
        <w:tblW w:w="43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570"/>
        <w:gridCol w:w="4058"/>
      </w:tblGrid>
      <w:tr w14:paraId="7313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08" w:type="pct"/>
            <w:vAlign w:val="center"/>
          </w:tcPr>
          <w:p w14:paraId="47481D5C">
            <w:pPr>
              <w:widowControl/>
              <w:ind w:left="107" w:hanging="122" w:hangingChars="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055" w:type="pct"/>
            <w:vAlign w:val="center"/>
          </w:tcPr>
          <w:p w14:paraId="71A13C37">
            <w:pPr>
              <w:widowControl/>
              <w:ind w:left="107" w:hanging="122" w:hangingChars="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材料/设备名称</w:t>
            </w:r>
          </w:p>
        </w:tc>
        <w:tc>
          <w:tcPr>
            <w:tcW w:w="2335" w:type="pct"/>
            <w:vAlign w:val="center"/>
          </w:tcPr>
          <w:p w14:paraId="04409B8B">
            <w:pPr>
              <w:widowControl/>
              <w:ind w:left="107" w:hanging="122" w:hangingChars="51"/>
              <w:jc w:val="center"/>
              <w:rPr>
                <w:rFonts w:hint="eastAsia" w:ascii="宋体" w:hAnsi="宋体" w:eastAsia="宋体" w:cs="宋体"/>
                <w:color w:val="auto"/>
                <w:sz w:val="24"/>
                <w:szCs w:val="24"/>
                <w:highlight w:val="none"/>
                <w:lang w:val="en-US" w:eastAsia="zh-CN"/>
              </w:rPr>
            </w:pPr>
          </w:p>
          <w:p w14:paraId="1C18FEC5">
            <w:pPr>
              <w:widowControl/>
              <w:ind w:left="107" w:hanging="122" w:hangingChars="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推荐生产厂或品牌</w:t>
            </w:r>
          </w:p>
          <w:p w14:paraId="102D21D4">
            <w:pPr>
              <w:widowControl/>
              <w:jc w:val="center"/>
              <w:rPr>
                <w:rFonts w:hint="eastAsia" w:ascii="宋体" w:hAnsi="宋体" w:eastAsia="宋体" w:cs="宋体"/>
                <w:color w:val="auto"/>
                <w:sz w:val="24"/>
                <w:szCs w:val="24"/>
                <w:highlight w:val="none"/>
                <w:lang w:val="en-US" w:eastAsia="zh-CN"/>
              </w:rPr>
            </w:pPr>
          </w:p>
        </w:tc>
      </w:tr>
      <w:tr w14:paraId="41F3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08" w:type="pct"/>
            <w:vAlign w:val="center"/>
          </w:tcPr>
          <w:p w14:paraId="23378142">
            <w:pPr>
              <w:widowControl/>
              <w:ind w:left="107" w:hanging="122" w:hanging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70" w:type="dxa"/>
            <w:vAlign w:val="center"/>
          </w:tcPr>
          <w:p w14:paraId="35AE1EB9">
            <w:pPr>
              <w:widowControl/>
              <w:ind w:left="122" w:leftChars="0" w:hanging="122" w:hangingChars="51"/>
              <w:jc w:val="center"/>
              <w:rPr>
                <w:rFonts w:hint="eastAsia" w:ascii="宋体" w:hAnsi="宋体" w:eastAsia="宋体" w:cs="宋体"/>
                <w:color w:val="auto"/>
                <w:sz w:val="24"/>
                <w:szCs w:val="24"/>
                <w:highlight w:val="none"/>
                <w:lang w:val="zh-CN"/>
              </w:rPr>
            </w:pPr>
            <w:r>
              <w:rPr>
                <w:rFonts w:hint="eastAsia" w:ascii="宋体" w:hAnsi="宋体"/>
                <w:color w:val="auto"/>
                <w:sz w:val="24"/>
                <w:szCs w:val="24"/>
                <w:highlight w:val="none"/>
                <w:lang w:val="en-US" w:eastAsia="zh-CN"/>
              </w:rPr>
              <w:t>电线、电缆</w:t>
            </w:r>
          </w:p>
        </w:tc>
        <w:tc>
          <w:tcPr>
            <w:tcW w:w="4058" w:type="dxa"/>
            <w:vAlign w:val="center"/>
          </w:tcPr>
          <w:p w14:paraId="6ECE7C90">
            <w:pPr>
              <w:widowControl/>
              <w:ind w:left="107" w:hanging="122" w:hangingChars="51"/>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浙江元通、江苏宝胜、浙江万马、</w:t>
            </w:r>
          </w:p>
          <w:p w14:paraId="7FE04F43">
            <w:pPr>
              <w:widowControl/>
              <w:ind w:left="122" w:leftChars="0" w:hanging="122" w:hangingChars="51"/>
              <w:jc w:val="center"/>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上上、远东或相当于</w:t>
            </w:r>
          </w:p>
        </w:tc>
      </w:tr>
      <w:tr w14:paraId="2739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vAlign w:val="center"/>
          </w:tcPr>
          <w:p w14:paraId="705977AD">
            <w:pPr>
              <w:widowControl/>
              <w:ind w:left="107" w:hanging="122" w:hangingChars="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570" w:type="dxa"/>
            <w:vAlign w:val="center"/>
          </w:tcPr>
          <w:p w14:paraId="0FD12005">
            <w:pPr>
              <w:widowControl/>
              <w:ind w:left="122" w:leftChars="0" w:hanging="122" w:hangingChars="51"/>
              <w:jc w:val="center"/>
              <w:rPr>
                <w:rFonts w:hint="eastAsia" w:ascii="宋体" w:hAnsi="宋体" w:eastAsia="宋体" w:cs="宋体"/>
                <w:color w:val="auto"/>
                <w:sz w:val="24"/>
                <w:szCs w:val="24"/>
                <w:highlight w:val="none"/>
                <w:lang w:val="zh-CN"/>
              </w:rPr>
            </w:pPr>
            <w:r>
              <w:rPr>
                <w:rFonts w:hint="eastAsia" w:ascii="宋体" w:hAnsi="宋体"/>
                <w:color w:val="auto"/>
                <w:sz w:val="24"/>
                <w:szCs w:val="24"/>
                <w:highlight w:val="none"/>
                <w:lang w:val="en-US" w:eastAsia="zh-CN"/>
              </w:rPr>
              <w:t>照明灯具（含光源）</w:t>
            </w:r>
          </w:p>
        </w:tc>
        <w:tc>
          <w:tcPr>
            <w:tcW w:w="4058" w:type="dxa"/>
            <w:vAlign w:val="center"/>
          </w:tcPr>
          <w:p w14:paraId="56D6786A">
            <w:pPr>
              <w:widowControl/>
              <w:ind w:left="122" w:leftChars="0" w:hanging="122" w:hangingChars="51"/>
              <w:jc w:val="center"/>
              <w:rPr>
                <w:rFonts w:hint="eastAsia" w:ascii="宋体" w:hAnsi="宋体" w:eastAsia="宋体" w:cs="宋体"/>
                <w:color w:val="auto"/>
                <w:sz w:val="24"/>
                <w:szCs w:val="24"/>
                <w:highlight w:val="none"/>
                <w:lang w:val="zh-CN"/>
              </w:rPr>
            </w:pPr>
            <w:r>
              <w:rPr>
                <w:rFonts w:hint="eastAsia" w:ascii="宋体" w:hAnsi="宋体"/>
                <w:color w:val="auto"/>
                <w:sz w:val="24"/>
                <w:szCs w:val="24"/>
                <w:highlight w:val="none"/>
                <w:lang w:val="en-US" w:eastAsia="zh-CN"/>
              </w:rPr>
              <w:t>三雄极光、松下、雷士或相当于</w:t>
            </w:r>
          </w:p>
        </w:tc>
      </w:tr>
      <w:tr w14:paraId="3DFC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vAlign w:val="center"/>
          </w:tcPr>
          <w:p w14:paraId="4849BDF1">
            <w:pPr>
              <w:widowControl/>
              <w:ind w:left="107" w:hanging="122" w:hangingChars="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570" w:type="dxa"/>
            <w:vAlign w:val="center"/>
          </w:tcPr>
          <w:p w14:paraId="22B424B3">
            <w:pPr>
              <w:widowControl/>
              <w:ind w:left="122" w:leftChars="0" w:hanging="122" w:hangingChars="51"/>
              <w:jc w:val="center"/>
              <w:rPr>
                <w:rFonts w:hint="eastAsia" w:ascii="宋体" w:hAnsi="宋体" w:eastAsia="宋体" w:cs="宋体"/>
                <w:color w:val="auto"/>
                <w:sz w:val="24"/>
                <w:szCs w:val="24"/>
                <w:highlight w:val="none"/>
                <w:lang w:val="zh-CN"/>
              </w:rPr>
            </w:pPr>
            <w:r>
              <w:rPr>
                <w:rFonts w:hint="eastAsia" w:ascii="宋体" w:hAnsi="宋体"/>
                <w:color w:val="auto"/>
                <w:sz w:val="24"/>
                <w:szCs w:val="24"/>
                <w:highlight w:val="none"/>
                <w:lang w:val="en-US" w:eastAsia="zh-CN"/>
              </w:rPr>
              <w:t>开关、插座</w:t>
            </w:r>
          </w:p>
        </w:tc>
        <w:tc>
          <w:tcPr>
            <w:tcW w:w="4058" w:type="dxa"/>
            <w:vAlign w:val="center"/>
          </w:tcPr>
          <w:p w14:paraId="44C8132E">
            <w:pPr>
              <w:widowControl/>
              <w:ind w:left="122" w:leftChars="0" w:hanging="122" w:hangingChars="51"/>
              <w:jc w:val="center"/>
              <w:rPr>
                <w:rFonts w:hint="eastAsia" w:ascii="宋体" w:hAnsi="宋体" w:eastAsia="宋体" w:cs="宋体"/>
                <w:color w:val="auto"/>
                <w:sz w:val="24"/>
                <w:szCs w:val="24"/>
                <w:highlight w:val="none"/>
                <w:lang w:val="zh-CN"/>
              </w:rPr>
            </w:pPr>
            <w:r>
              <w:rPr>
                <w:rFonts w:hint="eastAsia" w:ascii="宋体" w:hAnsi="宋体"/>
                <w:color w:val="auto"/>
                <w:sz w:val="24"/>
                <w:szCs w:val="24"/>
                <w:highlight w:val="none"/>
                <w:lang w:val="en-US" w:eastAsia="zh-CN"/>
              </w:rPr>
              <w:t>西门子、施耐德、松下、ABB 或相当于</w:t>
            </w:r>
          </w:p>
        </w:tc>
      </w:tr>
      <w:tr w14:paraId="2FFD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vAlign w:val="center"/>
          </w:tcPr>
          <w:p w14:paraId="5B461C84">
            <w:pPr>
              <w:widowControl/>
              <w:ind w:left="107" w:hanging="122" w:hangingChars="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570" w:type="dxa"/>
            <w:vAlign w:val="center"/>
          </w:tcPr>
          <w:p w14:paraId="14CD0BD1">
            <w:pPr>
              <w:widowControl/>
              <w:ind w:left="107" w:hanging="122" w:hangingChars="51"/>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配电箱（含设备自带控制</w:t>
            </w:r>
          </w:p>
          <w:p w14:paraId="1DCF7F09">
            <w:pPr>
              <w:widowControl/>
              <w:ind w:left="122" w:leftChars="0" w:hanging="122" w:hangingChars="51"/>
              <w:jc w:val="center"/>
              <w:rPr>
                <w:rFonts w:hint="eastAsia" w:ascii="宋体" w:hAnsi="宋体" w:eastAsia="宋体" w:cs="宋体"/>
                <w:color w:val="auto"/>
                <w:sz w:val="24"/>
                <w:szCs w:val="24"/>
                <w:highlight w:val="none"/>
                <w:lang w:val="zh-CN"/>
              </w:rPr>
            </w:pPr>
            <w:r>
              <w:rPr>
                <w:rFonts w:hint="eastAsia" w:ascii="宋体" w:hAnsi="宋体"/>
                <w:color w:val="auto"/>
                <w:sz w:val="24"/>
                <w:szCs w:val="24"/>
                <w:highlight w:val="none"/>
                <w:lang w:val="en-US" w:eastAsia="zh-CN"/>
              </w:rPr>
              <w:t>箱）内元器件</w:t>
            </w:r>
          </w:p>
        </w:tc>
        <w:tc>
          <w:tcPr>
            <w:tcW w:w="4058" w:type="dxa"/>
            <w:vAlign w:val="center"/>
          </w:tcPr>
          <w:p w14:paraId="264F42C0">
            <w:pPr>
              <w:widowControl/>
              <w:ind w:left="122" w:leftChars="0" w:hanging="122" w:hangingChars="51"/>
              <w:jc w:val="center"/>
              <w:rPr>
                <w:rFonts w:hint="eastAsia" w:ascii="宋体" w:hAnsi="宋体" w:eastAsia="宋体" w:cs="宋体"/>
                <w:color w:val="auto"/>
                <w:sz w:val="24"/>
                <w:szCs w:val="24"/>
                <w:highlight w:val="none"/>
                <w:lang w:val="zh-CN"/>
              </w:rPr>
            </w:pPr>
            <w:r>
              <w:rPr>
                <w:rFonts w:hint="eastAsia" w:ascii="宋体" w:hAnsi="宋体"/>
                <w:color w:val="auto"/>
                <w:sz w:val="24"/>
                <w:szCs w:val="24"/>
                <w:highlight w:val="none"/>
                <w:lang w:val="en-US" w:eastAsia="zh-CN"/>
              </w:rPr>
              <w:t>施耐德、ABB、西门子或相当于</w:t>
            </w:r>
          </w:p>
        </w:tc>
      </w:tr>
      <w:tr w14:paraId="30AF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vAlign w:val="center"/>
          </w:tcPr>
          <w:p w14:paraId="12B7055D">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570" w:type="dxa"/>
            <w:shd w:val="clear" w:color="auto" w:fill="auto"/>
            <w:vAlign w:val="center"/>
          </w:tcPr>
          <w:p w14:paraId="61B5FAD1">
            <w:pPr>
              <w:widowControl/>
              <w:ind w:left="122" w:leftChars="0" w:hanging="122" w:hangingChars="51"/>
              <w:jc w:val="center"/>
              <w:rPr>
                <w:rFonts w:hint="eastAsia" w:ascii="宋体" w:hAnsi="宋体" w:eastAsia="宋体" w:cs="宋体"/>
                <w:color w:val="auto"/>
                <w:sz w:val="24"/>
                <w:szCs w:val="24"/>
                <w:highlight w:val="none"/>
                <w:lang w:val="zh-CN" w:eastAsia="zh-CN"/>
              </w:rPr>
            </w:pPr>
            <w:r>
              <w:rPr>
                <w:rFonts w:hint="eastAsia" w:ascii="宋体" w:hAnsi="宋体"/>
                <w:color w:val="auto"/>
                <w:sz w:val="24"/>
                <w:szCs w:val="24"/>
                <w:highlight w:val="none"/>
                <w:lang w:val="en-US" w:eastAsia="zh-CN"/>
              </w:rPr>
              <w:t>卫生洁具</w:t>
            </w:r>
          </w:p>
        </w:tc>
        <w:tc>
          <w:tcPr>
            <w:tcW w:w="4058" w:type="dxa"/>
            <w:shd w:val="clear" w:color="auto" w:fill="auto"/>
            <w:vAlign w:val="center"/>
          </w:tcPr>
          <w:p w14:paraId="1061CB02">
            <w:pPr>
              <w:pStyle w:val="968"/>
              <w:ind w:firstLine="480" w:firstLineChars="200"/>
              <w:jc w:val="center"/>
              <w:rPr>
                <w:rFonts w:hint="eastAsia" w:ascii="宋体" w:hAnsi="宋体" w:eastAsia="宋体" w:cs="宋体"/>
                <w:bCs w:val="0"/>
                <w:color w:val="auto"/>
                <w:kern w:val="2"/>
                <w:sz w:val="24"/>
                <w:szCs w:val="24"/>
                <w:highlight w:val="none"/>
                <w:lang w:val="zh-CN" w:eastAsia="zh-CN" w:bidi="ar-SA"/>
              </w:rPr>
            </w:pPr>
            <w:r>
              <w:rPr>
                <w:rFonts w:hint="eastAsia"/>
                <w:bCs w:val="0"/>
                <w:color w:val="auto"/>
                <w:sz w:val="24"/>
                <w:szCs w:val="24"/>
                <w:highlight w:val="none"/>
                <w:lang w:val="en-US" w:eastAsia="zh-CN"/>
              </w:rPr>
              <w:t>法恩莎</w:t>
            </w:r>
            <w:r>
              <w:rPr>
                <w:rFonts w:hint="eastAsia"/>
                <w:bCs w:val="0"/>
                <w:color w:val="auto"/>
                <w:sz w:val="24"/>
                <w:szCs w:val="24"/>
                <w:highlight w:val="none"/>
              </w:rPr>
              <w:t>、TOTO、科勒</w:t>
            </w:r>
            <w:r>
              <w:rPr>
                <w:rFonts w:hint="eastAsia" w:ascii="宋体" w:hAnsi="宋体"/>
                <w:color w:val="auto"/>
                <w:sz w:val="24"/>
                <w:szCs w:val="24"/>
                <w:highlight w:val="none"/>
                <w:lang w:val="en-US" w:eastAsia="zh-CN"/>
              </w:rPr>
              <w:t>或相当于</w:t>
            </w:r>
          </w:p>
        </w:tc>
      </w:tr>
      <w:tr w14:paraId="0132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vAlign w:val="center"/>
          </w:tcPr>
          <w:p w14:paraId="4BAC16C2">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570" w:type="dxa"/>
            <w:shd w:val="clear" w:color="auto" w:fill="auto"/>
            <w:vAlign w:val="center"/>
          </w:tcPr>
          <w:p w14:paraId="45E3E228">
            <w:pPr>
              <w:widowControl/>
              <w:ind w:left="122" w:leftChars="0" w:hanging="122" w:hangingChars="51"/>
              <w:jc w:val="center"/>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PVC-U管、PPR管</w:t>
            </w:r>
          </w:p>
        </w:tc>
        <w:tc>
          <w:tcPr>
            <w:tcW w:w="4058" w:type="dxa"/>
            <w:shd w:val="clear" w:color="auto" w:fill="auto"/>
            <w:vAlign w:val="center"/>
          </w:tcPr>
          <w:p w14:paraId="62EB42A6">
            <w:pPr>
              <w:pStyle w:val="968"/>
              <w:ind w:firstLine="0" w:firstLineChars="0"/>
              <w:jc w:val="center"/>
              <w:rPr>
                <w:rFonts w:hint="eastAsia" w:ascii="宋体" w:hAnsi="宋体" w:eastAsia="宋体" w:cs="宋体"/>
                <w:bCs w:val="0"/>
                <w:color w:val="auto"/>
                <w:kern w:val="2"/>
                <w:sz w:val="24"/>
                <w:szCs w:val="24"/>
                <w:highlight w:val="none"/>
                <w:lang w:val="en-US" w:eastAsia="zh-CN" w:bidi="ar-SA"/>
              </w:rPr>
            </w:pPr>
            <w:r>
              <w:rPr>
                <w:rFonts w:hint="eastAsia"/>
                <w:bCs w:val="0"/>
                <w:color w:val="auto"/>
                <w:sz w:val="24"/>
                <w:szCs w:val="24"/>
                <w:highlight w:val="none"/>
                <w:lang w:val="en-US" w:eastAsia="zh-CN"/>
              </w:rPr>
              <w:t>联塑</w:t>
            </w:r>
            <w:r>
              <w:rPr>
                <w:rFonts w:hint="eastAsia"/>
                <w:bCs w:val="0"/>
                <w:color w:val="auto"/>
                <w:sz w:val="24"/>
                <w:szCs w:val="24"/>
                <w:highlight w:val="none"/>
              </w:rPr>
              <w:t>、</w:t>
            </w:r>
            <w:r>
              <w:rPr>
                <w:rFonts w:hint="eastAsia"/>
                <w:bCs w:val="0"/>
                <w:color w:val="auto"/>
                <w:sz w:val="24"/>
                <w:szCs w:val="24"/>
                <w:highlight w:val="none"/>
                <w:lang w:val="en-US" w:eastAsia="zh-CN"/>
              </w:rPr>
              <w:t>中财</w:t>
            </w:r>
            <w:r>
              <w:rPr>
                <w:rFonts w:hint="eastAsia"/>
                <w:bCs w:val="0"/>
                <w:color w:val="auto"/>
                <w:sz w:val="24"/>
                <w:szCs w:val="24"/>
                <w:highlight w:val="none"/>
              </w:rPr>
              <w:t>、公元</w:t>
            </w:r>
            <w:r>
              <w:rPr>
                <w:rFonts w:hint="eastAsia" w:ascii="宋体" w:hAnsi="宋体"/>
                <w:color w:val="auto"/>
                <w:sz w:val="24"/>
                <w:szCs w:val="24"/>
                <w:highlight w:val="none"/>
                <w:lang w:val="en-US" w:eastAsia="zh-CN"/>
              </w:rPr>
              <w:t>或相当于</w:t>
            </w:r>
          </w:p>
        </w:tc>
      </w:tr>
      <w:tr w14:paraId="1C6C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tcPr>
          <w:p w14:paraId="2FC5DBDD">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570" w:type="dxa"/>
            <w:shd w:val="clear" w:color="auto" w:fill="auto"/>
            <w:vAlign w:val="center"/>
          </w:tcPr>
          <w:p w14:paraId="5F07459A">
            <w:pPr>
              <w:widowControl/>
              <w:ind w:left="122" w:leftChars="0" w:hanging="122" w:hangingChars="51"/>
              <w:jc w:val="center"/>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钢塑复合管</w:t>
            </w:r>
          </w:p>
        </w:tc>
        <w:tc>
          <w:tcPr>
            <w:tcW w:w="4058" w:type="dxa"/>
            <w:shd w:val="clear" w:color="auto" w:fill="auto"/>
            <w:vAlign w:val="center"/>
          </w:tcPr>
          <w:p w14:paraId="6878853C">
            <w:pPr>
              <w:pStyle w:val="968"/>
              <w:ind w:firstLine="0" w:firstLineChars="0"/>
              <w:jc w:val="center"/>
              <w:rPr>
                <w:rFonts w:hint="eastAsia" w:ascii="宋体" w:hAnsi="宋体" w:eastAsia="宋体" w:cs="宋体"/>
                <w:bCs w:val="0"/>
                <w:color w:val="auto"/>
                <w:kern w:val="2"/>
                <w:sz w:val="24"/>
                <w:szCs w:val="24"/>
                <w:highlight w:val="none"/>
                <w:lang w:val="en-US" w:eastAsia="zh-CN" w:bidi="ar-SA"/>
              </w:rPr>
            </w:pPr>
            <w:r>
              <w:rPr>
                <w:rFonts w:hint="eastAsia"/>
                <w:bCs w:val="0"/>
                <w:color w:val="auto"/>
                <w:sz w:val="24"/>
                <w:szCs w:val="24"/>
                <w:highlight w:val="none"/>
                <w:lang w:val="en-US" w:eastAsia="zh-CN"/>
              </w:rPr>
              <w:t>联塑</w:t>
            </w:r>
            <w:r>
              <w:rPr>
                <w:rFonts w:hint="eastAsia"/>
                <w:bCs w:val="0"/>
                <w:color w:val="auto"/>
                <w:sz w:val="24"/>
                <w:szCs w:val="24"/>
                <w:highlight w:val="none"/>
              </w:rPr>
              <w:t>、伟星、公元</w:t>
            </w:r>
            <w:r>
              <w:rPr>
                <w:rFonts w:hint="eastAsia" w:ascii="宋体" w:hAnsi="宋体"/>
                <w:color w:val="auto"/>
                <w:sz w:val="24"/>
                <w:szCs w:val="24"/>
                <w:highlight w:val="none"/>
                <w:lang w:val="en-US" w:eastAsia="zh-CN"/>
              </w:rPr>
              <w:t>或相当于</w:t>
            </w:r>
          </w:p>
        </w:tc>
      </w:tr>
      <w:tr w14:paraId="1900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tcPr>
          <w:p w14:paraId="3446A1F0">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570" w:type="dxa"/>
            <w:shd w:val="clear" w:color="auto" w:fill="auto"/>
            <w:vAlign w:val="center"/>
          </w:tcPr>
          <w:p w14:paraId="6A629E13">
            <w:pPr>
              <w:pStyle w:val="969"/>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不锈钢管</w:t>
            </w:r>
          </w:p>
        </w:tc>
        <w:tc>
          <w:tcPr>
            <w:tcW w:w="4058" w:type="dxa"/>
            <w:shd w:val="clear" w:color="auto" w:fill="auto"/>
            <w:vAlign w:val="center"/>
          </w:tcPr>
          <w:p w14:paraId="446013D8">
            <w:pPr>
              <w:pStyle w:val="968"/>
              <w:ind w:firstLine="0" w:firstLineChars="0"/>
              <w:jc w:val="center"/>
              <w:rPr>
                <w:rFonts w:hint="eastAsia" w:ascii="宋体" w:hAnsi="宋体" w:eastAsia="宋体" w:cs="宋体"/>
                <w:bCs w:val="0"/>
                <w:color w:val="auto"/>
                <w:sz w:val="24"/>
                <w:szCs w:val="24"/>
                <w:highlight w:val="none"/>
              </w:rPr>
            </w:pPr>
            <w:r>
              <w:rPr>
                <w:rFonts w:hint="eastAsia"/>
                <w:bCs w:val="0"/>
                <w:color w:val="auto"/>
                <w:sz w:val="24"/>
                <w:szCs w:val="24"/>
                <w:highlight w:val="none"/>
                <w:lang w:val="en-US" w:eastAsia="zh-CN"/>
              </w:rPr>
              <w:t>联塑</w:t>
            </w:r>
            <w:r>
              <w:rPr>
                <w:rFonts w:hint="eastAsia"/>
                <w:bCs w:val="0"/>
                <w:color w:val="auto"/>
                <w:sz w:val="24"/>
                <w:szCs w:val="24"/>
                <w:highlight w:val="none"/>
              </w:rPr>
              <w:t>、</w:t>
            </w:r>
            <w:r>
              <w:rPr>
                <w:rFonts w:hint="eastAsia"/>
                <w:bCs w:val="0"/>
                <w:color w:val="auto"/>
                <w:sz w:val="24"/>
                <w:szCs w:val="24"/>
                <w:highlight w:val="none"/>
                <w:lang w:val="en-US" w:eastAsia="zh-CN"/>
              </w:rPr>
              <w:t>中财</w:t>
            </w:r>
            <w:r>
              <w:rPr>
                <w:rFonts w:hint="eastAsia"/>
                <w:bCs w:val="0"/>
                <w:color w:val="auto"/>
                <w:sz w:val="24"/>
                <w:szCs w:val="24"/>
                <w:highlight w:val="none"/>
              </w:rPr>
              <w:t>、公元</w:t>
            </w:r>
            <w:r>
              <w:rPr>
                <w:rFonts w:hint="eastAsia" w:ascii="宋体" w:hAnsi="宋体"/>
                <w:color w:val="auto"/>
                <w:sz w:val="24"/>
                <w:szCs w:val="24"/>
                <w:highlight w:val="none"/>
                <w:lang w:val="en-US" w:eastAsia="zh-CN"/>
              </w:rPr>
              <w:t>或相当于</w:t>
            </w:r>
          </w:p>
        </w:tc>
      </w:tr>
      <w:tr w14:paraId="68C9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tcPr>
          <w:p w14:paraId="18C0B568">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570" w:type="dxa"/>
            <w:shd w:val="clear" w:color="auto" w:fill="auto"/>
            <w:vAlign w:val="center"/>
          </w:tcPr>
          <w:p w14:paraId="1E96365A">
            <w:pPr>
              <w:pStyle w:val="58"/>
              <w:widowControl/>
              <w:spacing w:beforeAutospacing="0" w:afterAutospacing="0"/>
              <w:ind w:left="0" w:leftChars="0" w:right="0" w:rightChars="0"/>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sz w:val="24"/>
                <w:szCs w:val="24"/>
                <w:highlight w:val="none"/>
              </w:rPr>
              <w:t>瓷砖</w:t>
            </w:r>
          </w:p>
        </w:tc>
        <w:tc>
          <w:tcPr>
            <w:tcW w:w="4058" w:type="dxa"/>
            <w:shd w:val="clear" w:color="auto" w:fill="auto"/>
            <w:vAlign w:val="center"/>
          </w:tcPr>
          <w:p w14:paraId="51C006F4">
            <w:pPr>
              <w:widowControl/>
              <w:ind w:left="122" w:leftChars="0" w:hanging="122" w:hangingChars="51"/>
              <w:jc w:val="center"/>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lang w:val="en-US" w:eastAsia="zh-CN"/>
              </w:rPr>
              <w:t>冠珠</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简一、诺贝尔</w:t>
            </w:r>
            <w:r>
              <w:rPr>
                <w:rFonts w:hint="eastAsia" w:ascii="宋体" w:hAnsi="宋体"/>
                <w:color w:val="auto"/>
                <w:sz w:val="24"/>
                <w:szCs w:val="24"/>
                <w:highlight w:val="none"/>
                <w:lang w:val="en-US" w:eastAsia="zh-CN"/>
              </w:rPr>
              <w:t>或相当于</w:t>
            </w:r>
          </w:p>
        </w:tc>
      </w:tr>
      <w:tr w14:paraId="008C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tcPr>
          <w:p w14:paraId="2939E49B">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570" w:type="dxa"/>
            <w:shd w:val="clear" w:color="auto" w:fill="auto"/>
            <w:vAlign w:val="center"/>
          </w:tcPr>
          <w:p w14:paraId="3F12135F">
            <w:pPr>
              <w:pStyle w:val="58"/>
              <w:widowControl/>
              <w:spacing w:beforeAutospacing="0" w:afterAutospacing="0"/>
              <w:ind w:left="0" w:leftChars="0" w:right="0" w:rightChars="0"/>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sz w:val="24"/>
                <w:szCs w:val="24"/>
                <w:highlight w:val="none"/>
              </w:rPr>
              <w:t>乳胶漆</w:t>
            </w:r>
          </w:p>
        </w:tc>
        <w:tc>
          <w:tcPr>
            <w:tcW w:w="4058" w:type="dxa"/>
            <w:shd w:val="clear" w:color="auto" w:fill="auto"/>
            <w:vAlign w:val="center"/>
          </w:tcPr>
          <w:p w14:paraId="18CFF40D">
            <w:pPr>
              <w:widowControl/>
              <w:ind w:left="122" w:leftChars="0" w:hanging="122" w:hangingChars="51"/>
              <w:jc w:val="center"/>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立邦、多乐士、三棵树</w:t>
            </w:r>
            <w:r>
              <w:rPr>
                <w:rFonts w:hint="eastAsia" w:ascii="宋体" w:hAnsi="宋体"/>
                <w:color w:val="auto"/>
                <w:sz w:val="24"/>
                <w:szCs w:val="24"/>
                <w:highlight w:val="none"/>
                <w:lang w:val="en-US" w:eastAsia="zh-CN"/>
              </w:rPr>
              <w:t>或相当于</w:t>
            </w:r>
          </w:p>
        </w:tc>
      </w:tr>
      <w:tr w14:paraId="4DBB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tcPr>
          <w:p w14:paraId="75889AA7">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570" w:type="dxa"/>
            <w:shd w:val="clear" w:color="auto" w:fill="auto"/>
            <w:vAlign w:val="center"/>
          </w:tcPr>
          <w:p w14:paraId="4FCDCF07">
            <w:pPr>
              <w:pStyle w:val="58"/>
              <w:widowControl/>
              <w:spacing w:beforeAutospacing="0" w:afterAutospacing="0"/>
              <w:ind w:left="0" w:leftChars="0" w:right="0" w:rightChars="0"/>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sz w:val="24"/>
                <w:szCs w:val="24"/>
                <w:highlight w:val="none"/>
              </w:rPr>
              <w:t>铝扣板</w:t>
            </w:r>
          </w:p>
        </w:tc>
        <w:tc>
          <w:tcPr>
            <w:tcW w:w="4058" w:type="dxa"/>
            <w:shd w:val="clear" w:color="auto" w:fill="auto"/>
            <w:vAlign w:val="center"/>
          </w:tcPr>
          <w:p w14:paraId="7714B55A">
            <w:pPr>
              <w:widowControl/>
              <w:ind w:left="122" w:leftChars="0" w:hanging="122" w:hangingChars="51"/>
              <w:jc w:val="center"/>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奥普、友邦、欧陆</w:t>
            </w:r>
            <w:r>
              <w:rPr>
                <w:rFonts w:hint="eastAsia" w:ascii="宋体" w:hAnsi="宋体"/>
                <w:color w:val="auto"/>
                <w:sz w:val="24"/>
                <w:szCs w:val="24"/>
                <w:highlight w:val="none"/>
                <w:lang w:val="en-US" w:eastAsia="zh-CN"/>
              </w:rPr>
              <w:t>或相当于</w:t>
            </w:r>
          </w:p>
        </w:tc>
      </w:tr>
      <w:tr w14:paraId="6472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tcPr>
          <w:p w14:paraId="22FADC37">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3570" w:type="dxa"/>
            <w:shd w:val="clear" w:color="auto" w:fill="auto"/>
            <w:vAlign w:val="center"/>
          </w:tcPr>
          <w:p w14:paraId="43A78748">
            <w:pPr>
              <w:pStyle w:val="969"/>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轻钢龙骨、石膏板</w:t>
            </w:r>
          </w:p>
        </w:tc>
        <w:tc>
          <w:tcPr>
            <w:tcW w:w="4058" w:type="dxa"/>
            <w:shd w:val="clear" w:color="auto" w:fill="auto"/>
            <w:vAlign w:val="center"/>
          </w:tcPr>
          <w:p w14:paraId="21EF8071">
            <w:pPr>
              <w:pStyle w:val="968"/>
              <w:ind w:firstLine="0" w:firstLineChars="0"/>
              <w:jc w:val="center"/>
              <w:rPr>
                <w:rFonts w:hint="eastAsia" w:ascii="宋体" w:hAnsi="宋体" w:eastAsia="宋体" w:cs="宋体"/>
                <w:bCs w:val="0"/>
                <w:color w:val="auto"/>
                <w:sz w:val="24"/>
                <w:szCs w:val="24"/>
                <w:highlight w:val="none"/>
                <w:lang w:val="en-US" w:eastAsia="zh-CN"/>
              </w:rPr>
            </w:pPr>
            <w:r>
              <w:rPr>
                <w:rFonts w:hint="eastAsia"/>
                <w:bCs w:val="0"/>
                <w:color w:val="auto"/>
                <w:sz w:val="24"/>
                <w:szCs w:val="24"/>
                <w:highlight w:val="none"/>
                <w:lang w:val="en-US" w:eastAsia="zh-CN"/>
              </w:rPr>
              <w:t>龙牌、可耐福、杰科</w:t>
            </w:r>
            <w:r>
              <w:rPr>
                <w:rFonts w:hint="eastAsia" w:ascii="宋体" w:hAnsi="宋体"/>
                <w:color w:val="auto"/>
                <w:sz w:val="24"/>
                <w:szCs w:val="24"/>
                <w:highlight w:val="none"/>
                <w:lang w:val="en-US" w:eastAsia="zh-CN"/>
              </w:rPr>
              <w:t>或相当于</w:t>
            </w:r>
          </w:p>
        </w:tc>
      </w:tr>
      <w:tr w14:paraId="64C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tcPr>
          <w:p w14:paraId="08082C35">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3570" w:type="dxa"/>
            <w:shd w:val="clear" w:color="auto" w:fill="auto"/>
            <w:vAlign w:val="center"/>
          </w:tcPr>
          <w:p w14:paraId="5A5EA589">
            <w:pPr>
              <w:pStyle w:val="969"/>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阻燃板</w:t>
            </w:r>
          </w:p>
        </w:tc>
        <w:tc>
          <w:tcPr>
            <w:tcW w:w="4058" w:type="dxa"/>
            <w:shd w:val="clear" w:color="auto" w:fill="auto"/>
            <w:vAlign w:val="center"/>
          </w:tcPr>
          <w:p w14:paraId="47A3E8B7">
            <w:pPr>
              <w:pStyle w:val="968"/>
              <w:ind w:firstLine="0" w:firstLineChars="0"/>
              <w:jc w:val="center"/>
              <w:rPr>
                <w:rFonts w:hint="eastAsia" w:ascii="宋体" w:hAnsi="宋体" w:eastAsia="宋体" w:cs="宋体"/>
                <w:bCs w:val="0"/>
                <w:color w:val="auto"/>
                <w:sz w:val="24"/>
                <w:szCs w:val="24"/>
                <w:highlight w:val="none"/>
                <w:lang w:val="en-US" w:eastAsia="zh-CN"/>
              </w:rPr>
            </w:pPr>
            <w:r>
              <w:rPr>
                <w:rFonts w:hint="eastAsia"/>
                <w:bCs w:val="0"/>
                <w:color w:val="auto"/>
                <w:sz w:val="24"/>
                <w:szCs w:val="24"/>
                <w:highlight w:val="none"/>
                <w:lang w:val="en-US" w:eastAsia="zh-CN"/>
              </w:rPr>
              <w:t>兔宝宝、千年舟、莫干山</w:t>
            </w:r>
            <w:r>
              <w:rPr>
                <w:rFonts w:hint="eastAsia" w:ascii="宋体" w:hAnsi="宋体"/>
                <w:color w:val="auto"/>
                <w:sz w:val="24"/>
                <w:szCs w:val="24"/>
                <w:highlight w:val="none"/>
                <w:lang w:val="en-US" w:eastAsia="zh-CN"/>
              </w:rPr>
              <w:t>或相当于</w:t>
            </w:r>
          </w:p>
        </w:tc>
      </w:tr>
      <w:tr w14:paraId="725C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tcPr>
          <w:p w14:paraId="1EE32E9D">
            <w:pPr>
              <w:spacing w:line="5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3570" w:type="dxa"/>
            <w:shd w:val="clear" w:color="auto" w:fill="auto"/>
            <w:vAlign w:val="center"/>
          </w:tcPr>
          <w:p w14:paraId="77C2A002">
            <w:pPr>
              <w:pStyle w:val="969"/>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防水涂料、防水卷材</w:t>
            </w:r>
          </w:p>
        </w:tc>
        <w:tc>
          <w:tcPr>
            <w:tcW w:w="4058" w:type="dxa"/>
            <w:shd w:val="clear" w:color="auto" w:fill="auto"/>
            <w:vAlign w:val="center"/>
          </w:tcPr>
          <w:p w14:paraId="686E2707">
            <w:pPr>
              <w:pStyle w:val="968"/>
              <w:ind w:firstLine="0" w:firstLineChars="0"/>
              <w:jc w:val="center"/>
              <w:rPr>
                <w:rFonts w:hint="eastAsia" w:ascii="宋体" w:hAnsi="宋体" w:eastAsia="宋体" w:cs="宋体"/>
                <w:bCs w:val="0"/>
                <w:color w:val="auto"/>
                <w:sz w:val="24"/>
                <w:szCs w:val="24"/>
                <w:highlight w:val="none"/>
                <w:lang w:val="en-US" w:eastAsia="zh-CN"/>
              </w:rPr>
            </w:pPr>
            <w:r>
              <w:rPr>
                <w:rFonts w:hint="eastAsia"/>
                <w:bCs w:val="0"/>
                <w:color w:val="auto"/>
                <w:sz w:val="24"/>
                <w:szCs w:val="24"/>
                <w:highlight w:val="none"/>
                <w:lang w:val="en-US" w:eastAsia="zh-CN"/>
              </w:rPr>
              <w:t>东方雨虹、德高、科顺</w:t>
            </w:r>
            <w:r>
              <w:rPr>
                <w:rFonts w:hint="eastAsia" w:ascii="宋体" w:hAnsi="宋体"/>
                <w:color w:val="auto"/>
                <w:sz w:val="24"/>
                <w:szCs w:val="24"/>
                <w:highlight w:val="none"/>
                <w:lang w:val="en-US" w:eastAsia="zh-CN"/>
              </w:rPr>
              <w:t>或相当于</w:t>
            </w:r>
          </w:p>
        </w:tc>
      </w:tr>
      <w:tr w14:paraId="5CD6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8" w:type="pct"/>
          </w:tcPr>
          <w:p w14:paraId="7346B9BE">
            <w:pPr>
              <w:spacing w:line="52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3570" w:type="dxa"/>
            <w:shd w:val="clear" w:color="auto" w:fill="auto"/>
            <w:vAlign w:val="center"/>
          </w:tcPr>
          <w:p w14:paraId="423BDBD2">
            <w:pPr>
              <w:pStyle w:val="969"/>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铝板</w:t>
            </w:r>
          </w:p>
        </w:tc>
        <w:tc>
          <w:tcPr>
            <w:tcW w:w="4058" w:type="dxa"/>
            <w:shd w:val="clear" w:color="auto" w:fill="auto"/>
            <w:vAlign w:val="center"/>
          </w:tcPr>
          <w:p w14:paraId="15E55637">
            <w:pPr>
              <w:pStyle w:val="968"/>
              <w:ind w:firstLine="0" w:firstLineChars="0"/>
              <w:jc w:val="center"/>
              <w:rPr>
                <w:rFonts w:hint="eastAsia" w:ascii="宋体" w:hAnsi="宋体" w:eastAsia="宋体" w:cs="宋体"/>
                <w:bCs w:val="0"/>
                <w:color w:val="auto"/>
                <w:sz w:val="24"/>
                <w:szCs w:val="24"/>
                <w:highlight w:val="none"/>
                <w:lang w:val="en-US" w:eastAsia="zh-CN"/>
              </w:rPr>
            </w:pPr>
            <w:r>
              <w:rPr>
                <w:rFonts w:hint="eastAsia"/>
                <w:bCs w:val="0"/>
                <w:color w:val="auto"/>
                <w:sz w:val="24"/>
                <w:szCs w:val="24"/>
                <w:highlight w:val="none"/>
                <w:lang w:val="en-US" w:eastAsia="zh-CN"/>
              </w:rPr>
              <w:t>金霸、欧陆、</w:t>
            </w:r>
            <w:r>
              <w:rPr>
                <w:rFonts w:hint="eastAsia" w:ascii="宋体" w:hAnsi="宋体"/>
                <w:color w:val="auto"/>
                <w:sz w:val="24"/>
                <w:szCs w:val="24"/>
                <w:highlight w:val="none"/>
                <w:lang w:val="en-US" w:eastAsia="zh-CN"/>
              </w:rPr>
              <w:t>欧斯龙</w:t>
            </w:r>
            <w:r>
              <w:rPr>
                <w:rFonts w:hint="eastAsia" w:ascii="宋体" w:hAnsi="宋体"/>
                <w:color w:val="auto"/>
                <w:sz w:val="24"/>
                <w:szCs w:val="24"/>
                <w:highlight w:val="none"/>
                <w:lang w:val="en-US" w:eastAsia="zh-CN"/>
              </w:rPr>
              <w:t>或相当于</w:t>
            </w:r>
          </w:p>
        </w:tc>
      </w:tr>
    </w:tbl>
    <w:p w14:paraId="49B3E980">
      <w:pPr>
        <w:pStyle w:val="80"/>
        <w:rPr>
          <w:rFonts w:hint="eastAsia"/>
          <w:color w:val="auto"/>
          <w:highlight w:val="none"/>
        </w:rPr>
        <w:sectPr>
          <w:pgSz w:w="11907" w:h="16840"/>
          <w:pgMar w:top="1440" w:right="1080" w:bottom="1440" w:left="1080" w:header="851" w:footer="851" w:gutter="0"/>
          <w:cols w:space="720" w:num="1"/>
        </w:sectPr>
      </w:pPr>
    </w:p>
    <w:p w14:paraId="74662F1B">
      <w:pPr>
        <w:snapToGrid w:val="0"/>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第四部分</w:t>
      </w:r>
      <w:bookmarkStart w:id="33" w:name="_Toc184312099"/>
      <w:bookmarkEnd w:id="33"/>
      <w:bookmarkStart w:id="34" w:name="_Toc184308049"/>
      <w:bookmarkEnd w:id="34"/>
      <w:bookmarkStart w:id="35" w:name="_Toc184312105"/>
      <w:bookmarkEnd w:id="35"/>
      <w:bookmarkStart w:id="36" w:name="_Toc184308086"/>
      <w:bookmarkEnd w:id="36"/>
      <w:bookmarkStart w:id="37" w:name="_Toc184312129"/>
      <w:bookmarkEnd w:id="37"/>
      <w:bookmarkStart w:id="38" w:name="_Toc184310338"/>
      <w:bookmarkEnd w:id="38"/>
      <w:bookmarkStart w:id="39" w:name="_Toc184312135"/>
      <w:bookmarkEnd w:id="39"/>
      <w:bookmarkStart w:id="40" w:name="_Toc184308071"/>
      <w:bookmarkEnd w:id="40"/>
      <w:bookmarkStart w:id="41" w:name="_Toc184314472"/>
      <w:bookmarkEnd w:id="41"/>
      <w:bookmarkStart w:id="42" w:name="_Toc184310276"/>
      <w:bookmarkEnd w:id="42"/>
      <w:bookmarkStart w:id="43" w:name="_Toc184314457"/>
      <w:bookmarkEnd w:id="43"/>
      <w:bookmarkStart w:id="44" w:name="_Toc184312091"/>
      <w:bookmarkEnd w:id="44"/>
      <w:bookmarkStart w:id="45" w:name="_Toc184312076"/>
      <w:bookmarkEnd w:id="45"/>
      <w:bookmarkStart w:id="46" w:name="_Toc184312085"/>
      <w:bookmarkEnd w:id="46"/>
      <w:bookmarkStart w:id="47" w:name="_Toc184310327"/>
      <w:bookmarkEnd w:id="47"/>
      <w:bookmarkStart w:id="48" w:name="_Toc184308043"/>
      <w:bookmarkEnd w:id="48"/>
      <w:bookmarkStart w:id="49" w:name="_Toc184313240"/>
      <w:bookmarkEnd w:id="49"/>
      <w:bookmarkStart w:id="50" w:name="_Toc184314411"/>
      <w:bookmarkEnd w:id="50"/>
      <w:bookmarkStart w:id="51" w:name="_Toc184314440"/>
      <w:bookmarkEnd w:id="51"/>
      <w:bookmarkStart w:id="52" w:name="_Toc184308050"/>
      <w:bookmarkEnd w:id="52"/>
      <w:bookmarkStart w:id="53" w:name="_Toc184312080"/>
      <w:bookmarkEnd w:id="53"/>
      <w:bookmarkStart w:id="54" w:name="_Toc184308062"/>
      <w:bookmarkEnd w:id="54"/>
      <w:bookmarkStart w:id="55" w:name="_Toc184314437"/>
      <w:bookmarkEnd w:id="55"/>
      <w:bookmarkStart w:id="56" w:name="_Toc184313295"/>
      <w:bookmarkEnd w:id="56"/>
      <w:bookmarkStart w:id="57" w:name="_Toc184313305"/>
      <w:bookmarkEnd w:id="57"/>
      <w:bookmarkStart w:id="58" w:name="_Toc184310336"/>
      <w:bookmarkEnd w:id="58"/>
      <w:bookmarkStart w:id="59" w:name="_Toc184314481"/>
      <w:bookmarkEnd w:id="59"/>
      <w:bookmarkStart w:id="60" w:name="_Toc184310322"/>
      <w:bookmarkEnd w:id="60"/>
      <w:bookmarkStart w:id="61" w:name="_Toc184314468"/>
      <w:bookmarkEnd w:id="61"/>
      <w:bookmarkStart w:id="62" w:name="_Toc184308057"/>
      <w:bookmarkEnd w:id="62"/>
      <w:bookmarkStart w:id="63" w:name="_Toc184312114"/>
      <w:bookmarkEnd w:id="63"/>
      <w:bookmarkStart w:id="64" w:name="_Toc184313244"/>
      <w:bookmarkEnd w:id="64"/>
      <w:bookmarkStart w:id="65" w:name="_Toc184312078"/>
      <w:bookmarkEnd w:id="65"/>
      <w:bookmarkStart w:id="66" w:name="_Toc184313271"/>
      <w:bookmarkEnd w:id="66"/>
      <w:bookmarkStart w:id="67" w:name="_Toc184313298"/>
      <w:bookmarkEnd w:id="67"/>
      <w:bookmarkStart w:id="68" w:name="_Toc184310331"/>
      <w:bookmarkEnd w:id="68"/>
      <w:bookmarkStart w:id="69" w:name="_Toc184308091"/>
      <w:bookmarkEnd w:id="69"/>
      <w:bookmarkStart w:id="70" w:name="_Toc184313280"/>
      <w:bookmarkEnd w:id="70"/>
      <w:bookmarkStart w:id="71" w:name="_Toc184308042"/>
      <w:bookmarkEnd w:id="71"/>
      <w:bookmarkStart w:id="72" w:name="_Toc184310325"/>
      <w:bookmarkEnd w:id="72"/>
      <w:bookmarkStart w:id="73" w:name="_Toc184314478"/>
      <w:bookmarkEnd w:id="73"/>
      <w:bookmarkStart w:id="74" w:name="_Toc184313241"/>
      <w:bookmarkEnd w:id="74"/>
      <w:bookmarkStart w:id="75" w:name="_Toc184314453"/>
      <w:bookmarkEnd w:id="75"/>
      <w:bookmarkStart w:id="76" w:name="_Toc184310277"/>
      <w:bookmarkEnd w:id="76"/>
      <w:bookmarkStart w:id="77" w:name="_Toc184308092"/>
      <w:bookmarkEnd w:id="77"/>
      <w:bookmarkStart w:id="78" w:name="_Toc184314475"/>
      <w:bookmarkEnd w:id="78"/>
      <w:bookmarkStart w:id="79" w:name="_Toc184314477"/>
      <w:bookmarkEnd w:id="79"/>
      <w:bookmarkStart w:id="80" w:name="_Toc184313296"/>
      <w:bookmarkEnd w:id="80"/>
      <w:bookmarkStart w:id="81" w:name="_Toc184312092"/>
      <w:bookmarkEnd w:id="81"/>
      <w:bookmarkStart w:id="82" w:name="_Toc184310309"/>
      <w:bookmarkEnd w:id="82"/>
      <w:bookmarkStart w:id="83" w:name="_Toc184310307"/>
      <w:bookmarkEnd w:id="83"/>
      <w:bookmarkStart w:id="84" w:name="_Toc184314476"/>
      <w:bookmarkEnd w:id="84"/>
      <w:bookmarkStart w:id="85" w:name="_Toc184312098"/>
      <w:bookmarkEnd w:id="85"/>
      <w:bookmarkStart w:id="86" w:name="_Toc184310291"/>
      <w:bookmarkEnd w:id="86"/>
      <w:bookmarkStart w:id="87" w:name="_Toc184313303"/>
      <w:bookmarkEnd w:id="87"/>
      <w:bookmarkStart w:id="88" w:name="_Toc184308047"/>
      <w:bookmarkEnd w:id="88"/>
      <w:bookmarkStart w:id="89" w:name="_Toc184310333"/>
      <w:bookmarkEnd w:id="89"/>
      <w:bookmarkStart w:id="90" w:name="_Toc184310314"/>
      <w:bookmarkEnd w:id="90"/>
      <w:bookmarkStart w:id="91" w:name="_Toc184310274"/>
      <w:bookmarkEnd w:id="91"/>
      <w:bookmarkStart w:id="92" w:name="_Toc184310339"/>
      <w:bookmarkEnd w:id="92"/>
      <w:bookmarkStart w:id="93" w:name="_Toc184308089"/>
      <w:bookmarkEnd w:id="93"/>
      <w:bookmarkStart w:id="94" w:name="_Toc184310288"/>
      <w:bookmarkEnd w:id="94"/>
      <w:bookmarkStart w:id="95" w:name="_Toc184314441"/>
      <w:bookmarkEnd w:id="95"/>
      <w:bookmarkStart w:id="96" w:name="_Toc184314439"/>
      <w:bookmarkEnd w:id="96"/>
      <w:bookmarkStart w:id="97" w:name="_Toc184314434"/>
      <w:bookmarkEnd w:id="97"/>
      <w:bookmarkStart w:id="98" w:name="_Toc184308106"/>
      <w:bookmarkEnd w:id="98"/>
      <w:bookmarkStart w:id="99" w:name="_Toc184314414"/>
      <w:bookmarkEnd w:id="99"/>
      <w:bookmarkStart w:id="100" w:name="_Toc184308095"/>
      <w:bookmarkEnd w:id="100"/>
      <w:bookmarkStart w:id="101" w:name="_Toc184310302"/>
      <w:bookmarkEnd w:id="101"/>
      <w:bookmarkStart w:id="102" w:name="_Toc184310272"/>
      <w:bookmarkEnd w:id="102"/>
      <w:bookmarkStart w:id="103" w:name="_Toc184310308"/>
      <w:bookmarkEnd w:id="103"/>
      <w:bookmarkStart w:id="104" w:name="_Toc184308085"/>
      <w:bookmarkEnd w:id="104"/>
      <w:bookmarkStart w:id="105" w:name="_Toc184314431"/>
      <w:bookmarkEnd w:id="105"/>
      <w:bookmarkStart w:id="106" w:name="_Toc184310306"/>
      <w:bookmarkEnd w:id="106"/>
      <w:bookmarkStart w:id="107" w:name="_Toc184314462"/>
      <w:bookmarkEnd w:id="107"/>
      <w:bookmarkStart w:id="108" w:name="_Toc184312100"/>
      <w:bookmarkEnd w:id="108"/>
      <w:bookmarkStart w:id="109" w:name="_Toc184308055"/>
      <w:bookmarkEnd w:id="109"/>
      <w:bookmarkStart w:id="110" w:name="_Toc184312107"/>
      <w:bookmarkEnd w:id="110"/>
      <w:bookmarkStart w:id="111" w:name="_Toc184310342"/>
      <w:bookmarkEnd w:id="111"/>
      <w:bookmarkStart w:id="112" w:name="_Toc184310311"/>
      <w:bookmarkEnd w:id="112"/>
      <w:bookmarkStart w:id="113" w:name="_Toc184308045"/>
      <w:bookmarkEnd w:id="113"/>
      <w:bookmarkStart w:id="114" w:name="_Toc184312075"/>
      <w:bookmarkEnd w:id="114"/>
      <w:bookmarkStart w:id="115" w:name="_Toc184313251"/>
      <w:bookmarkEnd w:id="115"/>
      <w:bookmarkStart w:id="116" w:name="_Toc184312136"/>
      <w:bookmarkEnd w:id="116"/>
      <w:bookmarkStart w:id="117" w:name="_Toc184313250"/>
      <w:bookmarkEnd w:id="117"/>
      <w:bookmarkStart w:id="118" w:name="_Toc184312139"/>
      <w:bookmarkEnd w:id="118"/>
      <w:bookmarkStart w:id="119" w:name="_Toc184314460"/>
      <w:bookmarkEnd w:id="119"/>
      <w:bookmarkStart w:id="120" w:name="_Toc184312120"/>
      <w:bookmarkEnd w:id="120"/>
      <w:bookmarkStart w:id="121" w:name="_Toc184313256"/>
      <w:bookmarkEnd w:id="121"/>
      <w:bookmarkStart w:id="122" w:name="_Toc184312102"/>
      <w:bookmarkEnd w:id="122"/>
      <w:bookmarkStart w:id="123" w:name="_Toc184312130"/>
      <w:bookmarkEnd w:id="123"/>
      <w:bookmarkStart w:id="124" w:name="_Toc184313254"/>
      <w:bookmarkEnd w:id="124"/>
      <w:bookmarkStart w:id="125" w:name="_Toc184310282"/>
      <w:bookmarkEnd w:id="125"/>
      <w:bookmarkStart w:id="126" w:name="_Toc184312090"/>
      <w:bookmarkEnd w:id="126"/>
      <w:bookmarkStart w:id="127" w:name="_Toc184314443"/>
      <w:bookmarkEnd w:id="127"/>
      <w:bookmarkStart w:id="128" w:name="_Toc184314447"/>
      <w:bookmarkEnd w:id="128"/>
      <w:bookmarkStart w:id="129" w:name="_Toc184314448"/>
      <w:bookmarkEnd w:id="129"/>
      <w:bookmarkStart w:id="130" w:name="_Toc184314470"/>
      <w:bookmarkEnd w:id="130"/>
      <w:bookmarkStart w:id="131" w:name="_Toc184310293"/>
      <w:bookmarkEnd w:id="131"/>
      <w:bookmarkStart w:id="132" w:name="_Toc184314426"/>
      <w:bookmarkEnd w:id="132"/>
      <w:bookmarkStart w:id="133" w:name="_Toc184312134"/>
      <w:bookmarkEnd w:id="133"/>
      <w:bookmarkStart w:id="134" w:name="_Toc184313239"/>
      <w:bookmarkEnd w:id="134"/>
      <w:bookmarkStart w:id="135" w:name="_Toc184314473"/>
      <w:bookmarkEnd w:id="135"/>
      <w:bookmarkStart w:id="136" w:name="_Toc184313263"/>
      <w:bookmarkEnd w:id="136"/>
      <w:bookmarkStart w:id="137" w:name="_Toc184313242"/>
      <w:bookmarkEnd w:id="137"/>
      <w:bookmarkStart w:id="138" w:name="_Toc184312126"/>
      <w:bookmarkEnd w:id="138"/>
      <w:bookmarkStart w:id="139" w:name="_Toc184312073"/>
      <w:bookmarkEnd w:id="139"/>
      <w:bookmarkStart w:id="140" w:name="_Toc184312089"/>
      <w:bookmarkEnd w:id="140"/>
      <w:bookmarkStart w:id="141" w:name="_Toc184314427"/>
      <w:bookmarkEnd w:id="141"/>
      <w:bookmarkStart w:id="142" w:name="_Toc184314446"/>
      <w:bookmarkEnd w:id="142"/>
      <w:bookmarkStart w:id="143" w:name="_Toc184308093"/>
      <w:bookmarkEnd w:id="143"/>
      <w:bookmarkStart w:id="144" w:name="_Toc184308051"/>
      <w:bookmarkEnd w:id="144"/>
      <w:bookmarkStart w:id="145" w:name="_Toc184308099"/>
      <w:bookmarkEnd w:id="145"/>
      <w:bookmarkStart w:id="146" w:name="_Toc184312125"/>
      <w:bookmarkEnd w:id="146"/>
      <w:bookmarkStart w:id="147" w:name="_Toc184312133"/>
      <w:bookmarkEnd w:id="147"/>
      <w:bookmarkStart w:id="148" w:name="_Toc184313286"/>
      <w:bookmarkEnd w:id="148"/>
      <w:bookmarkStart w:id="149" w:name="_Toc184308063"/>
      <w:bookmarkEnd w:id="149"/>
      <w:bookmarkStart w:id="150" w:name="_Toc184313290"/>
      <w:bookmarkEnd w:id="150"/>
      <w:bookmarkStart w:id="151" w:name="_Toc184313272"/>
      <w:bookmarkEnd w:id="151"/>
      <w:bookmarkStart w:id="152" w:name="_Toc184314412"/>
      <w:bookmarkEnd w:id="152"/>
      <w:bookmarkStart w:id="153" w:name="_Toc184312067"/>
      <w:bookmarkEnd w:id="153"/>
      <w:bookmarkStart w:id="154" w:name="_Toc184310329"/>
      <w:bookmarkEnd w:id="154"/>
      <w:bookmarkStart w:id="155" w:name="_Toc184312084"/>
      <w:bookmarkEnd w:id="155"/>
      <w:bookmarkStart w:id="156" w:name="_Toc184310321"/>
      <w:bookmarkEnd w:id="156"/>
      <w:bookmarkStart w:id="157" w:name="_Toc184313268"/>
      <w:bookmarkEnd w:id="157"/>
      <w:bookmarkStart w:id="158" w:name="_Toc184308069"/>
      <w:bookmarkEnd w:id="158"/>
      <w:bookmarkStart w:id="159" w:name="_Toc184310287"/>
      <w:bookmarkEnd w:id="159"/>
      <w:bookmarkStart w:id="160" w:name="_Toc184310310"/>
      <w:bookmarkEnd w:id="160"/>
      <w:bookmarkStart w:id="161" w:name="_Toc184312110"/>
      <w:bookmarkEnd w:id="161"/>
      <w:bookmarkStart w:id="162" w:name="_Toc184314417"/>
      <w:bookmarkEnd w:id="162"/>
      <w:bookmarkStart w:id="163" w:name="_Toc184314435"/>
      <w:bookmarkEnd w:id="163"/>
      <w:bookmarkStart w:id="164" w:name="_Toc184308081"/>
      <w:bookmarkEnd w:id="164"/>
      <w:bookmarkStart w:id="165" w:name="_Toc184308105"/>
      <w:bookmarkEnd w:id="165"/>
      <w:bookmarkStart w:id="166" w:name="_Toc184314429"/>
      <w:bookmarkEnd w:id="166"/>
      <w:bookmarkStart w:id="167" w:name="_Toc184312095"/>
      <w:bookmarkEnd w:id="167"/>
      <w:bookmarkStart w:id="168" w:name="_Toc184308054"/>
      <w:bookmarkEnd w:id="168"/>
      <w:bookmarkStart w:id="169" w:name="_Toc184308080"/>
      <w:bookmarkEnd w:id="169"/>
      <w:bookmarkStart w:id="170" w:name="_Toc184314461"/>
      <w:bookmarkEnd w:id="170"/>
      <w:bookmarkStart w:id="171" w:name="_Toc184310279"/>
      <w:bookmarkEnd w:id="171"/>
      <w:bookmarkStart w:id="172" w:name="_Toc184313304"/>
      <w:bookmarkEnd w:id="172"/>
      <w:bookmarkStart w:id="173" w:name="_Toc184312117"/>
      <w:bookmarkEnd w:id="173"/>
      <w:bookmarkStart w:id="174" w:name="_Toc184314465"/>
      <w:bookmarkEnd w:id="174"/>
      <w:bookmarkStart w:id="175" w:name="_Toc184313287"/>
      <w:bookmarkEnd w:id="175"/>
      <w:bookmarkStart w:id="176" w:name="_Toc184308041"/>
      <w:bookmarkEnd w:id="176"/>
      <w:bookmarkStart w:id="177" w:name="_Toc184308044"/>
      <w:bookmarkEnd w:id="177"/>
      <w:bookmarkStart w:id="178" w:name="_Toc184312072"/>
      <w:bookmarkEnd w:id="178"/>
      <w:bookmarkStart w:id="179" w:name="_Toc184310286"/>
      <w:bookmarkEnd w:id="179"/>
      <w:bookmarkStart w:id="180" w:name="_Toc184313300"/>
      <w:bookmarkEnd w:id="180"/>
      <w:bookmarkStart w:id="181" w:name="_Toc184308076"/>
      <w:bookmarkEnd w:id="181"/>
      <w:bookmarkStart w:id="182" w:name="_Toc184308108"/>
      <w:bookmarkEnd w:id="182"/>
      <w:bookmarkStart w:id="183" w:name="_Toc184310273"/>
      <w:bookmarkEnd w:id="183"/>
      <w:bookmarkStart w:id="184" w:name="_Toc184313257"/>
      <w:bookmarkEnd w:id="184"/>
      <w:bookmarkStart w:id="185" w:name="_Toc184310316"/>
      <w:bookmarkEnd w:id="185"/>
      <w:bookmarkStart w:id="186" w:name="_Toc184310304"/>
      <w:bookmarkEnd w:id="186"/>
      <w:bookmarkStart w:id="187" w:name="_Toc184314449"/>
      <w:bookmarkEnd w:id="187"/>
      <w:bookmarkStart w:id="188" w:name="_Toc184312106"/>
      <w:bookmarkEnd w:id="188"/>
      <w:bookmarkStart w:id="189" w:name="_Toc184308056"/>
      <w:bookmarkEnd w:id="189"/>
      <w:bookmarkStart w:id="190" w:name="_Toc184310300"/>
      <w:bookmarkEnd w:id="190"/>
      <w:bookmarkStart w:id="191" w:name="_Toc184314480"/>
      <w:bookmarkEnd w:id="191"/>
      <w:bookmarkStart w:id="192" w:name="_Toc184308039"/>
      <w:bookmarkEnd w:id="192"/>
      <w:bookmarkStart w:id="193" w:name="_Toc184308065"/>
      <w:bookmarkEnd w:id="193"/>
      <w:bookmarkStart w:id="194" w:name="_Toc184312093"/>
      <w:bookmarkEnd w:id="194"/>
      <w:bookmarkStart w:id="195" w:name="_Toc184313284"/>
      <w:bookmarkEnd w:id="195"/>
      <w:bookmarkStart w:id="196" w:name="_Toc184313294"/>
      <w:bookmarkEnd w:id="196"/>
      <w:bookmarkStart w:id="197" w:name="_Toc184312124"/>
      <w:bookmarkEnd w:id="197"/>
      <w:bookmarkStart w:id="198" w:name="_Toc184310296"/>
      <w:bookmarkEnd w:id="198"/>
      <w:bookmarkStart w:id="199" w:name="_Toc184308101"/>
      <w:bookmarkEnd w:id="199"/>
      <w:bookmarkStart w:id="200" w:name="_Toc184310328"/>
      <w:bookmarkEnd w:id="200"/>
      <w:bookmarkStart w:id="201" w:name="_Toc184314418"/>
      <w:bookmarkEnd w:id="201"/>
      <w:bookmarkStart w:id="202" w:name="_Toc184313301"/>
      <w:bookmarkEnd w:id="202"/>
      <w:bookmarkStart w:id="203" w:name="_Toc184312128"/>
      <w:bookmarkEnd w:id="203"/>
      <w:bookmarkStart w:id="204" w:name="_Toc184313259"/>
      <w:bookmarkEnd w:id="204"/>
      <w:bookmarkStart w:id="205" w:name="_Toc184308048"/>
      <w:bookmarkEnd w:id="205"/>
      <w:bookmarkStart w:id="206" w:name="_Toc184312071"/>
      <w:bookmarkEnd w:id="206"/>
      <w:bookmarkStart w:id="207" w:name="_Toc184310315"/>
      <w:bookmarkEnd w:id="207"/>
      <w:bookmarkStart w:id="208" w:name="_Toc184312088"/>
      <w:bookmarkEnd w:id="208"/>
      <w:bookmarkStart w:id="209" w:name="_Toc184314450"/>
      <w:bookmarkEnd w:id="209"/>
      <w:bookmarkStart w:id="210" w:name="_Toc184313279"/>
      <w:bookmarkEnd w:id="210"/>
      <w:bookmarkStart w:id="211" w:name="_Toc184308068"/>
      <w:bookmarkEnd w:id="211"/>
      <w:bookmarkStart w:id="212" w:name="_Toc184313291"/>
      <w:bookmarkEnd w:id="212"/>
      <w:bookmarkStart w:id="213" w:name="_Toc184313289"/>
      <w:bookmarkEnd w:id="213"/>
      <w:bookmarkStart w:id="214" w:name="_Toc184308036"/>
      <w:bookmarkEnd w:id="214"/>
      <w:bookmarkStart w:id="215" w:name="_Toc184312111"/>
      <w:bookmarkEnd w:id="215"/>
      <w:bookmarkStart w:id="216" w:name="_Toc184314444"/>
      <w:bookmarkEnd w:id="216"/>
      <w:bookmarkStart w:id="217" w:name="_Toc184310324"/>
      <w:bookmarkEnd w:id="217"/>
      <w:bookmarkStart w:id="218" w:name="_Toc184308077"/>
      <w:bookmarkEnd w:id="218"/>
      <w:bookmarkStart w:id="219" w:name="_Toc184308037"/>
      <w:bookmarkEnd w:id="219"/>
      <w:bookmarkStart w:id="220" w:name="_Toc184310285"/>
      <w:bookmarkEnd w:id="220"/>
      <w:bookmarkStart w:id="221" w:name="_Toc184312122"/>
      <w:bookmarkEnd w:id="221"/>
      <w:bookmarkStart w:id="222" w:name="_Toc184313275"/>
      <w:bookmarkEnd w:id="222"/>
      <w:bookmarkStart w:id="223" w:name="_Toc184312074"/>
      <w:bookmarkEnd w:id="223"/>
      <w:bookmarkStart w:id="224" w:name="_Toc184313264"/>
      <w:bookmarkEnd w:id="224"/>
      <w:bookmarkStart w:id="225" w:name="_Toc184310284"/>
      <w:bookmarkEnd w:id="225"/>
      <w:bookmarkStart w:id="226" w:name="_Toc184310337"/>
      <w:bookmarkEnd w:id="226"/>
      <w:bookmarkStart w:id="227" w:name="_Toc184313253"/>
      <w:bookmarkEnd w:id="227"/>
      <w:bookmarkStart w:id="228" w:name="_Toc184312070"/>
      <w:bookmarkEnd w:id="228"/>
      <w:bookmarkStart w:id="229" w:name="_Toc184314430"/>
      <w:bookmarkEnd w:id="229"/>
      <w:bookmarkStart w:id="230" w:name="_Toc184308103"/>
      <w:bookmarkEnd w:id="230"/>
      <w:bookmarkStart w:id="231" w:name="_Toc184313265"/>
      <w:bookmarkEnd w:id="231"/>
      <w:bookmarkStart w:id="232" w:name="_Toc184310298"/>
      <w:bookmarkEnd w:id="232"/>
      <w:bookmarkStart w:id="233" w:name="_Toc184313292"/>
      <w:bookmarkEnd w:id="233"/>
      <w:bookmarkStart w:id="234" w:name="_Toc184313309"/>
      <w:bookmarkEnd w:id="234"/>
      <w:bookmarkStart w:id="235" w:name="_Toc184314464"/>
      <w:bookmarkEnd w:id="235"/>
      <w:bookmarkStart w:id="236" w:name="_Toc184308060"/>
      <w:bookmarkEnd w:id="236"/>
      <w:bookmarkStart w:id="237" w:name="_Toc184313307"/>
      <w:bookmarkEnd w:id="237"/>
      <w:bookmarkStart w:id="238" w:name="_Toc184313261"/>
      <w:bookmarkEnd w:id="238"/>
      <w:bookmarkStart w:id="239" w:name="_Toc184313281"/>
      <w:bookmarkEnd w:id="239"/>
      <w:bookmarkStart w:id="240" w:name="_Toc184308088"/>
      <w:bookmarkEnd w:id="240"/>
      <w:bookmarkStart w:id="241" w:name="_Toc184313238"/>
      <w:bookmarkEnd w:id="241"/>
      <w:bookmarkStart w:id="242" w:name="_Toc184310295"/>
      <w:bookmarkEnd w:id="242"/>
      <w:bookmarkStart w:id="243" w:name="_Toc184310319"/>
      <w:bookmarkEnd w:id="243"/>
      <w:bookmarkStart w:id="244" w:name="_Toc184308100"/>
      <w:bookmarkEnd w:id="244"/>
      <w:bookmarkStart w:id="245" w:name="_Toc184314445"/>
      <w:bookmarkEnd w:id="245"/>
      <w:bookmarkStart w:id="246" w:name="_Toc184314425"/>
      <w:bookmarkEnd w:id="246"/>
      <w:bookmarkStart w:id="247" w:name="_Toc184308096"/>
      <w:bookmarkEnd w:id="247"/>
      <w:bookmarkStart w:id="248" w:name="_Toc184314419"/>
      <w:bookmarkEnd w:id="248"/>
      <w:bookmarkStart w:id="249" w:name="_Toc184313273"/>
      <w:bookmarkEnd w:id="249"/>
      <w:bookmarkStart w:id="250" w:name="_Toc184312108"/>
      <w:bookmarkEnd w:id="250"/>
      <w:bookmarkStart w:id="251" w:name="_Toc184308052"/>
      <w:bookmarkEnd w:id="251"/>
      <w:bookmarkStart w:id="252" w:name="_Toc184314421"/>
      <w:bookmarkEnd w:id="252"/>
      <w:bookmarkStart w:id="253" w:name="_Toc184308082"/>
      <w:bookmarkEnd w:id="253"/>
      <w:bookmarkStart w:id="254" w:name="_Toc184314410"/>
      <w:bookmarkEnd w:id="254"/>
      <w:bookmarkStart w:id="255" w:name="_Toc184314432"/>
      <w:bookmarkEnd w:id="255"/>
      <w:bookmarkStart w:id="256" w:name="_Toc184308053"/>
      <w:bookmarkEnd w:id="256"/>
      <w:bookmarkStart w:id="257" w:name="_Toc184313252"/>
      <w:bookmarkEnd w:id="257"/>
      <w:bookmarkStart w:id="258" w:name="_Toc184308038"/>
      <w:bookmarkEnd w:id="258"/>
      <w:bookmarkStart w:id="259" w:name="_Toc184313297"/>
      <w:bookmarkEnd w:id="259"/>
      <w:bookmarkStart w:id="260" w:name="_Toc184313243"/>
      <w:bookmarkEnd w:id="260"/>
      <w:bookmarkStart w:id="261" w:name="_Toc184310297"/>
      <w:bookmarkEnd w:id="261"/>
      <w:bookmarkStart w:id="262" w:name="_Toc184313267"/>
      <w:bookmarkEnd w:id="262"/>
      <w:bookmarkStart w:id="263" w:name="_Toc184312123"/>
      <w:bookmarkEnd w:id="263"/>
      <w:bookmarkStart w:id="264" w:name="_Toc184308084"/>
      <w:bookmarkEnd w:id="264"/>
      <w:bookmarkStart w:id="265" w:name="_Toc184308083"/>
      <w:bookmarkEnd w:id="265"/>
      <w:bookmarkStart w:id="266" w:name="_Toc184308094"/>
      <w:bookmarkEnd w:id="266"/>
      <w:bookmarkStart w:id="267" w:name="_Toc184312119"/>
      <w:bookmarkEnd w:id="267"/>
      <w:bookmarkStart w:id="268" w:name="_Toc184308090"/>
      <w:bookmarkEnd w:id="268"/>
      <w:bookmarkStart w:id="269" w:name="_Toc184312127"/>
      <w:bookmarkEnd w:id="269"/>
      <w:bookmarkStart w:id="270" w:name="_Toc184314413"/>
      <w:bookmarkEnd w:id="270"/>
      <w:bookmarkStart w:id="271" w:name="_Toc184310326"/>
      <w:bookmarkEnd w:id="271"/>
      <w:bookmarkStart w:id="272" w:name="_Toc184313269"/>
      <w:bookmarkEnd w:id="272"/>
      <w:bookmarkStart w:id="273" w:name="_Toc184314459"/>
      <w:bookmarkEnd w:id="273"/>
      <w:bookmarkStart w:id="274" w:name="_Toc184308059"/>
      <w:bookmarkEnd w:id="274"/>
      <w:bookmarkStart w:id="275" w:name="_Toc184314467"/>
      <w:bookmarkEnd w:id="275"/>
      <w:bookmarkStart w:id="276" w:name="_Toc184308061"/>
      <w:bookmarkEnd w:id="276"/>
      <w:bookmarkStart w:id="277" w:name="_Toc184308046"/>
      <w:bookmarkEnd w:id="277"/>
      <w:bookmarkStart w:id="278" w:name="_Toc184313258"/>
      <w:bookmarkEnd w:id="278"/>
      <w:bookmarkStart w:id="279" w:name="_Toc184308073"/>
      <w:bookmarkEnd w:id="279"/>
      <w:bookmarkStart w:id="280" w:name="_Toc184308098"/>
      <w:bookmarkEnd w:id="280"/>
      <w:bookmarkStart w:id="281" w:name="_Toc184313255"/>
      <w:bookmarkEnd w:id="281"/>
      <w:bookmarkStart w:id="282" w:name="_Toc184313246"/>
      <w:bookmarkEnd w:id="282"/>
      <w:bookmarkStart w:id="283" w:name="_Toc184313249"/>
      <w:bookmarkEnd w:id="283"/>
      <w:bookmarkStart w:id="284" w:name="_Toc184314416"/>
      <w:bookmarkEnd w:id="284"/>
      <w:bookmarkStart w:id="285" w:name="_Toc184308102"/>
      <w:bookmarkEnd w:id="285"/>
      <w:bookmarkStart w:id="286" w:name="_Toc184312097"/>
      <w:bookmarkEnd w:id="286"/>
      <w:bookmarkStart w:id="287" w:name="_Toc184312118"/>
      <w:bookmarkEnd w:id="287"/>
      <w:bookmarkStart w:id="288" w:name="_Toc184308066"/>
      <w:bookmarkEnd w:id="288"/>
      <w:bookmarkStart w:id="289" w:name="_Toc184312115"/>
      <w:bookmarkEnd w:id="289"/>
      <w:bookmarkStart w:id="290" w:name="_Toc184314466"/>
      <w:bookmarkEnd w:id="290"/>
      <w:bookmarkStart w:id="291" w:name="_Toc184310344"/>
      <w:bookmarkEnd w:id="291"/>
      <w:bookmarkStart w:id="292" w:name="_Toc184314424"/>
      <w:bookmarkEnd w:id="292"/>
      <w:bookmarkStart w:id="293" w:name="_Toc184313274"/>
      <w:bookmarkEnd w:id="293"/>
      <w:bookmarkStart w:id="294" w:name="_Toc184310303"/>
      <w:bookmarkEnd w:id="294"/>
      <w:bookmarkStart w:id="295" w:name="_Toc184313247"/>
      <w:bookmarkEnd w:id="295"/>
      <w:bookmarkStart w:id="296" w:name="_Toc184310292"/>
      <w:bookmarkEnd w:id="296"/>
      <w:bookmarkStart w:id="297" w:name="_Toc184313285"/>
      <w:bookmarkEnd w:id="297"/>
      <w:bookmarkStart w:id="298" w:name="_Toc184310343"/>
      <w:bookmarkEnd w:id="298"/>
      <w:bookmarkStart w:id="299" w:name="_Toc184313248"/>
      <w:bookmarkEnd w:id="299"/>
      <w:bookmarkStart w:id="300" w:name="_Toc184312131"/>
      <w:bookmarkEnd w:id="300"/>
      <w:bookmarkStart w:id="301" w:name="_Toc184310299"/>
      <w:bookmarkEnd w:id="301"/>
      <w:bookmarkStart w:id="302" w:name="_Toc184312087"/>
      <w:bookmarkEnd w:id="302"/>
      <w:bookmarkStart w:id="303" w:name="_Toc184314420"/>
      <w:bookmarkEnd w:id="303"/>
      <w:bookmarkStart w:id="304" w:name="_Toc184313260"/>
      <w:bookmarkEnd w:id="304"/>
      <w:bookmarkStart w:id="305" w:name="_Toc184310290"/>
      <w:bookmarkEnd w:id="305"/>
      <w:bookmarkStart w:id="306" w:name="_Toc184312096"/>
      <w:bookmarkEnd w:id="306"/>
      <w:bookmarkStart w:id="307" w:name="_Toc184308058"/>
      <w:bookmarkEnd w:id="307"/>
      <w:bookmarkStart w:id="308" w:name="_Toc184308075"/>
      <w:bookmarkEnd w:id="308"/>
      <w:bookmarkStart w:id="309" w:name="_Toc184314458"/>
      <w:bookmarkEnd w:id="309"/>
      <w:bookmarkStart w:id="310" w:name="_Toc184312138"/>
      <w:bookmarkEnd w:id="310"/>
      <w:bookmarkStart w:id="311" w:name="_Toc184313310"/>
      <w:bookmarkEnd w:id="311"/>
      <w:bookmarkStart w:id="312" w:name="_Toc184308078"/>
      <w:bookmarkEnd w:id="312"/>
      <w:bookmarkStart w:id="313" w:name="_Toc184314451"/>
      <w:bookmarkEnd w:id="313"/>
      <w:bookmarkStart w:id="314" w:name="_Toc184308104"/>
      <w:bookmarkEnd w:id="314"/>
      <w:bookmarkStart w:id="315" w:name="_Toc184308040"/>
      <w:bookmarkEnd w:id="315"/>
      <w:bookmarkStart w:id="316" w:name="_Toc184308074"/>
      <w:bookmarkEnd w:id="316"/>
      <w:bookmarkStart w:id="317" w:name="_Toc184312132"/>
      <w:bookmarkEnd w:id="317"/>
      <w:bookmarkStart w:id="318" w:name="_Toc184314469"/>
      <w:bookmarkEnd w:id="318"/>
      <w:bookmarkStart w:id="319" w:name="_Toc184312069"/>
      <w:bookmarkEnd w:id="319"/>
      <w:bookmarkStart w:id="320" w:name="_Toc184312101"/>
      <w:bookmarkEnd w:id="320"/>
      <w:bookmarkStart w:id="321" w:name="_Toc184312112"/>
      <w:bookmarkEnd w:id="321"/>
      <w:bookmarkStart w:id="322" w:name="_Toc184314422"/>
      <w:bookmarkEnd w:id="322"/>
      <w:bookmarkStart w:id="323" w:name="_Toc184310341"/>
      <w:bookmarkEnd w:id="323"/>
      <w:bookmarkStart w:id="324" w:name="_Toc184313299"/>
      <w:bookmarkEnd w:id="324"/>
      <w:bookmarkStart w:id="325" w:name="_Toc184314452"/>
      <w:bookmarkEnd w:id="325"/>
      <w:bookmarkStart w:id="326" w:name="_Toc184313282"/>
      <w:bookmarkEnd w:id="326"/>
      <w:bookmarkStart w:id="327" w:name="_Toc184312083"/>
      <w:bookmarkEnd w:id="327"/>
      <w:bookmarkStart w:id="328" w:name="_Toc184310323"/>
      <w:bookmarkEnd w:id="328"/>
      <w:bookmarkStart w:id="329" w:name="_Toc184313278"/>
      <w:bookmarkEnd w:id="329"/>
      <w:bookmarkStart w:id="330" w:name="_Toc184314415"/>
      <w:bookmarkEnd w:id="330"/>
      <w:bookmarkStart w:id="331" w:name="_Toc184313306"/>
      <w:bookmarkEnd w:id="331"/>
      <w:bookmarkStart w:id="332" w:name="_Toc184313308"/>
      <w:bookmarkEnd w:id="332"/>
      <w:bookmarkStart w:id="333" w:name="_Toc184310340"/>
      <w:bookmarkEnd w:id="333"/>
      <w:bookmarkStart w:id="334" w:name="_Toc184314423"/>
      <w:bookmarkEnd w:id="334"/>
      <w:bookmarkStart w:id="335" w:name="_Toc184314456"/>
      <w:bookmarkEnd w:id="335"/>
      <w:bookmarkStart w:id="336" w:name="_Toc184314474"/>
      <w:bookmarkEnd w:id="336"/>
      <w:bookmarkStart w:id="337" w:name="_Toc184312109"/>
      <w:bookmarkEnd w:id="337"/>
      <w:bookmarkStart w:id="338" w:name="_Toc184314463"/>
      <w:bookmarkEnd w:id="338"/>
      <w:bookmarkStart w:id="339" w:name="_Toc184313245"/>
      <w:bookmarkEnd w:id="339"/>
      <w:bookmarkStart w:id="340" w:name="_Toc184310289"/>
      <w:bookmarkEnd w:id="340"/>
      <w:bookmarkStart w:id="341" w:name="_Toc184314438"/>
      <w:bookmarkEnd w:id="341"/>
      <w:bookmarkStart w:id="342" w:name="_Toc184312116"/>
      <w:bookmarkEnd w:id="342"/>
      <w:bookmarkStart w:id="343" w:name="_Toc184308079"/>
      <w:bookmarkEnd w:id="343"/>
      <w:bookmarkStart w:id="344" w:name="_Toc184308097"/>
      <w:bookmarkEnd w:id="344"/>
      <w:bookmarkStart w:id="345" w:name="_Toc184312104"/>
      <w:bookmarkEnd w:id="345"/>
      <w:bookmarkStart w:id="346" w:name="_Toc184314436"/>
      <w:bookmarkEnd w:id="346"/>
      <w:bookmarkStart w:id="347" w:name="_Toc184313283"/>
      <w:bookmarkEnd w:id="347"/>
      <w:bookmarkStart w:id="348" w:name="_Toc184308064"/>
      <w:bookmarkEnd w:id="348"/>
      <w:bookmarkStart w:id="349" w:name="_Toc184313302"/>
      <w:bookmarkEnd w:id="349"/>
      <w:bookmarkStart w:id="350" w:name="_Toc184310330"/>
      <w:bookmarkEnd w:id="350"/>
      <w:bookmarkStart w:id="351" w:name="_Toc184310283"/>
      <w:bookmarkEnd w:id="351"/>
      <w:bookmarkStart w:id="352" w:name="_Toc184310280"/>
      <w:bookmarkEnd w:id="352"/>
      <w:bookmarkStart w:id="353" w:name="_Toc184313293"/>
      <w:bookmarkEnd w:id="353"/>
      <w:bookmarkStart w:id="354" w:name="_Toc184313270"/>
      <w:bookmarkEnd w:id="354"/>
      <w:bookmarkStart w:id="355" w:name="_Toc184312103"/>
      <w:bookmarkEnd w:id="355"/>
      <w:bookmarkStart w:id="356" w:name="_Toc184314428"/>
      <w:bookmarkEnd w:id="356"/>
      <w:bookmarkStart w:id="357" w:name="_Toc184314433"/>
      <w:bookmarkEnd w:id="357"/>
      <w:bookmarkStart w:id="358" w:name="_Toc184312082"/>
      <w:bookmarkEnd w:id="358"/>
      <w:bookmarkStart w:id="359" w:name="_Toc184313288"/>
      <w:bookmarkEnd w:id="359"/>
      <w:bookmarkStart w:id="360" w:name="_Toc184312113"/>
      <w:bookmarkEnd w:id="360"/>
      <w:bookmarkStart w:id="361" w:name="_Toc184313266"/>
      <w:bookmarkEnd w:id="361"/>
      <w:bookmarkStart w:id="362" w:name="_Toc184314454"/>
      <w:bookmarkEnd w:id="362"/>
      <w:bookmarkStart w:id="363" w:name="_Toc184310278"/>
      <w:bookmarkEnd w:id="363"/>
      <w:bookmarkStart w:id="364" w:name="_Toc184312137"/>
      <w:bookmarkEnd w:id="364"/>
      <w:bookmarkStart w:id="365" w:name="_Toc184310275"/>
      <w:bookmarkEnd w:id="365"/>
      <w:bookmarkStart w:id="366" w:name="_Toc184308087"/>
      <w:bookmarkEnd w:id="366"/>
      <w:bookmarkStart w:id="367" w:name="_Toc184310334"/>
      <w:bookmarkEnd w:id="367"/>
      <w:bookmarkStart w:id="368" w:name="_Toc184310281"/>
      <w:bookmarkEnd w:id="368"/>
      <w:bookmarkStart w:id="369" w:name="_Toc184314482"/>
      <w:bookmarkEnd w:id="369"/>
      <w:bookmarkStart w:id="370" w:name="_Toc184310294"/>
      <w:bookmarkEnd w:id="370"/>
      <w:bookmarkStart w:id="371" w:name="_Toc184312068"/>
      <w:bookmarkEnd w:id="371"/>
      <w:bookmarkStart w:id="372" w:name="_Toc184308070"/>
      <w:bookmarkEnd w:id="372"/>
      <w:bookmarkStart w:id="373" w:name="_Toc184314479"/>
      <w:bookmarkEnd w:id="373"/>
      <w:bookmarkStart w:id="374" w:name="_Toc184313276"/>
      <w:bookmarkEnd w:id="374"/>
      <w:bookmarkStart w:id="375" w:name="_Toc184313262"/>
      <w:bookmarkEnd w:id="375"/>
      <w:bookmarkStart w:id="376" w:name="_Toc184310318"/>
      <w:bookmarkEnd w:id="376"/>
      <w:bookmarkStart w:id="377" w:name="_Toc184312077"/>
      <w:bookmarkEnd w:id="377"/>
      <w:bookmarkStart w:id="378" w:name="_Toc184312094"/>
      <w:bookmarkEnd w:id="378"/>
      <w:bookmarkStart w:id="379" w:name="_Toc184310320"/>
      <w:bookmarkEnd w:id="379"/>
      <w:bookmarkStart w:id="380" w:name="_Toc184308072"/>
      <w:bookmarkEnd w:id="380"/>
      <w:bookmarkStart w:id="381" w:name="_Toc184308067"/>
      <w:bookmarkEnd w:id="381"/>
      <w:bookmarkStart w:id="382" w:name="_Toc184308107"/>
      <w:bookmarkEnd w:id="382"/>
      <w:bookmarkStart w:id="383" w:name="_Toc184310305"/>
      <w:bookmarkEnd w:id="383"/>
      <w:bookmarkStart w:id="384" w:name="_Toc184310335"/>
      <w:bookmarkEnd w:id="384"/>
      <w:bookmarkStart w:id="385" w:name="_Toc184314442"/>
      <w:bookmarkEnd w:id="385"/>
      <w:bookmarkStart w:id="386" w:name="_Toc184313277"/>
      <w:bookmarkEnd w:id="386"/>
      <w:bookmarkStart w:id="387" w:name="_Toc184310312"/>
      <w:bookmarkEnd w:id="387"/>
      <w:bookmarkStart w:id="388" w:name="_Toc184310317"/>
      <w:bookmarkEnd w:id="388"/>
      <w:bookmarkStart w:id="389" w:name="_Toc184312081"/>
      <w:bookmarkEnd w:id="389"/>
      <w:bookmarkStart w:id="390" w:name="_Toc184312079"/>
      <w:bookmarkEnd w:id="390"/>
      <w:bookmarkStart w:id="391" w:name="_Toc184310332"/>
      <w:bookmarkEnd w:id="391"/>
      <w:bookmarkStart w:id="392" w:name="_Toc184310313"/>
      <w:bookmarkEnd w:id="392"/>
      <w:bookmarkStart w:id="393" w:name="_Toc184310301"/>
      <w:bookmarkEnd w:id="393"/>
      <w:bookmarkStart w:id="394" w:name="_Toc184314471"/>
      <w:bookmarkEnd w:id="394"/>
      <w:bookmarkStart w:id="395" w:name="_Toc184312121"/>
      <w:bookmarkEnd w:id="395"/>
      <w:bookmarkStart w:id="396" w:name="_Toc184312086"/>
      <w:bookmarkEnd w:id="396"/>
      <w:bookmarkStart w:id="397" w:name="_Toc184314455"/>
      <w:bookmarkEnd w:id="397"/>
      <w:r>
        <w:rPr>
          <w:rFonts w:hint="eastAsia" w:ascii="宋体" w:hAnsi="宋体" w:cs="宋体"/>
          <w:b/>
          <w:color w:val="auto"/>
          <w:sz w:val="36"/>
          <w:szCs w:val="20"/>
          <w:highlight w:val="none"/>
        </w:rPr>
        <w:t xml:space="preserve"> 评审办法</w:t>
      </w:r>
    </w:p>
    <w:p w14:paraId="0F2A1CB1">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评审办法前附表</w:t>
      </w:r>
    </w:p>
    <w:p w14:paraId="5D9B6BC5">
      <w:pPr>
        <w:pStyle w:val="59"/>
        <w:rPr>
          <w:rFonts w:hint="eastAsia" w:ascii="宋体" w:hAnsi="宋体" w:cs="宋体"/>
          <w:color w:val="auto"/>
          <w:sz w:val="32"/>
          <w:highlight w:val="none"/>
        </w:rPr>
      </w:pPr>
    </w:p>
    <w:tbl>
      <w:tblPr>
        <w:tblStyle w:val="6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5294"/>
        <w:gridCol w:w="956"/>
        <w:gridCol w:w="1276"/>
        <w:gridCol w:w="1453"/>
      </w:tblGrid>
      <w:tr w14:paraId="337D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2E824A9F">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5294" w:type="dxa"/>
            <w:vAlign w:val="center"/>
          </w:tcPr>
          <w:p w14:paraId="5775785F">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评审标准</w:t>
            </w:r>
          </w:p>
        </w:tc>
        <w:tc>
          <w:tcPr>
            <w:tcW w:w="956" w:type="dxa"/>
            <w:vAlign w:val="center"/>
          </w:tcPr>
          <w:p w14:paraId="5097C0B5">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权重</w:t>
            </w:r>
          </w:p>
          <w:p w14:paraId="68C8C4AE">
            <w:pPr>
              <w:snapToGrid w:val="0"/>
              <w:outlineLvl w:val="0"/>
              <w:rPr>
                <w:rFonts w:hint="eastAsia" w:ascii="宋体" w:hAnsi="宋体" w:cs="宋体"/>
                <w:b/>
                <w:color w:val="auto"/>
                <w:sz w:val="24"/>
                <w:highlight w:val="none"/>
              </w:rPr>
            </w:pPr>
            <w:r>
              <w:rPr>
                <w:rFonts w:hint="eastAsia" w:ascii="宋体" w:hAnsi="宋体" w:cs="宋体"/>
                <w:b/>
                <w:bCs/>
                <w:color w:val="auto"/>
                <w:sz w:val="24"/>
                <w:highlight w:val="none"/>
              </w:rPr>
              <w:t>（分）</w:t>
            </w:r>
          </w:p>
        </w:tc>
        <w:tc>
          <w:tcPr>
            <w:tcW w:w="1276" w:type="dxa"/>
            <w:vAlign w:val="center"/>
          </w:tcPr>
          <w:p w14:paraId="792E3ABF">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主观分/客观分</w:t>
            </w:r>
          </w:p>
        </w:tc>
        <w:tc>
          <w:tcPr>
            <w:tcW w:w="1453" w:type="dxa"/>
          </w:tcPr>
          <w:p w14:paraId="7D90B508">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响应文件中评审标准相应的商务技术资料目录</w:t>
            </w:r>
            <w:r>
              <w:rPr>
                <w:rFonts w:hint="eastAsia" w:ascii="宋体" w:hAnsi="宋体" w:cs="宋体"/>
                <w:b/>
                <w:color w:val="auto"/>
                <w:sz w:val="24"/>
                <w:highlight w:val="none"/>
              </w:rPr>
              <w:t> *</w:t>
            </w:r>
          </w:p>
        </w:tc>
      </w:tr>
      <w:tr w14:paraId="1DBA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02DF5E5A">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1</w:t>
            </w:r>
          </w:p>
        </w:tc>
        <w:tc>
          <w:tcPr>
            <w:tcW w:w="5294" w:type="dxa"/>
            <w:vAlign w:val="center"/>
          </w:tcPr>
          <w:p w14:paraId="4E335EA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供应商同类项目业绩：自202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月1日（以合同签订日期为准）至响应文件提交截止时间，具有改造类业绩，每提供一个项目的证明材料得1分，最高</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分，未提供的不得分。</w:t>
            </w:r>
          </w:p>
          <w:p w14:paraId="23C2790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业绩证明材料须提供施工合同复印件加盖公章；要求证明材料能反映评审要素，提供的证明材料不能反映评审要素的可提供其他的佐证材料。</w:t>
            </w:r>
          </w:p>
        </w:tc>
        <w:tc>
          <w:tcPr>
            <w:tcW w:w="956" w:type="dxa"/>
            <w:vAlign w:val="center"/>
          </w:tcPr>
          <w:p w14:paraId="76AA8611">
            <w:pPr>
              <w:snapToGrid w:val="0"/>
              <w:spacing w:line="400" w:lineRule="exact"/>
              <w:jc w:val="center"/>
              <w:outlineLvl w:val="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276" w:type="dxa"/>
            <w:vAlign w:val="center"/>
          </w:tcPr>
          <w:p w14:paraId="06E629AC">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453" w:type="dxa"/>
            <w:vAlign w:val="center"/>
          </w:tcPr>
          <w:p w14:paraId="46D969C0">
            <w:pPr>
              <w:snapToGrid w:val="0"/>
              <w:jc w:val="center"/>
              <w:outlineLvl w:val="0"/>
              <w:rPr>
                <w:rFonts w:hint="eastAsia" w:ascii="宋体" w:hAnsi="宋体" w:cs="宋体"/>
                <w:color w:val="auto"/>
                <w:sz w:val="24"/>
                <w:highlight w:val="none"/>
              </w:rPr>
            </w:pPr>
          </w:p>
        </w:tc>
      </w:tr>
      <w:tr w14:paraId="66A6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20C14A48">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2</w:t>
            </w:r>
          </w:p>
        </w:tc>
        <w:tc>
          <w:tcPr>
            <w:tcW w:w="5294" w:type="dxa"/>
            <w:vAlign w:val="center"/>
          </w:tcPr>
          <w:p w14:paraId="324B639B">
            <w:pPr>
              <w:snapToGrid w:val="0"/>
              <w:spacing w:line="400" w:lineRule="exact"/>
              <w:outlineLvl w:val="0"/>
              <w:rPr>
                <w:rFonts w:hint="eastAsia" w:ascii="宋体" w:hAnsi="宋体" w:cs="宋体"/>
                <w:color w:val="auto"/>
                <w:sz w:val="24"/>
                <w:highlight w:val="none"/>
              </w:rPr>
            </w:pPr>
            <w:r>
              <w:rPr>
                <w:rFonts w:hint="eastAsia" w:ascii="宋体" w:hAnsi="宋体" w:cs="宋体"/>
                <w:color w:val="auto"/>
                <w:sz w:val="24"/>
                <w:highlight w:val="none"/>
              </w:rPr>
              <w:t>供应商具有有效期内的质量管理体系认证证书、环境管理体系认证证书、职业健康安全管理体系认证证书的，每项得1分，本项最多3分，未提供不得分；</w:t>
            </w:r>
          </w:p>
          <w:p w14:paraId="1138F4AC">
            <w:pPr>
              <w:snapToGrid w:val="0"/>
              <w:spacing w:line="400" w:lineRule="exact"/>
              <w:outlineLvl w:val="0"/>
              <w:rPr>
                <w:rFonts w:hint="eastAsia" w:ascii="宋体" w:hAnsi="宋体" w:cs="宋体"/>
                <w:color w:val="auto"/>
                <w:sz w:val="24"/>
                <w:highlight w:val="none"/>
              </w:rPr>
            </w:pPr>
            <w:r>
              <w:rPr>
                <w:rFonts w:hint="eastAsia" w:ascii="宋体" w:hAnsi="宋体" w:cs="宋体"/>
                <w:color w:val="auto"/>
                <w:sz w:val="24"/>
                <w:highlight w:val="none"/>
              </w:rPr>
              <w:t>注：提供有效的认证证书复印件（并提供国家认证认可监督管理委员会官网（https://www.cnca.gov.cn/）查询截图）加盖公章，不提供不得分。</w:t>
            </w:r>
          </w:p>
        </w:tc>
        <w:tc>
          <w:tcPr>
            <w:tcW w:w="956" w:type="dxa"/>
            <w:vAlign w:val="center"/>
          </w:tcPr>
          <w:p w14:paraId="510F2946">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3</w:t>
            </w:r>
          </w:p>
        </w:tc>
        <w:tc>
          <w:tcPr>
            <w:tcW w:w="1276" w:type="dxa"/>
            <w:vAlign w:val="center"/>
          </w:tcPr>
          <w:p w14:paraId="4DAF4483">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453" w:type="dxa"/>
            <w:vAlign w:val="center"/>
          </w:tcPr>
          <w:p w14:paraId="57E42683">
            <w:pPr>
              <w:snapToGrid w:val="0"/>
              <w:jc w:val="center"/>
              <w:outlineLvl w:val="0"/>
              <w:rPr>
                <w:rFonts w:hint="eastAsia" w:ascii="宋体" w:hAnsi="宋体" w:cs="宋体"/>
                <w:color w:val="auto"/>
                <w:sz w:val="24"/>
                <w:highlight w:val="none"/>
              </w:rPr>
            </w:pPr>
          </w:p>
        </w:tc>
      </w:tr>
      <w:tr w14:paraId="14B1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1558C741">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294" w:type="dxa"/>
            <w:vAlign w:val="center"/>
          </w:tcPr>
          <w:p w14:paraId="09E0D09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项目负责人到位率承诺：</w:t>
            </w:r>
          </w:p>
          <w:p w14:paraId="10B02C9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项目负责人到位率承诺90%及以上的得2分；</w:t>
            </w:r>
          </w:p>
          <w:p w14:paraId="51AB8BF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项目负责人到位率承诺85%（含）-90%（不含）的得1分；</w:t>
            </w:r>
          </w:p>
          <w:p w14:paraId="0280DCD7">
            <w:pPr>
              <w:snapToGrid w:val="0"/>
              <w:spacing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项目负责人到位率承诺80%（不含）以下的不得分</w:t>
            </w:r>
            <w:r>
              <w:rPr>
                <w:rFonts w:hint="eastAsia" w:ascii="宋体" w:hAnsi="宋体" w:cs="宋体"/>
                <w:color w:val="auto"/>
                <w:sz w:val="24"/>
                <w:highlight w:val="none"/>
                <w:lang w:eastAsia="zh-CN"/>
              </w:rPr>
              <w:t>。</w:t>
            </w:r>
          </w:p>
          <w:p w14:paraId="3D25B79C">
            <w:pPr>
              <w:snapToGrid w:val="0"/>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w:t>
            </w:r>
            <w:r>
              <w:rPr>
                <w:rFonts w:hint="eastAsia" w:ascii="宋体" w:hAnsi="宋体" w:cs="宋体"/>
                <w:color w:val="auto"/>
                <w:sz w:val="24"/>
                <w:highlight w:val="none"/>
              </w:rPr>
              <w:t>提供承诺书，如合同履约阶段未按承诺到位的，采购人有权终止合同。</w:t>
            </w:r>
            <w:r>
              <w:rPr>
                <w:rFonts w:hint="eastAsia" w:ascii="宋体" w:hAnsi="宋体" w:cs="宋体"/>
                <w:color w:val="auto"/>
                <w:sz w:val="24"/>
                <w:highlight w:val="none"/>
                <w:lang w:val="en-US" w:eastAsia="zh-CN"/>
              </w:rPr>
              <w:t>未提供承诺书不得分。</w:t>
            </w:r>
          </w:p>
        </w:tc>
        <w:tc>
          <w:tcPr>
            <w:tcW w:w="956" w:type="dxa"/>
            <w:vAlign w:val="center"/>
          </w:tcPr>
          <w:p w14:paraId="6B01A194">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2</w:t>
            </w:r>
          </w:p>
        </w:tc>
        <w:tc>
          <w:tcPr>
            <w:tcW w:w="1276" w:type="dxa"/>
            <w:vAlign w:val="center"/>
          </w:tcPr>
          <w:p w14:paraId="38A096AA">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453" w:type="dxa"/>
            <w:vAlign w:val="center"/>
          </w:tcPr>
          <w:p w14:paraId="03C0C0D1">
            <w:pPr>
              <w:snapToGrid w:val="0"/>
              <w:jc w:val="center"/>
              <w:rPr>
                <w:rFonts w:hint="eastAsia" w:ascii="宋体" w:hAnsi="宋体" w:cs="宋体"/>
                <w:color w:val="auto"/>
                <w:sz w:val="24"/>
                <w:highlight w:val="none"/>
              </w:rPr>
            </w:pPr>
          </w:p>
        </w:tc>
      </w:tr>
      <w:tr w14:paraId="0F0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03816B80">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294" w:type="dxa"/>
            <w:vAlign w:val="center"/>
          </w:tcPr>
          <w:p w14:paraId="1705AE2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拟派项目负责人具有工程师职称证书的，得1分,高级工程师职称的得2分，没有不得分。</w:t>
            </w:r>
          </w:p>
          <w:p w14:paraId="4FF788F4">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注：提供工程类相关职称证书复印件加盖公章。</w:t>
            </w:r>
          </w:p>
        </w:tc>
        <w:tc>
          <w:tcPr>
            <w:tcW w:w="956" w:type="dxa"/>
            <w:vAlign w:val="center"/>
          </w:tcPr>
          <w:p w14:paraId="664DD09B">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color w:val="auto"/>
                <w:sz w:val="24"/>
                <w:highlight w:val="none"/>
              </w:rPr>
              <w:t>2</w:t>
            </w:r>
          </w:p>
        </w:tc>
        <w:tc>
          <w:tcPr>
            <w:tcW w:w="1276" w:type="dxa"/>
            <w:vAlign w:val="center"/>
          </w:tcPr>
          <w:p w14:paraId="5248AD96">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453" w:type="dxa"/>
            <w:vAlign w:val="center"/>
          </w:tcPr>
          <w:p w14:paraId="4938472E">
            <w:pPr>
              <w:snapToGrid w:val="0"/>
              <w:jc w:val="center"/>
              <w:rPr>
                <w:rFonts w:hint="eastAsia" w:ascii="宋体" w:hAnsi="宋体" w:cs="宋体"/>
                <w:color w:val="auto"/>
                <w:sz w:val="24"/>
                <w:highlight w:val="none"/>
              </w:rPr>
            </w:pPr>
          </w:p>
        </w:tc>
      </w:tr>
      <w:tr w14:paraId="435D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64B799E4">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5294" w:type="dxa"/>
            <w:vAlign w:val="center"/>
          </w:tcPr>
          <w:p w14:paraId="72979C3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拟派技术负责人具有工程师职称证书的，得1分,高级工程师职称的得2分，没有不得分。</w:t>
            </w:r>
          </w:p>
          <w:p w14:paraId="3D50C26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注：提供工程类相关职称证书复印件加盖公章。</w:t>
            </w:r>
          </w:p>
        </w:tc>
        <w:tc>
          <w:tcPr>
            <w:tcW w:w="956" w:type="dxa"/>
            <w:vAlign w:val="center"/>
          </w:tcPr>
          <w:p w14:paraId="5E3E836B">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color w:val="auto"/>
                <w:sz w:val="24"/>
                <w:highlight w:val="none"/>
              </w:rPr>
              <w:t>2</w:t>
            </w:r>
          </w:p>
        </w:tc>
        <w:tc>
          <w:tcPr>
            <w:tcW w:w="1276" w:type="dxa"/>
            <w:vAlign w:val="center"/>
          </w:tcPr>
          <w:p w14:paraId="1F447AD6">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453" w:type="dxa"/>
            <w:vAlign w:val="center"/>
          </w:tcPr>
          <w:p w14:paraId="21292ADA">
            <w:pPr>
              <w:snapToGrid w:val="0"/>
              <w:jc w:val="center"/>
              <w:rPr>
                <w:rFonts w:hint="eastAsia" w:ascii="宋体" w:hAnsi="宋体" w:cs="宋体"/>
                <w:color w:val="auto"/>
                <w:sz w:val="24"/>
                <w:highlight w:val="none"/>
              </w:rPr>
            </w:pPr>
          </w:p>
        </w:tc>
      </w:tr>
      <w:tr w14:paraId="4B46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C147F31">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5294" w:type="dxa"/>
            <w:vAlign w:val="center"/>
          </w:tcPr>
          <w:p w14:paraId="396084D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分析本工程的重点、难点以及应对措施：</w:t>
            </w:r>
          </w:p>
          <w:p w14:paraId="46D4363E">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根据本项目的实施内容、工期要求以及现场情况，分析实施过程中的重点、难点准确且应对措施科学、合理。（评分范围：5，4，3，2，1，0）。</w:t>
            </w:r>
          </w:p>
        </w:tc>
        <w:tc>
          <w:tcPr>
            <w:tcW w:w="956" w:type="dxa"/>
            <w:vAlign w:val="center"/>
          </w:tcPr>
          <w:p w14:paraId="5631CD14">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76" w:type="dxa"/>
            <w:vAlign w:val="center"/>
          </w:tcPr>
          <w:p w14:paraId="4F9548F6">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2D1CF742">
            <w:pPr>
              <w:snapToGrid w:val="0"/>
              <w:jc w:val="center"/>
              <w:rPr>
                <w:rFonts w:hint="eastAsia" w:ascii="宋体" w:hAnsi="宋体" w:cs="宋体"/>
                <w:color w:val="auto"/>
                <w:sz w:val="24"/>
                <w:highlight w:val="none"/>
              </w:rPr>
            </w:pPr>
          </w:p>
        </w:tc>
      </w:tr>
      <w:tr w14:paraId="1C61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6A1FB563">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5294" w:type="dxa"/>
            <w:vAlign w:val="center"/>
          </w:tcPr>
          <w:p w14:paraId="5D7E90B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针对学校、本项目工程的特点和施工环境下组织施工技术方案和措施。</w:t>
            </w:r>
          </w:p>
          <w:p w14:paraId="48416A0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（1）针对本项目的施工技术方案和措施满足项目需求，内容全面、合理。（评分范围：5，4，3，2，1，0）。</w:t>
            </w:r>
          </w:p>
        </w:tc>
        <w:tc>
          <w:tcPr>
            <w:tcW w:w="956" w:type="dxa"/>
            <w:vAlign w:val="center"/>
          </w:tcPr>
          <w:p w14:paraId="108DD601">
            <w:pPr>
              <w:snapToGrid w:val="0"/>
              <w:spacing w:line="400" w:lineRule="exact"/>
              <w:jc w:val="center"/>
              <w:outlineLvl w:val="0"/>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5</w:t>
            </w:r>
          </w:p>
        </w:tc>
        <w:tc>
          <w:tcPr>
            <w:tcW w:w="1276" w:type="dxa"/>
            <w:vAlign w:val="center"/>
          </w:tcPr>
          <w:p w14:paraId="2C57AC12">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3A7101DC">
            <w:pPr>
              <w:snapToGrid w:val="0"/>
              <w:jc w:val="center"/>
              <w:rPr>
                <w:rFonts w:hint="eastAsia" w:ascii="宋体" w:hAnsi="宋体" w:cs="宋体"/>
                <w:color w:val="auto"/>
                <w:sz w:val="24"/>
                <w:highlight w:val="none"/>
              </w:rPr>
            </w:pPr>
          </w:p>
        </w:tc>
      </w:tr>
      <w:tr w14:paraId="3B0C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5FA1AEED">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8</w:t>
            </w:r>
          </w:p>
        </w:tc>
        <w:tc>
          <w:tcPr>
            <w:tcW w:w="5294" w:type="dxa"/>
            <w:vAlign w:val="center"/>
          </w:tcPr>
          <w:p w14:paraId="2004EA30">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针对学校、本项目工程的特点和施工环境下组织施工技术方案和措施。</w:t>
            </w:r>
          </w:p>
          <w:p w14:paraId="136D374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（2）本工程范围内产生的建筑垃圾等的运输、搬运专项方案满足项目需求，内容全面、合理。（评分范围：5，4，3，2，1，0）</w:t>
            </w:r>
          </w:p>
        </w:tc>
        <w:tc>
          <w:tcPr>
            <w:tcW w:w="956" w:type="dxa"/>
            <w:vAlign w:val="center"/>
          </w:tcPr>
          <w:p w14:paraId="56E7F28B">
            <w:pPr>
              <w:snapToGrid w:val="0"/>
              <w:spacing w:line="400" w:lineRule="exact"/>
              <w:jc w:val="center"/>
              <w:outlineLvl w:val="0"/>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5</w:t>
            </w:r>
          </w:p>
        </w:tc>
        <w:tc>
          <w:tcPr>
            <w:tcW w:w="1276" w:type="dxa"/>
            <w:vAlign w:val="center"/>
          </w:tcPr>
          <w:p w14:paraId="4FF7A40A">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382E8791">
            <w:pPr>
              <w:snapToGrid w:val="0"/>
              <w:jc w:val="center"/>
              <w:rPr>
                <w:rFonts w:hint="eastAsia" w:ascii="宋体" w:hAnsi="宋体" w:cs="宋体"/>
                <w:color w:val="auto"/>
                <w:sz w:val="24"/>
                <w:highlight w:val="none"/>
              </w:rPr>
            </w:pPr>
          </w:p>
        </w:tc>
      </w:tr>
      <w:tr w14:paraId="6F59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5734C18C">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w:t>
            </w:r>
          </w:p>
        </w:tc>
        <w:tc>
          <w:tcPr>
            <w:tcW w:w="5294" w:type="dxa"/>
            <w:vAlign w:val="center"/>
          </w:tcPr>
          <w:p w14:paraId="1DF1EBDB">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施工质量控制措施：</w:t>
            </w:r>
          </w:p>
          <w:p w14:paraId="64F1FBC9">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质量控制措施满足项目需求，内容全面、科学、合理，针对性、可操作性强。（评分范围：5，4，3，2，1，0）</w:t>
            </w:r>
          </w:p>
        </w:tc>
        <w:tc>
          <w:tcPr>
            <w:tcW w:w="956" w:type="dxa"/>
            <w:vAlign w:val="center"/>
          </w:tcPr>
          <w:p w14:paraId="325535F2">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76" w:type="dxa"/>
            <w:vAlign w:val="center"/>
          </w:tcPr>
          <w:p w14:paraId="0A035C49">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3DF8080E">
            <w:pPr>
              <w:snapToGrid w:val="0"/>
              <w:jc w:val="center"/>
              <w:rPr>
                <w:rFonts w:hint="eastAsia" w:ascii="宋体" w:hAnsi="宋体" w:cs="宋体"/>
                <w:color w:val="auto"/>
                <w:sz w:val="24"/>
                <w:highlight w:val="none"/>
              </w:rPr>
            </w:pPr>
          </w:p>
        </w:tc>
      </w:tr>
      <w:tr w14:paraId="5722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628186AD">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c>
          <w:tcPr>
            <w:tcW w:w="5294" w:type="dxa"/>
            <w:vAlign w:val="center"/>
          </w:tcPr>
          <w:p w14:paraId="1E188E2A">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针对工期承诺的进度计划实施方案进行评审：</w:t>
            </w:r>
          </w:p>
          <w:p w14:paraId="2F12A9A4">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进度计划制定及进度控制措施满足项目需求，针对性和可行性强。（评分范围：5，4，3，2，1，0）</w:t>
            </w:r>
          </w:p>
        </w:tc>
        <w:tc>
          <w:tcPr>
            <w:tcW w:w="956" w:type="dxa"/>
            <w:vAlign w:val="center"/>
          </w:tcPr>
          <w:p w14:paraId="7A02BDE2">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76" w:type="dxa"/>
            <w:vAlign w:val="center"/>
          </w:tcPr>
          <w:p w14:paraId="563B87FA">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44DC6BD8">
            <w:pPr>
              <w:snapToGrid w:val="0"/>
              <w:jc w:val="center"/>
              <w:rPr>
                <w:rFonts w:hint="eastAsia" w:ascii="宋体" w:hAnsi="宋体" w:cs="宋体"/>
                <w:color w:val="auto"/>
                <w:sz w:val="24"/>
                <w:highlight w:val="none"/>
              </w:rPr>
            </w:pPr>
          </w:p>
        </w:tc>
      </w:tr>
      <w:tr w14:paraId="0D19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5204A1F3">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11</w:t>
            </w:r>
          </w:p>
        </w:tc>
        <w:tc>
          <w:tcPr>
            <w:tcW w:w="5294" w:type="dxa"/>
            <w:vAlign w:val="center"/>
          </w:tcPr>
          <w:p w14:paraId="16C5B9B4">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安全、文明施工及环保、消防等的保证措施：</w:t>
            </w:r>
          </w:p>
          <w:p w14:paraId="3A71DA60">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各项内容及措施满足项目需求，全面、科学、合理，针对性、可操作性强。（评分范围：5，4，3，2，1，0）</w:t>
            </w:r>
          </w:p>
        </w:tc>
        <w:tc>
          <w:tcPr>
            <w:tcW w:w="956" w:type="dxa"/>
            <w:vAlign w:val="center"/>
          </w:tcPr>
          <w:p w14:paraId="3CD36041">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76" w:type="dxa"/>
            <w:vAlign w:val="center"/>
          </w:tcPr>
          <w:p w14:paraId="14206D1D">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3B06C0A9">
            <w:pPr>
              <w:snapToGrid w:val="0"/>
              <w:jc w:val="center"/>
              <w:rPr>
                <w:rFonts w:hint="eastAsia" w:ascii="宋体" w:hAnsi="宋体" w:cs="宋体"/>
                <w:color w:val="auto"/>
                <w:sz w:val="24"/>
                <w:highlight w:val="none"/>
              </w:rPr>
            </w:pPr>
          </w:p>
        </w:tc>
      </w:tr>
      <w:tr w14:paraId="6FAB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359AF4E3">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12</w:t>
            </w:r>
          </w:p>
        </w:tc>
        <w:tc>
          <w:tcPr>
            <w:tcW w:w="5294" w:type="dxa"/>
            <w:vAlign w:val="center"/>
          </w:tcPr>
          <w:p w14:paraId="14B1677C">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供应商在项目施工过程中的降噪措施。</w:t>
            </w:r>
          </w:p>
          <w:p w14:paraId="74DBAA4E">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措施满足项目需求，全面、科学、合理，针对性、可操作性强。（评分范围：5，4，3，2，1，0）</w:t>
            </w:r>
          </w:p>
        </w:tc>
        <w:tc>
          <w:tcPr>
            <w:tcW w:w="956" w:type="dxa"/>
            <w:vAlign w:val="center"/>
          </w:tcPr>
          <w:p w14:paraId="2A215D43">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5</w:t>
            </w:r>
          </w:p>
        </w:tc>
        <w:tc>
          <w:tcPr>
            <w:tcW w:w="1276" w:type="dxa"/>
            <w:vAlign w:val="center"/>
          </w:tcPr>
          <w:p w14:paraId="5D038E9B">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6C82C425">
            <w:pPr>
              <w:snapToGrid w:val="0"/>
              <w:jc w:val="center"/>
              <w:rPr>
                <w:rFonts w:hint="eastAsia" w:ascii="宋体" w:hAnsi="宋体" w:cs="宋体"/>
                <w:color w:val="auto"/>
                <w:sz w:val="24"/>
                <w:highlight w:val="none"/>
              </w:rPr>
            </w:pPr>
          </w:p>
        </w:tc>
      </w:tr>
      <w:tr w14:paraId="7664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29D5BAD9">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13</w:t>
            </w:r>
          </w:p>
        </w:tc>
        <w:tc>
          <w:tcPr>
            <w:tcW w:w="5294" w:type="dxa"/>
            <w:vAlign w:val="center"/>
          </w:tcPr>
          <w:p w14:paraId="076DD4A7">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投入施工材料规格、供应计划及质量保证措施：</w:t>
            </w:r>
          </w:p>
          <w:p w14:paraId="1B83B887">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材料规格详细、供应计划及质量保证措施满足项目需求，全面、科学、合理，针对性、可操作性强。（评分范围：5，4，3，2，1，0）</w:t>
            </w:r>
          </w:p>
        </w:tc>
        <w:tc>
          <w:tcPr>
            <w:tcW w:w="956" w:type="dxa"/>
            <w:vAlign w:val="center"/>
          </w:tcPr>
          <w:p w14:paraId="274ACCD1">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76" w:type="dxa"/>
            <w:vAlign w:val="center"/>
          </w:tcPr>
          <w:p w14:paraId="7BA0231F">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49705B1D">
            <w:pPr>
              <w:snapToGrid w:val="0"/>
              <w:jc w:val="center"/>
              <w:rPr>
                <w:rFonts w:hint="eastAsia" w:ascii="宋体" w:hAnsi="宋体" w:cs="宋体"/>
                <w:color w:val="auto"/>
                <w:sz w:val="24"/>
                <w:highlight w:val="none"/>
              </w:rPr>
            </w:pPr>
          </w:p>
        </w:tc>
      </w:tr>
      <w:tr w14:paraId="0960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02296F26">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14</w:t>
            </w:r>
          </w:p>
        </w:tc>
        <w:tc>
          <w:tcPr>
            <w:tcW w:w="5294" w:type="dxa"/>
            <w:vAlign w:val="center"/>
          </w:tcPr>
          <w:p w14:paraId="0A99C82B">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项目实施过程中针对成品保护的各项措施：</w:t>
            </w:r>
          </w:p>
          <w:p w14:paraId="48A0D86A">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成品保护各项内容及措施满足项目需求，全面、科学、合理。（评分范围：5，4，3，2，1，0）</w:t>
            </w:r>
          </w:p>
        </w:tc>
        <w:tc>
          <w:tcPr>
            <w:tcW w:w="956" w:type="dxa"/>
            <w:vAlign w:val="center"/>
          </w:tcPr>
          <w:p w14:paraId="5D9B2D38">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76" w:type="dxa"/>
            <w:vAlign w:val="center"/>
          </w:tcPr>
          <w:p w14:paraId="25229C48">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3BD22EF4">
            <w:pPr>
              <w:snapToGrid w:val="0"/>
              <w:jc w:val="center"/>
              <w:rPr>
                <w:rFonts w:hint="eastAsia" w:ascii="宋体" w:hAnsi="宋体" w:cs="宋体"/>
                <w:color w:val="auto"/>
                <w:sz w:val="24"/>
                <w:highlight w:val="none"/>
              </w:rPr>
            </w:pPr>
          </w:p>
        </w:tc>
      </w:tr>
      <w:tr w14:paraId="315F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45F9354E">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15</w:t>
            </w:r>
          </w:p>
        </w:tc>
        <w:tc>
          <w:tcPr>
            <w:tcW w:w="5294" w:type="dxa"/>
            <w:vAlign w:val="center"/>
          </w:tcPr>
          <w:p w14:paraId="047EDA2A">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交付前各项检验、检测方案：依据的标准、检验检测项目及时间计划、检验检测保障和目标承诺与本项目实施内容相适应且合理、科学、可靠。（评分范围：5，4，3，2，1，0）</w:t>
            </w:r>
          </w:p>
        </w:tc>
        <w:tc>
          <w:tcPr>
            <w:tcW w:w="956" w:type="dxa"/>
            <w:vAlign w:val="center"/>
          </w:tcPr>
          <w:p w14:paraId="11843528">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5</w:t>
            </w:r>
          </w:p>
        </w:tc>
        <w:tc>
          <w:tcPr>
            <w:tcW w:w="1276" w:type="dxa"/>
            <w:vAlign w:val="center"/>
          </w:tcPr>
          <w:p w14:paraId="17F80657">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21180409">
            <w:pPr>
              <w:snapToGrid w:val="0"/>
              <w:jc w:val="center"/>
              <w:rPr>
                <w:rFonts w:hint="eastAsia" w:ascii="宋体" w:hAnsi="宋体" w:cs="宋体"/>
                <w:color w:val="auto"/>
                <w:sz w:val="24"/>
                <w:highlight w:val="none"/>
              </w:rPr>
            </w:pPr>
          </w:p>
        </w:tc>
      </w:tr>
      <w:tr w14:paraId="7D55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396D5EF4">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16</w:t>
            </w:r>
          </w:p>
        </w:tc>
        <w:tc>
          <w:tcPr>
            <w:tcW w:w="5294" w:type="dxa"/>
            <w:vAlign w:val="center"/>
          </w:tcPr>
          <w:p w14:paraId="33E08E88">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施工工程中突发事件的应急措施及处理方案。（评分范围：5，4，3，2，1，0）</w:t>
            </w:r>
          </w:p>
        </w:tc>
        <w:tc>
          <w:tcPr>
            <w:tcW w:w="956" w:type="dxa"/>
            <w:vAlign w:val="center"/>
          </w:tcPr>
          <w:p w14:paraId="48C8D3B8">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5</w:t>
            </w:r>
          </w:p>
        </w:tc>
        <w:tc>
          <w:tcPr>
            <w:tcW w:w="1276" w:type="dxa"/>
            <w:vAlign w:val="center"/>
          </w:tcPr>
          <w:p w14:paraId="5B6F0B4A">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4E1100BB">
            <w:pPr>
              <w:snapToGrid w:val="0"/>
              <w:jc w:val="center"/>
              <w:rPr>
                <w:rFonts w:hint="eastAsia" w:ascii="宋体" w:hAnsi="宋体" w:cs="宋体"/>
                <w:color w:val="auto"/>
                <w:sz w:val="24"/>
                <w:highlight w:val="none"/>
              </w:rPr>
            </w:pPr>
          </w:p>
        </w:tc>
      </w:tr>
      <w:tr w14:paraId="29A6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62933F4E">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17</w:t>
            </w:r>
          </w:p>
        </w:tc>
        <w:tc>
          <w:tcPr>
            <w:tcW w:w="5294" w:type="dxa"/>
            <w:vAlign w:val="center"/>
          </w:tcPr>
          <w:p w14:paraId="45F0903E">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项目保修期内措施：</w:t>
            </w:r>
          </w:p>
          <w:p w14:paraId="38DA6C7F">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各项内容及措施完善、全面，可操作性强。（评分范围：5，4，3，2，1，0）</w:t>
            </w:r>
          </w:p>
        </w:tc>
        <w:tc>
          <w:tcPr>
            <w:tcW w:w="956" w:type="dxa"/>
            <w:vAlign w:val="center"/>
          </w:tcPr>
          <w:p w14:paraId="2E81130A">
            <w:pPr>
              <w:snapToGrid w:val="0"/>
              <w:spacing w:line="400" w:lineRule="exact"/>
              <w:jc w:val="center"/>
              <w:outlineLvl w:val="0"/>
              <w:rPr>
                <w:rFonts w:hint="eastAsia" w:ascii="宋体" w:hAnsi="宋体" w:eastAsia="宋体" w:cs="宋体"/>
                <w:bCs/>
                <w:color w:val="auto"/>
                <w:sz w:val="24"/>
                <w:highlight w:val="none"/>
                <w:lang w:eastAsia="zh-CN"/>
              </w:rPr>
            </w:pPr>
            <w:r>
              <w:rPr>
                <w:rFonts w:hint="eastAsia" w:ascii="宋体" w:hAnsi="宋体" w:cs="宋体"/>
                <w:color w:val="auto"/>
                <w:sz w:val="24"/>
                <w:highlight w:val="none"/>
                <w:lang w:val="en-US" w:eastAsia="zh-CN"/>
              </w:rPr>
              <w:t>5</w:t>
            </w:r>
          </w:p>
        </w:tc>
        <w:tc>
          <w:tcPr>
            <w:tcW w:w="1276" w:type="dxa"/>
            <w:vAlign w:val="center"/>
          </w:tcPr>
          <w:p w14:paraId="28C42460">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07B44421">
            <w:pPr>
              <w:snapToGrid w:val="0"/>
              <w:jc w:val="center"/>
              <w:rPr>
                <w:rFonts w:hint="eastAsia" w:ascii="宋体" w:hAnsi="宋体" w:cs="宋体"/>
                <w:color w:val="auto"/>
                <w:sz w:val="24"/>
                <w:highlight w:val="none"/>
              </w:rPr>
            </w:pPr>
          </w:p>
        </w:tc>
      </w:tr>
      <w:tr w14:paraId="016F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07F5CF2E">
            <w:pPr>
              <w:snapToGrid w:val="0"/>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18</w:t>
            </w:r>
          </w:p>
        </w:tc>
        <w:tc>
          <w:tcPr>
            <w:tcW w:w="5294" w:type="dxa"/>
            <w:vAlign w:val="center"/>
          </w:tcPr>
          <w:p w14:paraId="526CA680">
            <w:pPr>
              <w:snapToGrid w:val="0"/>
              <w:spacing w:line="400" w:lineRule="exact"/>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根据学校情况，供应商针对</w:t>
            </w:r>
            <w:r>
              <w:rPr>
                <w:rFonts w:hint="eastAsia" w:ascii="宋体" w:hAnsi="宋体"/>
                <w:color w:val="auto"/>
                <w:sz w:val="24"/>
                <w:highlight w:val="none"/>
              </w:rPr>
              <w:t>施工现场的人员管理及进出场管理措施</w:t>
            </w:r>
            <w:r>
              <w:rPr>
                <w:rFonts w:hint="eastAsia" w:ascii="宋体" w:hAnsi="宋体"/>
                <w:color w:val="auto"/>
                <w:sz w:val="24"/>
                <w:highlight w:val="none"/>
                <w:lang w:eastAsia="zh-CN"/>
              </w:rPr>
              <w:t>：</w:t>
            </w:r>
            <w:r>
              <w:rPr>
                <w:rFonts w:hint="eastAsia" w:ascii="宋体" w:hAnsi="宋体" w:cs="宋体"/>
                <w:color w:val="auto"/>
                <w:sz w:val="24"/>
                <w:highlight w:val="none"/>
              </w:rPr>
              <w:t>（评分范围：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3，2，1，0）</w:t>
            </w:r>
          </w:p>
        </w:tc>
        <w:tc>
          <w:tcPr>
            <w:tcW w:w="956" w:type="dxa"/>
            <w:vAlign w:val="center"/>
          </w:tcPr>
          <w:p w14:paraId="6F118E7F">
            <w:pPr>
              <w:snapToGrid w:val="0"/>
              <w:spacing w:line="400" w:lineRule="exact"/>
              <w:jc w:val="center"/>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276" w:type="dxa"/>
            <w:vAlign w:val="center"/>
          </w:tcPr>
          <w:p w14:paraId="5BEA40B7">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453" w:type="dxa"/>
            <w:vAlign w:val="center"/>
          </w:tcPr>
          <w:p w14:paraId="09B326B4">
            <w:pPr>
              <w:snapToGrid w:val="0"/>
              <w:jc w:val="center"/>
              <w:rPr>
                <w:rFonts w:hint="eastAsia" w:ascii="宋体" w:hAnsi="宋体" w:cs="宋体"/>
                <w:color w:val="auto"/>
                <w:sz w:val="24"/>
                <w:highlight w:val="none"/>
              </w:rPr>
            </w:pPr>
          </w:p>
        </w:tc>
      </w:tr>
      <w:tr w14:paraId="08D9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6F5289EC">
            <w:pPr>
              <w:snapToGrid w:val="0"/>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p>
        </w:tc>
        <w:tc>
          <w:tcPr>
            <w:tcW w:w="5294" w:type="dxa"/>
            <w:vAlign w:val="center"/>
          </w:tcPr>
          <w:p w14:paraId="4C82251C">
            <w:pPr>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在本次采购项目中使用的材料（设备）列入政府采购节能产品、环境标志产品品目清单范围的，每提供一个节能产品得0.5分，每提供一个环境标志产品得0.5分。（根据最新政府采购节能产品、环境标志产品品目清单，信息查看中国政府采购网http：//www.ccgp.gov.cn进行评分，供应商应在响应文件中提供相关依据国家确定的认证机构出具的、处于有效期之内的节能产品、环境标志产品认证证书证明材料，否则不得分）</w:t>
            </w:r>
            <w:r>
              <w:rPr>
                <w:rFonts w:hint="eastAsia" w:ascii="宋体" w:hAnsi="宋体" w:cs="宋体"/>
                <w:color w:val="auto"/>
                <w:sz w:val="24"/>
                <w:highlight w:val="none"/>
                <w:lang w:eastAsia="zh-CN"/>
              </w:rPr>
              <w:t>。</w:t>
            </w:r>
          </w:p>
        </w:tc>
        <w:tc>
          <w:tcPr>
            <w:tcW w:w="956" w:type="dxa"/>
            <w:vAlign w:val="center"/>
          </w:tcPr>
          <w:p w14:paraId="37D67F1C">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color w:val="auto"/>
                <w:sz w:val="24"/>
                <w:highlight w:val="none"/>
              </w:rPr>
              <w:t>1</w:t>
            </w:r>
          </w:p>
        </w:tc>
        <w:tc>
          <w:tcPr>
            <w:tcW w:w="1276" w:type="dxa"/>
            <w:vAlign w:val="center"/>
          </w:tcPr>
          <w:p w14:paraId="3AD72A24">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453" w:type="dxa"/>
            <w:vAlign w:val="center"/>
          </w:tcPr>
          <w:p w14:paraId="6B78802A">
            <w:pPr>
              <w:snapToGrid w:val="0"/>
              <w:jc w:val="center"/>
              <w:rPr>
                <w:rFonts w:hint="eastAsia" w:ascii="宋体" w:hAnsi="宋体" w:cs="宋体"/>
                <w:color w:val="auto"/>
                <w:sz w:val="24"/>
                <w:highlight w:val="none"/>
              </w:rPr>
            </w:pPr>
          </w:p>
        </w:tc>
      </w:tr>
      <w:tr w14:paraId="5B43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2634217B">
            <w:pPr>
              <w:snapToGrid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5294" w:type="dxa"/>
            <w:shd w:val="clear" w:color="auto" w:fill="auto"/>
          </w:tcPr>
          <w:p w14:paraId="38F5362A">
            <w:pPr>
              <w:snapToGrid w:val="0"/>
              <w:outlineLvl w:val="0"/>
              <w:rPr>
                <w:rFonts w:hint="eastAsia" w:ascii="宋体" w:hAnsi="宋体" w:cs="宋体"/>
                <w:color w:val="auto"/>
                <w:sz w:val="24"/>
                <w:highlight w:val="none"/>
              </w:rPr>
            </w:pPr>
            <w:r>
              <w:rPr>
                <w:rFonts w:hint="eastAsia" w:ascii="宋体" w:hAnsi="宋体" w:cs="宋体"/>
                <w:color w:val="auto"/>
                <w:sz w:val="24"/>
                <w:highlight w:val="none"/>
              </w:rPr>
              <w:t>有效最后报价的最低价作为评审基准价，其最低报价为满分；按［最后报价得分=（评审基准价/最后报价）*</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］的计算公式计算。</w:t>
            </w:r>
          </w:p>
          <w:p w14:paraId="322BB1DD">
            <w:pPr>
              <w:widowControl/>
              <w:shd w:val="clear" w:color="auto" w:fill="FFFFFF"/>
              <w:adjustRightInd/>
              <w:snapToGrid w:val="0"/>
              <w:ind w:firstLine="420"/>
              <w:jc w:val="left"/>
              <w:rPr>
                <w:rFonts w:hint="eastAsia" w:ascii="宋体" w:hAnsi="宋体" w:cs="宋体"/>
                <w:color w:val="auto"/>
                <w:sz w:val="24"/>
                <w:highlight w:val="none"/>
              </w:rPr>
            </w:pPr>
            <w:r>
              <w:rPr>
                <w:rFonts w:hint="eastAsia" w:ascii="宋体" w:hAnsi="宋体" w:cs="宋体"/>
                <w:color w:val="auto"/>
                <w:sz w:val="24"/>
                <w:highlight w:val="none"/>
              </w:rPr>
              <w:t>评审过程中，不得去掉报价中的最高报价和最低报价。</w:t>
            </w:r>
          </w:p>
          <w:p w14:paraId="51534580">
            <w:pPr>
              <w:widowControl/>
              <w:shd w:val="clear" w:color="auto" w:fill="FFFFFF"/>
              <w:adjustRightInd/>
              <w:snapToGri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因落实政府采购政策需要进行价格调整的，以调整后的价格计算评审基准价和最后报价。</w:t>
            </w:r>
          </w:p>
        </w:tc>
        <w:tc>
          <w:tcPr>
            <w:tcW w:w="956" w:type="dxa"/>
            <w:shd w:val="clear" w:color="auto" w:fill="auto"/>
            <w:vAlign w:val="center"/>
          </w:tcPr>
          <w:p w14:paraId="029E0DA7">
            <w:pPr>
              <w:snapToGrid w:val="0"/>
              <w:jc w:val="center"/>
              <w:outlineLvl w:val="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25</w:t>
            </w:r>
          </w:p>
        </w:tc>
        <w:tc>
          <w:tcPr>
            <w:tcW w:w="1276" w:type="dxa"/>
            <w:shd w:val="clear" w:color="auto" w:fill="auto"/>
            <w:vAlign w:val="center"/>
          </w:tcPr>
          <w:p w14:paraId="047E8475">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453" w:type="dxa"/>
            <w:shd w:val="clear" w:color="auto" w:fill="auto"/>
            <w:vAlign w:val="center"/>
          </w:tcPr>
          <w:p w14:paraId="04AC263F">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w:t>
            </w:r>
          </w:p>
        </w:tc>
      </w:tr>
    </w:tbl>
    <w:p w14:paraId="10EA83E9">
      <w:pPr>
        <w:pStyle w:val="59"/>
        <w:rPr>
          <w:rFonts w:hint="eastAsia" w:ascii="宋体" w:hAnsi="宋体" w:cs="宋体"/>
          <w:color w:val="auto"/>
          <w:sz w:val="32"/>
          <w:highlight w:val="none"/>
        </w:rPr>
      </w:pPr>
    </w:p>
    <w:p w14:paraId="46CEB859">
      <w:pPr>
        <w:snapToGrid w:val="0"/>
        <w:spacing w:line="360" w:lineRule="auto"/>
        <w:rPr>
          <w:rFonts w:hint="eastAsia"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供应商编制响应文件（商务技术文件部分）时，建议按此目录（序号和内容）提供评审标准相应的商务技术资料。 </w:t>
      </w:r>
    </w:p>
    <w:p w14:paraId="038319DC">
      <w:pPr>
        <w:jc w:val="left"/>
        <w:rPr>
          <w:rFonts w:hint="eastAsia" w:ascii="宋体" w:hAnsi="宋体" w:cs="宋体"/>
          <w:b/>
          <w:color w:val="auto"/>
          <w:sz w:val="28"/>
          <w:szCs w:val="28"/>
          <w:highlight w:val="none"/>
        </w:rPr>
      </w:pPr>
      <w:r>
        <w:rPr>
          <w:rFonts w:hint="eastAsia" w:ascii="宋体" w:hAnsi="宋体" w:cs="宋体"/>
          <w:b/>
          <w:color w:val="auto"/>
          <w:sz w:val="32"/>
          <w:highlight w:val="none"/>
        </w:rPr>
        <w:t>一、评审方法</w:t>
      </w:r>
    </w:p>
    <w:p w14:paraId="5783B322">
      <w:pPr>
        <w:adjustRightInd/>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727C119D">
      <w:pPr>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二、评审标准</w:t>
      </w:r>
    </w:p>
    <w:p w14:paraId="1CBCB451">
      <w:pP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评审标准：</w:t>
      </w:r>
      <w:r>
        <w:rPr>
          <w:rFonts w:hint="eastAsia" w:ascii="宋体" w:hAnsi="宋体" w:cs="宋体"/>
          <w:color w:val="auto"/>
          <w:kern w:val="0"/>
          <w:sz w:val="24"/>
          <w:highlight w:val="none"/>
        </w:rPr>
        <w:t>见评审办法前附表。</w:t>
      </w:r>
    </w:p>
    <w:p w14:paraId="0E5E39B5">
      <w:pPr>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三、评审程序</w:t>
      </w:r>
    </w:p>
    <w:p w14:paraId="4FD883A9">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磋商小组应当对符合资格的供应商的响应文件进行符合性审查，以确定其是否满足采购文件的实质性要求。不满足采购文件的实质性要求的，响应文件无效。</w:t>
      </w:r>
    </w:p>
    <w:p w14:paraId="403FB8FF">
      <w:pPr>
        <w:spacing w:line="360" w:lineRule="auto"/>
        <w:ind w:firstLine="472" w:firstLineChars="196"/>
        <w:rPr>
          <w:rFonts w:hint="eastAsia" w:ascii="宋体" w:hAnsi="宋体" w:cs="宋体"/>
          <w:color w:val="auto"/>
          <w:sz w:val="24"/>
          <w:highlight w:val="none"/>
        </w:rPr>
      </w:pPr>
      <w:r>
        <w:rPr>
          <w:rFonts w:hint="eastAsia" w:ascii="宋体" w:hAnsi="宋体" w:cs="宋体"/>
          <w:b/>
          <w:color w:val="auto"/>
          <w:kern w:val="0"/>
          <w:sz w:val="24"/>
          <w:highlight w:val="none"/>
        </w:rPr>
        <w:t>3.2 磋商。</w:t>
      </w:r>
      <w:r>
        <w:rPr>
          <w:rFonts w:hint="eastAsia" w:ascii="宋体" w:hAnsi="宋体" w:cs="宋体"/>
          <w:color w:val="auto"/>
          <w:sz w:val="24"/>
          <w:highlight w:val="none"/>
        </w:rPr>
        <w:t>磋商小组将对确定为实质性响应本采购文件的响应文件进行详细评价和比较，主要就资信、服务方案内容、服务承诺等磋商小组认为与本次采购有关的因素与</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供应商逐一进行磋商。</w:t>
      </w:r>
    </w:p>
    <w:p w14:paraId="67A8D6DE">
      <w:pPr>
        <w:spacing w:line="360" w:lineRule="auto"/>
        <w:ind w:firstLine="470" w:firstLineChars="196"/>
        <w:rPr>
          <w:rFonts w:hint="eastAsia" w:ascii="宋体" w:hAnsi="宋体" w:cs="宋体"/>
          <w:b/>
          <w:color w:val="auto"/>
          <w:sz w:val="24"/>
          <w:highlight w:val="none"/>
        </w:rPr>
      </w:pPr>
      <w:r>
        <w:rPr>
          <w:rFonts w:hint="eastAsia" w:ascii="宋体" w:hAnsi="宋体" w:cs="宋体"/>
          <w:bCs/>
          <w:color w:val="auto"/>
          <w:sz w:val="24"/>
          <w:highlight w:val="none"/>
        </w:rPr>
        <w:t xml:space="preserve">3.2.1 </w:t>
      </w:r>
      <w:r>
        <w:rPr>
          <w:rFonts w:hint="eastAsia" w:ascii="宋体" w:hAnsi="宋体" w:cs="宋体"/>
          <w:color w:val="auto"/>
          <w:sz w:val="24"/>
          <w:highlight w:val="none"/>
        </w:rPr>
        <w:t>供应商逐家回答磋商小组的提问；</w:t>
      </w:r>
      <w:r>
        <w:rPr>
          <w:rFonts w:hint="eastAsia" w:ascii="宋体" w:hAnsi="宋体" w:cs="宋体"/>
          <w:b/>
          <w:color w:val="auto"/>
          <w:sz w:val="24"/>
          <w:highlight w:val="none"/>
        </w:rPr>
        <w:t>逐家磋商一次为一个轮次，磋商轮次根据实际情况进行。</w:t>
      </w:r>
    </w:p>
    <w:p w14:paraId="5347E062">
      <w:pPr>
        <w:spacing w:line="360" w:lineRule="auto"/>
        <w:ind w:firstLine="470" w:firstLineChars="196"/>
        <w:rPr>
          <w:rFonts w:hint="eastAsia" w:ascii="宋体" w:hAnsi="宋体" w:cs="宋体"/>
          <w:color w:val="auto"/>
          <w:sz w:val="24"/>
          <w:highlight w:val="none"/>
        </w:rPr>
      </w:pPr>
      <w:r>
        <w:rPr>
          <w:rFonts w:hint="eastAsia" w:ascii="宋体" w:hAnsi="宋体" w:cs="宋体"/>
          <w:bCs/>
          <w:color w:val="auto"/>
          <w:sz w:val="24"/>
          <w:highlight w:val="none"/>
        </w:rPr>
        <w:t xml:space="preserve">3.2.2 </w:t>
      </w:r>
      <w:r>
        <w:rPr>
          <w:rFonts w:hint="eastAsia" w:ascii="宋体" w:hAnsi="宋体" w:cs="宋体"/>
          <w:color w:val="auto"/>
          <w:sz w:val="24"/>
          <w:highlight w:val="none"/>
        </w:rPr>
        <w:t>供应商应按磋商小组通知的时间在线或以邮件回复做出承诺或回复，承诺或回复的内容须由供应商法定代表人或授权代表签署，并作为响应文件的补充部分。</w:t>
      </w:r>
    </w:p>
    <w:p w14:paraId="0777F25C">
      <w:pPr>
        <w:spacing w:line="360" w:lineRule="auto"/>
        <w:ind w:firstLine="470" w:firstLineChars="196"/>
        <w:rPr>
          <w:rFonts w:hint="eastAsia" w:ascii="宋体" w:hAnsi="宋体" w:cs="宋体"/>
          <w:bCs/>
          <w:color w:val="auto"/>
          <w:kern w:val="0"/>
          <w:sz w:val="24"/>
          <w:highlight w:val="none"/>
        </w:rPr>
      </w:pPr>
      <w:r>
        <w:rPr>
          <w:rFonts w:hint="eastAsia" w:ascii="宋体" w:hAnsi="宋体" w:cs="宋体"/>
          <w:color w:val="auto"/>
          <w:sz w:val="24"/>
          <w:highlight w:val="none"/>
        </w:rPr>
        <w:t xml:space="preserve">3.2.3 </w:t>
      </w:r>
      <w:r>
        <w:rPr>
          <w:rFonts w:hint="eastAsia" w:ascii="宋体" w:hAnsi="宋体" w:cs="宋体"/>
          <w:b/>
          <w:bCs/>
          <w:color w:val="auto"/>
          <w:sz w:val="24"/>
          <w:highlight w:val="none"/>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color w:val="auto"/>
          <w:sz w:val="24"/>
          <w:highlight w:val="none"/>
        </w:rPr>
        <w:t>实质性变动的内容，须经采购人代表确认。磋商文件有实质性变动的，磋商小组将以书面形式通知所有</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 xml:space="preserve">供应商。 </w:t>
      </w:r>
    </w:p>
    <w:p w14:paraId="1F997656">
      <w:pPr>
        <w:spacing w:line="360" w:lineRule="auto"/>
        <w:ind w:firstLine="472" w:firstLineChars="196"/>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3.3最后报价</w:t>
      </w:r>
    </w:p>
    <w:p w14:paraId="5D5D7C95">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3.3.1 磋商文件能够详细列明采购标的的技术、服务要求的，磋商结束后，磋商小组应当要求所有符合性审查合格的供应商在规定时间内提交最后报价，提交最后报价的供应商不得少于3家。</w:t>
      </w:r>
    </w:p>
    <w:p w14:paraId="66815AEF">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B8A77DE">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3.3.3 已提交响应文件的供应商，在提交最后报价之前，可以根据磋商情况退出磋商</w:t>
      </w:r>
    </w:p>
    <w:p w14:paraId="5A25287C">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3.4 综合评分。</w:t>
      </w:r>
      <w:r>
        <w:rPr>
          <w:rFonts w:hint="eastAsia" w:ascii="宋体" w:hAnsi="宋体" w:cs="宋体"/>
          <w:bCs/>
          <w:color w:val="auto"/>
          <w:kern w:val="0"/>
          <w:sz w:val="24"/>
          <w:highlight w:val="none"/>
        </w:rPr>
        <w:t>经磋商确定最终采购需求和提交最后报价的供应商后，</w:t>
      </w:r>
      <w:r>
        <w:rPr>
          <w:rFonts w:hint="eastAsia" w:ascii="宋体" w:hAnsi="宋体" w:cs="宋体"/>
          <w:color w:val="auto"/>
          <w:kern w:val="0"/>
          <w:sz w:val="24"/>
          <w:highlight w:val="none"/>
        </w:rPr>
        <w:t>磋商小组应当按照采购文件中规定的评审标准，对符合性审查合格的响应文件进行综合评分。磋商文件中没有规定的评审标准不得作为评审依据。</w:t>
      </w:r>
    </w:p>
    <w:p w14:paraId="5E8EF6A9">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3.5汇总商务技术得分。</w:t>
      </w:r>
      <w:r>
        <w:rPr>
          <w:rFonts w:hint="eastAsia" w:ascii="宋体" w:hAnsi="宋体" w:cs="宋体"/>
          <w:color w:val="auto"/>
          <w:kern w:val="0"/>
          <w:sz w:val="24"/>
          <w:highlight w:val="none"/>
        </w:rPr>
        <w:t>磋商小组各成员应当独立对每个供应商的商务和技术文件进行评价，并汇总商务技术得分情况。磋商小组成员总评分偏离平均分30%以上的，以及个人主观打分偏离所有磋商小组成员主观打分平均值</w:t>
      </w:r>
      <w:r>
        <w:rPr>
          <w:rFonts w:ascii="宋体" w:hAnsi="宋体" w:cs="宋体"/>
          <w:color w:val="auto"/>
          <w:kern w:val="0"/>
          <w:sz w:val="24"/>
          <w:highlight w:val="none"/>
        </w:rPr>
        <w:t>30%以上的，由</w:t>
      </w:r>
      <w:r>
        <w:rPr>
          <w:rFonts w:hint="eastAsia" w:ascii="宋体" w:hAnsi="宋体" w:cs="宋体"/>
          <w:color w:val="auto"/>
          <w:kern w:val="0"/>
          <w:sz w:val="24"/>
          <w:highlight w:val="none"/>
        </w:rPr>
        <w:t>磋商小组</w:t>
      </w:r>
      <w:r>
        <w:rPr>
          <w:rFonts w:ascii="宋体" w:hAnsi="宋体" w:cs="宋体"/>
          <w:color w:val="auto"/>
          <w:kern w:val="0"/>
          <w:sz w:val="24"/>
          <w:highlight w:val="none"/>
        </w:rPr>
        <w:t>启动评分畸高、畸低行为认定程序</w:t>
      </w:r>
      <w:r>
        <w:rPr>
          <w:rFonts w:hint="eastAsia" w:ascii="宋体" w:hAnsi="宋体" w:cs="宋体"/>
          <w:color w:val="auto"/>
          <w:kern w:val="0"/>
          <w:sz w:val="24"/>
          <w:highlight w:val="none"/>
        </w:rPr>
        <w:t>，磋商小组组长应提醒相关评审人员进行复核或书面说明理由，评审人员拒绝说明的，由现场监督员据实记录；评审人员的评审、修改记录应保留原件，随项目其他资料一并存档。</w:t>
      </w:r>
    </w:p>
    <w:p w14:paraId="2D999487">
      <w:pPr>
        <w:spacing w:line="360" w:lineRule="auto"/>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3.6报价评审。</w:t>
      </w:r>
    </w:p>
    <w:p w14:paraId="77E3BE6E">
      <w:pPr>
        <w:pStyle w:val="132"/>
        <w:spacing w:before="0"/>
        <w:ind w:firstLine="508" w:firstLineChars="212"/>
        <w:rPr>
          <w:rFonts w:hint="eastAsia" w:ascii="宋体" w:hAnsi="宋体" w:cs="宋体"/>
          <w:color w:val="auto"/>
          <w:kern w:val="0"/>
          <w:highlight w:val="none"/>
        </w:rPr>
      </w:pPr>
      <w:r>
        <w:rPr>
          <w:rFonts w:hint="eastAsia" w:ascii="宋体" w:hAnsi="宋体" w:cs="宋体"/>
          <w:color w:val="auto"/>
          <w:kern w:val="0"/>
          <w:highlight w:val="none"/>
        </w:rPr>
        <w:t>3.6.1响应文件报价出现前后不一致的，按照下列规定修正：</w:t>
      </w:r>
    </w:p>
    <w:p w14:paraId="770D756C">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3.6.1.1响应文件中已标价工程量清单内容与响应文件中相应内容不一致的，以已标价工程量清单为准;</w:t>
      </w:r>
    </w:p>
    <w:p w14:paraId="5A5EACFD">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3.6.1.2大写金额和小写金额不一致的，以大写金额为准;</w:t>
      </w:r>
    </w:p>
    <w:p w14:paraId="7D1F5061">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3.6.1.3单价金额小数点或者百分比有明显错位的，以已标价工程量清单的总价为准，并修改单价;</w:t>
      </w:r>
    </w:p>
    <w:p w14:paraId="355B9DB6">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3.6.1.4总价金额与按单价汇总金额不一致的，以单价金额计算结果为准。</w:t>
      </w:r>
    </w:p>
    <w:p w14:paraId="16BE2E5B">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3.6.1.5同时出现两种以上不一致的，按照3.6.1规定的顺序修正。修正后的报价经供应商确认后产生约束力。</w:t>
      </w:r>
    </w:p>
    <w:p w14:paraId="1905075E">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3.6.2响应文件出现不是唯一的、有选择性最后报价的，响应文件无效。</w:t>
      </w:r>
    </w:p>
    <w:p w14:paraId="70F85E5D">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3.6.3最后报价超过采购文件中规定的预算金额或者最高限价的，响应文件无效。</w:t>
      </w:r>
    </w:p>
    <w:p w14:paraId="0348FEFD">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3.6.4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226AE44A">
      <w:pPr>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3.7排序与推荐。</w:t>
      </w:r>
      <w:r>
        <w:rPr>
          <w:rFonts w:hint="eastAsia" w:ascii="宋体" w:hAnsi="宋体" w:cs="宋体"/>
          <w:color w:val="auto"/>
          <w:kern w:val="0"/>
          <w:sz w:val="24"/>
          <w:highlight w:val="none"/>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3家</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en"/>
        </w:rPr>
        <w:t>。</w:t>
      </w:r>
    </w:p>
    <w:p w14:paraId="79C49D15">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3.8编写评审报告。</w:t>
      </w:r>
      <w:r>
        <w:rPr>
          <w:rFonts w:hint="eastAsia" w:ascii="宋体" w:hAnsi="宋体" w:cs="宋体"/>
          <w:color w:val="auto"/>
          <w:kern w:val="0"/>
          <w:sz w:val="24"/>
          <w:highlight w:val="none"/>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06CB3A4D">
      <w:pPr>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四、评审中的其他事项</w:t>
      </w:r>
    </w:p>
    <w:p w14:paraId="3D883F44">
      <w:pPr>
        <w:pStyle w:val="132"/>
        <w:spacing w:before="0"/>
        <w:ind w:firstLine="472" w:firstLineChars="196"/>
        <w:rPr>
          <w:rFonts w:hint="eastAsia" w:ascii="宋体" w:hAnsi="宋体" w:cs="宋体"/>
          <w:color w:val="auto"/>
          <w:kern w:val="0"/>
          <w:szCs w:val="24"/>
          <w:highlight w:val="none"/>
        </w:rPr>
      </w:pPr>
      <w:r>
        <w:rPr>
          <w:rFonts w:hint="eastAsia" w:ascii="宋体" w:hAnsi="宋体" w:cs="宋体"/>
          <w:b/>
          <w:color w:val="auto"/>
          <w:kern w:val="0"/>
          <w:szCs w:val="24"/>
          <w:highlight w:val="none"/>
        </w:rPr>
        <w:t>4.1供应商澄清、说明或者补正。</w:t>
      </w:r>
      <w:r>
        <w:rPr>
          <w:rFonts w:hint="eastAsia" w:ascii="宋体" w:hAnsi="宋体" w:cs="宋体"/>
          <w:color w:val="auto"/>
          <w:kern w:val="0"/>
          <w:szCs w:val="24"/>
          <w:highlight w:val="none"/>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2EEFDC63">
      <w:pPr>
        <w:pStyle w:val="25"/>
        <w:spacing w:line="360" w:lineRule="auto"/>
        <w:ind w:left="954" w:leftChars="226" w:hanging="479" w:firstLineChars="0"/>
        <w:rPr>
          <w:rFonts w:hint="eastAsia" w:cs="宋体"/>
          <w:color w:val="auto"/>
          <w:szCs w:val="21"/>
          <w:highlight w:val="none"/>
        </w:rPr>
      </w:pPr>
      <w:r>
        <w:rPr>
          <w:rFonts w:hint="eastAsia" w:cs="宋体"/>
          <w:b/>
          <w:color w:val="auto"/>
          <w:kern w:val="0"/>
          <w:highlight w:val="none"/>
        </w:rPr>
        <w:t>4.2响应文件无效。</w:t>
      </w:r>
      <w:r>
        <w:rPr>
          <w:rFonts w:hint="eastAsia" w:cs="宋体"/>
          <w:color w:val="auto"/>
          <w:szCs w:val="21"/>
          <w:highlight w:val="none"/>
        </w:rPr>
        <w:t>有下列情形之一的，响应文件无效：</w:t>
      </w:r>
    </w:p>
    <w:p w14:paraId="42E67CC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4.2.1供应商不具备采购文件中规定的资格要求的（供应商未提供有效的资格文件的，视为供应商不具备采购文件中规定的资格要求）；</w:t>
      </w:r>
    </w:p>
    <w:p w14:paraId="1F4DF50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4.2.2响应文件未按照采购文件要求签署、盖章的；</w:t>
      </w:r>
    </w:p>
    <w:p w14:paraId="0CBEB8E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4.2.3采购人拟采购的产品属于政府强制采购的节能产品品目清单范围的，供应商未按采购文件要求提供国家确定的认证机构出具的、处于有效期之内的节能产品认证证书的；</w:t>
      </w:r>
    </w:p>
    <w:p w14:paraId="0BC782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4.2.4响应文件含有采购人不能接受的附加条件的；</w:t>
      </w:r>
    </w:p>
    <w:p w14:paraId="7FED191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4.2.5响应文件中承诺的响应文件有效期少于采购文件中载明的响应文件有效期的；</w:t>
      </w:r>
    </w:p>
    <w:p w14:paraId="45E9477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4.2.6响应文件出现不是唯一的、有选择性最后报价的;</w:t>
      </w:r>
    </w:p>
    <w:p w14:paraId="2166DF6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4.2.7最后报价超过采购文件中规定的预算金额或者最高限价的;</w:t>
      </w:r>
    </w:p>
    <w:p w14:paraId="0295E12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4.2.8供应商对根据修正原则修正后的报价不确认的；</w:t>
      </w:r>
    </w:p>
    <w:p w14:paraId="4AEAF0A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4.2.9供应商提供虚假材料响应的；</w:t>
      </w:r>
    </w:p>
    <w:p w14:paraId="32200B7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4.2.10供应商有恶意串通、妨碍其他供应商的竞争行为、损害采购人或者其他供应商的合法权益情形的；</w:t>
      </w:r>
    </w:p>
    <w:p w14:paraId="1263E2CB">
      <w:pPr>
        <w:pStyle w:val="8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4.2.11</w:t>
      </w:r>
      <w:r>
        <w:rPr>
          <w:rFonts w:hint="eastAsia" w:ascii="宋体" w:hAnsi="宋体" w:eastAsia="宋体" w:cs="宋体"/>
          <w:color w:val="auto"/>
          <w:sz w:val="24"/>
          <w:szCs w:val="24"/>
          <w:highlight w:val="none"/>
          <w:lang w:val="en"/>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1D00391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4.2.12供应商仅提交备份响应文件，未在电子交易平台传输递交响应文件的，响应文件无效；</w:t>
      </w:r>
    </w:p>
    <w:p w14:paraId="2C9A51A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4.2.13 响应文件不满足采购文件的其它实质性要求的；</w:t>
      </w:r>
    </w:p>
    <w:p w14:paraId="373ABBD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6345414E">
      <w:pPr>
        <w:pStyle w:val="25"/>
        <w:snapToGrid w:val="0"/>
        <w:spacing w:line="360" w:lineRule="auto"/>
        <w:ind w:firstLine="472" w:firstLineChars="196"/>
        <w:rPr>
          <w:rFonts w:hint="eastAsia" w:cs="宋体"/>
          <w:color w:val="auto"/>
          <w:highlight w:val="none"/>
        </w:rPr>
      </w:pPr>
      <w:r>
        <w:rPr>
          <w:rFonts w:hint="eastAsia" w:cs="宋体"/>
          <w:b/>
          <w:color w:val="auto"/>
          <w:highlight w:val="none"/>
        </w:rPr>
        <w:t>5.终止竞争性磋商采购活动。</w:t>
      </w:r>
      <w:r>
        <w:rPr>
          <w:rFonts w:hint="eastAsia" w:cs="宋体"/>
          <w:color w:val="auto"/>
          <w:highlight w:val="none"/>
        </w:rPr>
        <w:t>出现下列情形之一的，采购人或者采购代理机构应当终止竞争性磋商采购活动，发布项目终止公告并说明原因，重新开展采购活动：</w:t>
      </w:r>
    </w:p>
    <w:p w14:paraId="72E7467E">
      <w:pPr>
        <w:pStyle w:val="25"/>
        <w:snapToGrid w:val="0"/>
        <w:spacing w:line="360" w:lineRule="auto"/>
        <w:rPr>
          <w:rFonts w:hint="eastAsia" w:cs="宋体"/>
          <w:color w:val="auto"/>
          <w:highlight w:val="none"/>
        </w:rPr>
      </w:pPr>
      <w:r>
        <w:rPr>
          <w:rFonts w:hint="eastAsia" w:cs="宋体"/>
          <w:color w:val="auto"/>
          <w:highlight w:val="none"/>
        </w:rPr>
        <w:t>5.1因情况变化，不再符合规定的竞争性磋商采购方式适用情形的；</w:t>
      </w:r>
    </w:p>
    <w:p w14:paraId="2D8844F6">
      <w:pPr>
        <w:pStyle w:val="25"/>
        <w:snapToGrid w:val="0"/>
        <w:spacing w:line="360" w:lineRule="auto"/>
        <w:rPr>
          <w:rFonts w:hint="eastAsia" w:cs="宋体"/>
          <w:color w:val="auto"/>
          <w:highlight w:val="none"/>
        </w:rPr>
      </w:pPr>
      <w:r>
        <w:rPr>
          <w:rFonts w:hint="eastAsia" w:cs="宋体"/>
          <w:color w:val="auto"/>
          <w:highlight w:val="none"/>
        </w:rPr>
        <w:t>5.2出现影响采购公正的违法、违规行为的；</w:t>
      </w:r>
    </w:p>
    <w:p w14:paraId="5FCA6E80">
      <w:pPr>
        <w:pStyle w:val="25"/>
        <w:snapToGrid w:val="0"/>
        <w:spacing w:line="360" w:lineRule="auto"/>
        <w:rPr>
          <w:rFonts w:hint="eastAsia" w:cs="宋体"/>
          <w:color w:val="auto"/>
          <w:highlight w:val="none"/>
        </w:rPr>
      </w:pPr>
      <w:r>
        <w:rPr>
          <w:rFonts w:hint="eastAsia" w:cs="宋体"/>
          <w:color w:val="auto"/>
          <w:highlight w:val="none"/>
        </w:rPr>
        <w:t>5.3除本办法第二十一条第三款规定的情形外，在采购过程中符合要求的供应商或者报价未超过采购预算的供应商不足3家的。</w:t>
      </w:r>
    </w:p>
    <w:p w14:paraId="73FE1C3C">
      <w:pPr>
        <w:pStyle w:val="25"/>
        <w:snapToGrid w:val="0"/>
        <w:spacing w:line="360" w:lineRule="auto"/>
        <w:rPr>
          <w:rFonts w:hint="eastAsia" w:cs="宋体"/>
          <w:color w:val="auto"/>
          <w:highlight w:val="none"/>
        </w:rPr>
      </w:pPr>
      <w:r>
        <w:rPr>
          <w:rFonts w:hint="eastAsia" w:cs="宋体"/>
          <w:color w:val="auto"/>
          <w:highlight w:val="none"/>
        </w:rPr>
        <w:t>5.4在采购活动中因重大变故，采购任务取消的，采购人或者采购代理机构应当终止采购活动，通知所有参加采购活动的供应商，并将项目实施情况和采购任务取消原因报送本级财政部门。</w:t>
      </w:r>
    </w:p>
    <w:p w14:paraId="768E0DAC">
      <w:pPr>
        <w:pStyle w:val="25"/>
        <w:snapToGrid w:val="0"/>
        <w:spacing w:line="360" w:lineRule="auto"/>
        <w:ind w:firstLine="482"/>
        <w:rPr>
          <w:rFonts w:hint="eastAsia" w:cs="宋体"/>
          <w:color w:val="auto"/>
          <w:highlight w:val="none"/>
        </w:rPr>
      </w:pPr>
      <w:r>
        <w:rPr>
          <w:rFonts w:hint="eastAsia" w:cs="宋体"/>
          <w:b/>
          <w:color w:val="auto"/>
          <w:kern w:val="0"/>
          <w:highlight w:val="none"/>
        </w:rPr>
        <w:t>6.重新开展采购。</w:t>
      </w:r>
      <w:r>
        <w:rPr>
          <w:rFonts w:hint="eastAsia" w:cs="宋体"/>
          <w:color w:val="auto"/>
          <w:highlight w:val="none"/>
        </w:rPr>
        <w:t>有政府采购法第七十一条、第七十二条规定的违法行为之一，影响或者可能影响成交结果的，依照下列规定处理：</w:t>
      </w:r>
    </w:p>
    <w:p w14:paraId="42AF84A2">
      <w:pPr>
        <w:pStyle w:val="25"/>
        <w:snapToGrid w:val="0"/>
        <w:spacing w:line="360" w:lineRule="auto"/>
        <w:rPr>
          <w:rFonts w:hint="eastAsia" w:cs="宋体"/>
          <w:color w:val="auto"/>
          <w:highlight w:val="none"/>
        </w:rPr>
      </w:pPr>
      <w:r>
        <w:rPr>
          <w:rFonts w:hint="eastAsia" w:cs="宋体"/>
          <w:color w:val="auto"/>
          <w:highlight w:val="none"/>
        </w:rPr>
        <w:t>6.1未确定成交供应商的，终止本次政府采购活动，重新开展政府采购活动。</w:t>
      </w:r>
    </w:p>
    <w:p w14:paraId="62800C26">
      <w:pPr>
        <w:pStyle w:val="25"/>
        <w:snapToGrid w:val="0"/>
        <w:spacing w:line="360" w:lineRule="auto"/>
        <w:rPr>
          <w:rFonts w:hint="eastAsia" w:cs="宋体"/>
          <w:color w:val="auto"/>
          <w:highlight w:val="none"/>
        </w:rPr>
      </w:pPr>
      <w:r>
        <w:rPr>
          <w:rFonts w:hint="eastAsia" w:cs="宋体"/>
          <w:color w:val="auto"/>
          <w:highlight w:val="none"/>
        </w:rPr>
        <w:t>6.2已确定成交供应商但尚未签订政府采购合同的，成交结果无效，从合格的成交候选供应商中另行确定成交供应商；没有合格的成交候选供应商的，重新开展政府采购活动。</w:t>
      </w:r>
    </w:p>
    <w:p w14:paraId="655EEAB7">
      <w:pPr>
        <w:pStyle w:val="25"/>
        <w:snapToGrid w:val="0"/>
        <w:spacing w:line="360" w:lineRule="auto"/>
        <w:rPr>
          <w:rFonts w:hint="eastAsia" w:cs="宋体"/>
          <w:color w:val="auto"/>
          <w:highlight w:val="none"/>
        </w:rPr>
      </w:pPr>
      <w:r>
        <w:rPr>
          <w:rFonts w:hint="eastAsia" w:cs="宋体"/>
          <w:color w:val="auto"/>
          <w:highlight w:val="none"/>
        </w:rPr>
        <w:t>6.3政府采购合同已签订但尚未履行的，撤销合同，从合格的成交候选供应商中另行确定成交供应商；没有合格的成交候选供应商的，重新开展政府采购活动。</w:t>
      </w:r>
    </w:p>
    <w:p w14:paraId="055F5151">
      <w:pPr>
        <w:pStyle w:val="25"/>
        <w:snapToGrid w:val="0"/>
        <w:spacing w:line="360" w:lineRule="auto"/>
        <w:rPr>
          <w:rFonts w:hint="eastAsia" w:cs="宋体"/>
          <w:color w:val="auto"/>
          <w:highlight w:val="none"/>
        </w:rPr>
      </w:pPr>
      <w:r>
        <w:rPr>
          <w:rFonts w:hint="eastAsia" w:cs="宋体"/>
          <w:color w:val="auto"/>
          <w:highlight w:val="none"/>
        </w:rPr>
        <w:t>6.4政府采购合同已经履行，给采购人、供应商造成损失的，由责任人承担赔偿责任。</w:t>
      </w:r>
    </w:p>
    <w:p w14:paraId="34BF33F1">
      <w:pPr>
        <w:pStyle w:val="25"/>
        <w:snapToGrid w:val="0"/>
        <w:spacing w:line="360" w:lineRule="auto"/>
        <w:rPr>
          <w:rFonts w:hint="eastAsia" w:cs="宋体"/>
          <w:color w:val="auto"/>
          <w:highlight w:val="none"/>
        </w:rPr>
      </w:pPr>
      <w:r>
        <w:rPr>
          <w:rFonts w:hint="eastAsia" w:cs="宋体"/>
          <w:color w:val="auto"/>
          <w:highlight w:val="none"/>
        </w:rPr>
        <w:t>6.5政府采购当事人有其他违反政府采购法或者政府采购法实施条例等法律法规规定的行为，经改正后仍然影响或者可能影响成交结果或者依法被认定为成交无效的，依照6.1-6.4规定处理。</w:t>
      </w:r>
    </w:p>
    <w:p w14:paraId="26388223">
      <w:pPr>
        <w:pStyle w:val="25"/>
        <w:snapToGrid w:val="0"/>
        <w:spacing w:line="360" w:lineRule="auto"/>
        <w:ind w:firstLine="0" w:firstLineChars="0"/>
        <w:rPr>
          <w:rFonts w:hint="eastAsia" w:cs="宋体"/>
          <w:color w:val="auto"/>
          <w:highlight w:val="none"/>
        </w:rPr>
        <w:sectPr>
          <w:pgSz w:w="11907" w:h="16840"/>
          <w:pgMar w:top="1440" w:right="1080" w:bottom="1440" w:left="1080" w:header="851" w:footer="851" w:gutter="0"/>
          <w:cols w:space="720" w:num="1"/>
        </w:sectPr>
      </w:pPr>
    </w:p>
    <w:bookmarkEnd w:id="15"/>
    <w:p w14:paraId="60E54D88">
      <w:pPr>
        <w:spacing w:line="360" w:lineRule="auto"/>
        <w:jc w:val="center"/>
        <w:outlineLvl w:val="0"/>
        <w:rPr>
          <w:rFonts w:hint="eastAsia" w:ascii="宋体" w:hAnsi="宋体" w:cs="宋体"/>
          <w:b/>
          <w:color w:val="auto"/>
          <w:sz w:val="36"/>
          <w:szCs w:val="36"/>
          <w:highlight w:val="none"/>
        </w:rPr>
      </w:pPr>
      <w:bookmarkStart w:id="398" w:name="第五部分"/>
      <w:bookmarkStart w:id="399" w:name="_Toc86217003"/>
      <w:r>
        <w:rPr>
          <w:rFonts w:hint="eastAsia" w:ascii="宋体" w:hAnsi="宋体" w:cs="宋体"/>
          <w:b/>
          <w:color w:val="auto"/>
          <w:sz w:val="36"/>
          <w:szCs w:val="36"/>
          <w:highlight w:val="none"/>
        </w:rPr>
        <w:t>第五部分 拟签订的合同文本</w:t>
      </w:r>
    </w:p>
    <w:p w14:paraId="57DC4BEC">
      <w:pPr>
        <w:snapToGrid w:val="0"/>
        <w:spacing w:line="360" w:lineRule="auto"/>
        <w:ind w:firstLine="480" w:firstLineChars="200"/>
        <w:jc w:val="left"/>
        <w:rPr>
          <w:rFonts w:hint="eastAsia"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参考住房城乡建设部、原国家工商行政管理总局制定的《建设工程施工合同（示范文本）》（GF-2017-0201）。</w:t>
      </w:r>
    </w:p>
    <w:p w14:paraId="39597DB1">
      <w:pPr>
        <w:keepNext/>
        <w:keepLines/>
        <w:numPr>
          <w:ilvl w:val="1"/>
          <w:numId w:val="0"/>
        </w:numPr>
        <w:snapToGrid w:val="0"/>
        <w:spacing w:before="100" w:line="360" w:lineRule="auto"/>
        <w:jc w:val="center"/>
        <w:outlineLvl w:val="1"/>
        <w:rPr>
          <w:rFonts w:hint="eastAsia" w:ascii="宋体" w:hAnsi="宋体" w:cs="宋体"/>
          <w:snapToGrid w:val="0"/>
          <w:color w:val="auto"/>
          <w:kern w:val="44"/>
          <w:sz w:val="28"/>
          <w:szCs w:val="20"/>
          <w:highlight w:val="none"/>
        </w:rPr>
      </w:pPr>
      <w:r>
        <w:rPr>
          <w:rFonts w:hint="eastAsia" w:ascii="宋体" w:hAnsi="宋体" w:cs="宋体"/>
          <w:snapToGrid w:val="0"/>
          <w:color w:val="auto"/>
          <w:kern w:val="44"/>
          <w:sz w:val="24"/>
          <w:szCs w:val="20"/>
          <w:highlight w:val="none"/>
        </w:rPr>
        <w:br w:type="page"/>
      </w:r>
      <w:bookmarkStart w:id="400" w:name="_Toc32130"/>
      <w:bookmarkStart w:id="401" w:name="_Toc97299497"/>
      <w:r>
        <w:rPr>
          <w:rFonts w:hint="eastAsia" w:ascii="宋体" w:hAnsi="宋体" w:cs="宋体"/>
          <w:snapToGrid w:val="0"/>
          <w:color w:val="auto"/>
          <w:kern w:val="44"/>
          <w:sz w:val="28"/>
          <w:szCs w:val="20"/>
          <w:highlight w:val="none"/>
        </w:rPr>
        <w:t>第一部分  合同协议书</w:t>
      </w:r>
      <w:bookmarkEnd w:id="400"/>
      <w:bookmarkEnd w:id="401"/>
    </w:p>
    <w:p w14:paraId="3937CACA">
      <w:pPr>
        <w:snapToGrid w:val="0"/>
        <w:spacing w:line="360" w:lineRule="auto"/>
        <w:ind w:firstLine="470" w:firstLineChars="196"/>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发包人（全称）：</w:t>
      </w:r>
      <w:r>
        <w:rPr>
          <w:rFonts w:hint="eastAsia" w:ascii="宋体" w:hAnsi="宋体" w:cs="宋体"/>
          <w:snapToGrid w:val="0"/>
          <w:color w:val="auto"/>
          <w:kern w:val="0"/>
          <w:sz w:val="24"/>
          <w:highlight w:val="none"/>
          <w:u w:val="single"/>
        </w:rPr>
        <w:t xml:space="preserve">   </w:t>
      </w:r>
      <w:bookmarkStart w:id="402" w:name="SOA_hhxys_fbr"/>
      <w:r>
        <w:rPr>
          <w:rFonts w:hint="eastAsia" w:ascii="宋体" w:hAnsi="宋体" w:cs="宋体"/>
          <w:snapToGrid w:val="0"/>
          <w:color w:val="auto"/>
          <w:kern w:val="0"/>
          <w:sz w:val="24"/>
          <w:highlight w:val="none"/>
          <w:u w:val="single"/>
          <w:lang w:eastAsia="zh-CN"/>
        </w:rPr>
        <w:t>浙江省杭州第十一中学</w:t>
      </w:r>
      <w:r>
        <w:rPr>
          <w:rFonts w:hint="eastAsia" w:ascii="宋体" w:hAnsi="宋体" w:cs="宋体"/>
          <w:snapToGrid w:val="0"/>
          <w:color w:val="auto"/>
          <w:kern w:val="0"/>
          <w:sz w:val="24"/>
          <w:highlight w:val="none"/>
          <w:u w:val="single"/>
        </w:rPr>
        <w:t xml:space="preserve">    </w:t>
      </w:r>
      <w:bookmarkEnd w:id="402"/>
      <w:r>
        <w:rPr>
          <w:rFonts w:hint="eastAsia" w:ascii="宋体" w:hAnsi="宋体" w:cs="宋体"/>
          <w:snapToGrid w:val="0"/>
          <w:color w:val="auto"/>
          <w:kern w:val="0"/>
          <w:sz w:val="24"/>
          <w:highlight w:val="none"/>
          <w:u w:val="single"/>
        </w:rPr>
        <w:t xml:space="preserve"> </w:t>
      </w:r>
    </w:p>
    <w:p w14:paraId="2C6B78E8">
      <w:pPr>
        <w:snapToGrid w:val="0"/>
        <w:spacing w:line="360" w:lineRule="auto"/>
        <w:ind w:firstLine="470" w:firstLineChars="196"/>
        <w:rPr>
          <w:rFonts w:hint="eastAsia" w:ascii="宋体" w:hAnsi="宋体" w:cs="宋体"/>
          <w:b/>
          <w:snapToGrid w:val="0"/>
          <w:color w:val="auto"/>
          <w:kern w:val="0"/>
          <w:sz w:val="24"/>
          <w:highlight w:val="none"/>
          <w:u w:val="single"/>
        </w:rPr>
      </w:pPr>
      <w:r>
        <w:rPr>
          <w:rFonts w:hint="eastAsia" w:ascii="宋体" w:hAnsi="宋体" w:cs="宋体"/>
          <w:snapToGrid w:val="0"/>
          <w:color w:val="auto"/>
          <w:kern w:val="0"/>
          <w:sz w:val="24"/>
          <w:highlight w:val="none"/>
        </w:rPr>
        <w:t>承包人（全称）：</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w:t>
      </w:r>
      <w:bookmarkStart w:id="403" w:name="SOA_hhxys_cbr"/>
      <w:r>
        <w:rPr>
          <w:rFonts w:hint="eastAsia" w:ascii="宋体" w:hAnsi="宋体" w:cs="宋体"/>
          <w:snapToGrid w:val="0"/>
          <w:color w:val="auto"/>
          <w:kern w:val="0"/>
          <w:sz w:val="24"/>
          <w:highlight w:val="none"/>
          <w:u w:val="single"/>
        </w:rPr>
        <w:t xml:space="preserve">  </w:t>
      </w:r>
      <w:bookmarkEnd w:id="403"/>
    </w:p>
    <w:p w14:paraId="320A27BC">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根据《中华人民共和国民法典》、 《中华人民共和国建筑法》及有关法律规定，遵循平等、自愿、公平和诚实信用的原则，双方就</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eastAsia="zh-CN"/>
        </w:rPr>
        <w:t>学生宿舍改造二期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工程施工及有关事项协商一致，共同达成如下协议：</w:t>
      </w:r>
    </w:p>
    <w:p w14:paraId="4AA32DC4">
      <w:pPr>
        <w:snapToGrid w:val="0"/>
        <w:spacing w:before="24" w:beforeLines="10" w:after="24" w:afterLines="10" w:line="360" w:lineRule="auto"/>
        <w:rPr>
          <w:rFonts w:hint="eastAsia" w:ascii="宋体" w:hAnsi="宋体" w:cs="宋体"/>
          <w:b/>
          <w:bCs/>
          <w:snapToGrid w:val="0"/>
          <w:color w:val="auto"/>
          <w:kern w:val="0"/>
          <w:sz w:val="24"/>
          <w:highlight w:val="none"/>
        </w:rPr>
      </w:pPr>
      <w:bookmarkStart w:id="404" w:name="_Toc97299498"/>
      <w:bookmarkStart w:id="405" w:name="_Toc361220410"/>
      <w:r>
        <w:rPr>
          <w:rFonts w:hint="eastAsia" w:ascii="宋体" w:hAnsi="宋体" w:cs="宋体"/>
          <w:b/>
          <w:bCs/>
          <w:snapToGrid w:val="0"/>
          <w:color w:val="auto"/>
          <w:kern w:val="0"/>
          <w:sz w:val="24"/>
          <w:highlight w:val="none"/>
        </w:rPr>
        <w:t>一、工程概况</w:t>
      </w:r>
      <w:bookmarkEnd w:id="404"/>
      <w:bookmarkEnd w:id="405"/>
    </w:p>
    <w:p w14:paraId="711F8334">
      <w:pPr>
        <w:snapToGrid w:val="0"/>
        <w:spacing w:line="360" w:lineRule="auto"/>
        <w:ind w:firstLine="470" w:firstLineChars="196"/>
        <w:rPr>
          <w:rFonts w:hint="eastAsia" w:ascii="宋体" w:hAnsi="宋体" w:cs="宋体"/>
          <w:snapToGrid w:val="0"/>
          <w:color w:val="auto"/>
          <w:kern w:val="0"/>
          <w:sz w:val="24"/>
          <w:highlight w:val="none"/>
          <w:u w:val="single"/>
        </w:rPr>
      </w:pPr>
      <w:r>
        <w:rPr>
          <w:rFonts w:hint="eastAsia" w:ascii="宋体" w:hAnsi="宋体" w:cs="宋体"/>
          <w:bCs/>
          <w:snapToGrid w:val="0"/>
          <w:color w:val="auto"/>
          <w:kern w:val="0"/>
          <w:sz w:val="24"/>
          <w:highlight w:val="none"/>
        </w:rPr>
        <w:t>1.工程名称</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eastAsia="zh-CN"/>
        </w:rPr>
        <w:t>学生宿舍改造二期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60F95B46">
      <w:pPr>
        <w:snapToGrid w:val="0"/>
        <w:spacing w:line="360" w:lineRule="auto"/>
        <w:ind w:firstLine="470" w:firstLineChars="196"/>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2.工程地点：</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eastAsia="zh-CN"/>
        </w:rPr>
        <w:t>杭州市拱墅区八丈井东路150号</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592F7028">
      <w:pPr>
        <w:snapToGrid w:val="0"/>
        <w:spacing w:line="360" w:lineRule="auto"/>
        <w:ind w:firstLine="470" w:firstLineChars="196"/>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3.工程立项批准文号：</w:t>
      </w:r>
      <w:r>
        <w:rPr>
          <w:rFonts w:hint="eastAsia" w:ascii="宋体" w:hAnsi="宋体" w:cs="宋体"/>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14:paraId="0BEEA5AC">
      <w:pPr>
        <w:snapToGrid w:val="0"/>
        <w:spacing w:line="360" w:lineRule="auto"/>
        <w:ind w:firstLine="470" w:firstLineChars="196"/>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4.资金来源：</w:t>
      </w:r>
      <w:r>
        <w:rPr>
          <w:rFonts w:hint="eastAsia" w:ascii="宋体" w:hAnsi="宋体" w:cs="宋体"/>
          <w:snapToGrid w:val="0"/>
          <w:color w:val="auto"/>
          <w:kern w:val="0"/>
          <w:sz w:val="24"/>
          <w:highlight w:val="none"/>
          <w:u w:val="single"/>
        </w:rPr>
        <w:t>        </w:t>
      </w:r>
      <w:r>
        <w:rPr>
          <w:rFonts w:hint="eastAsia" w:ascii="宋体" w:hAnsi="宋体" w:cs="宋体"/>
          <w:bCs/>
          <w:snapToGrid w:val="0"/>
          <w:color w:val="auto"/>
          <w:kern w:val="0"/>
          <w:sz w:val="24"/>
          <w:highlight w:val="none"/>
        </w:rPr>
        <w:t>。</w:t>
      </w:r>
    </w:p>
    <w:p w14:paraId="5D56639E">
      <w:pPr>
        <w:snapToGrid w:val="0"/>
        <w:spacing w:line="360" w:lineRule="auto"/>
        <w:ind w:firstLine="463" w:firstLineChars="193"/>
        <w:rPr>
          <w:rFonts w:hint="eastAsia" w:ascii="宋体" w:hAnsi="宋体" w:cs="宋体"/>
          <w:snapToGrid w:val="0"/>
          <w:color w:val="auto"/>
          <w:kern w:val="0"/>
          <w:sz w:val="24"/>
          <w:highlight w:val="none"/>
        </w:rPr>
      </w:pPr>
      <w:r>
        <w:rPr>
          <w:rFonts w:hint="eastAsia" w:ascii="宋体" w:hAnsi="宋体" w:cs="宋体"/>
          <w:bCs/>
          <w:snapToGrid w:val="0"/>
          <w:color w:val="auto"/>
          <w:kern w:val="0"/>
          <w:sz w:val="24"/>
          <w:highlight w:val="none"/>
        </w:rPr>
        <w:t>5.工程内容：</w:t>
      </w:r>
      <w:r>
        <w:rPr>
          <w:rFonts w:hint="eastAsia" w:ascii="宋体" w:hAnsi="宋体" w:cs="宋体"/>
          <w:bCs/>
          <w:snapToGrid w:val="0"/>
          <w:color w:val="auto"/>
          <w:kern w:val="0"/>
          <w:sz w:val="24"/>
          <w:highlight w:val="none"/>
          <w:u w:val="single"/>
          <w:lang w:eastAsia="zh-CN"/>
        </w:rPr>
        <w:t>学生宿舍改造二期</w:t>
      </w:r>
      <w:r>
        <w:rPr>
          <w:rFonts w:hint="eastAsia" w:ascii="宋体" w:hAnsi="宋体" w:cs="宋体"/>
          <w:bCs/>
          <w:snapToGrid w:val="0"/>
          <w:color w:val="auto"/>
          <w:kern w:val="0"/>
          <w:sz w:val="24"/>
          <w:highlight w:val="none"/>
        </w:rPr>
        <w:t xml:space="preserve">                           </w:t>
      </w:r>
      <w:r>
        <w:rPr>
          <w:rFonts w:hint="eastAsia" w:ascii="宋体" w:hAnsi="宋体" w:cs="宋体"/>
          <w:snapToGrid w:val="0"/>
          <w:color w:val="auto"/>
          <w:kern w:val="0"/>
          <w:sz w:val="24"/>
          <w:highlight w:val="none"/>
        </w:rPr>
        <w:t xml:space="preserve"> </w:t>
      </w:r>
    </w:p>
    <w:p w14:paraId="56387DB6">
      <w:pPr>
        <w:snapToGrid w:val="0"/>
        <w:spacing w:line="360" w:lineRule="auto"/>
        <w:ind w:firstLine="470" w:firstLineChars="196"/>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6.工程承包范围：</w:t>
      </w:r>
    </w:p>
    <w:p w14:paraId="503B9CBD">
      <w:pPr>
        <w:snapToGrid w:val="0"/>
        <w:spacing w:line="360" w:lineRule="auto"/>
        <w:ind w:firstLine="463" w:firstLineChars="193"/>
        <w:rPr>
          <w:rFonts w:hint="eastAsia" w:ascii="宋体" w:hAnsi="宋体" w:eastAsia="宋体" w:cs="宋体"/>
          <w:bCs/>
          <w:snapToGrid w:val="0"/>
          <w:color w:val="auto"/>
          <w:kern w:val="0"/>
          <w:sz w:val="24"/>
          <w:highlight w:val="none"/>
          <w:lang w:eastAsia="zh-CN"/>
        </w:rPr>
      </w:pPr>
      <w:bookmarkStart w:id="406" w:name="_Toc361220411"/>
      <w:r>
        <w:rPr>
          <w:rFonts w:hint="eastAsia" w:ascii="宋体" w:hAnsi="宋体" w:cs="宋体"/>
          <w:bCs/>
          <w:snapToGrid w:val="0"/>
          <w:color w:val="auto"/>
          <w:kern w:val="0"/>
          <w:sz w:val="24"/>
          <w:highlight w:val="none"/>
          <w:u w:val="single"/>
          <w:lang w:eastAsia="zh-CN"/>
        </w:rPr>
        <w:t>本项目具体范围包括但不限于以下内容：</w:t>
      </w:r>
      <w:r>
        <w:rPr>
          <w:rFonts w:hint="eastAsia" w:ascii="宋体" w:hAnsi="宋体" w:cs="宋体"/>
          <w:bCs/>
          <w:snapToGrid w:val="0"/>
          <w:color w:val="auto"/>
          <w:kern w:val="0"/>
          <w:sz w:val="24"/>
          <w:highlight w:val="none"/>
          <w:u w:val="single"/>
          <w:lang w:eastAsia="zh-CN"/>
        </w:rPr>
        <w:t>原部分墙体拆除、门拆除、原门洞封堵等，新增墙体、门窗，房间装饰装修及其他改造，配套给排水、电气改造等；具体详见竞争性磋商文件、工程量清单及编制说明和图纸全部内容。</w:t>
      </w:r>
      <w:r>
        <w:rPr>
          <w:rFonts w:hint="eastAsia" w:ascii="宋体" w:hAnsi="宋体" w:cs="宋体"/>
          <w:bCs/>
          <w:snapToGrid w:val="0"/>
          <w:color w:val="auto"/>
          <w:kern w:val="0"/>
          <w:sz w:val="24"/>
          <w:highlight w:val="none"/>
          <w:lang w:eastAsia="zh-CN"/>
        </w:rPr>
        <w:t xml:space="preserve"> </w:t>
      </w:r>
    </w:p>
    <w:p w14:paraId="19F8CE89">
      <w:pPr>
        <w:snapToGrid w:val="0"/>
        <w:spacing w:line="360" w:lineRule="auto"/>
        <w:rPr>
          <w:rFonts w:hint="eastAsia" w:ascii="宋体" w:hAnsi="宋体" w:cs="宋体"/>
          <w:b/>
          <w:bCs/>
          <w:snapToGrid w:val="0"/>
          <w:color w:val="auto"/>
          <w:kern w:val="0"/>
          <w:sz w:val="24"/>
          <w:highlight w:val="none"/>
        </w:rPr>
      </w:pPr>
      <w:bookmarkStart w:id="407" w:name="_Toc97299499"/>
      <w:r>
        <w:rPr>
          <w:rFonts w:hint="eastAsia" w:ascii="宋体" w:hAnsi="宋体" w:cs="宋体"/>
          <w:b/>
          <w:bCs/>
          <w:snapToGrid w:val="0"/>
          <w:color w:val="auto"/>
          <w:kern w:val="0"/>
          <w:sz w:val="24"/>
          <w:highlight w:val="none"/>
        </w:rPr>
        <w:t>二、合同工期</w:t>
      </w:r>
      <w:bookmarkEnd w:id="406"/>
      <w:bookmarkEnd w:id="407"/>
    </w:p>
    <w:p w14:paraId="7918295E">
      <w:pPr>
        <w:snapToGrid w:val="0"/>
        <w:spacing w:line="360" w:lineRule="auto"/>
        <w:ind w:firstLine="45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计划开工日期：</w:t>
      </w:r>
      <w:r>
        <w:rPr>
          <w:rFonts w:hint="eastAsia" w:ascii="宋体" w:hAnsi="宋体" w:cs="宋体"/>
          <w:snapToGrid w:val="0"/>
          <w:color w:val="auto"/>
          <w:kern w:val="0"/>
          <w:sz w:val="24"/>
          <w:highlight w:val="none"/>
          <w:u w:val="single"/>
          <w:lang w:eastAsia="zh-CN"/>
        </w:rPr>
        <w:t>2026年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2EF805EB">
      <w:pPr>
        <w:snapToGrid w:val="0"/>
        <w:spacing w:line="360" w:lineRule="auto"/>
        <w:ind w:firstLine="459"/>
        <w:rPr>
          <w:rFonts w:hint="eastAsia" w:ascii="宋体" w:hAnsi="宋体" w:cs="宋体"/>
          <w:snapToGrid w:val="0"/>
          <w:color w:val="auto"/>
          <w:kern w:val="0"/>
          <w:sz w:val="24"/>
          <w:highlight w:val="none"/>
        </w:rPr>
      </w:pPr>
      <w:bookmarkStart w:id="408" w:name="SOA_hhxys_jgn"/>
      <w:r>
        <w:rPr>
          <w:rFonts w:hint="eastAsia" w:ascii="宋体" w:hAnsi="宋体" w:cs="宋体"/>
          <w:snapToGrid w:val="0"/>
          <w:color w:val="auto"/>
          <w:kern w:val="0"/>
          <w:sz w:val="24"/>
          <w:highlight w:val="none"/>
        </w:rPr>
        <w:t>计划竣工日期：</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bookmarkEnd w:id="408"/>
    </w:p>
    <w:p w14:paraId="7C07CB21">
      <w:pPr>
        <w:snapToGrid w:val="0"/>
        <w:spacing w:line="360" w:lineRule="auto"/>
        <w:ind w:firstLine="45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工期总日历天数：</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35</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天</w:t>
      </w:r>
      <w:r>
        <w:rPr>
          <w:rFonts w:hint="eastAsia" w:ascii="宋体" w:hAnsi="宋体" w:cs="宋体"/>
          <w:snapToGrid w:val="0"/>
          <w:color w:val="auto"/>
          <w:kern w:val="0"/>
          <w:sz w:val="24"/>
          <w:highlight w:val="none"/>
        </w:rPr>
        <w:t>。工期总日历天数与根据前述计划开竣工日期计算的工期天数不一致的，以工期总日历天数为准。</w:t>
      </w:r>
    </w:p>
    <w:p w14:paraId="5208AB1F">
      <w:pPr>
        <w:snapToGrid w:val="0"/>
        <w:spacing w:line="360" w:lineRule="auto"/>
        <w:rPr>
          <w:rFonts w:hint="eastAsia" w:ascii="宋体" w:hAnsi="宋体" w:cs="宋体"/>
          <w:b/>
          <w:bCs/>
          <w:snapToGrid w:val="0"/>
          <w:color w:val="auto"/>
          <w:kern w:val="0"/>
          <w:sz w:val="24"/>
          <w:highlight w:val="none"/>
        </w:rPr>
      </w:pPr>
      <w:bookmarkStart w:id="409" w:name="_Toc97299500"/>
      <w:bookmarkStart w:id="410" w:name="_Toc361220412"/>
      <w:r>
        <w:rPr>
          <w:rFonts w:hint="eastAsia" w:ascii="宋体" w:hAnsi="宋体" w:cs="宋体"/>
          <w:b/>
          <w:bCs/>
          <w:snapToGrid w:val="0"/>
          <w:color w:val="auto"/>
          <w:kern w:val="0"/>
          <w:sz w:val="24"/>
          <w:highlight w:val="none"/>
        </w:rPr>
        <w:t>三、质量标准</w:t>
      </w:r>
      <w:bookmarkEnd w:id="409"/>
      <w:bookmarkEnd w:id="410"/>
    </w:p>
    <w:p w14:paraId="3199A119">
      <w:pPr>
        <w:snapToGrid w:val="0"/>
        <w:spacing w:line="360" w:lineRule="auto"/>
        <w:ind w:firstLine="45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工程质量符合</w:t>
      </w:r>
      <w:r>
        <w:rPr>
          <w:rFonts w:hint="eastAsia" w:ascii="宋体" w:hAnsi="宋体" w:cs="宋体"/>
          <w:snapToGrid w:val="0"/>
          <w:color w:val="auto"/>
          <w:kern w:val="0"/>
          <w:sz w:val="24"/>
          <w:highlight w:val="none"/>
          <w:u w:val="single"/>
        </w:rPr>
        <w:t>国家施工验收规范合格</w:t>
      </w:r>
      <w:r>
        <w:rPr>
          <w:rFonts w:hint="eastAsia" w:ascii="宋体" w:hAnsi="宋体" w:cs="宋体"/>
          <w:snapToGrid w:val="0"/>
          <w:color w:val="auto"/>
          <w:kern w:val="0"/>
          <w:sz w:val="24"/>
          <w:highlight w:val="none"/>
        </w:rPr>
        <w:t>标准。</w:t>
      </w:r>
    </w:p>
    <w:p w14:paraId="6DC617F1">
      <w:pPr>
        <w:snapToGrid w:val="0"/>
        <w:spacing w:line="360" w:lineRule="auto"/>
        <w:rPr>
          <w:rFonts w:hint="eastAsia" w:ascii="宋体" w:hAnsi="宋体" w:cs="宋体"/>
          <w:b/>
          <w:bCs/>
          <w:snapToGrid w:val="0"/>
          <w:color w:val="auto"/>
          <w:kern w:val="0"/>
          <w:sz w:val="24"/>
          <w:highlight w:val="none"/>
        </w:rPr>
      </w:pPr>
      <w:bookmarkStart w:id="411" w:name="_Toc361220413"/>
      <w:bookmarkStart w:id="412" w:name="_Toc97299501"/>
      <w:r>
        <w:rPr>
          <w:rFonts w:hint="eastAsia" w:ascii="宋体" w:hAnsi="宋体" w:cs="宋体"/>
          <w:b/>
          <w:bCs/>
          <w:snapToGrid w:val="0"/>
          <w:color w:val="auto"/>
          <w:kern w:val="0"/>
          <w:sz w:val="24"/>
          <w:highlight w:val="none"/>
        </w:rPr>
        <w:t>四、签约合同价与合同价格形式</w:t>
      </w:r>
      <w:bookmarkEnd w:id="411"/>
      <w:bookmarkEnd w:id="412"/>
    </w:p>
    <w:p w14:paraId="63916CEA">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1.签约合同价为：</w:t>
      </w:r>
    </w:p>
    <w:p w14:paraId="5D0C2A4B">
      <w:pPr>
        <w:snapToGrid w:val="0"/>
        <w:spacing w:line="360" w:lineRule="auto"/>
        <w:ind w:firstLine="600" w:firstLineChars="25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人民币（大写）</w:t>
      </w:r>
      <w:bookmarkStart w:id="413" w:name="SOA_hhxys_htjdx"/>
      <w:r>
        <w:rPr>
          <w:rFonts w:hint="eastAsia" w:ascii="宋体" w:hAnsi="宋体" w:cs="宋体"/>
          <w:snapToGrid w:val="0"/>
          <w:color w:val="auto"/>
          <w:kern w:val="0"/>
          <w:sz w:val="24"/>
          <w:highlight w:val="none"/>
          <w:u w:val="single"/>
        </w:rPr>
        <w:t xml:space="preserve">                   </w:t>
      </w:r>
      <w:bookmarkEnd w:id="413"/>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bookmarkStart w:id="414" w:name="SOA_hhxys_htjxx"/>
      <w:r>
        <w:rPr>
          <w:rFonts w:hint="eastAsia" w:ascii="宋体" w:hAnsi="宋体" w:cs="宋体"/>
          <w:snapToGrid w:val="0"/>
          <w:color w:val="auto"/>
          <w:kern w:val="0"/>
          <w:sz w:val="24"/>
          <w:highlight w:val="none"/>
          <w:u w:val="single"/>
        </w:rPr>
        <w:t xml:space="preserve">            </w:t>
      </w:r>
      <w:bookmarkEnd w:id="414"/>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36BF5E8E">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其中：</w:t>
      </w:r>
    </w:p>
    <w:p w14:paraId="669B4939">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（1）安全文明施工费：</w:t>
      </w:r>
    </w:p>
    <w:p w14:paraId="6E54EF2A">
      <w:p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15" w:name="SOA_hhxys_wmsgfdx"/>
      <w:r>
        <w:rPr>
          <w:rFonts w:hint="eastAsia" w:ascii="宋体" w:hAnsi="宋体" w:cs="宋体"/>
          <w:snapToGrid w:val="0"/>
          <w:color w:val="auto"/>
          <w:kern w:val="0"/>
          <w:sz w:val="24"/>
          <w:highlight w:val="none"/>
          <w:u w:val="single"/>
        </w:rPr>
        <w:t xml:space="preserve">                </w:t>
      </w:r>
      <w:bookmarkEnd w:id="415"/>
      <w:r>
        <w:rPr>
          <w:rFonts w:hint="eastAsia" w:ascii="宋体" w:hAnsi="宋体" w:cs="宋体"/>
          <w:snapToGrid w:val="0"/>
          <w:color w:val="auto"/>
          <w:kern w:val="0"/>
          <w:sz w:val="24"/>
          <w:highlight w:val="none"/>
        </w:rPr>
        <w:t>(¥</w:t>
      </w:r>
      <w:bookmarkStart w:id="416" w:name="SOA_hhxys_wmsgfxx"/>
      <w:r>
        <w:rPr>
          <w:rFonts w:hint="eastAsia" w:ascii="宋体" w:hAnsi="宋体" w:cs="宋体"/>
          <w:snapToGrid w:val="0"/>
          <w:color w:val="auto"/>
          <w:kern w:val="0"/>
          <w:sz w:val="24"/>
          <w:highlight w:val="none"/>
          <w:u w:val="single"/>
        </w:rPr>
        <w:t xml:space="preserve">                  </w:t>
      </w:r>
      <w:bookmarkEnd w:id="416"/>
      <w:r>
        <w:rPr>
          <w:rFonts w:hint="eastAsia" w:ascii="宋体" w:hAnsi="宋体" w:cs="宋体"/>
          <w:snapToGrid w:val="0"/>
          <w:color w:val="auto"/>
          <w:kern w:val="0"/>
          <w:sz w:val="24"/>
          <w:highlight w:val="none"/>
        </w:rPr>
        <w:t>元)；</w:t>
      </w:r>
    </w:p>
    <w:p w14:paraId="4B6807D5">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（2）材料和工程设备暂估价金额：</w:t>
      </w:r>
    </w:p>
    <w:p w14:paraId="71014DAB">
      <w:p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17" w:name="SOA_hhxys_sbzgjdx"/>
      <w:r>
        <w:rPr>
          <w:rFonts w:hint="eastAsia" w:ascii="宋体" w:hAnsi="宋体" w:cs="宋体"/>
          <w:snapToGrid w:val="0"/>
          <w:color w:val="auto"/>
          <w:kern w:val="0"/>
          <w:sz w:val="24"/>
          <w:highlight w:val="none"/>
          <w:u w:val="single"/>
        </w:rPr>
        <w:t xml:space="preserve">       </w:t>
      </w:r>
      <w:bookmarkEnd w:id="417"/>
      <w:r>
        <w:rPr>
          <w:rFonts w:hint="eastAsia" w:ascii="宋体" w:hAnsi="宋体" w:cs="宋体"/>
          <w:snapToGrid w:val="0"/>
          <w:color w:val="auto"/>
          <w:kern w:val="0"/>
          <w:sz w:val="24"/>
          <w:highlight w:val="none"/>
        </w:rPr>
        <w:t>(¥</w:t>
      </w:r>
      <w:bookmarkStart w:id="418" w:name="SOA_hhxys_sbzgjxx"/>
      <w:r>
        <w:rPr>
          <w:rFonts w:hint="eastAsia" w:ascii="宋体" w:hAnsi="宋体" w:cs="宋体"/>
          <w:snapToGrid w:val="0"/>
          <w:color w:val="auto"/>
          <w:kern w:val="0"/>
          <w:sz w:val="24"/>
          <w:highlight w:val="none"/>
          <w:u w:val="single"/>
        </w:rPr>
        <w:t xml:space="preserve">      </w:t>
      </w:r>
      <w:bookmarkEnd w:id="418"/>
      <w:r>
        <w:rPr>
          <w:rFonts w:hint="eastAsia" w:ascii="宋体" w:hAnsi="宋体" w:cs="宋体"/>
          <w:snapToGrid w:val="0"/>
          <w:color w:val="auto"/>
          <w:kern w:val="0"/>
          <w:sz w:val="24"/>
          <w:highlight w:val="none"/>
        </w:rPr>
        <w:t>元)；</w:t>
      </w:r>
    </w:p>
    <w:p w14:paraId="5A0D8A69">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（3）专业工程暂估价金额：</w:t>
      </w:r>
    </w:p>
    <w:p w14:paraId="5483D08F">
      <w:p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19" w:name="SOA_hhxys_gczgjdx"/>
      <w:r>
        <w:rPr>
          <w:rFonts w:hint="eastAsia" w:ascii="宋体" w:hAnsi="宋体" w:cs="宋体"/>
          <w:snapToGrid w:val="0"/>
          <w:color w:val="auto"/>
          <w:kern w:val="0"/>
          <w:sz w:val="24"/>
          <w:highlight w:val="none"/>
          <w:u w:val="single"/>
        </w:rPr>
        <w:t xml:space="preserve">       </w:t>
      </w:r>
      <w:bookmarkEnd w:id="419"/>
      <w:r>
        <w:rPr>
          <w:rFonts w:hint="eastAsia" w:ascii="宋体" w:hAnsi="宋体" w:cs="宋体"/>
          <w:snapToGrid w:val="0"/>
          <w:color w:val="auto"/>
          <w:kern w:val="0"/>
          <w:sz w:val="24"/>
          <w:highlight w:val="none"/>
        </w:rPr>
        <w:t>(¥</w:t>
      </w:r>
      <w:bookmarkStart w:id="420" w:name="SOA_hhxys_gczgjxx"/>
      <w:r>
        <w:rPr>
          <w:rFonts w:hint="eastAsia" w:ascii="宋体" w:hAnsi="宋体" w:cs="宋体"/>
          <w:snapToGrid w:val="0"/>
          <w:color w:val="auto"/>
          <w:kern w:val="0"/>
          <w:sz w:val="24"/>
          <w:highlight w:val="none"/>
          <w:u w:val="single"/>
        </w:rPr>
        <w:t xml:space="preserve">       </w:t>
      </w:r>
      <w:bookmarkEnd w:id="420"/>
      <w:r>
        <w:rPr>
          <w:rFonts w:hint="eastAsia" w:ascii="宋体" w:hAnsi="宋体" w:cs="宋体"/>
          <w:snapToGrid w:val="0"/>
          <w:color w:val="auto"/>
          <w:kern w:val="0"/>
          <w:sz w:val="24"/>
          <w:highlight w:val="none"/>
        </w:rPr>
        <w:t>元)；</w:t>
      </w:r>
    </w:p>
    <w:p w14:paraId="5FE4E5CC">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（4）暂列金额：</w:t>
      </w:r>
    </w:p>
    <w:p w14:paraId="6B50B9DE">
      <w:p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21" w:name="SOA_hhxys_zljedx"/>
      <w:r>
        <w:rPr>
          <w:rFonts w:hint="eastAsia" w:ascii="宋体" w:hAnsi="宋体" w:cs="宋体"/>
          <w:snapToGrid w:val="0"/>
          <w:color w:val="auto"/>
          <w:kern w:val="0"/>
          <w:sz w:val="24"/>
          <w:highlight w:val="none"/>
          <w:u w:val="single"/>
        </w:rPr>
        <w:t xml:space="preserve">       </w:t>
      </w:r>
      <w:bookmarkEnd w:id="421"/>
      <w:r>
        <w:rPr>
          <w:rFonts w:hint="eastAsia" w:ascii="宋体" w:hAnsi="宋体" w:cs="宋体"/>
          <w:snapToGrid w:val="0"/>
          <w:color w:val="auto"/>
          <w:kern w:val="0"/>
          <w:sz w:val="24"/>
          <w:highlight w:val="none"/>
        </w:rPr>
        <w:t>(¥</w:t>
      </w:r>
      <w:bookmarkStart w:id="422" w:name="SOA_hhxys_zljexx"/>
      <w:r>
        <w:rPr>
          <w:rFonts w:hint="eastAsia" w:ascii="宋体" w:hAnsi="宋体" w:cs="宋体"/>
          <w:snapToGrid w:val="0"/>
          <w:color w:val="auto"/>
          <w:kern w:val="0"/>
          <w:sz w:val="24"/>
          <w:highlight w:val="none"/>
          <w:u w:val="single"/>
        </w:rPr>
        <w:t xml:space="preserve">        </w:t>
      </w:r>
      <w:bookmarkEnd w:id="422"/>
      <w:r>
        <w:rPr>
          <w:rFonts w:hint="eastAsia" w:ascii="宋体" w:hAnsi="宋体" w:cs="宋体"/>
          <w:snapToGrid w:val="0"/>
          <w:color w:val="auto"/>
          <w:kern w:val="0"/>
          <w:sz w:val="24"/>
          <w:highlight w:val="none"/>
        </w:rPr>
        <w:t>元)。</w:t>
      </w:r>
    </w:p>
    <w:p w14:paraId="12F77608">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2.合同价格形式：</w:t>
      </w:r>
      <w:r>
        <w:rPr>
          <w:rFonts w:hint="eastAsia" w:ascii="宋体" w:hAnsi="宋体" w:cs="宋体"/>
          <w:snapToGrid w:val="0"/>
          <w:color w:val="auto"/>
          <w:kern w:val="0"/>
          <w:sz w:val="24"/>
          <w:highlight w:val="none"/>
          <w:u w:val="single"/>
        </w:rPr>
        <w:t></w:t>
      </w:r>
      <w:bookmarkStart w:id="423" w:name="SOA_hhxys_htjgxs"/>
      <w:r>
        <w:rPr>
          <w:rFonts w:hint="eastAsia" w:ascii="宋体" w:hAnsi="宋体" w:cs="宋体"/>
          <w:snapToGrid w:val="0"/>
          <w:color w:val="auto"/>
          <w:kern w:val="0"/>
          <w:sz w:val="24"/>
          <w:highlight w:val="none"/>
          <w:u w:val="single"/>
        </w:rPr>
        <w:t xml:space="preserve"> 固定单价合同</w:t>
      </w:r>
      <w:bookmarkEnd w:id="423"/>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3A77D877">
      <w:pPr>
        <w:snapToGrid w:val="0"/>
        <w:spacing w:line="360" w:lineRule="auto"/>
        <w:rPr>
          <w:rFonts w:hint="eastAsia" w:ascii="宋体" w:hAnsi="宋体" w:cs="宋体"/>
          <w:b/>
          <w:bCs/>
          <w:snapToGrid w:val="0"/>
          <w:color w:val="auto"/>
          <w:kern w:val="0"/>
          <w:sz w:val="24"/>
          <w:highlight w:val="none"/>
        </w:rPr>
      </w:pPr>
      <w:bookmarkStart w:id="424" w:name="_Toc97299502"/>
      <w:bookmarkStart w:id="425" w:name="_Toc361220414"/>
      <w:r>
        <w:rPr>
          <w:rFonts w:hint="eastAsia" w:ascii="宋体" w:hAnsi="宋体" w:cs="宋体"/>
          <w:b/>
          <w:bCs/>
          <w:snapToGrid w:val="0"/>
          <w:color w:val="auto"/>
          <w:kern w:val="0"/>
          <w:sz w:val="24"/>
          <w:highlight w:val="none"/>
        </w:rPr>
        <w:t>五、项目经理</w:t>
      </w:r>
      <w:bookmarkEnd w:id="424"/>
      <w:bookmarkEnd w:id="425"/>
    </w:p>
    <w:p w14:paraId="22B8129E">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承包人项目经理：</w:t>
      </w:r>
      <w:r>
        <w:rPr>
          <w:rFonts w:hint="eastAsia" w:ascii="宋体" w:hAnsi="宋体" w:cs="宋体"/>
          <w:snapToGrid w:val="0"/>
          <w:color w:val="auto"/>
          <w:kern w:val="0"/>
          <w:sz w:val="24"/>
          <w:highlight w:val="none"/>
          <w:u w:val="single"/>
        </w:rPr>
        <w:t></w:t>
      </w:r>
      <w:bookmarkStart w:id="426" w:name="SOA_hhxys_cbrxmjl"/>
      <w:r>
        <w:rPr>
          <w:rFonts w:hint="eastAsia" w:ascii="宋体" w:hAnsi="宋体" w:cs="宋体"/>
          <w:snapToGrid w:val="0"/>
          <w:color w:val="auto"/>
          <w:kern w:val="0"/>
          <w:sz w:val="24"/>
          <w:highlight w:val="none"/>
          <w:u w:val="single"/>
        </w:rPr>
        <w:t xml:space="preserve">        </w:t>
      </w:r>
      <w:bookmarkEnd w:id="426"/>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0AAEF285">
      <w:pPr>
        <w:snapToGrid w:val="0"/>
        <w:spacing w:line="360" w:lineRule="auto"/>
        <w:rPr>
          <w:rFonts w:hint="eastAsia" w:ascii="宋体" w:hAnsi="宋体" w:cs="宋体"/>
          <w:b/>
          <w:bCs/>
          <w:snapToGrid w:val="0"/>
          <w:color w:val="auto"/>
          <w:kern w:val="0"/>
          <w:sz w:val="24"/>
          <w:highlight w:val="none"/>
        </w:rPr>
      </w:pPr>
      <w:bookmarkStart w:id="427" w:name="_Toc97299503"/>
      <w:bookmarkStart w:id="428" w:name="_Toc361220415"/>
      <w:r>
        <w:rPr>
          <w:rFonts w:hint="eastAsia" w:ascii="宋体" w:hAnsi="宋体" w:cs="宋体"/>
          <w:b/>
          <w:bCs/>
          <w:snapToGrid w:val="0"/>
          <w:color w:val="auto"/>
          <w:kern w:val="0"/>
          <w:sz w:val="24"/>
          <w:highlight w:val="none"/>
        </w:rPr>
        <w:t>六、合同文件构成</w:t>
      </w:r>
      <w:bookmarkEnd w:id="427"/>
      <w:bookmarkEnd w:id="428"/>
    </w:p>
    <w:p w14:paraId="749A97DA">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本协议书与下列文件一起构成合同文件：</w:t>
      </w:r>
    </w:p>
    <w:p w14:paraId="69C08798">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（1）成交通知书（如果有）；</w:t>
      </w:r>
    </w:p>
    <w:p w14:paraId="1A1EC6BC">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（2）响应函及其附录（如果有）； </w:t>
      </w:r>
    </w:p>
    <w:p w14:paraId="29BADF15">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（3）专用合同条款及其附件；</w:t>
      </w:r>
    </w:p>
    <w:p w14:paraId="010CF8BB">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（4）通用合同条款；</w:t>
      </w:r>
    </w:p>
    <w:p w14:paraId="69AED813">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（5）技术标准和要求；</w:t>
      </w:r>
    </w:p>
    <w:p w14:paraId="73A44F4E">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（6）图纸；</w:t>
      </w:r>
    </w:p>
    <w:p w14:paraId="0183590D">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（7）已标价工程量清单或预算书；</w:t>
      </w:r>
    </w:p>
    <w:p w14:paraId="26FC08FD">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（8）其他合同文件。</w:t>
      </w:r>
    </w:p>
    <w:p w14:paraId="2DF18D68">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在合同订立及履行过程中形成的与合同有关的文件均构成合同文件组成部分。</w:t>
      </w:r>
    </w:p>
    <w:p w14:paraId="26CA964D">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44F4DD0E">
      <w:pPr>
        <w:snapToGrid w:val="0"/>
        <w:spacing w:line="360" w:lineRule="auto"/>
        <w:rPr>
          <w:rFonts w:hint="eastAsia" w:ascii="宋体" w:hAnsi="宋体" w:cs="宋体"/>
          <w:b/>
          <w:bCs/>
          <w:snapToGrid w:val="0"/>
          <w:color w:val="auto"/>
          <w:kern w:val="0"/>
          <w:sz w:val="24"/>
          <w:highlight w:val="none"/>
        </w:rPr>
      </w:pPr>
      <w:bookmarkStart w:id="429" w:name="_Toc361220416"/>
      <w:bookmarkStart w:id="430" w:name="_Toc97299504"/>
      <w:r>
        <w:rPr>
          <w:rFonts w:hint="eastAsia" w:ascii="宋体" w:hAnsi="宋体" w:cs="宋体"/>
          <w:b/>
          <w:bCs/>
          <w:snapToGrid w:val="0"/>
          <w:color w:val="auto"/>
          <w:kern w:val="0"/>
          <w:sz w:val="24"/>
          <w:highlight w:val="none"/>
        </w:rPr>
        <w:t>七、承诺</w:t>
      </w:r>
      <w:bookmarkEnd w:id="429"/>
      <w:bookmarkEnd w:id="430"/>
    </w:p>
    <w:p w14:paraId="00D13273">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1.发包人承诺按照法律规定履行项目审批手续、筹集工程建设资金并按照合同约定的期限和方式支付合同价款。</w:t>
      </w:r>
    </w:p>
    <w:p w14:paraId="7489252A">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2.承包人承诺按照法律规定及合同约定组织完成工程施工，确保工程质量和安全，不进行转包及违法分包，并在缺陷责任期及保修期内承担相应的工程维修责任。</w:t>
      </w:r>
    </w:p>
    <w:p w14:paraId="4C63AFB9">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3.发包人和承包人通过</w:t>
      </w:r>
      <w:r>
        <w:rPr>
          <w:rFonts w:hint="eastAsia"/>
          <w:color w:val="auto"/>
          <w:highlight w:val="none"/>
        </w:rPr>
        <w:t>政府采购</w:t>
      </w:r>
      <w:r>
        <w:rPr>
          <w:rFonts w:hint="eastAsia" w:ascii="宋体" w:hAnsi="宋体" w:cs="宋体"/>
          <w:bCs/>
          <w:snapToGrid w:val="0"/>
          <w:color w:val="auto"/>
          <w:kern w:val="0"/>
          <w:sz w:val="24"/>
          <w:highlight w:val="none"/>
        </w:rPr>
        <w:t>形式签订合同的，双方理解并承诺不再就同一工程另行签订与合同实质性内容相背离的协议。</w:t>
      </w:r>
    </w:p>
    <w:p w14:paraId="27592E24">
      <w:pPr>
        <w:snapToGrid w:val="0"/>
        <w:spacing w:line="360" w:lineRule="auto"/>
        <w:rPr>
          <w:rFonts w:hint="eastAsia" w:ascii="宋体" w:hAnsi="宋体" w:cs="宋体"/>
          <w:b/>
          <w:bCs/>
          <w:snapToGrid w:val="0"/>
          <w:color w:val="auto"/>
          <w:kern w:val="0"/>
          <w:sz w:val="24"/>
          <w:highlight w:val="none"/>
        </w:rPr>
      </w:pPr>
      <w:bookmarkStart w:id="431" w:name="_Toc361220417"/>
      <w:bookmarkStart w:id="432" w:name="_Toc97299505"/>
      <w:r>
        <w:rPr>
          <w:rFonts w:hint="eastAsia" w:ascii="宋体" w:hAnsi="宋体" w:cs="宋体"/>
          <w:b/>
          <w:bCs/>
          <w:snapToGrid w:val="0"/>
          <w:color w:val="auto"/>
          <w:kern w:val="0"/>
          <w:sz w:val="24"/>
          <w:highlight w:val="none"/>
        </w:rPr>
        <w:t>八、词语含义</w:t>
      </w:r>
      <w:bookmarkEnd w:id="431"/>
      <w:bookmarkEnd w:id="432"/>
    </w:p>
    <w:p w14:paraId="234BDE11">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本协议书中词语含义与第二部分通用合同条款中赋予的含义相同。</w:t>
      </w:r>
    </w:p>
    <w:p w14:paraId="3092F47D">
      <w:pPr>
        <w:snapToGrid w:val="0"/>
        <w:spacing w:line="360" w:lineRule="auto"/>
        <w:rPr>
          <w:rFonts w:hint="eastAsia" w:ascii="宋体" w:hAnsi="宋体" w:cs="宋体"/>
          <w:b/>
          <w:bCs/>
          <w:snapToGrid w:val="0"/>
          <w:color w:val="auto"/>
          <w:kern w:val="0"/>
          <w:sz w:val="24"/>
          <w:highlight w:val="none"/>
        </w:rPr>
      </w:pPr>
      <w:bookmarkStart w:id="433" w:name="_Toc97299506"/>
      <w:bookmarkStart w:id="434" w:name="_Toc361220418"/>
      <w:r>
        <w:rPr>
          <w:rFonts w:hint="eastAsia" w:ascii="宋体" w:hAnsi="宋体" w:cs="宋体"/>
          <w:b/>
          <w:bCs/>
          <w:snapToGrid w:val="0"/>
          <w:color w:val="auto"/>
          <w:kern w:val="0"/>
          <w:sz w:val="24"/>
          <w:highlight w:val="none"/>
        </w:rPr>
        <w:t>九、签订时间</w:t>
      </w:r>
      <w:bookmarkEnd w:id="433"/>
      <w:bookmarkEnd w:id="434"/>
    </w:p>
    <w:p w14:paraId="10BA2FBD">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本合同于</w:t>
      </w:r>
      <w:bookmarkStart w:id="435" w:name="SOA_hhxys_htqdn"/>
      <w:r>
        <w:rPr>
          <w:rFonts w:hint="eastAsia" w:ascii="宋体" w:hAnsi="宋体" w:cs="宋体"/>
          <w:bCs/>
          <w:snapToGrid w:val="0"/>
          <w:color w:val="auto"/>
          <w:kern w:val="0"/>
          <w:sz w:val="24"/>
          <w:highlight w:val="none"/>
          <w:u w:val="single"/>
        </w:rPr>
        <w:t xml:space="preserve"> 202</w:t>
      </w:r>
      <w:r>
        <w:rPr>
          <w:rFonts w:hint="eastAsia" w:ascii="宋体" w:hAnsi="宋体" w:cs="宋体"/>
          <w:bCs/>
          <w:snapToGrid w:val="0"/>
          <w:color w:val="auto"/>
          <w:kern w:val="0"/>
          <w:sz w:val="24"/>
          <w:highlight w:val="none"/>
          <w:u w:val="single"/>
          <w:lang w:val="en-US" w:eastAsia="zh-CN"/>
        </w:rPr>
        <w:t>6</w:t>
      </w:r>
      <w:r>
        <w:rPr>
          <w:rFonts w:hint="eastAsia" w:ascii="宋体" w:hAnsi="宋体" w:cs="宋体"/>
          <w:bCs/>
          <w:snapToGrid w:val="0"/>
          <w:color w:val="auto"/>
          <w:kern w:val="0"/>
          <w:sz w:val="24"/>
          <w:highlight w:val="none"/>
          <w:u w:val="single"/>
        </w:rPr>
        <w:t xml:space="preserve">  </w:t>
      </w:r>
      <w:bookmarkEnd w:id="435"/>
      <w:r>
        <w:rPr>
          <w:rFonts w:hint="eastAsia" w:ascii="宋体" w:hAnsi="宋体" w:cs="宋体"/>
          <w:bCs/>
          <w:snapToGrid w:val="0"/>
          <w:color w:val="auto"/>
          <w:kern w:val="0"/>
          <w:sz w:val="24"/>
          <w:highlight w:val="none"/>
        </w:rPr>
        <w:t>年</w:t>
      </w:r>
      <w:bookmarkStart w:id="436" w:name="SOA_hhxys_htqdy"/>
      <w:r>
        <w:rPr>
          <w:rFonts w:hint="eastAsia" w:ascii="宋体" w:hAnsi="宋体" w:cs="宋体"/>
          <w:bCs/>
          <w:snapToGrid w:val="0"/>
          <w:color w:val="auto"/>
          <w:kern w:val="0"/>
          <w:sz w:val="24"/>
          <w:highlight w:val="none"/>
          <w:u w:val="single"/>
        </w:rPr>
        <w:t xml:space="preserve">      </w:t>
      </w:r>
      <w:bookmarkEnd w:id="436"/>
      <w:r>
        <w:rPr>
          <w:rFonts w:hint="eastAsia" w:ascii="宋体" w:hAnsi="宋体" w:cs="宋体"/>
          <w:bCs/>
          <w:snapToGrid w:val="0"/>
          <w:color w:val="auto"/>
          <w:kern w:val="0"/>
          <w:sz w:val="24"/>
          <w:highlight w:val="none"/>
        </w:rPr>
        <w:t>月</w:t>
      </w:r>
      <w:bookmarkStart w:id="437" w:name="SOA_hhxys_htqdr"/>
      <w:r>
        <w:rPr>
          <w:rFonts w:hint="eastAsia" w:ascii="宋体" w:hAnsi="宋体" w:cs="宋体"/>
          <w:bCs/>
          <w:snapToGrid w:val="0"/>
          <w:color w:val="auto"/>
          <w:kern w:val="0"/>
          <w:sz w:val="24"/>
          <w:highlight w:val="none"/>
          <w:u w:val="single"/>
        </w:rPr>
        <w:t xml:space="preserve">      </w:t>
      </w:r>
      <w:bookmarkEnd w:id="437"/>
      <w:r>
        <w:rPr>
          <w:rFonts w:hint="eastAsia" w:ascii="宋体" w:hAnsi="宋体" w:cs="宋体"/>
          <w:bCs/>
          <w:snapToGrid w:val="0"/>
          <w:color w:val="auto"/>
          <w:kern w:val="0"/>
          <w:sz w:val="24"/>
          <w:highlight w:val="none"/>
        </w:rPr>
        <w:t>日签订。</w:t>
      </w:r>
    </w:p>
    <w:p w14:paraId="51C60E58">
      <w:pPr>
        <w:snapToGrid w:val="0"/>
        <w:spacing w:line="360" w:lineRule="auto"/>
        <w:rPr>
          <w:rFonts w:hint="eastAsia" w:ascii="宋体" w:hAnsi="宋体" w:cs="宋体"/>
          <w:b/>
          <w:bCs/>
          <w:snapToGrid w:val="0"/>
          <w:color w:val="auto"/>
          <w:kern w:val="0"/>
          <w:sz w:val="24"/>
          <w:highlight w:val="none"/>
        </w:rPr>
      </w:pPr>
      <w:bookmarkStart w:id="438" w:name="_Toc97299507"/>
      <w:bookmarkStart w:id="439" w:name="_Toc361220419"/>
      <w:r>
        <w:rPr>
          <w:rFonts w:hint="eastAsia" w:ascii="宋体" w:hAnsi="宋体" w:cs="宋体"/>
          <w:b/>
          <w:bCs/>
          <w:snapToGrid w:val="0"/>
          <w:color w:val="auto"/>
          <w:kern w:val="0"/>
          <w:sz w:val="24"/>
          <w:highlight w:val="none"/>
        </w:rPr>
        <w:t>十、签订地点</w:t>
      </w:r>
      <w:bookmarkEnd w:id="438"/>
      <w:bookmarkEnd w:id="439"/>
    </w:p>
    <w:p w14:paraId="36213803">
      <w:pPr>
        <w:snapToGrid w:val="0"/>
        <w:spacing w:line="360" w:lineRule="auto"/>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本合同在</w:t>
      </w:r>
      <w:r>
        <w:rPr>
          <w:rFonts w:hint="eastAsia" w:ascii="宋体" w:hAnsi="宋体" w:cs="宋体"/>
          <w:bCs/>
          <w:snapToGrid w:val="0"/>
          <w:color w:val="auto"/>
          <w:kern w:val="0"/>
          <w:sz w:val="24"/>
          <w:highlight w:val="none"/>
          <w:u w:val="single"/>
        </w:rPr>
        <w:t xml:space="preserve">   </w:t>
      </w:r>
      <w:bookmarkStart w:id="440" w:name="SOA_zyht_htqddd"/>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u w:val="single"/>
          <w:lang w:eastAsia="zh-CN"/>
        </w:rPr>
        <w:t>杭州市拱墅区八丈井东路150号</w:t>
      </w:r>
      <w:r>
        <w:rPr>
          <w:rFonts w:hint="eastAsia" w:ascii="宋体" w:hAnsi="宋体" w:cs="宋体"/>
          <w:bCs/>
          <w:snapToGrid w:val="0"/>
          <w:color w:val="auto"/>
          <w:kern w:val="0"/>
          <w:sz w:val="24"/>
          <w:highlight w:val="none"/>
          <w:u w:val="single"/>
        </w:rPr>
        <w:t xml:space="preserve">   </w:t>
      </w:r>
      <w:bookmarkEnd w:id="440"/>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签订。</w:t>
      </w:r>
    </w:p>
    <w:p w14:paraId="336E901A">
      <w:pPr>
        <w:snapToGrid w:val="0"/>
        <w:spacing w:line="360" w:lineRule="auto"/>
        <w:rPr>
          <w:rFonts w:hint="eastAsia" w:ascii="宋体" w:hAnsi="宋体" w:cs="宋体"/>
          <w:b/>
          <w:bCs/>
          <w:snapToGrid w:val="0"/>
          <w:color w:val="auto"/>
          <w:kern w:val="0"/>
          <w:sz w:val="24"/>
          <w:highlight w:val="none"/>
        </w:rPr>
      </w:pPr>
      <w:bookmarkStart w:id="441" w:name="_Toc361220420"/>
      <w:bookmarkStart w:id="442" w:name="_Toc97299508"/>
      <w:r>
        <w:rPr>
          <w:rFonts w:hint="eastAsia" w:ascii="宋体" w:hAnsi="宋体" w:cs="宋体"/>
          <w:b/>
          <w:bCs/>
          <w:snapToGrid w:val="0"/>
          <w:color w:val="auto"/>
          <w:kern w:val="0"/>
          <w:sz w:val="24"/>
          <w:highlight w:val="none"/>
        </w:rPr>
        <w:t>十一、补充协议</w:t>
      </w:r>
      <w:bookmarkEnd w:id="441"/>
      <w:bookmarkEnd w:id="442"/>
    </w:p>
    <w:p w14:paraId="339AF416">
      <w:pPr>
        <w:snapToGrid w:val="0"/>
        <w:spacing w:line="360" w:lineRule="auto"/>
        <w:ind w:firstLine="480" w:firstLineChars="200"/>
        <w:rPr>
          <w:rFonts w:hint="eastAsia" w:ascii="宋体" w:hAnsi="宋体" w:cs="宋体"/>
          <w:b/>
          <w:bCs/>
          <w:snapToGrid w:val="0"/>
          <w:color w:val="auto"/>
          <w:kern w:val="0"/>
          <w:sz w:val="24"/>
          <w:highlight w:val="none"/>
        </w:rPr>
      </w:pPr>
      <w:r>
        <w:rPr>
          <w:rFonts w:hint="eastAsia" w:ascii="宋体" w:hAnsi="宋体" w:cs="宋体"/>
          <w:bCs/>
          <w:snapToGrid w:val="0"/>
          <w:color w:val="auto"/>
          <w:kern w:val="0"/>
          <w:sz w:val="24"/>
          <w:highlight w:val="none"/>
        </w:rPr>
        <w:t>合同未尽事宜，合同当事人另行签订补充协议，补充协议是合同的组成部分。</w:t>
      </w:r>
    </w:p>
    <w:p w14:paraId="5A92C423">
      <w:pPr>
        <w:snapToGrid w:val="0"/>
        <w:spacing w:line="360" w:lineRule="auto"/>
        <w:rPr>
          <w:rFonts w:hint="eastAsia" w:ascii="宋体" w:hAnsi="宋体" w:cs="宋体"/>
          <w:b/>
          <w:bCs/>
          <w:snapToGrid w:val="0"/>
          <w:color w:val="auto"/>
          <w:kern w:val="0"/>
          <w:sz w:val="24"/>
          <w:highlight w:val="none"/>
        </w:rPr>
      </w:pPr>
      <w:bookmarkStart w:id="443" w:name="_Toc97299509"/>
      <w:bookmarkStart w:id="444" w:name="_Toc361220421"/>
      <w:r>
        <w:rPr>
          <w:rFonts w:hint="eastAsia" w:ascii="宋体" w:hAnsi="宋体" w:cs="宋体"/>
          <w:b/>
          <w:bCs/>
          <w:snapToGrid w:val="0"/>
          <w:color w:val="auto"/>
          <w:kern w:val="0"/>
          <w:sz w:val="24"/>
          <w:highlight w:val="none"/>
        </w:rPr>
        <w:t>十二、合同生效</w:t>
      </w:r>
      <w:bookmarkEnd w:id="443"/>
      <w:bookmarkEnd w:id="444"/>
    </w:p>
    <w:p w14:paraId="4B7B4BE1">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本合同自</w:t>
      </w:r>
      <w:r>
        <w:rPr>
          <w:rFonts w:hint="eastAsia" w:ascii="宋体" w:hAnsi="宋体" w:cs="宋体"/>
          <w:bCs/>
          <w:snapToGrid w:val="0"/>
          <w:color w:val="auto"/>
          <w:kern w:val="0"/>
          <w:sz w:val="24"/>
          <w:highlight w:val="none"/>
          <w:u w:val="single"/>
        </w:rPr>
        <w:t xml:space="preserve">  </w:t>
      </w:r>
      <w:bookmarkStart w:id="445" w:name="SOA_hhxys_htsx"/>
      <w:r>
        <w:rPr>
          <w:rFonts w:hint="eastAsia" w:ascii="宋体" w:hAnsi="宋体" w:cs="宋体"/>
          <w:bCs/>
          <w:snapToGrid w:val="0"/>
          <w:color w:val="auto"/>
          <w:kern w:val="0"/>
          <w:sz w:val="24"/>
          <w:highlight w:val="none"/>
          <w:u w:val="single"/>
          <w:lang w:val="en-US" w:eastAsia="zh-CN"/>
        </w:rPr>
        <w:t>双方签字盖章后</w:t>
      </w:r>
      <w:r>
        <w:rPr>
          <w:rFonts w:hint="eastAsia" w:ascii="宋体" w:hAnsi="宋体" w:cs="宋体"/>
          <w:bCs/>
          <w:snapToGrid w:val="0"/>
          <w:color w:val="auto"/>
          <w:kern w:val="0"/>
          <w:sz w:val="24"/>
          <w:highlight w:val="none"/>
          <w:u w:val="single"/>
        </w:rPr>
        <w:t xml:space="preserve"> </w:t>
      </w:r>
      <w:bookmarkEnd w:id="445"/>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生效。</w:t>
      </w:r>
    </w:p>
    <w:p w14:paraId="541AD66C">
      <w:pPr>
        <w:snapToGrid w:val="0"/>
        <w:spacing w:line="360" w:lineRule="auto"/>
        <w:rPr>
          <w:rFonts w:hint="eastAsia" w:ascii="宋体" w:hAnsi="宋体" w:cs="宋体"/>
          <w:b/>
          <w:bCs/>
          <w:snapToGrid w:val="0"/>
          <w:color w:val="auto"/>
          <w:kern w:val="0"/>
          <w:sz w:val="24"/>
          <w:highlight w:val="none"/>
        </w:rPr>
      </w:pPr>
      <w:bookmarkStart w:id="446" w:name="_Toc97299510"/>
      <w:bookmarkStart w:id="447" w:name="_Toc361220422"/>
      <w:r>
        <w:rPr>
          <w:rFonts w:hint="eastAsia" w:ascii="宋体" w:hAnsi="宋体" w:cs="宋体"/>
          <w:b/>
          <w:bCs/>
          <w:snapToGrid w:val="0"/>
          <w:color w:val="auto"/>
          <w:kern w:val="0"/>
          <w:sz w:val="24"/>
          <w:highlight w:val="none"/>
        </w:rPr>
        <w:t>十三、合同份数</w:t>
      </w:r>
      <w:bookmarkEnd w:id="446"/>
      <w:bookmarkEnd w:id="447"/>
    </w:p>
    <w:p w14:paraId="24A0C55A">
      <w:pPr>
        <w:snapToGrid w:val="0"/>
        <w:spacing w:line="360" w:lineRule="auto"/>
        <w:ind w:left="210" w:leftChars="100" w:firstLine="240" w:firstLineChars="1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本合同一式</w:t>
      </w:r>
      <w:r>
        <w:rPr>
          <w:rFonts w:hint="eastAsia" w:ascii="宋体" w:hAnsi="宋体" w:cs="宋体"/>
          <w:b/>
          <w:bCs/>
          <w:snapToGrid w:val="0"/>
          <w:color w:val="auto"/>
          <w:kern w:val="0"/>
          <w:sz w:val="24"/>
          <w:highlight w:val="none"/>
          <w:u w:val="single"/>
        </w:rPr>
        <w:t xml:space="preserve"> </w:t>
      </w:r>
      <w:r>
        <w:rPr>
          <w:rFonts w:hint="eastAsia" w:ascii="宋体" w:hAnsi="宋体" w:cs="宋体"/>
          <w:b/>
          <w:bCs/>
          <w:snapToGrid w:val="0"/>
          <w:color w:val="auto"/>
          <w:kern w:val="0"/>
          <w:sz w:val="24"/>
          <w:highlight w:val="none"/>
          <w:u w:val="single"/>
          <w:lang w:val="en-US" w:eastAsia="zh-CN"/>
        </w:rPr>
        <w:t>捌</w:t>
      </w:r>
      <w:r>
        <w:rPr>
          <w:rFonts w:hint="eastAsia" w:ascii="宋体" w:hAnsi="宋体" w:cs="宋体"/>
          <w:b/>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份，均具有同等法律效力，发包人执</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u w:val="single"/>
          <w:lang w:val="en-US" w:eastAsia="zh-CN"/>
        </w:rPr>
        <w:t>肆</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份，承包人执</w:t>
      </w:r>
      <w:r>
        <w:rPr>
          <w:rFonts w:hint="eastAsia" w:ascii="宋体" w:hAnsi="宋体" w:cs="宋体"/>
          <w:b/>
          <w:snapToGrid w:val="0"/>
          <w:color w:val="auto"/>
          <w:kern w:val="0"/>
          <w:sz w:val="24"/>
          <w:highlight w:val="none"/>
          <w:u w:val="single"/>
        </w:rPr>
        <w:t xml:space="preserve"> </w:t>
      </w:r>
      <w:r>
        <w:rPr>
          <w:rFonts w:hint="eastAsia" w:ascii="宋体" w:hAnsi="宋体" w:cs="宋体"/>
          <w:b/>
          <w:snapToGrid w:val="0"/>
          <w:color w:val="auto"/>
          <w:kern w:val="0"/>
          <w:sz w:val="24"/>
          <w:highlight w:val="none"/>
          <w:u w:val="single"/>
          <w:lang w:val="en-US" w:eastAsia="zh-CN"/>
        </w:rPr>
        <w:t>肆</w:t>
      </w:r>
      <w:r>
        <w:rPr>
          <w:rFonts w:hint="eastAsia" w:ascii="宋体" w:hAnsi="宋体" w:cs="宋体"/>
          <w:b/>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w:t>
      </w:r>
    </w:p>
    <w:p w14:paraId="46BFD88C">
      <w:pPr>
        <w:snapToGrid w:val="0"/>
        <w:spacing w:line="360" w:lineRule="auto"/>
        <w:ind w:firstLine="480" w:firstLineChars="200"/>
        <w:rPr>
          <w:rFonts w:hint="eastAsia" w:ascii="宋体" w:hAnsi="宋体" w:cs="宋体"/>
          <w:snapToGrid w:val="0"/>
          <w:color w:val="auto"/>
          <w:kern w:val="0"/>
          <w:sz w:val="24"/>
          <w:highlight w:val="none"/>
        </w:rPr>
      </w:pPr>
    </w:p>
    <w:p w14:paraId="48E35E4E">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  (公章)</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承包人：  (公章)</w:t>
      </w:r>
    </w:p>
    <w:p w14:paraId="55A5C24E">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snapToGrid w:val="0"/>
          <w:color w:val="auto"/>
          <w:kern w:val="0"/>
          <w:sz w:val="24"/>
          <w:highlight w:val="none"/>
        </w:rPr>
        <w:t>法定代表人或其委托代理人：</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法定代表人或其委托代理人：</w:t>
      </w:r>
    </w:p>
    <w:p w14:paraId="531C20B9">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（签字）</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（签字）</w:t>
      </w:r>
    </w:p>
    <w:p w14:paraId="792032BE">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组织机构代码：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组织机构代码：</w:t>
      </w:r>
      <w:bookmarkStart w:id="448" w:name="SOA_hhxys_zjjgdm1"/>
      <w:r>
        <w:rPr>
          <w:rFonts w:hint="eastAsia" w:ascii="宋体" w:hAnsi="宋体" w:cs="宋体"/>
          <w:snapToGrid w:val="0"/>
          <w:color w:val="auto"/>
          <w:kern w:val="0"/>
          <w:sz w:val="24"/>
          <w:highlight w:val="none"/>
          <w:u w:val="single"/>
        </w:rPr>
        <w:t xml:space="preserve">      </w:t>
      </w:r>
      <w:bookmarkEnd w:id="448"/>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6347A58C">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4EA6D5E2">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邮政编码：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邮政编码：</w:t>
      </w:r>
      <w:bookmarkStart w:id="449" w:name="SOA_hhxys_cbryb"/>
      <w:r>
        <w:rPr>
          <w:rFonts w:hint="eastAsia" w:ascii="宋体" w:hAnsi="宋体" w:cs="宋体"/>
          <w:snapToGrid w:val="0"/>
          <w:color w:val="auto"/>
          <w:kern w:val="0"/>
          <w:sz w:val="24"/>
          <w:highlight w:val="none"/>
          <w:u w:val="single"/>
        </w:rPr>
        <w:t xml:space="preserve">             </w:t>
      </w:r>
      <w:bookmarkEnd w:id="449"/>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716819C3">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法定代表人：</w:t>
      </w:r>
      <w:bookmarkStart w:id="450" w:name="SOA_hhxys_fddbr1"/>
      <w:r>
        <w:rPr>
          <w:rFonts w:hint="eastAsia" w:ascii="宋体" w:hAnsi="宋体" w:cs="宋体"/>
          <w:snapToGrid w:val="0"/>
          <w:color w:val="auto"/>
          <w:kern w:val="0"/>
          <w:sz w:val="24"/>
          <w:highlight w:val="none"/>
          <w:u w:val="single"/>
        </w:rPr>
        <w:t xml:space="preserve">     </w:t>
      </w:r>
      <w:bookmarkEnd w:id="450"/>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41B145CD">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委托代理人：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委托代理人：</w:t>
      </w:r>
      <w:bookmarkStart w:id="451" w:name="SOA_hhxys_wtdlr1"/>
      <w:r>
        <w:rPr>
          <w:rFonts w:hint="eastAsia" w:ascii="宋体" w:hAnsi="宋体" w:cs="宋体"/>
          <w:snapToGrid w:val="0"/>
          <w:color w:val="auto"/>
          <w:kern w:val="0"/>
          <w:sz w:val="24"/>
          <w:highlight w:val="none"/>
          <w:u w:val="single"/>
        </w:rPr>
        <w:t xml:space="preserve">    </w:t>
      </w:r>
      <w:bookmarkEnd w:id="451"/>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48CF9BF8">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  话：</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  话：</w:t>
      </w:r>
      <w:bookmarkStart w:id="452" w:name="SOA_hhxys_cbrdh"/>
      <w:r>
        <w:rPr>
          <w:rFonts w:hint="eastAsia" w:ascii="宋体" w:hAnsi="宋体" w:cs="宋体"/>
          <w:snapToGrid w:val="0"/>
          <w:color w:val="auto"/>
          <w:kern w:val="0"/>
          <w:sz w:val="24"/>
          <w:highlight w:val="none"/>
          <w:u w:val="single"/>
        </w:rPr>
        <w:t xml:space="preserve">            </w:t>
      </w:r>
      <w:bookmarkEnd w:id="452"/>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5F9F5268">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传  真：</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传  真：</w:t>
      </w:r>
      <w:bookmarkStart w:id="453" w:name="SOA_hhxys_cbrcz"/>
      <w:r>
        <w:rPr>
          <w:rFonts w:hint="eastAsia" w:ascii="宋体" w:hAnsi="宋体" w:cs="宋体"/>
          <w:snapToGrid w:val="0"/>
          <w:color w:val="auto"/>
          <w:kern w:val="0"/>
          <w:sz w:val="24"/>
          <w:highlight w:val="none"/>
          <w:u w:val="single"/>
        </w:rPr>
        <w:t xml:space="preserve">              </w:t>
      </w:r>
      <w:bookmarkEnd w:id="453"/>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7E294D66">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电子信箱：</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电子信箱：</w:t>
      </w:r>
      <w:bookmarkStart w:id="454" w:name="SOA_hhxys_cbrdzxx"/>
      <w:r>
        <w:rPr>
          <w:rFonts w:hint="eastAsia" w:ascii="宋体" w:hAnsi="宋体" w:cs="宋体"/>
          <w:snapToGrid w:val="0"/>
          <w:color w:val="auto"/>
          <w:kern w:val="0"/>
          <w:sz w:val="24"/>
          <w:highlight w:val="none"/>
          <w:u w:val="single"/>
        </w:rPr>
        <w:t xml:space="preserve">      </w:t>
      </w:r>
      <w:bookmarkEnd w:id="454"/>
      <w:r>
        <w:rPr>
          <w:rFonts w:hint="eastAsia" w:ascii="宋体" w:hAnsi="宋体" w:cs="宋体"/>
          <w:snapToGrid w:val="0"/>
          <w:color w:val="auto"/>
          <w:kern w:val="0"/>
          <w:sz w:val="24"/>
          <w:highlight w:val="none"/>
          <w:u w:val="single"/>
        </w:rPr>
        <w:t xml:space="preserve">  </w:t>
      </w:r>
    </w:p>
    <w:p w14:paraId="118B384B">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 xml:space="preserve">                 </w:t>
      </w:r>
    </w:p>
    <w:p w14:paraId="24FB6100">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w:t>
      </w:r>
      <w:bookmarkStart w:id="455" w:name="SOA_hhxys_cbrzh"/>
      <w:r>
        <w:rPr>
          <w:rFonts w:hint="eastAsia" w:ascii="宋体" w:hAnsi="宋体" w:cs="宋体"/>
          <w:snapToGrid w:val="0"/>
          <w:color w:val="auto"/>
          <w:kern w:val="0"/>
          <w:sz w:val="24"/>
          <w:highlight w:val="none"/>
          <w:u w:val="single"/>
        </w:rPr>
        <w:t xml:space="preserve"> </w:t>
      </w:r>
      <w:bookmarkEnd w:id="455"/>
      <w:r>
        <w:rPr>
          <w:rFonts w:hint="eastAsia" w:ascii="宋体" w:hAnsi="宋体" w:cs="宋体"/>
          <w:snapToGrid w:val="0"/>
          <w:color w:val="auto"/>
          <w:kern w:val="0"/>
          <w:sz w:val="24"/>
          <w:highlight w:val="none"/>
          <w:u w:val="single"/>
        </w:rPr>
        <w:t xml:space="preserve">        </w:t>
      </w:r>
    </w:p>
    <w:p w14:paraId="5AC508FA">
      <w:pPr>
        <w:keepNext/>
        <w:keepLines/>
        <w:numPr>
          <w:ilvl w:val="1"/>
          <w:numId w:val="0"/>
        </w:numPr>
        <w:spacing w:before="100" w:line="400" w:lineRule="exact"/>
        <w:jc w:val="center"/>
        <w:rPr>
          <w:rFonts w:hint="eastAsia" w:ascii="宋体" w:hAnsi="宋体" w:cs="宋体"/>
          <w:snapToGrid w:val="0"/>
          <w:color w:val="auto"/>
          <w:kern w:val="0"/>
          <w:sz w:val="24"/>
          <w:highlight w:val="none"/>
        </w:rPr>
      </w:pPr>
    </w:p>
    <w:p w14:paraId="53F63FB4">
      <w:pPr>
        <w:keepNext/>
        <w:keepLines/>
        <w:numPr>
          <w:ilvl w:val="1"/>
          <w:numId w:val="0"/>
        </w:numPr>
        <w:spacing w:before="100" w:line="400" w:lineRule="exact"/>
        <w:jc w:val="center"/>
        <w:outlineLvl w:val="1"/>
        <w:rPr>
          <w:rFonts w:hint="eastAsia" w:ascii="宋体" w:hAnsi="宋体" w:cs="宋体"/>
          <w:snapToGrid w:val="0"/>
          <w:color w:val="auto"/>
          <w:kern w:val="44"/>
          <w:sz w:val="28"/>
          <w:szCs w:val="20"/>
          <w:highlight w:val="none"/>
        </w:rPr>
      </w:pPr>
      <w:r>
        <w:rPr>
          <w:rFonts w:hint="eastAsia" w:ascii="宋体" w:hAnsi="宋体" w:cs="宋体"/>
          <w:snapToGrid w:val="0"/>
          <w:color w:val="auto"/>
          <w:kern w:val="0"/>
          <w:sz w:val="24"/>
          <w:highlight w:val="none"/>
        </w:rPr>
        <w:br w:type="page"/>
      </w:r>
      <w:bookmarkStart w:id="456" w:name="_Toc97299511"/>
      <w:bookmarkStart w:id="457" w:name="_Toc69485879"/>
      <w:bookmarkStart w:id="458" w:name="_Toc31640"/>
      <w:r>
        <w:rPr>
          <w:rFonts w:hint="eastAsia" w:ascii="宋体" w:hAnsi="宋体" w:cs="宋体"/>
          <w:snapToGrid w:val="0"/>
          <w:color w:val="auto"/>
          <w:kern w:val="44"/>
          <w:sz w:val="28"/>
          <w:szCs w:val="20"/>
          <w:highlight w:val="none"/>
        </w:rPr>
        <w:t>第二部分  通用条款（略）</w:t>
      </w:r>
      <w:bookmarkEnd w:id="456"/>
      <w:bookmarkEnd w:id="457"/>
      <w:bookmarkEnd w:id="458"/>
    </w:p>
    <w:p w14:paraId="28F6B0E9">
      <w:pPr>
        <w:keepNext/>
        <w:keepLines/>
        <w:numPr>
          <w:ilvl w:val="1"/>
          <w:numId w:val="0"/>
        </w:numPr>
        <w:spacing w:before="100" w:line="400" w:lineRule="exact"/>
        <w:jc w:val="center"/>
        <w:outlineLvl w:val="1"/>
        <w:rPr>
          <w:rFonts w:hint="eastAsia" w:ascii="宋体" w:hAnsi="宋体" w:cs="宋体"/>
          <w:snapToGrid w:val="0"/>
          <w:color w:val="auto"/>
          <w:kern w:val="44"/>
          <w:sz w:val="28"/>
          <w:szCs w:val="20"/>
          <w:highlight w:val="none"/>
        </w:rPr>
      </w:pPr>
      <w:bookmarkStart w:id="459" w:name="_Toc69485880"/>
      <w:bookmarkStart w:id="460" w:name="_Toc8278"/>
      <w:bookmarkStart w:id="461" w:name="_Toc97299512"/>
      <w:r>
        <w:rPr>
          <w:rFonts w:hint="eastAsia" w:ascii="宋体" w:hAnsi="宋体" w:cs="宋体"/>
          <w:snapToGrid w:val="0"/>
          <w:color w:val="auto"/>
          <w:kern w:val="44"/>
          <w:sz w:val="28"/>
          <w:szCs w:val="20"/>
          <w:highlight w:val="none"/>
        </w:rPr>
        <w:t>第三部分  专用条款</w:t>
      </w:r>
      <w:bookmarkEnd w:id="459"/>
      <w:bookmarkEnd w:id="460"/>
      <w:bookmarkEnd w:id="461"/>
    </w:p>
    <w:p w14:paraId="1AEDB04A">
      <w:pPr>
        <w:keepNext/>
        <w:numPr>
          <w:ilvl w:val="3"/>
          <w:numId w:val="0"/>
        </w:numPr>
        <w:tabs>
          <w:tab w:val="left" w:pos="864"/>
        </w:tabs>
        <w:snapToGrid w:val="0"/>
        <w:spacing w:line="360" w:lineRule="auto"/>
        <w:ind w:left="426" w:hanging="420"/>
        <w:rPr>
          <w:rFonts w:hint="eastAsia" w:ascii="宋体" w:hAnsi="宋体" w:cs="宋体"/>
          <w:b/>
          <w:color w:val="auto"/>
          <w:szCs w:val="21"/>
          <w:highlight w:val="none"/>
        </w:rPr>
      </w:pPr>
      <w:bookmarkStart w:id="462" w:name="_Toc351203633"/>
      <w:r>
        <w:rPr>
          <w:rFonts w:hint="eastAsia" w:ascii="宋体" w:hAnsi="宋体" w:cs="宋体"/>
          <w:b/>
          <w:color w:val="auto"/>
          <w:szCs w:val="21"/>
          <w:highlight w:val="none"/>
        </w:rPr>
        <w:t>1</w:t>
      </w:r>
      <w:bookmarkStart w:id="463" w:name="_Toc296890984"/>
      <w:bookmarkStart w:id="464" w:name="_Toc297048342"/>
      <w:bookmarkStart w:id="465" w:name="_Toc297120456"/>
      <w:bookmarkStart w:id="466" w:name="_Toc292559361"/>
      <w:bookmarkStart w:id="467" w:name="_Toc296503156"/>
      <w:bookmarkStart w:id="468" w:name="_Toc296891196"/>
      <w:bookmarkStart w:id="469" w:name="_Toc296944495"/>
      <w:bookmarkStart w:id="470" w:name="_Toc296346657"/>
      <w:bookmarkStart w:id="471" w:name="_Toc292559866"/>
      <w:bookmarkStart w:id="472" w:name="_Toc296347155"/>
      <w:r>
        <w:rPr>
          <w:rFonts w:hint="eastAsia" w:ascii="宋体" w:hAnsi="宋体" w:cs="宋体"/>
          <w:b/>
          <w:color w:val="auto"/>
          <w:szCs w:val="21"/>
          <w:highlight w:val="none"/>
        </w:rPr>
        <w:t>. 一般约定</w:t>
      </w:r>
      <w:bookmarkEnd w:id="462"/>
    </w:p>
    <w:bookmarkEnd w:id="463"/>
    <w:bookmarkEnd w:id="464"/>
    <w:bookmarkEnd w:id="465"/>
    <w:bookmarkEnd w:id="466"/>
    <w:bookmarkEnd w:id="467"/>
    <w:bookmarkEnd w:id="468"/>
    <w:bookmarkEnd w:id="469"/>
    <w:bookmarkEnd w:id="470"/>
    <w:bookmarkEnd w:id="471"/>
    <w:bookmarkEnd w:id="472"/>
    <w:p w14:paraId="2B90D1F6">
      <w:pPr>
        <w:snapToGrid w:val="0"/>
        <w:spacing w:line="360" w:lineRule="auto"/>
        <w:ind w:firstLine="367" w:firstLineChars="175"/>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 词语定义</w:t>
      </w:r>
    </w:p>
    <w:p w14:paraId="6DD3A45B">
      <w:pPr>
        <w:snapToGrid w:val="0"/>
        <w:spacing w:line="360" w:lineRule="auto"/>
        <w:ind w:firstLine="367" w:firstLineChars="175"/>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1.1.1合同</w:t>
      </w:r>
    </w:p>
    <w:p w14:paraId="6B5516AA">
      <w:pPr>
        <w:snapToGrid w:val="0"/>
        <w:spacing w:line="360" w:lineRule="auto"/>
        <w:ind w:firstLine="411" w:firstLineChars="196"/>
        <w:rPr>
          <w:rFonts w:hint="eastAsia" w:ascii="宋体" w:hAnsi="宋体" w:cs="宋体"/>
          <w:b/>
          <w:snapToGrid w:val="0"/>
          <w:color w:val="auto"/>
          <w:kern w:val="0"/>
          <w:szCs w:val="21"/>
          <w:highlight w:val="none"/>
          <w:u w:val="single"/>
        </w:rPr>
      </w:pPr>
      <w:r>
        <w:rPr>
          <w:rFonts w:hint="eastAsia" w:ascii="宋体" w:hAnsi="宋体" w:cs="宋体"/>
          <w:snapToGrid w:val="0"/>
          <w:color w:val="auto"/>
          <w:kern w:val="0"/>
          <w:szCs w:val="21"/>
          <w:highlight w:val="none"/>
        </w:rPr>
        <w:t>1.1.1.10其他合同文件包括：</w:t>
      </w:r>
      <w:r>
        <w:rPr>
          <w:rFonts w:hint="eastAsia" w:ascii="宋体" w:hAnsi="宋体" w:cs="宋体"/>
          <w:snapToGrid w:val="0"/>
          <w:color w:val="auto"/>
          <w:kern w:val="0"/>
          <w:szCs w:val="21"/>
          <w:highlight w:val="none"/>
          <w:u w:val="single"/>
        </w:rPr>
        <w:t xml:space="preserve">   本项目竞争性磋商文件、补充文件及其他文件等、双方有关工程的洽商、变更等书面协议或文件视为本合同的组成部分。       </w:t>
      </w:r>
    </w:p>
    <w:p w14:paraId="3A536F45">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合同当事人及其他相关方</w:t>
      </w:r>
    </w:p>
    <w:p w14:paraId="2DE0791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1.1.2.4监理人：</w:t>
      </w:r>
    </w:p>
    <w:p w14:paraId="17933F9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06FAD5C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FE7F1E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03931F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0D3ED04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DC853A9">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1.1.2.5 设计人：</w:t>
      </w:r>
    </w:p>
    <w:p w14:paraId="493E5283">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名    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76F03671">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资质类别和等级：</w:t>
      </w:r>
      <w:r>
        <w:rPr>
          <w:rFonts w:hint="eastAsia" w:ascii="宋体" w:hAnsi="宋体" w:cs="宋体"/>
          <w:snapToGrid w:val="0"/>
          <w:color w:val="auto"/>
          <w:kern w:val="0"/>
          <w:szCs w:val="21"/>
          <w:highlight w:val="none"/>
          <w:u w:val="single"/>
        </w:rPr>
        <w:t>                            </w:t>
      </w:r>
      <w:r>
        <w:rPr>
          <w:rFonts w:hint="eastAsia" w:ascii="宋体" w:hAnsi="宋体" w:cs="宋体"/>
          <w:snapToGrid w:val="0"/>
          <w:color w:val="auto"/>
          <w:kern w:val="0"/>
          <w:szCs w:val="21"/>
          <w:highlight w:val="none"/>
        </w:rPr>
        <w:t>；</w:t>
      </w:r>
    </w:p>
    <w:p w14:paraId="7865787F">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联系电话：</w:t>
      </w:r>
      <w:r>
        <w:rPr>
          <w:rFonts w:hint="eastAsia" w:ascii="宋体" w:hAnsi="宋体" w:cs="宋体"/>
          <w:snapToGrid w:val="0"/>
          <w:color w:val="auto"/>
          <w:kern w:val="0"/>
          <w:szCs w:val="21"/>
          <w:highlight w:val="none"/>
          <w:u w:val="single"/>
        </w:rPr>
        <w:t xml:space="preserve">            /              </w:t>
      </w:r>
      <w:r>
        <w:rPr>
          <w:rFonts w:hint="eastAsia" w:ascii="宋体" w:hAnsi="宋体" w:cs="宋体"/>
          <w:snapToGrid w:val="0"/>
          <w:color w:val="auto"/>
          <w:kern w:val="0"/>
          <w:szCs w:val="21"/>
          <w:highlight w:val="none"/>
        </w:rPr>
        <w:t>；</w:t>
      </w:r>
    </w:p>
    <w:p w14:paraId="67CC8C42">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电子信箱：</w:t>
      </w:r>
      <w:r>
        <w:rPr>
          <w:rFonts w:hint="eastAsia" w:ascii="宋体" w:hAnsi="宋体" w:cs="宋体"/>
          <w:snapToGrid w:val="0"/>
          <w:color w:val="auto"/>
          <w:kern w:val="0"/>
          <w:szCs w:val="21"/>
          <w:highlight w:val="none"/>
          <w:u w:val="single"/>
        </w:rPr>
        <w:t xml:space="preserve">  /                  </w:t>
      </w:r>
      <w:r>
        <w:rPr>
          <w:rFonts w:hint="eastAsia" w:ascii="宋体" w:hAnsi="宋体" w:cs="宋体"/>
          <w:snapToGrid w:val="0"/>
          <w:color w:val="auto"/>
          <w:kern w:val="0"/>
          <w:szCs w:val="21"/>
          <w:highlight w:val="none"/>
        </w:rPr>
        <w:t>；</w:t>
      </w:r>
    </w:p>
    <w:p w14:paraId="2D2D9E03">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通信地址：</w:t>
      </w:r>
      <w:r>
        <w:rPr>
          <w:rFonts w:hint="eastAsia" w:ascii="宋体" w:hAnsi="宋体" w:cs="宋体"/>
          <w:snapToGrid w:val="0"/>
          <w:color w:val="auto"/>
          <w:kern w:val="0"/>
          <w:szCs w:val="21"/>
          <w:highlight w:val="none"/>
          <w:u w:val="single"/>
        </w:rPr>
        <w:t>      /                </w:t>
      </w:r>
      <w:r>
        <w:rPr>
          <w:rFonts w:hint="eastAsia" w:ascii="宋体" w:hAnsi="宋体" w:cs="宋体"/>
          <w:snapToGrid w:val="0"/>
          <w:color w:val="auto"/>
          <w:kern w:val="0"/>
          <w:szCs w:val="21"/>
          <w:highlight w:val="none"/>
        </w:rPr>
        <w:t>。</w:t>
      </w:r>
    </w:p>
    <w:p w14:paraId="4A13B15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7087C8D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1.1.3.7 作为施工现场组成部分的其他场所包括：</w:t>
      </w:r>
      <w:r>
        <w:rPr>
          <w:rFonts w:hint="eastAsia" w:ascii="宋体" w:hAnsi="宋体" w:cs="宋体"/>
          <w:color w:val="auto"/>
          <w:szCs w:val="21"/>
          <w:highlight w:val="none"/>
          <w:u w:val="single"/>
        </w:rPr>
        <w:t xml:space="preserve">   无       </w:t>
      </w:r>
      <w:r>
        <w:rPr>
          <w:rFonts w:hint="eastAsia" w:ascii="宋体" w:hAnsi="宋体" w:cs="宋体"/>
          <w:color w:val="auto"/>
          <w:szCs w:val="21"/>
          <w:highlight w:val="none"/>
        </w:rPr>
        <w:t>。</w:t>
      </w:r>
    </w:p>
    <w:p w14:paraId="2431100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1.1.3.9 永久占地包括：</w:t>
      </w:r>
      <w:r>
        <w:rPr>
          <w:rFonts w:hint="eastAsia" w:ascii="宋体" w:hAnsi="宋体" w:cs="宋体"/>
          <w:color w:val="auto"/>
          <w:szCs w:val="21"/>
          <w:highlight w:val="none"/>
          <w:u w:val="single"/>
        </w:rPr>
        <w:t xml:space="preserve"> 设计范围内的建筑物、构筑物占地 </w:t>
      </w:r>
      <w:r>
        <w:rPr>
          <w:rFonts w:hint="eastAsia" w:ascii="宋体" w:hAnsi="宋体" w:cs="宋体"/>
          <w:color w:val="auto"/>
          <w:kern w:val="0"/>
          <w:szCs w:val="21"/>
          <w:highlight w:val="none"/>
        </w:rPr>
        <w:t>。</w:t>
      </w:r>
    </w:p>
    <w:p w14:paraId="094115FF">
      <w:pPr>
        <w:adjustRightInd/>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14:paraId="20F57A41">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1.3法律 </w:t>
      </w:r>
    </w:p>
    <w:p w14:paraId="74C1D9B5">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1.3.1 《杭州市建设工程工程量清单计价实施细则》（杭建市发〔2018〕578号）；</w:t>
      </w:r>
    </w:p>
    <w:p w14:paraId="362C1A79">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1.3.2 《关于进一步加强杭州市建设工程市场要素价格动态管理的指导意见》（杭建</w:t>
      </w:r>
    </w:p>
    <w:p w14:paraId="268F638F">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市发〔2018〕579号）；</w:t>
      </w:r>
    </w:p>
    <w:p w14:paraId="0C2791FC">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1.3.3 《关于发布&lt;杭州市新冠病毒肺炎疫情期间在建工程合同及工程价款调整的指导</w:t>
      </w:r>
    </w:p>
    <w:p w14:paraId="0B30AAE6">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性细则&gt;的通知》（杭建市发〔2020〕164号）；</w:t>
      </w:r>
    </w:p>
    <w:p w14:paraId="1AF29194">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1.3.4  杭州市城乡建设委员会关于落实《省建设厅关于调整我省2018 版建筑安装工</w:t>
      </w:r>
    </w:p>
    <w:p w14:paraId="48906AD1">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程安全文明施工费的通知》有关事项的通知（杭建市通知（2025）98 号）；</w:t>
      </w:r>
    </w:p>
    <w:p w14:paraId="5D952B9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1.3.5 省市建设行政部门颁发的其他现行有效文件(包括但不仅限于以下文件)：</w:t>
      </w:r>
    </w:p>
    <w:p w14:paraId="4E969D9C">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（1）《关于转发省建设厅&lt;关于进一步加强建筑施工领域企业安全生产工作的实施意</w:t>
      </w:r>
    </w:p>
    <w:p w14:paraId="23C973C6">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见&gt;的通知》（杭建工发〔2011〕130号）；</w:t>
      </w:r>
    </w:p>
    <w:p w14:paraId="6735E583">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（2）《关于进一步加强建设工程安全质量物联网管理应用平台建设的通知》（杭建工</w:t>
      </w:r>
    </w:p>
    <w:p w14:paraId="0537358E">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发〔2012〕426号）；</w:t>
      </w:r>
    </w:p>
    <w:p w14:paraId="4BED670F">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（3）《关于开展建筑工程扬尘在线监测设施安装工作的通知》（杭建工〔2019〕103</w:t>
      </w:r>
    </w:p>
    <w:p w14:paraId="3B282B08">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号）；</w:t>
      </w:r>
    </w:p>
    <w:p w14:paraId="674B1C14">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（4）《关于巩固G20杭州峰会成果进一步加强建设工程文明施工管理的若干意见》</w:t>
      </w:r>
    </w:p>
    <w:p w14:paraId="6E052BDA">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（杭建工发〔2017〕112号）；</w:t>
      </w:r>
    </w:p>
    <w:p w14:paraId="20D5949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（5）《杭州市建设领域农民工“无欠薪 ”管理实施细则（试行）》（杭建市〔2018〕</w:t>
      </w:r>
    </w:p>
    <w:p w14:paraId="399E7F87">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161号）；</w:t>
      </w:r>
    </w:p>
    <w:p w14:paraId="107563AC">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（6）《关于杭州市建筑工地全面推广使用“浙里工程建设现场管控 ”重大应用（浙里</w:t>
      </w:r>
    </w:p>
    <w:p w14:paraId="57F5DBC9">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建）的通知》（杭建数改办〔2022〕1号）；</w:t>
      </w:r>
    </w:p>
    <w:p w14:paraId="06C7ED50">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（7）《杭州市建设工程渣土管理办法》（市政府令第192号）；</w:t>
      </w:r>
    </w:p>
    <w:p w14:paraId="4476F4EF">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（8）市政府办公厅2022年5月15日发布的《杭州市人民政府办公厅关于进一步规范工</w:t>
      </w:r>
    </w:p>
    <w:p w14:paraId="4F7FB914">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程建筑垃圾管理的通知》；</w:t>
      </w:r>
    </w:p>
    <w:p w14:paraId="133E5D67">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（9）市建委2020年10月30日发布的《关于明确杭州市渣土运输及消纳项目计价清单编</w:t>
      </w:r>
    </w:p>
    <w:p w14:paraId="207B04AC">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制和报价口径的通知》；</w:t>
      </w:r>
    </w:p>
    <w:p w14:paraId="60E12616">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（10）《关于转发&lt;关于在全省工程建设领域改革保证金制度的通知&gt;的通知》（杭建</w:t>
      </w:r>
    </w:p>
    <w:p w14:paraId="08ECD480">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市通知〔2020〕4号）；</w:t>
      </w:r>
    </w:p>
    <w:p w14:paraId="26ECDE5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（11）《关于进一步提升杭州市市政道路建设质量管理的若干意见》（杭建工发</w:t>
      </w:r>
    </w:p>
    <w:p w14:paraId="7A528FA8">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〔2021〕32号）；</w:t>
      </w:r>
    </w:p>
    <w:p w14:paraId="20A43D42">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（12）《关于全面推广应用承插型盘扣式脚手架的通知》（杭建工发〔2021〕358</w:t>
      </w:r>
    </w:p>
    <w:p w14:paraId="7407450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号）；</w:t>
      </w:r>
    </w:p>
    <w:p w14:paraId="1207285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（13）《关于进一步规范建设工程建筑垃圾处置相关事项的通知》（杭建工〔2023〕</w:t>
      </w:r>
    </w:p>
    <w:p w14:paraId="1B32642C">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169号）；</w:t>
      </w:r>
    </w:p>
    <w:p w14:paraId="590F922F">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（14）《关于发布杭州市工程渣土消纳市场信息价的通知》（杭管执联〔2025〕1 号）</w:t>
      </w:r>
    </w:p>
    <w:p w14:paraId="09D8A227">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（15）《关于转发浙江省人力资源和社会保障厅等 6 部门关于印发〈实施“ 四实 ”管理全面深化工程建设领域劳动用工实名制改革方案（试行）〉的通知》（杭建市通知〔2025〕17 号）</w:t>
      </w:r>
    </w:p>
    <w:p w14:paraId="139C9F66">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（16）《杭州市城乡建设委员会等部门关于印发&lt;全市建设工程建筑垃圾源头管理一件事工作实施方案&gt;的通知》（杭建工〔2024〕123 号）</w:t>
      </w:r>
    </w:p>
    <w:p w14:paraId="5A053AE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（17）《杭州市城乡建设委员会等部门关于印发&lt;杭州市建设工程建筑垃圾减量化工作实施办法&gt;的通知》（杭建工〔2024〕124 号）</w:t>
      </w:r>
    </w:p>
    <w:p w14:paraId="559A204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（18）《杭州市人民政府办公厅关于进一步推进建筑垃圾长效管理的通知》（杭政办函〔2024〕41 号）</w:t>
      </w:r>
    </w:p>
    <w:p w14:paraId="6750F766">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（19）《关于在房屋建筑和市政基础设施工程中全面推广承插型盘扣式支撑体系的通知》（杭建工发〔2025〕135 号）</w:t>
      </w:r>
    </w:p>
    <w:p w14:paraId="070D306E">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（20）《在全市房建市政工程推广应用建筑垃圾综合综合利用产品的通知》（杭建工</w:t>
      </w: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（2025）118 号）</w:t>
      </w:r>
    </w:p>
    <w:p w14:paraId="2DCCFAA1">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（21）《浙江省住房和城乡建设厅关于浙江省建筑垃圾综合利用产品推广应用的实施意见》（浙建〔2023〕10 号）</w:t>
      </w:r>
    </w:p>
    <w:p w14:paraId="2828FA14">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（22）《杭州市综合行政执法局等部门关于印发《杭州市新能源工程渣土车推广应用支持政策（试行）》的通知》（杭综法〔2024〕54 号）</w:t>
      </w:r>
    </w:p>
    <w:p w14:paraId="4D05B5D0">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（23）《杭州市建筑垃圾管理条例》（杭州市第十四届人民代表大会常务委员会公告第 37 号）</w:t>
      </w:r>
    </w:p>
    <w:p w14:paraId="4FECF635">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（24）《浙江省住房和城乡建设厅关于印发&lt;浙江省深化建筑垃圾治理实施方案&gt;的通知》（浙建城管〔2025〕19 号）</w:t>
      </w:r>
    </w:p>
    <w:p w14:paraId="3E81F22C">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（25）《省建设厅关于开展建筑垃圾源头减量试点工作的通知》（浙建质函（2025）343 号）</w:t>
      </w:r>
    </w:p>
    <w:p w14:paraId="384EAF73">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（26）《省建设厅关于开展房屋市政工程建筑垃圾减量化专项治理行动的通知》（浙建质安函〔2025〕366 号）</w:t>
      </w:r>
    </w:p>
    <w:p w14:paraId="3A8359EF">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（27）《杭州市城乡建设委员会关于印发杭州市房建市政工程建筑垃圾源头减量试点工作方案的通知》（杭建工发〔2025〕307 号）</w:t>
      </w:r>
    </w:p>
    <w:p w14:paraId="409B013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（28）《关于进一步加快推进杭州市房屋建筑和市政基础设施工程价款结算的通知》</w:t>
      </w: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（杭建市发（2025）213号）</w:t>
      </w:r>
    </w:p>
    <w:p w14:paraId="38514C0D">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(29)其他： </w:t>
      </w:r>
    </w:p>
    <w:p w14:paraId="206D5E05">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《关于进一步加强建设工程安全质量物联网管理应用平台建设的通知》 (杭建工发【2012】426 号)；</w:t>
      </w:r>
    </w:p>
    <w:p w14:paraId="7698DF42">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《杭州市人民政府办公厅关于印发杭州市建设工程推广应用预拌砂浆管理办法的通知》(杭政办函（2011) 32 号）；</w:t>
      </w:r>
    </w:p>
    <w:p w14:paraId="1F151B5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《关于落实建筑工棚安装空调事宜的通知》（杭建工发〔2011〕237 号）；</w:t>
      </w:r>
    </w:p>
    <w:p w14:paraId="355CF90A">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《关于进一步明确杭州市建设工程优质工程增加费计取规定的通知》 （杭建市〔2012〕240 号）</w:t>
      </w:r>
    </w:p>
    <w:p w14:paraId="6C655E80">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建建发〔2018〕104 号《关于增值税调整后我省建设工程计价规则有关增值税税率及计价系数调整的通知》</w:t>
      </w:r>
    </w:p>
    <w:p w14:paraId="556159D8">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《杭州市建筑市场管理若干规定》（杭州市人民政府令第 277 号）；</w:t>
      </w:r>
    </w:p>
    <w:p w14:paraId="32732302">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《杭州市建设工程文明施工管理规定》（杭州市人民政府令第 278 号）；</w:t>
      </w:r>
    </w:p>
    <w:p w14:paraId="442D2FC2">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《关于明确市本级财政投资项目优质工程增加费计取规定的通知》（杭财建[2013]687 69 号）；</w:t>
      </w:r>
    </w:p>
    <w:p w14:paraId="7DDBA9C3">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《关于进一步规范建设工程建设垃圾处置相关事项的通知》 （杭建工（2023） 169号）；</w:t>
      </w:r>
    </w:p>
    <w:p w14:paraId="3302F8FF">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《杭州市人民政府办公厅关于进一步推进建筑垃圾长效管理的通知》 （杭政办函〔2024〕41 号）；</w:t>
      </w:r>
    </w:p>
    <w:p w14:paraId="04B1E38B">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营改增后的相关税收政策。</w:t>
      </w:r>
    </w:p>
    <w:p w14:paraId="5CE244F4">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其他相关中华人民共和国法律、行政法规、部门规章，以及工程所在地的地方性法规、自治条例、单行条例和地方政府规章等。</w:t>
      </w:r>
    </w:p>
    <w:p w14:paraId="235E03D7">
      <w:pPr>
        <w:autoSpaceDE w:val="0"/>
        <w:autoSpaceDN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省、市建设管理部门发布的规范性文件      </w:t>
      </w:r>
      <w:r>
        <w:rPr>
          <w:rFonts w:hint="eastAsia" w:ascii="宋体" w:hAnsi="宋体" w:cs="宋体"/>
          <w:color w:val="auto"/>
          <w:szCs w:val="21"/>
          <w:highlight w:val="none"/>
        </w:rPr>
        <w:t>。</w:t>
      </w:r>
    </w:p>
    <w:p w14:paraId="68C620B3">
      <w:pPr>
        <w:autoSpaceDE w:val="0"/>
        <w:autoSpaceDN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 标准和规范</w:t>
      </w:r>
    </w:p>
    <w:p w14:paraId="13E16BD1">
      <w:pPr>
        <w:snapToGrid w:val="0"/>
        <w:spacing w:line="360" w:lineRule="auto"/>
        <w:ind w:firstLine="420" w:firstLineChars="200"/>
        <w:rPr>
          <w:rFonts w:hint="eastAsia" w:ascii="宋体" w:hAnsi="宋体" w:cs="宋体"/>
          <w:b/>
          <w:snapToGrid w:val="0"/>
          <w:color w:val="auto"/>
          <w:kern w:val="0"/>
          <w:szCs w:val="21"/>
          <w:highlight w:val="none"/>
          <w:u w:val="single"/>
        </w:rPr>
      </w:pPr>
      <w:r>
        <w:rPr>
          <w:rFonts w:hint="eastAsia" w:ascii="宋体" w:hAnsi="宋体" w:cs="宋体"/>
          <w:snapToGrid w:val="0"/>
          <w:color w:val="auto"/>
          <w:kern w:val="0"/>
          <w:szCs w:val="21"/>
          <w:highlight w:val="none"/>
        </w:rPr>
        <w:t>1.4.1适用于工程的标准规范包括：</w:t>
      </w:r>
      <w:r>
        <w:rPr>
          <w:rFonts w:hint="eastAsia" w:ascii="宋体" w:hAnsi="宋体" w:cs="宋体"/>
          <w:b/>
          <w:snapToGrid w:val="0"/>
          <w:color w:val="auto"/>
          <w:kern w:val="0"/>
          <w:szCs w:val="21"/>
          <w:highlight w:val="none"/>
          <w:u w:val="single"/>
        </w:rPr>
        <w:t xml:space="preserve"> </w:t>
      </w:r>
      <w:r>
        <w:rPr>
          <w:rFonts w:hint="eastAsia" w:ascii="宋体" w:hAnsi="宋体" w:cs="宋体"/>
          <w:color w:val="auto"/>
          <w:szCs w:val="21"/>
          <w:highlight w:val="none"/>
          <w:u w:val="single"/>
        </w:rPr>
        <w:t>采用现行有效的适用于本工程的施工和验收标准、规范，包括《建设工程项目管理规范》（GB/T50326-2017），若不同标准和规范之间要求不一致的，以较高标准为优先</w:t>
      </w:r>
      <w:r>
        <w:rPr>
          <w:rFonts w:hint="eastAsia" w:ascii="宋体" w:hAnsi="宋体" w:cs="宋体"/>
          <w:b/>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rPr>
        <w:t>。</w:t>
      </w:r>
    </w:p>
    <w:p w14:paraId="49F1DCE9">
      <w:pPr>
        <w:snapToGrid w:val="0"/>
        <w:spacing w:line="360" w:lineRule="auto"/>
        <w:ind w:firstLine="420" w:firstLineChars="200"/>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1.4.2 发包人提供国外标准、规范的名称：</w:t>
      </w:r>
      <w:r>
        <w:rPr>
          <w:rFonts w:hint="eastAsia"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5EB4A205">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发包人提供国外标准、规范的份数：</w:t>
      </w:r>
      <w:r>
        <w:rPr>
          <w:rFonts w:hint="eastAsia"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52B88FAE">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发包人提供国外标准、规范的名称：</w:t>
      </w:r>
      <w:r>
        <w:rPr>
          <w:rFonts w:hint="eastAsia"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0D6CD557">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1.4.3发包人对工程的技术标准和功能要求的特殊要求：</w:t>
      </w:r>
      <w:r>
        <w:rPr>
          <w:rFonts w:hint="eastAsia"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234116E4">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1.5 合同文件的优先顺序</w:t>
      </w:r>
    </w:p>
    <w:p w14:paraId="1317E9B8">
      <w:pPr>
        <w:autoSpaceDE w:val="0"/>
        <w:autoSpaceDN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合同文件组成及优先顺序为：</w:t>
      </w:r>
    </w:p>
    <w:p w14:paraId="176DF6DC">
      <w:pPr>
        <w:autoSpaceDE w:val="0"/>
        <w:autoSpaceDN w:val="0"/>
        <w:snapToGrid w:val="0"/>
        <w:spacing w:line="360" w:lineRule="auto"/>
        <w:ind w:firstLine="417" w:firstLineChars="198"/>
        <w:jc w:val="left"/>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（1）合同协议书</w:t>
      </w:r>
      <w:r>
        <w:rPr>
          <w:rFonts w:hint="eastAsia" w:ascii="宋体" w:hAnsi="宋体" w:cs="宋体"/>
          <w:b/>
          <w:snapToGrid w:val="0"/>
          <w:color w:val="auto"/>
          <w:kern w:val="0"/>
          <w:szCs w:val="21"/>
          <w:highlight w:val="none"/>
        </w:rPr>
        <w:t>；</w:t>
      </w:r>
    </w:p>
    <w:p w14:paraId="70A4268B">
      <w:pPr>
        <w:autoSpaceDE w:val="0"/>
        <w:autoSpaceDN w:val="0"/>
        <w:snapToGrid w:val="0"/>
        <w:spacing w:line="360" w:lineRule="auto"/>
        <w:ind w:firstLine="417" w:firstLineChars="198"/>
        <w:jc w:val="left"/>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（2）成交通知书（或项目发承包基本情况表）</w:t>
      </w:r>
      <w:r>
        <w:rPr>
          <w:rFonts w:hint="eastAsia" w:ascii="宋体" w:hAnsi="宋体" w:cs="宋体"/>
          <w:b/>
          <w:snapToGrid w:val="0"/>
          <w:color w:val="auto"/>
          <w:kern w:val="0"/>
          <w:szCs w:val="21"/>
          <w:highlight w:val="none"/>
        </w:rPr>
        <w:t>；</w:t>
      </w:r>
    </w:p>
    <w:p w14:paraId="64678D6B">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（3）磋商响应文件及磋商记录（如果有）</w:t>
      </w:r>
      <w:r>
        <w:rPr>
          <w:rFonts w:hint="eastAsia" w:ascii="宋体" w:hAnsi="宋体" w:cs="宋体"/>
          <w:b/>
          <w:snapToGrid w:val="0"/>
          <w:color w:val="auto"/>
          <w:kern w:val="0"/>
          <w:szCs w:val="21"/>
          <w:highlight w:val="none"/>
        </w:rPr>
        <w:t>；</w:t>
      </w:r>
    </w:p>
    <w:p w14:paraId="73A92380">
      <w:pPr>
        <w:autoSpaceDE w:val="0"/>
        <w:autoSpaceDN w:val="0"/>
        <w:snapToGrid w:val="0"/>
        <w:spacing w:line="360" w:lineRule="auto"/>
        <w:ind w:firstLine="417" w:firstLineChars="198"/>
        <w:jc w:val="left"/>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（4）专用合同条款及其附件</w:t>
      </w:r>
      <w:r>
        <w:rPr>
          <w:rFonts w:hint="eastAsia" w:ascii="宋体" w:hAnsi="宋体" w:cs="宋体"/>
          <w:b/>
          <w:snapToGrid w:val="0"/>
          <w:color w:val="auto"/>
          <w:kern w:val="0"/>
          <w:szCs w:val="21"/>
          <w:highlight w:val="none"/>
        </w:rPr>
        <w:t>；</w:t>
      </w:r>
    </w:p>
    <w:p w14:paraId="3AC3D957">
      <w:pPr>
        <w:autoSpaceDE w:val="0"/>
        <w:autoSpaceDN w:val="0"/>
        <w:snapToGrid w:val="0"/>
        <w:spacing w:line="360" w:lineRule="auto"/>
        <w:ind w:firstLine="417" w:firstLineChars="198"/>
        <w:jc w:val="left"/>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（5）通用合同条款</w:t>
      </w:r>
      <w:r>
        <w:rPr>
          <w:rFonts w:hint="eastAsia" w:ascii="宋体" w:hAnsi="宋体" w:cs="宋体"/>
          <w:b/>
          <w:snapToGrid w:val="0"/>
          <w:color w:val="auto"/>
          <w:kern w:val="0"/>
          <w:szCs w:val="21"/>
          <w:highlight w:val="none"/>
        </w:rPr>
        <w:t>；</w:t>
      </w:r>
    </w:p>
    <w:p w14:paraId="0675B18E">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（6）技术标准和要求</w:t>
      </w:r>
      <w:r>
        <w:rPr>
          <w:rFonts w:hint="eastAsia" w:ascii="宋体" w:hAnsi="宋体" w:cs="宋体"/>
          <w:b/>
          <w:snapToGrid w:val="0"/>
          <w:color w:val="auto"/>
          <w:kern w:val="0"/>
          <w:szCs w:val="21"/>
          <w:highlight w:val="none"/>
        </w:rPr>
        <w:t>；</w:t>
      </w:r>
    </w:p>
    <w:p w14:paraId="6C294AFB">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（7）图纸（如有） ；</w:t>
      </w:r>
    </w:p>
    <w:p w14:paraId="072E7A72">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（8）已标价工程量清单或预算书</w:t>
      </w:r>
      <w:r>
        <w:rPr>
          <w:rFonts w:hint="eastAsia" w:ascii="宋体" w:hAnsi="宋体" w:cs="宋体"/>
          <w:b/>
          <w:snapToGrid w:val="0"/>
          <w:color w:val="auto"/>
          <w:kern w:val="0"/>
          <w:szCs w:val="21"/>
          <w:highlight w:val="none"/>
        </w:rPr>
        <w:t>；</w:t>
      </w:r>
    </w:p>
    <w:p w14:paraId="1D1C1340">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（9）其他合同文件</w:t>
      </w:r>
      <w:r>
        <w:rPr>
          <w:rFonts w:hint="eastAsia" w:ascii="宋体" w:hAnsi="宋体" w:cs="宋体"/>
          <w:b/>
          <w:snapToGrid w:val="0"/>
          <w:color w:val="auto"/>
          <w:kern w:val="0"/>
          <w:szCs w:val="21"/>
          <w:highlight w:val="none"/>
        </w:rPr>
        <w:t>：</w:t>
      </w:r>
    </w:p>
    <w:p w14:paraId="591B3BB1">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①施工组织设计</w:t>
      </w:r>
      <w:r>
        <w:rPr>
          <w:rFonts w:hint="eastAsia" w:ascii="宋体" w:hAnsi="宋体" w:cs="宋体"/>
          <w:b/>
          <w:snapToGrid w:val="0"/>
          <w:color w:val="auto"/>
          <w:kern w:val="0"/>
          <w:szCs w:val="21"/>
          <w:highlight w:val="none"/>
        </w:rPr>
        <w:t>；</w:t>
      </w:r>
    </w:p>
    <w:p w14:paraId="04CDCD0C">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 xml:space="preserve">②其他：响应文件、采购文件（含招标工程量清单）及招标答疑（如果有）、询标纪要（如果有）、变更联系单、会审纪要等双方认为应作为合同构成的其它文件。      </w:t>
      </w:r>
    </w:p>
    <w:p w14:paraId="663FED5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 图纸和承包人文件</w:t>
      </w:r>
      <w:r>
        <w:rPr>
          <w:rFonts w:hint="eastAsia" w:ascii="宋体" w:hAnsi="宋体" w:cs="宋体"/>
          <w:color w:val="auto"/>
          <w:szCs w:val="21"/>
          <w:highlight w:val="none"/>
        </w:rPr>
        <w:tab/>
      </w:r>
    </w:p>
    <w:p w14:paraId="3D822F3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图纸的提供</w:t>
      </w:r>
    </w:p>
    <w:p w14:paraId="4659A1A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b/>
          <w:color w:val="auto"/>
          <w:szCs w:val="21"/>
          <w:highlight w:val="none"/>
          <w:u w:val="single"/>
        </w:rPr>
        <w:t>施工合同签署后3日历天内提供，至迟不得晚于第7.3.2项〔开工通知〕载明的开工日期前3天向承包人提供图纸</w:t>
      </w:r>
      <w:r>
        <w:rPr>
          <w:rFonts w:hint="eastAsia" w:ascii="宋体" w:hAnsi="宋体" w:cs="宋体"/>
          <w:color w:val="auto"/>
          <w:szCs w:val="21"/>
          <w:highlight w:val="none"/>
        </w:rPr>
        <w:t>；</w:t>
      </w:r>
    </w:p>
    <w:p w14:paraId="779A58C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b/>
          <w:color w:val="auto"/>
          <w:szCs w:val="21"/>
          <w:highlight w:val="none"/>
          <w:u w:val="single"/>
        </w:rPr>
        <w:t>提供完整的施工图纸4套（已包括城建归档等竣工图）。承包人要求增加的，发包人可代为复制，复制费由承包人承担。标准图集由承包人自备</w:t>
      </w:r>
      <w:r>
        <w:rPr>
          <w:rFonts w:hint="eastAsia" w:ascii="宋体" w:hAnsi="宋体" w:cs="宋体"/>
          <w:color w:val="auto"/>
          <w:szCs w:val="21"/>
          <w:highlight w:val="none"/>
        </w:rPr>
        <w:t>；</w:t>
      </w:r>
    </w:p>
    <w:p w14:paraId="774BD7F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b/>
          <w:color w:val="auto"/>
          <w:szCs w:val="21"/>
          <w:highlight w:val="none"/>
          <w:u w:val="single"/>
        </w:rPr>
        <w:t>整套施工图纸</w:t>
      </w:r>
      <w:r>
        <w:rPr>
          <w:rFonts w:hint="eastAsia" w:ascii="宋体" w:hAnsi="宋体" w:cs="宋体"/>
          <w:color w:val="auto"/>
          <w:szCs w:val="21"/>
          <w:highlight w:val="none"/>
        </w:rPr>
        <w:t>。</w:t>
      </w:r>
    </w:p>
    <w:p w14:paraId="33A87E9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 承包人文件</w:t>
      </w:r>
    </w:p>
    <w:p w14:paraId="620D1D5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b/>
          <w:bCs/>
          <w:color w:val="auto"/>
          <w:szCs w:val="21"/>
          <w:highlight w:val="none"/>
          <w:u w:val="single"/>
        </w:rPr>
        <w:t>施工组织设计、详细的工期质量安全文明保证措施方案、施工总进度计划、资金使用计划表、工程形象进度报告、发包人（监理）和政府规定要求必须提供的其他文件</w:t>
      </w:r>
      <w:r>
        <w:rPr>
          <w:rFonts w:hint="eastAsia" w:ascii="宋体" w:hAnsi="宋体" w:cs="宋体"/>
          <w:color w:val="auto"/>
          <w:szCs w:val="21"/>
          <w:highlight w:val="none"/>
        </w:rPr>
        <w:t>；</w:t>
      </w:r>
    </w:p>
    <w:p w14:paraId="2C2AFB6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b/>
          <w:color w:val="auto"/>
          <w:szCs w:val="21"/>
          <w:highlight w:val="none"/>
          <w:u w:val="single"/>
        </w:rPr>
        <w:t>施工组织设计、施工总进度计划要求在发包人提供完整的施工图纸后3 天内提供，至迟不得晚于第7.3.2项〔开工通知〕载明的开工日期前3天；每月20日递交工程形象进度报告；发包人（或监理人）和政府规定要求必须提供的其他文件按发包人要求和政府相关规定时间提供</w:t>
      </w:r>
      <w:r>
        <w:rPr>
          <w:rFonts w:hint="eastAsia" w:ascii="宋体" w:hAnsi="宋体" w:cs="宋体"/>
          <w:color w:val="auto"/>
          <w:szCs w:val="21"/>
          <w:highlight w:val="none"/>
        </w:rPr>
        <w:t>；</w:t>
      </w:r>
    </w:p>
    <w:p w14:paraId="07FA863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b/>
          <w:color w:val="auto"/>
          <w:szCs w:val="21"/>
          <w:highlight w:val="none"/>
          <w:u w:val="single"/>
        </w:rPr>
        <w:t>一式伍份</w:t>
      </w:r>
      <w:r>
        <w:rPr>
          <w:rFonts w:hint="eastAsia" w:ascii="宋体" w:hAnsi="宋体" w:cs="宋体"/>
          <w:color w:val="auto"/>
          <w:szCs w:val="21"/>
          <w:highlight w:val="none"/>
        </w:rPr>
        <w:t>；</w:t>
      </w:r>
    </w:p>
    <w:p w14:paraId="30FCAF5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b/>
          <w:color w:val="auto"/>
          <w:szCs w:val="21"/>
          <w:highlight w:val="none"/>
          <w:u w:val="single"/>
        </w:rPr>
        <w:t>以书面形式提供，并按相关要求进行签字和盖章，若发包人要求提供对应电子文档的，应按要求提供电子文档</w:t>
      </w:r>
      <w:r>
        <w:rPr>
          <w:rFonts w:hint="eastAsia" w:ascii="宋体" w:hAnsi="宋体" w:cs="宋体"/>
          <w:color w:val="auto"/>
          <w:szCs w:val="21"/>
          <w:highlight w:val="none"/>
        </w:rPr>
        <w:t>；</w:t>
      </w:r>
    </w:p>
    <w:p w14:paraId="68E0A7D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b/>
          <w:color w:val="auto"/>
          <w:szCs w:val="21"/>
          <w:highlight w:val="none"/>
          <w:u w:val="single"/>
        </w:rPr>
        <w:t>监理人应在收到承包人文件后7天内审查完毕并报送发包人审核，发包人应在收到监理人报送的文件后7天内审查完毕；发包人和监理人对承包人文件若有异议的，承包人应予以修改，并进行重新报送。发包人和监理人的审查并不减轻或免除承包人根据合同约定应当承担的责任</w:t>
      </w:r>
      <w:r>
        <w:rPr>
          <w:rFonts w:hint="eastAsia" w:ascii="宋体" w:hAnsi="宋体" w:cs="宋体"/>
          <w:color w:val="auto"/>
          <w:szCs w:val="21"/>
          <w:highlight w:val="none"/>
        </w:rPr>
        <w:t>。</w:t>
      </w:r>
    </w:p>
    <w:p w14:paraId="0D9435F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14:paraId="09E6B0B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b/>
          <w:color w:val="auto"/>
          <w:szCs w:val="21"/>
          <w:highlight w:val="none"/>
          <w:u w:val="single"/>
        </w:rPr>
        <w:t>承包人应在施工现场办公室另外保存至少一套完整的图纸、设计变更联系单等，供发包人、监理人及有关人员进行工程检查时使用</w:t>
      </w:r>
      <w:r>
        <w:rPr>
          <w:rFonts w:hint="eastAsia" w:ascii="宋体" w:hAnsi="宋体" w:cs="宋体"/>
          <w:color w:val="auto"/>
          <w:szCs w:val="21"/>
          <w:highlight w:val="none"/>
        </w:rPr>
        <w:t>。</w:t>
      </w:r>
    </w:p>
    <w:p w14:paraId="7216964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 联络</w:t>
      </w:r>
    </w:p>
    <w:p w14:paraId="6790F3C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7</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3EE59B45">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b/>
          <w:color w:val="auto"/>
          <w:szCs w:val="21"/>
          <w:highlight w:val="none"/>
          <w:u w:val="single"/>
        </w:rPr>
        <w:t>发包人现场办公室</w:t>
      </w:r>
      <w:r>
        <w:rPr>
          <w:rFonts w:hint="eastAsia" w:ascii="宋体" w:hAnsi="宋体" w:cs="宋体"/>
          <w:color w:val="auto"/>
          <w:kern w:val="0"/>
          <w:szCs w:val="21"/>
          <w:highlight w:val="none"/>
        </w:rPr>
        <w:t>；</w:t>
      </w:r>
    </w:p>
    <w:p w14:paraId="09828ED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              </w:t>
      </w:r>
      <w:r>
        <w:rPr>
          <w:rFonts w:hint="eastAsia" w:ascii="宋体" w:hAnsi="宋体" w:cs="宋体"/>
          <w:color w:val="auto"/>
          <w:kern w:val="0"/>
          <w:szCs w:val="21"/>
          <w:highlight w:val="none"/>
        </w:rPr>
        <w:t>。</w:t>
      </w:r>
    </w:p>
    <w:p w14:paraId="70ADBF3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b/>
          <w:color w:val="auto"/>
          <w:szCs w:val="21"/>
          <w:highlight w:val="none"/>
          <w:u w:val="single"/>
        </w:rPr>
        <w:t>承包人现场办公室</w:t>
      </w:r>
      <w:r>
        <w:rPr>
          <w:rFonts w:hint="eastAsia" w:ascii="宋体" w:hAnsi="宋体" w:cs="宋体"/>
          <w:color w:val="auto"/>
          <w:kern w:val="0"/>
          <w:szCs w:val="21"/>
          <w:highlight w:val="none"/>
        </w:rPr>
        <w:t>；</w:t>
      </w:r>
    </w:p>
    <w:p w14:paraId="548D9245">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14:paraId="5631537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b/>
          <w:color w:val="auto"/>
          <w:szCs w:val="21"/>
          <w:highlight w:val="none"/>
          <w:u w:val="single"/>
        </w:rPr>
        <w:t>监理人现场办公室</w:t>
      </w:r>
      <w:r>
        <w:rPr>
          <w:rFonts w:hint="eastAsia" w:ascii="宋体" w:hAnsi="宋体" w:cs="宋体"/>
          <w:color w:val="auto"/>
          <w:kern w:val="0"/>
          <w:szCs w:val="21"/>
          <w:highlight w:val="none"/>
        </w:rPr>
        <w:t>；</w:t>
      </w:r>
    </w:p>
    <w:p w14:paraId="3D5C7D8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14:paraId="2048C12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 交通运输</w:t>
      </w:r>
    </w:p>
    <w:p w14:paraId="222764A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473" w:name="_Toc312677986"/>
      <w:bookmarkStart w:id="474" w:name="_Toc303539100"/>
      <w:bookmarkStart w:id="475" w:name="_Toc304295521"/>
      <w:bookmarkStart w:id="476" w:name="_Toc318581155"/>
      <w:bookmarkStart w:id="477" w:name="_Toc300934943"/>
      <w:r>
        <w:rPr>
          <w:rFonts w:hint="eastAsia" w:ascii="宋体" w:hAnsi="宋体" w:cs="宋体"/>
          <w:color w:val="auto"/>
          <w:szCs w:val="21"/>
          <w:highlight w:val="none"/>
        </w:rPr>
        <w:t>.10.1 出入现场的权利</w:t>
      </w:r>
    </w:p>
    <w:p w14:paraId="5C4CAF2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关于出入现场的权利的约定：</w:t>
      </w:r>
      <w:r>
        <w:rPr>
          <w:rFonts w:hint="eastAsia" w:ascii="宋体" w:hAnsi="宋体" w:cs="宋体"/>
          <w:b/>
          <w:color w:val="auto"/>
          <w:szCs w:val="21"/>
          <w:highlight w:val="none"/>
          <w:u w:val="single"/>
        </w:rPr>
        <w:t>由承包人负责铺设临时道路及出入工地的道口开设，费用纳入措施项目费中。遵照政府有关部门对施工场地交通的管理规定，按规定办理相关手续，费用由承包人负责，发包人给予配合。如承包人未及时办理有关手续而造成的罚款由承包人承担</w:t>
      </w:r>
      <w:r>
        <w:rPr>
          <w:rFonts w:hint="eastAsia" w:ascii="宋体" w:hAnsi="宋体" w:cs="宋体"/>
          <w:color w:val="auto"/>
          <w:szCs w:val="21"/>
          <w:highlight w:val="none"/>
        </w:rPr>
        <w:t>。</w:t>
      </w:r>
    </w:p>
    <w:bookmarkEnd w:id="473"/>
    <w:bookmarkEnd w:id="474"/>
    <w:bookmarkEnd w:id="475"/>
    <w:bookmarkEnd w:id="476"/>
    <w:bookmarkEnd w:id="477"/>
    <w:p w14:paraId="04E7971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478" w:name="_Toc318581156"/>
      <w:bookmarkStart w:id="479" w:name="_Toc304295522"/>
      <w:bookmarkStart w:id="480" w:name="_Toc300934944"/>
      <w:bookmarkStart w:id="481" w:name="_Toc303539101"/>
      <w:bookmarkStart w:id="482" w:name="_Toc312677987"/>
      <w:r>
        <w:rPr>
          <w:rFonts w:hint="eastAsia" w:ascii="宋体" w:hAnsi="宋体" w:cs="宋体"/>
          <w:color w:val="auto"/>
          <w:szCs w:val="21"/>
          <w:highlight w:val="none"/>
        </w:rPr>
        <w:t>.10.3 场内交通</w:t>
      </w:r>
    </w:p>
    <w:p w14:paraId="439C7B9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b/>
          <w:color w:val="auto"/>
          <w:szCs w:val="21"/>
          <w:highlight w:val="none"/>
          <w:u w:val="single"/>
        </w:rPr>
        <w:t>以施工现场为界，现场不提供临时场地，承包人施工需要场外借地的，其借地费用由承包人负责</w:t>
      </w:r>
      <w:r>
        <w:rPr>
          <w:rFonts w:hint="eastAsia" w:ascii="宋体" w:hAnsi="宋体" w:cs="宋体"/>
          <w:color w:val="auto"/>
          <w:szCs w:val="21"/>
          <w:highlight w:val="none"/>
        </w:rPr>
        <w:t>。</w:t>
      </w:r>
    </w:p>
    <w:p w14:paraId="653D293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b/>
          <w:color w:val="auto"/>
          <w:szCs w:val="21"/>
          <w:highlight w:val="none"/>
          <w:u w:val="single"/>
        </w:rPr>
        <w:t>遵照政府有关部门对施工场地交通、环卫和施工噪音的管理规定及物业规定，按规定办理相关手续，费用由承包人负责，发包人给予配合。如承包人未及时办理有关手续而造成的罚款由承包人承担</w:t>
      </w:r>
      <w:r>
        <w:rPr>
          <w:rFonts w:hint="eastAsia" w:ascii="宋体" w:hAnsi="宋体" w:cs="宋体"/>
          <w:color w:val="auto"/>
          <w:szCs w:val="21"/>
          <w:highlight w:val="none"/>
        </w:rPr>
        <w:t>。</w:t>
      </w:r>
      <w:bookmarkEnd w:id="478"/>
      <w:bookmarkEnd w:id="479"/>
      <w:bookmarkEnd w:id="480"/>
      <w:bookmarkEnd w:id="481"/>
      <w:bookmarkEnd w:id="482"/>
      <w:r>
        <w:rPr>
          <w:rFonts w:hint="eastAsia" w:ascii="宋体" w:hAnsi="宋体" w:cs="宋体"/>
          <w:color w:val="auto"/>
          <w:szCs w:val="21"/>
          <w:highlight w:val="none"/>
        </w:rPr>
        <w:t xml:space="preserve">  </w:t>
      </w:r>
      <w:bookmarkStart w:id="483" w:name="_Toc318581157"/>
    </w:p>
    <w:p w14:paraId="7662FE0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1.10.4超大件和超重件的运输</w:t>
      </w:r>
    </w:p>
    <w:p w14:paraId="4EB7D3E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b/>
          <w:color w:val="auto"/>
          <w:szCs w:val="21"/>
          <w:highlight w:val="none"/>
          <w:u w:val="single"/>
        </w:rPr>
        <w:t>承包人</w:t>
      </w:r>
      <w:r>
        <w:rPr>
          <w:rFonts w:hint="eastAsia" w:ascii="宋体" w:hAnsi="宋体" w:cs="宋体"/>
          <w:color w:val="auto"/>
          <w:szCs w:val="21"/>
          <w:highlight w:val="none"/>
        </w:rPr>
        <w:t>承担。</w:t>
      </w:r>
    </w:p>
    <w:bookmarkEnd w:id="483"/>
    <w:p w14:paraId="7D48B62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知识产权</w:t>
      </w:r>
    </w:p>
    <w:p w14:paraId="6980FEA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color w:val="auto"/>
          <w:szCs w:val="21"/>
          <w:highlight w:val="none"/>
          <w:u w:val="single"/>
        </w:rPr>
        <w:t>发包人</w:t>
      </w:r>
      <w:r>
        <w:rPr>
          <w:rFonts w:hint="eastAsia" w:ascii="宋体" w:hAnsi="宋体" w:cs="宋体"/>
          <w:color w:val="auto"/>
          <w:szCs w:val="21"/>
          <w:highlight w:val="none"/>
        </w:rPr>
        <w:t>。</w:t>
      </w:r>
    </w:p>
    <w:p w14:paraId="14B77DF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b/>
          <w:color w:val="auto"/>
          <w:szCs w:val="21"/>
          <w:highlight w:val="none"/>
          <w:u w:val="single"/>
        </w:rPr>
        <w:t>承包人应对发包人提供的全部资料文件进行保密，未经发包人书面同意不得以任何形式复制、披露、泄露、转让给任何第三方，或用于其他工程；否则应承担违约责任并赔偿发包人损失</w:t>
      </w:r>
      <w:r>
        <w:rPr>
          <w:rFonts w:hint="eastAsia" w:ascii="宋体" w:hAnsi="宋体" w:cs="宋体"/>
          <w:color w:val="auto"/>
          <w:szCs w:val="21"/>
          <w:highlight w:val="none"/>
        </w:rPr>
        <w:t>。</w:t>
      </w:r>
    </w:p>
    <w:p w14:paraId="5E68CA1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751CDDB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关于承包人提供的上述文件的使用限制的要求：</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6F73AD9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b/>
          <w:color w:val="auto"/>
          <w:szCs w:val="21"/>
          <w:highlight w:val="none"/>
          <w:u w:val="single"/>
        </w:rPr>
        <w:t>（除发包人指明外）承包人在施工过程中所采用的专利、专有技术、技术秘密的使用费包含在合同价款内</w:t>
      </w:r>
      <w:r>
        <w:rPr>
          <w:rFonts w:hint="eastAsia" w:ascii="宋体" w:hAnsi="宋体" w:cs="宋体"/>
          <w:color w:val="auto"/>
          <w:kern w:val="0"/>
          <w:szCs w:val="21"/>
          <w:highlight w:val="none"/>
        </w:rPr>
        <w:t>。</w:t>
      </w:r>
    </w:p>
    <w:p w14:paraId="43D8804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63BF1E8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b/>
          <w:color w:val="auto"/>
          <w:szCs w:val="21"/>
          <w:highlight w:val="none"/>
          <w:u w:val="single"/>
        </w:rPr>
        <w:t>是</w:t>
      </w:r>
      <w:r>
        <w:rPr>
          <w:rFonts w:hint="eastAsia" w:ascii="宋体" w:hAnsi="宋体" w:cs="宋体"/>
          <w:color w:val="auto"/>
          <w:kern w:val="0"/>
          <w:szCs w:val="21"/>
          <w:highlight w:val="none"/>
        </w:rPr>
        <w:t>。</w:t>
      </w:r>
    </w:p>
    <w:p w14:paraId="36040ED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r>
        <w:rPr>
          <w:rFonts w:hint="eastAsia" w:ascii="宋体" w:hAnsi="宋体" w:cs="宋体"/>
          <w:b/>
          <w:color w:val="auto"/>
          <w:szCs w:val="21"/>
          <w:highlight w:val="none"/>
          <w:u w:val="single"/>
        </w:rPr>
        <w:t>工程量按实调整</w:t>
      </w:r>
      <w:r>
        <w:rPr>
          <w:rFonts w:hint="eastAsia" w:ascii="宋体" w:hAnsi="宋体" w:cs="宋体"/>
          <w:color w:val="auto"/>
          <w:kern w:val="0"/>
          <w:szCs w:val="21"/>
          <w:highlight w:val="none"/>
        </w:rPr>
        <w:t>。</w:t>
      </w:r>
    </w:p>
    <w:p w14:paraId="54BA4577">
      <w:pPr>
        <w:tabs>
          <w:tab w:val="left" w:pos="864"/>
        </w:tabs>
        <w:snapToGrid w:val="0"/>
        <w:spacing w:line="360" w:lineRule="auto"/>
        <w:rPr>
          <w:rFonts w:hint="eastAsia" w:ascii="宋体" w:hAnsi="宋体" w:cs="宋体"/>
          <w:color w:val="auto"/>
          <w:szCs w:val="21"/>
          <w:highlight w:val="none"/>
        </w:rPr>
      </w:pPr>
      <w:bookmarkStart w:id="484" w:name="_Toc351203634"/>
      <w:r>
        <w:rPr>
          <w:rFonts w:hint="eastAsia" w:ascii="宋体" w:hAnsi="宋体" w:cs="宋体"/>
          <w:color w:val="auto"/>
          <w:szCs w:val="21"/>
          <w:highlight w:val="none"/>
        </w:rPr>
        <w:t>2</w:t>
      </w:r>
      <w:bookmarkStart w:id="485" w:name="_Toc297120457"/>
      <w:bookmarkStart w:id="486" w:name="_Toc292559362"/>
      <w:bookmarkStart w:id="487" w:name="_Toc296891197"/>
      <w:bookmarkStart w:id="488" w:name="_Toc292559867"/>
      <w:bookmarkStart w:id="489" w:name="_Toc296503157"/>
      <w:bookmarkStart w:id="490" w:name="_Toc296944496"/>
      <w:bookmarkStart w:id="491" w:name="_Toc297048343"/>
      <w:bookmarkStart w:id="492" w:name="_Toc296890985"/>
      <w:bookmarkStart w:id="493" w:name="_Toc296346658"/>
      <w:bookmarkStart w:id="494" w:name="_Toc296347156"/>
      <w:r>
        <w:rPr>
          <w:rFonts w:hint="eastAsia" w:ascii="宋体" w:hAnsi="宋体" w:cs="宋体"/>
          <w:color w:val="auto"/>
          <w:szCs w:val="21"/>
          <w:highlight w:val="none"/>
        </w:rPr>
        <w:t>. 发包人</w:t>
      </w:r>
      <w:bookmarkEnd w:id="484"/>
    </w:p>
    <w:bookmarkEnd w:id="485"/>
    <w:bookmarkEnd w:id="486"/>
    <w:bookmarkEnd w:id="487"/>
    <w:bookmarkEnd w:id="488"/>
    <w:bookmarkEnd w:id="489"/>
    <w:bookmarkEnd w:id="490"/>
    <w:bookmarkEnd w:id="491"/>
    <w:bookmarkEnd w:id="492"/>
    <w:bookmarkEnd w:id="493"/>
    <w:bookmarkEnd w:id="494"/>
    <w:p w14:paraId="0907CD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发包人代表</w:t>
      </w:r>
    </w:p>
    <w:p w14:paraId="0B688CC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发包人代表：</w:t>
      </w:r>
    </w:p>
    <w:p w14:paraId="44EE833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0D2CC0A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08E7A12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91F4BB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00A945F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78EDBFF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3EA3927">
      <w:pPr>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发包人对发包人代表的授权范围如下：</w:t>
      </w:r>
      <w:r>
        <w:rPr>
          <w:rFonts w:hint="eastAsia" w:ascii="宋体" w:hAnsi="宋体" w:cs="宋体"/>
          <w:b/>
          <w:color w:val="auto"/>
          <w:szCs w:val="21"/>
          <w:highlight w:val="none"/>
          <w:u w:val="single"/>
        </w:rPr>
        <w:t>代表发包人针对本工程做好管理、协调和监督工作，行使并履行本合同明确约定或合理推定的工程师的全部权力和职责，受理与其相关的所有通知、指示、同意、批准、证书、决定及其通讯联络。工程质量、进度、安全管理、设计变更及施工联系单签证、工程价款变更签证、工程价款的拨付等职能</w:t>
      </w:r>
      <w:r>
        <w:rPr>
          <w:rFonts w:hint="eastAsia" w:ascii="宋体" w:hAnsi="宋体" w:cs="宋体"/>
          <w:color w:val="auto"/>
          <w:szCs w:val="21"/>
          <w:highlight w:val="none"/>
        </w:rPr>
        <w:t>。</w:t>
      </w:r>
    </w:p>
    <w:p w14:paraId="5B9F6B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施工现场、施工条件和基础资料的提供</w:t>
      </w:r>
    </w:p>
    <w:p w14:paraId="0DDAC26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提供施工现场</w:t>
      </w:r>
    </w:p>
    <w:p w14:paraId="1C613D8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b/>
          <w:color w:val="auto"/>
          <w:szCs w:val="21"/>
          <w:highlight w:val="none"/>
          <w:u w:val="single"/>
        </w:rPr>
        <w:t>施工合同签署后3日历天内移交，最迟于开工日期3天前向承包人移交施工现场</w:t>
      </w:r>
      <w:r>
        <w:rPr>
          <w:rFonts w:hint="eastAsia" w:ascii="宋体" w:hAnsi="宋体" w:cs="宋体"/>
          <w:color w:val="auto"/>
          <w:szCs w:val="21"/>
          <w:highlight w:val="none"/>
        </w:rPr>
        <w:t>。</w:t>
      </w:r>
    </w:p>
    <w:p w14:paraId="5982B99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14:paraId="0716A3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关于发包人应负责提供施工所需要的条件，包括：</w:t>
      </w:r>
    </w:p>
    <w:p w14:paraId="0A81E6C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bCs/>
          <w:color w:val="auto"/>
          <w:szCs w:val="21"/>
          <w:highlight w:val="none"/>
        </w:rPr>
        <w:t>（1）</w:t>
      </w:r>
      <w:r>
        <w:rPr>
          <w:rFonts w:hint="eastAsia" w:ascii="宋体" w:hAnsi="宋体" w:cs="宋体"/>
          <w:b/>
          <w:color w:val="auto"/>
          <w:szCs w:val="21"/>
          <w:highlight w:val="none"/>
          <w:u w:val="single"/>
        </w:rPr>
        <w:t>水、电、通讯条件：施工现场水电安装费、驳接费及施工用水用电费用由承包人自行承担；电讯由承包人自行解决，所产生的费用自理。承包人应自行考虑并解决，如驳接距离远而产生的用电损耗、地方政府限电断电等类似情况的发生，采取相应措施（如自备发电设备或外部借电等）以保证施工的正常进行，上述相关费用均计入项目措施费中，中标后不再作调整。</w:t>
      </w:r>
    </w:p>
    <w:p w14:paraId="34803FC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（2）交通条件：现已开通，公共道路与施工场地的连接通道由承包人自行对接，并承担相关费用，中标后不再作调整。承包人还应遵守杭州市交通管理部门限制通行的有关规定。</w:t>
      </w:r>
    </w:p>
    <w:p w14:paraId="371BB86B">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（3）图纸会审和设计交底时间:开工日3天前，由发包人组织设计人、承包人、监理人进行图纸会审，设计人向承包人进行设计交底</w:t>
      </w:r>
      <w:r>
        <w:rPr>
          <w:rFonts w:hint="eastAsia" w:ascii="宋体" w:hAnsi="宋体" w:cs="宋体"/>
          <w:color w:val="auto"/>
          <w:szCs w:val="21"/>
          <w:highlight w:val="none"/>
        </w:rPr>
        <w:t>。</w:t>
      </w:r>
    </w:p>
    <w:p w14:paraId="3D7EB5C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 资金来源证明及支付担保</w:t>
      </w:r>
    </w:p>
    <w:p w14:paraId="410FF25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b/>
          <w:color w:val="auto"/>
          <w:szCs w:val="21"/>
          <w:highlight w:val="none"/>
          <w:u w:val="single"/>
        </w:rPr>
        <w:t>按通用条款约定</w:t>
      </w:r>
      <w:r>
        <w:rPr>
          <w:rFonts w:hint="eastAsia" w:ascii="宋体" w:hAnsi="宋体" w:cs="宋体"/>
          <w:color w:val="auto"/>
          <w:szCs w:val="21"/>
          <w:highlight w:val="none"/>
        </w:rPr>
        <w:t>。</w:t>
      </w:r>
    </w:p>
    <w:p w14:paraId="1BD036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b/>
          <w:color w:val="auto"/>
          <w:szCs w:val="21"/>
          <w:highlight w:val="none"/>
          <w:u w:val="single"/>
        </w:rPr>
        <w:t>否</w:t>
      </w:r>
      <w:r>
        <w:rPr>
          <w:rFonts w:hint="eastAsia" w:ascii="宋体" w:hAnsi="宋体" w:cs="宋体"/>
          <w:color w:val="auto"/>
          <w:szCs w:val="21"/>
          <w:highlight w:val="none"/>
        </w:rPr>
        <w:t>。</w:t>
      </w:r>
    </w:p>
    <w:p w14:paraId="1DDA63C6">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E3270EE">
      <w:pPr>
        <w:tabs>
          <w:tab w:val="left" w:pos="864"/>
        </w:tabs>
        <w:snapToGrid w:val="0"/>
        <w:spacing w:line="360" w:lineRule="auto"/>
        <w:rPr>
          <w:rFonts w:hint="eastAsia" w:ascii="宋体" w:hAnsi="宋体" w:cs="宋体"/>
          <w:color w:val="auto"/>
          <w:szCs w:val="21"/>
          <w:highlight w:val="none"/>
        </w:rPr>
      </w:pPr>
      <w:bookmarkStart w:id="495" w:name="_Toc351203635"/>
      <w:r>
        <w:rPr>
          <w:rFonts w:hint="eastAsia" w:ascii="宋体" w:hAnsi="宋体" w:cs="宋体"/>
          <w:color w:val="auto"/>
          <w:szCs w:val="21"/>
          <w:highlight w:val="none"/>
        </w:rPr>
        <w:t>3</w:t>
      </w:r>
      <w:bookmarkStart w:id="496" w:name="_Toc292559363"/>
      <w:bookmarkStart w:id="497" w:name="_Toc296346659"/>
      <w:bookmarkStart w:id="498" w:name="_Toc296944497"/>
      <w:bookmarkStart w:id="499" w:name="_Toc297120458"/>
      <w:bookmarkStart w:id="500" w:name="_Toc296890986"/>
      <w:bookmarkStart w:id="501" w:name="_Toc296891198"/>
      <w:bookmarkStart w:id="502" w:name="_Toc296347157"/>
      <w:bookmarkStart w:id="503" w:name="_Toc297048344"/>
      <w:bookmarkStart w:id="504" w:name="_Toc292559868"/>
      <w:bookmarkStart w:id="505" w:name="_Toc296503158"/>
      <w:r>
        <w:rPr>
          <w:rFonts w:hint="eastAsia" w:ascii="宋体" w:hAnsi="宋体" w:cs="宋体"/>
          <w:color w:val="auto"/>
          <w:szCs w:val="21"/>
          <w:highlight w:val="none"/>
        </w:rPr>
        <w:t>. 承包人</w:t>
      </w:r>
      <w:bookmarkEnd w:id="495"/>
    </w:p>
    <w:bookmarkEnd w:id="496"/>
    <w:bookmarkEnd w:id="497"/>
    <w:bookmarkEnd w:id="498"/>
    <w:bookmarkEnd w:id="499"/>
    <w:bookmarkEnd w:id="500"/>
    <w:bookmarkEnd w:id="501"/>
    <w:bookmarkEnd w:id="502"/>
    <w:bookmarkEnd w:id="503"/>
    <w:bookmarkEnd w:id="504"/>
    <w:bookmarkEnd w:id="505"/>
    <w:p w14:paraId="502337A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承包人的一般义务</w:t>
      </w:r>
    </w:p>
    <w:p w14:paraId="721B99D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承包人递交的竣工资料的内容：</w:t>
      </w:r>
      <w:r>
        <w:rPr>
          <w:rFonts w:hint="eastAsia" w:ascii="宋体" w:hAnsi="宋体" w:cs="宋体"/>
          <w:b/>
          <w:color w:val="auto"/>
          <w:szCs w:val="21"/>
          <w:highlight w:val="none"/>
          <w:u w:val="single"/>
        </w:rPr>
        <w:t>按GB/T 50328—2014、JGJ／T185-2009、杭建办发〔2013〕153 号及杭州市城建档案馆资料归档要求</w:t>
      </w:r>
      <w:r>
        <w:rPr>
          <w:rFonts w:hint="eastAsia" w:ascii="宋体" w:hAnsi="宋体" w:cs="宋体"/>
          <w:color w:val="auto"/>
          <w:szCs w:val="21"/>
          <w:highlight w:val="none"/>
        </w:rPr>
        <w:t>。</w:t>
      </w:r>
    </w:p>
    <w:p w14:paraId="27E9136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承包人需要递交的竣工资料套数：</w:t>
      </w:r>
      <w:r>
        <w:rPr>
          <w:rFonts w:hint="eastAsia" w:ascii="宋体" w:hAnsi="宋体" w:cs="宋体"/>
          <w:b/>
          <w:color w:val="auto"/>
          <w:szCs w:val="21"/>
          <w:highlight w:val="none"/>
          <w:u w:val="single"/>
        </w:rPr>
        <w:t>一式四套，含工程施工过程的声像资料一套及电子版竣工图一套</w:t>
      </w:r>
      <w:r>
        <w:rPr>
          <w:rFonts w:hint="eastAsia" w:ascii="宋体" w:hAnsi="宋体" w:cs="宋体"/>
          <w:color w:val="auto"/>
          <w:szCs w:val="21"/>
          <w:highlight w:val="none"/>
        </w:rPr>
        <w:t>。</w:t>
      </w:r>
    </w:p>
    <w:p w14:paraId="339A8261">
      <w:pPr>
        <w:snapToGrid w:val="0"/>
        <w:spacing w:line="360" w:lineRule="auto"/>
        <w:ind w:left="638" w:leftChars="304"/>
        <w:jc w:val="left"/>
        <w:rPr>
          <w:rFonts w:hint="eastAsia" w:ascii="宋体" w:hAnsi="宋体" w:cs="宋体"/>
          <w:color w:val="auto"/>
          <w:szCs w:val="21"/>
          <w:highlight w:val="none"/>
        </w:rPr>
      </w:pPr>
      <w:r>
        <w:rPr>
          <w:rFonts w:hint="eastAsia" w:ascii="宋体" w:hAnsi="宋体" w:cs="宋体"/>
          <w:color w:val="auto"/>
          <w:szCs w:val="21"/>
          <w:highlight w:val="none"/>
        </w:rPr>
        <w:t>承包人递交的竣工资料的费用承担：</w:t>
      </w:r>
      <w:r>
        <w:rPr>
          <w:rFonts w:hint="eastAsia" w:ascii="宋体" w:hAnsi="宋体" w:cs="宋体"/>
          <w:b/>
          <w:color w:val="auto"/>
          <w:szCs w:val="21"/>
          <w:highlight w:val="none"/>
          <w:u w:val="single"/>
        </w:rPr>
        <w:t>全部由承包人承担（包括因竣工资料不符合招标人、监理、城建档案管及其他有关部门要求，而产生的资料整理和整改费用）</w:t>
      </w:r>
      <w:r>
        <w:rPr>
          <w:rFonts w:hint="eastAsia" w:ascii="宋体" w:hAnsi="宋体" w:cs="宋体"/>
          <w:color w:val="auto"/>
          <w:szCs w:val="21"/>
          <w:highlight w:val="none"/>
        </w:rPr>
        <w:t>。</w:t>
      </w:r>
    </w:p>
    <w:p w14:paraId="498897E8">
      <w:pPr>
        <w:snapToGrid w:val="0"/>
        <w:spacing w:line="360" w:lineRule="auto"/>
        <w:ind w:left="638" w:leftChars="304"/>
        <w:jc w:val="left"/>
        <w:rPr>
          <w:rFonts w:hint="eastAsia" w:ascii="宋体" w:hAnsi="宋体" w:cs="宋体"/>
          <w:color w:val="auto"/>
          <w:szCs w:val="21"/>
          <w:highlight w:val="none"/>
        </w:rPr>
      </w:pPr>
      <w:r>
        <w:rPr>
          <w:rFonts w:hint="eastAsia" w:ascii="宋体" w:hAnsi="宋体" w:cs="宋体"/>
          <w:color w:val="auto"/>
          <w:szCs w:val="21"/>
          <w:highlight w:val="none"/>
        </w:rPr>
        <w:t>承包人递交的竣工资料移交时间：</w:t>
      </w:r>
      <w:r>
        <w:rPr>
          <w:rFonts w:hint="eastAsia" w:ascii="宋体" w:hAnsi="宋体" w:cs="宋体"/>
          <w:b/>
          <w:color w:val="auto"/>
          <w:szCs w:val="21"/>
          <w:highlight w:val="none"/>
          <w:u w:val="single"/>
        </w:rPr>
        <w:t>工程竣工验收合格后30日历天内</w:t>
      </w:r>
      <w:r>
        <w:rPr>
          <w:rFonts w:hint="eastAsia" w:ascii="宋体" w:hAnsi="宋体" w:cs="宋体"/>
          <w:color w:val="auto"/>
          <w:szCs w:val="21"/>
          <w:highlight w:val="none"/>
        </w:rPr>
        <w:t>。</w:t>
      </w:r>
    </w:p>
    <w:p w14:paraId="183882D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承包人递交的竣工资料形式要求：</w:t>
      </w:r>
      <w:r>
        <w:rPr>
          <w:rFonts w:hint="eastAsia" w:ascii="宋体" w:hAnsi="宋体" w:cs="宋体"/>
          <w:b/>
          <w:color w:val="auto"/>
          <w:szCs w:val="21"/>
          <w:highlight w:val="none"/>
          <w:u w:val="single"/>
        </w:rPr>
        <w:t>按GB/T 50328—2014、JGJ／T185-2009、杭建办发〔2013〕153 号及杭州市城建档案馆资料归档要求</w:t>
      </w:r>
      <w:r>
        <w:rPr>
          <w:rFonts w:hint="eastAsia" w:ascii="宋体" w:hAnsi="宋体" w:cs="宋体"/>
          <w:color w:val="auto"/>
          <w:szCs w:val="21"/>
          <w:highlight w:val="none"/>
        </w:rPr>
        <w:t>。</w:t>
      </w:r>
    </w:p>
    <w:p w14:paraId="4B011B1F">
      <w:pPr>
        <w:numPr>
          <w:ilvl w:val="0"/>
          <w:numId w:val="1"/>
        </w:num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承包人应履行的其他义务：</w:t>
      </w:r>
    </w:p>
    <w:p w14:paraId="047A4F01">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承包人应农名工工资管理按照杭州市相关文件执行。</w:t>
      </w:r>
    </w:p>
    <w:p w14:paraId="63358B90">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应当在工程项目部配备劳资专管员，对分包单位劳动用工实施监督管理。实行分包单位农民工工资委托施工总承包单位代发制度。承包人应当按照与农民工依法约定的工资支付周期和具体支付日期支付工资，且每月至少向农民工足额支付一次工资。</w:t>
      </w:r>
    </w:p>
    <w:p w14:paraId="183807F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应当在施工现场醒目位置设立维权信息告示牌，明示：（1）建设单位、施工总承包单位及所在项目部、分包单位、行业监管部门、劳资专管员等基本信息；（2）劳动用工相关法律法规、当地最低工资标准、工资支付日期等基本信息；（3）属地行业监管部门和劳动保障监察投诉举报电话、劳动争议调解仲裁申请渠道等信息。</w:t>
      </w:r>
    </w:p>
    <w:p w14:paraId="3896D48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承包人应规范建筑垃圾处置分包合同管理，建筑垃圾运输业务应当发包给本工程建筑垃圾处置证核准确定的运输单位。</w:t>
      </w:r>
    </w:p>
    <w:p w14:paraId="0D64A05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承包人负责根据施工合同约定和相关法律法规要求，编制工程建筑垃圾处置方案，向项目所在地城管部门进行备案，并在工地出入口做好公示及日常维护工作。</w:t>
      </w:r>
    </w:p>
    <w:p w14:paraId="68687DF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要加强建筑垃圾处置分包合同履约监管，严格核对建筑垃圾运输车辆，对不具备垃圾处置证、准运证、通行证的工程车辆，要及时清退。杜绝运输单位将建筑垃圾运输至非指定消纳场所，确保运输和处置规范。</w:t>
      </w:r>
    </w:p>
    <w:p w14:paraId="0BB4CAA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承包人与运输、处置单位结算相关费用前应当查验接纳回执。</w:t>
      </w:r>
    </w:p>
    <w:p w14:paraId="31CEB69E">
      <w:pPr>
        <w:spacing w:line="360" w:lineRule="auto"/>
        <w:ind w:left="420" w:left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同时按约定时间和要求，完成以下工作（费用列入投标总价）</w:t>
      </w:r>
    </w:p>
    <w:p w14:paraId="62409859">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1)承包人领取中标通知书后，需立即组织施工机械和人员进场，在最短的时间内（7天内进场）做好开工准备开始施工，如不能如期进场施工，造成工期的拖延，由此产生的经济损失，由承包人承担。</w:t>
      </w:r>
    </w:p>
    <w:p w14:paraId="63217D1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2)承包人按政府建设主管部门规定办理各项开工准备工作，密切配合发包人办理相关许可证和质安监报监手续等。</w:t>
      </w:r>
    </w:p>
    <w:p w14:paraId="16C82D9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3)承包人须自行解决由于施工原因造成的邻里纠纷，并承担相关费用。</w:t>
      </w:r>
    </w:p>
    <w:p w14:paraId="18893AEB">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u w:val="single"/>
        </w:rPr>
        <w:t>4)协助发包人协调处理好施工过程中发生的其他相关问题</w:t>
      </w:r>
      <w:r>
        <w:rPr>
          <w:rFonts w:hint="eastAsia" w:ascii="宋体" w:hAnsi="宋体" w:cs="宋体"/>
          <w:color w:val="auto"/>
          <w:szCs w:val="21"/>
          <w:highlight w:val="none"/>
        </w:rPr>
        <w:t>。</w:t>
      </w:r>
    </w:p>
    <w:p w14:paraId="63A60D0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项目经理</w:t>
      </w:r>
    </w:p>
    <w:p w14:paraId="744EC69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0D24A0A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1335FB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AEBA26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CC3439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6A047B0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48EFA11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C04C7E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4E74BD4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F8D617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DE21AC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承包人对项目经理的授权范围如下：</w:t>
      </w:r>
      <w:r>
        <w:rPr>
          <w:rFonts w:hint="eastAsia" w:ascii="宋体" w:hAnsi="宋体" w:cs="宋体"/>
          <w:b/>
          <w:color w:val="auto"/>
          <w:szCs w:val="21"/>
          <w:highlight w:val="none"/>
          <w:u w:val="single"/>
        </w:rPr>
        <w:t>代表承包人全面负责本工程的质量、安全、工期及成本控制，做好本工程施工管理、协调和监督工作，行使并履行本合同明确约定或合理推定的工程师的全部权力和职责，受理与其相关的所有通知、指示、同意、批准、证书、决定及其通讯联络</w:t>
      </w:r>
      <w:r>
        <w:rPr>
          <w:rFonts w:hint="eastAsia" w:ascii="宋体" w:hAnsi="宋体" w:cs="宋体"/>
          <w:color w:val="auto"/>
          <w:szCs w:val="21"/>
          <w:highlight w:val="none"/>
        </w:rPr>
        <w:t>。</w:t>
      </w:r>
    </w:p>
    <w:p w14:paraId="062A35D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b/>
          <w:color w:val="auto"/>
          <w:szCs w:val="21"/>
          <w:highlight w:val="none"/>
          <w:u w:val="single"/>
        </w:rPr>
        <w:t>项目负责人每月到位率为   %(以磋商响应文件承诺为准)及以上（每月按    天，每天按8小时计），重要施工工序或环节时项目负责人等重要人员必须到场</w:t>
      </w:r>
      <w:r>
        <w:rPr>
          <w:rFonts w:hint="eastAsia" w:ascii="宋体" w:hAnsi="宋体" w:cs="宋体"/>
          <w:color w:val="auto"/>
          <w:szCs w:val="21"/>
          <w:highlight w:val="none"/>
        </w:rPr>
        <w:t>。</w:t>
      </w:r>
    </w:p>
    <w:p w14:paraId="1C5F272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承包人未递交劳动合同，以及没有为项目经理缴纳社会保险证明的违约责任：</w:t>
      </w:r>
      <w:r>
        <w:rPr>
          <w:rFonts w:hint="eastAsia" w:ascii="宋体" w:hAnsi="宋体" w:cs="宋体"/>
          <w:b/>
          <w:color w:val="auto"/>
          <w:szCs w:val="21"/>
          <w:highlight w:val="none"/>
          <w:u w:val="single"/>
        </w:rPr>
        <w:t>发包人责令承包人立即改正，并扣减承包人5000元的违约金。上述违约金直接在工程款中扣除，最终以结算审定金额为准。由上述原因造成工程费用和工期增加的，均由承包人承担</w:t>
      </w:r>
      <w:r>
        <w:rPr>
          <w:rFonts w:hint="eastAsia" w:ascii="宋体" w:hAnsi="宋体" w:cs="宋体"/>
          <w:color w:val="auto"/>
          <w:szCs w:val="21"/>
          <w:highlight w:val="none"/>
        </w:rPr>
        <w:t>。</w:t>
      </w:r>
    </w:p>
    <w:p w14:paraId="096E0506">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b/>
          <w:color w:val="auto"/>
          <w:szCs w:val="21"/>
          <w:highlight w:val="none"/>
          <w:u w:val="single"/>
        </w:rPr>
        <w:t>项目负责人按月到位率达不到合同约定比例的，扣减承包人5000元违约金。项目负责人无故缺席或迟到重要施工工序、环节、会议的，发包人有权视情节严重程度处以1000元/次的违约扣款，如因缺席迟到原因导致对相关重要内容不了解，其后果由承包人自负。上述所有违约金直接在当次工程款中扣除，最终以结算审定金额为准。由上述原因造成工程费用和工期增加的，均由承包人承担</w:t>
      </w:r>
      <w:r>
        <w:rPr>
          <w:rFonts w:hint="eastAsia" w:ascii="宋体" w:hAnsi="宋体" w:cs="宋体"/>
          <w:color w:val="auto"/>
          <w:szCs w:val="21"/>
          <w:highlight w:val="none"/>
        </w:rPr>
        <w:t>。</w:t>
      </w:r>
    </w:p>
    <w:p w14:paraId="5CC362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b/>
          <w:color w:val="auto"/>
          <w:szCs w:val="21"/>
          <w:highlight w:val="none"/>
          <w:u w:val="single"/>
        </w:rPr>
        <w:t>不允许承包人更换项目负责人，如因特殊情况确需更换项目负责人的，需报发包人、建设主管部门和招投标监督管理部门批准后，方可予以更换。承包人未按上述约定擅自更换项目负责人的视为承包人违约，并按1万元/人/次扣减承包人违约金。上述违约金直接在当次工程款中扣除，最终以结算审定金额为准</w:t>
      </w:r>
      <w:r>
        <w:rPr>
          <w:rFonts w:hint="eastAsia" w:ascii="宋体" w:hAnsi="宋体" w:cs="宋体"/>
          <w:color w:val="auto"/>
          <w:szCs w:val="21"/>
          <w:highlight w:val="none"/>
        </w:rPr>
        <w:t>。</w:t>
      </w:r>
    </w:p>
    <w:p w14:paraId="4EA06F0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3.2.4 承包人无正当理由拒绝更换项目经理的违约责任：</w:t>
      </w:r>
      <w:r>
        <w:rPr>
          <w:rFonts w:hint="eastAsia" w:ascii="宋体" w:hAnsi="宋体" w:cs="宋体"/>
          <w:b/>
          <w:color w:val="auto"/>
          <w:szCs w:val="21"/>
          <w:highlight w:val="none"/>
          <w:u w:val="single"/>
        </w:rPr>
        <w:t>按10000元/人/次承担违约金，上述违约金直接在当次工程款中扣除，最终以结算审定金额为准</w:t>
      </w:r>
      <w:r>
        <w:rPr>
          <w:rFonts w:hint="eastAsia" w:ascii="宋体" w:hAnsi="宋体" w:cs="宋体"/>
          <w:color w:val="auto"/>
          <w:szCs w:val="21"/>
          <w:highlight w:val="none"/>
        </w:rPr>
        <w:t>。</w:t>
      </w:r>
    </w:p>
    <w:p w14:paraId="7BD168E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2BB2CA6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承包人递交项目管理机构及施工现场管理人员安排报告的期限：</w:t>
      </w:r>
      <w:r>
        <w:rPr>
          <w:rFonts w:hint="eastAsia" w:ascii="宋体" w:hAnsi="宋体" w:cs="宋体"/>
          <w:b/>
          <w:color w:val="auto"/>
          <w:szCs w:val="21"/>
          <w:highlight w:val="none"/>
          <w:u w:val="single"/>
        </w:rPr>
        <w:t>承包人应在施工合同签署后7日历天内按合同文件（投标承诺）提供项目管理机构及施工现场管理人员安排报告。承包人实际到位的主要管理人员与合同文件（投标承诺）不一致时，发包人有权要求承包方承担5000元的违约金，若确需调换部分人员的，必须征得发包人的书面认同；若未经同意擅自调换，发包人有权终止合同并追究其违约责任</w:t>
      </w:r>
      <w:r>
        <w:rPr>
          <w:rFonts w:hint="eastAsia" w:ascii="宋体" w:hAnsi="宋体" w:cs="宋体"/>
          <w:color w:val="auto"/>
          <w:szCs w:val="21"/>
          <w:highlight w:val="none"/>
        </w:rPr>
        <w:t>。</w:t>
      </w:r>
    </w:p>
    <w:p w14:paraId="050A97F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b/>
          <w:color w:val="auto"/>
          <w:szCs w:val="21"/>
          <w:highlight w:val="none"/>
          <w:u w:val="single"/>
        </w:rPr>
        <w:t>承包人以下人员，经监理提出，发包人同意，必须在3天内调离本工程范围，否则承包人应按1000元/人/次承担违约金；同时，承包人应在3天内用发包人批准的合格的人员代替上述调离的人员。上述违约金直接在当次工程款中扣除，最终以结算审定金额为准</w:t>
      </w:r>
      <w:r>
        <w:rPr>
          <w:rFonts w:hint="eastAsia" w:ascii="宋体" w:hAnsi="宋体" w:cs="宋体"/>
          <w:color w:val="auto"/>
          <w:szCs w:val="21"/>
          <w:highlight w:val="none"/>
        </w:rPr>
        <w:t>。</w:t>
      </w:r>
    </w:p>
    <w:p w14:paraId="0274EFCC">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b/>
          <w:color w:val="auto"/>
          <w:szCs w:val="21"/>
          <w:highlight w:val="none"/>
          <w:u w:val="single"/>
        </w:rPr>
        <w:t>主要施工管理人员到位率要求在90%（含）及以上，以日历天为计算基数。承包人应在主要施工管理人员离场前24小时前，向监理人递交书面离场申请（还应注明临时代行人员情况及其职责范围），并征得发包人书面同意后，方可离场</w:t>
      </w:r>
      <w:r>
        <w:rPr>
          <w:rFonts w:hint="eastAsia" w:ascii="宋体" w:hAnsi="宋体" w:cs="宋体"/>
          <w:color w:val="auto"/>
          <w:szCs w:val="21"/>
          <w:highlight w:val="none"/>
        </w:rPr>
        <w:t>。</w:t>
      </w:r>
    </w:p>
    <w:p w14:paraId="5B200B6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3.3.5承包人擅自更换主要施工管理人员的违约责任：</w:t>
      </w:r>
      <w:r>
        <w:rPr>
          <w:rFonts w:hint="eastAsia" w:ascii="宋体" w:hAnsi="宋体" w:cs="宋体"/>
          <w:b/>
          <w:color w:val="auto"/>
          <w:szCs w:val="21"/>
          <w:highlight w:val="none"/>
          <w:u w:val="single"/>
        </w:rPr>
        <w:t>不允许承包人更换主要施工管理人员，如因特殊情况确需更换的，须经发包人同意并备案。承包人未按上述约定擅自更换主要施工管理人员的视为承包人违约，承包人应按1000元/人/次承担违约金。上述违约金直接在当次工程款中扣除，最终以结算审定金额为准</w:t>
      </w:r>
      <w:r>
        <w:rPr>
          <w:rFonts w:hint="eastAsia" w:ascii="宋体" w:hAnsi="宋体" w:cs="宋体"/>
          <w:color w:val="auto"/>
          <w:szCs w:val="21"/>
          <w:highlight w:val="none"/>
        </w:rPr>
        <w:t>。</w:t>
      </w:r>
    </w:p>
    <w:p w14:paraId="77621AE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b/>
          <w:color w:val="auto"/>
          <w:szCs w:val="21"/>
          <w:highlight w:val="none"/>
          <w:u w:val="single"/>
        </w:rPr>
        <w:t>发包人将扣减承包人1000元/人的违约金；主要施工管理人员无故缺席或迟到重要施工工序、环节、会议的，承包人应按1000元/次/人承担违约金，如因缺席迟到原因导致对相关重要内容不了解，其后果由承包人自负。上述所有违约金直接在当次工程款中扣除，最终以结算审定金额为准。由上述原因造成工程费用和工期增加的，均由承包人承担</w:t>
      </w:r>
      <w:r>
        <w:rPr>
          <w:rFonts w:hint="eastAsia" w:ascii="宋体" w:hAnsi="宋体" w:cs="宋体"/>
          <w:color w:val="auto"/>
          <w:szCs w:val="21"/>
          <w:highlight w:val="none"/>
        </w:rPr>
        <w:t>。</w:t>
      </w:r>
    </w:p>
    <w:p w14:paraId="09AFE2E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506" w:name="_Toc296503159"/>
      <w:bookmarkStart w:id="507" w:name="_Toc297216151"/>
      <w:bookmarkStart w:id="508" w:name="_Toc296346660"/>
      <w:bookmarkStart w:id="509" w:name="_Toc292559364"/>
      <w:bookmarkStart w:id="510" w:name="_Toc297120459"/>
      <w:bookmarkStart w:id="511" w:name="_Toc292559869"/>
      <w:bookmarkStart w:id="512" w:name="_Toc312677988"/>
      <w:bookmarkStart w:id="513" w:name="_Toc297048345"/>
      <w:bookmarkStart w:id="514" w:name="_Toc304295523"/>
      <w:bookmarkStart w:id="515" w:name="_Toc296891199"/>
      <w:bookmarkStart w:id="516" w:name="_Toc296347158"/>
      <w:bookmarkStart w:id="517" w:name="_Toc303539102"/>
      <w:bookmarkStart w:id="518" w:name="_Toc297123492"/>
      <w:bookmarkStart w:id="519" w:name="_Toc296890987"/>
      <w:bookmarkStart w:id="520" w:name="_Toc296944498"/>
      <w:bookmarkStart w:id="521" w:name="_Toc300934945"/>
      <w:r>
        <w:rPr>
          <w:rFonts w:hint="eastAsia" w:ascii="宋体" w:hAnsi="宋体" w:cs="宋体"/>
          <w:color w:val="auto"/>
          <w:szCs w:val="21"/>
          <w:highlight w:val="none"/>
        </w:rPr>
        <w:t>.5 分包</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3BA03B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522" w:name="_Toc292559365"/>
      <w:bookmarkStart w:id="523" w:name="_Toc296503160"/>
      <w:bookmarkStart w:id="524" w:name="_Toc296346661"/>
      <w:bookmarkStart w:id="525" w:name="_Toc297048346"/>
      <w:bookmarkStart w:id="526" w:name="_Toc296347159"/>
      <w:bookmarkStart w:id="527" w:name="_Toc296890988"/>
      <w:bookmarkStart w:id="528" w:name="_Toc297123493"/>
      <w:bookmarkStart w:id="529" w:name="_Toc296944499"/>
      <w:bookmarkStart w:id="530" w:name="_Toc296891200"/>
      <w:bookmarkStart w:id="531" w:name="_Toc297216152"/>
      <w:bookmarkStart w:id="532" w:name="_Toc292559870"/>
      <w:bookmarkStart w:id="533" w:name="_Toc297120460"/>
      <w:bookmarkStart w:id="534" w:name="_Toc304295524"/>
      <w:bookmarkStart w:id="535" w:name="_Toc300934946"/>
      <w:bookmarkStart w:id="536" w:name="_Toc303539103"/>
      <w:bookmarkStart w:id="537" w:name="_Toc312677989"/>
      <w:bookmarkStart w:id="538" w:name="_Toc318581158"/>
      <w:r>
        <w:rPr>
          <w:rFonts w:hint="eastAsia" w:ascii="宋体" w:hAnsi="宋体" w:cs="宋体"/>
          <w:color w:val="auto"/>
          <w:szCs w:val="21"/>
          <w:highlight w:val="none"/>
        </w:rPr>
        <w:t>.5.1 分包的一般约定</w:t>
      </w:r>
    </w:p>
    <w:p w14:paraId="0D09A6A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464B0E96">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主体结构、关键性工作的范围：</w:t>
      </w:r>
      <w:r>
        <w:rPr>
          <w:rFonts w:hint="eastAsia" w:ascii="宋体" w:hAnsi="宋体" w:cs="宋体"/>
          <w:b/>
          <w:color w:val="auto"/>
          <w:szCs w:val="21"/>
          <w:highlight w:val="none"/>
          <w:u w:val="single"/>
        </w:rPr>
        <w:t>合同范围均为关键性工作范围</w:t>
      </w:r>
      <w:r>
        <w:rPr>
          <w:rFonts w:hint="eastAsia" w:ascii="宋体" w:hAnsi="宋体" w:cs="宋体"/>
          <w:color w:val="auto"/>
          <w:szCs w:val="21"/>
          <w:highlight w:val="none"/>
        </w:rPr>
        <w: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Start w:id="539" w:name="_Toc296890989"/>
      <w:bookmarkStart w:id="540" w:name="_Toc297120461"/>
      <w:bookmarkStart w:id="541" w:name="_Toc296891201"/>
      <w:bookmarkStart w:id="542" w:name="_Toc304295525"/>
      <w:bookmarkStart w:id="543" w:name="_Toc296503161"/>
      <w:bookmarkStart w:id="544" w:name="_Toc296347160"/>
      <w:bookmarkStart w:id="545" w:name="_Toc300934947"/>
      <w:bookmarkStart w:id="546" w:name="_Toc297216153"/>
      <w:bookmarkStart w:id="547" w:name="_Toc297048347"/>
      <w:bookmarkStart w:id="548" w:name="_Toc297123494"/>
      <w:bookmarkStart w:id="549" w:name="_Toc296346662"/>
      <w:bookmarkStart w:id="550" w:name="_Toc303539104"/>
      <w:bookmarkStart w:id="551" w:name="_Toc296944500"/>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487B79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w:t>
      </w:r>
      <w:bookmarkStart w:id="552" w:name="_Toc312677990"/>
      <w:bookmarkStart w:id="553" w:name="_Toc318581159"/>
      <w:r>
        <w:rPr>
          <w:rFonts w:hint="eastAsia" w:ascii="宋体" w:hAnsi="宋体" w:cs="宋体"/>
          <w:color w:val="auto"/>
          <w:szCs w:val="21"/>
          <w:highlight w:val="none"/>
        </w:rPr>
        <w:t>.5.2分包的确定</w:t>
      </w:r>
    </w:p>
    <w:p w14:paraId="4403D586">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b/>
          <w:color w:val="auto"/>
          <w:szCs w:val="21"/>
          <w:highlight w:val="none"/>
          <w:u w:val="single"/>
        </w:rPr>
        <w:t>双方协商确定</w:t>
      </w:r>
      <w:r>
        <w:rPr>
          <w:rFonts w:hint="eastAsia" w:ascii="宋体" w:hAnsi="宋体" w:cs="宋体"/>
          <w:color w:val="auto"/>
          <w:szCs w:val="21"/>
          <w:highlight w:val="none"/>
        </w:rPr>
        <w:t>。</w:t>
      </w:r>
    </w:p>
    <w:p w14:paraId="62233DC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D0531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分包合同价款</w:t>
      </w:r>
    </w:p>
    <w:p w14:paraId="4B4E253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b/>
          <w:color w:val="auto"/>
          <w:szCs w:val="21"/>
          <w:highlight w:val="none"/>
          <w:u w:val="single"/>
        </w:rPr>
        <w:t>另行约定</w:t>
      </w:r>
      <w:r>
        <w:rPr>
          <w:rFonts w:hint="eastAsia" w:ascii="宋体" w:hAnsi="宋体" w:cs="宋体"/>
          <w:color w:val="auto"/>
          <w:szCs w:val="21"/>
          <w:highlight w:val="none"/>
        </w:rPr>
        <w:t>。</w:t>
      </w:r>
    </w:p>
    <w:bookmarkEnd w:id="552"/>
    <w:bookmarkEnd w:id="553"/>
    <w:p w14:paraId="0FF6712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工程照管与成品、半成品保护</w:t>
      </w:r>
    </w:p>
    <w:p w14:paraId="7C5F5AD3">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b/>
          <w:color w:val="auto"/>
          <w:szCs w:val="21"/>
          <w:highlight w:val="none"/>
          <w:u w:val="single"/>
        </w:rPr>
        <w:t>自发包人向承包人移交施工现场之日起，直到颁发工程接收证书之日止</w:t>
      </w:r>
      <w:r>
        <w:rPr>
          <w:rFonts w:hint="eastAsia" w:ascii="宋体" w:hAnsi="宋体" w:cs="宋体"/>
          <w:color w:val="auto"/>
          <w:kern w:val="0"/>
          <w:szCs w:val="21"/>
          <w:highlight w:val="none"/>
        </w:rPr>
        <w:t>。</w:t>
      </w:r>
    </w:p>
    <w:p w14:paraId="712C4E4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 履约担保</w:t>
      </w:r>
    </w:p>
    <w:p w14:paraId="4BC4F7B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b/>
          <w:color w:val="auto"/>
          <w:szCs w:val="21"/>
          <w:highlight w:val="none"/>
          <w:u w:val="single"/>
        </w:rPr>
        <w:t>是</w:t>
      </w:r>
      <w:r>
        <w:rPr>
          <w:rFonts w:hint="eastAsia" w:ascii="宋体" w:hAnsi="宋体" w:cs="宋体"/>
          <w:color w:val="auto"/>
          <w:szCs w:val="21"/>
          <w:highlight w:val="none"/>
        </w:rPr>
        <w:t>。</w:t>
      </w:r>
    </w:p>
    <w:p w14:paraId="5E5F877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承包人提供履约担保的形式、金额及期限的：</w:t>
      </w:r>
      <w:r>
        <w:rPr>
          <w:rFonts w:hint="eastAsia" w:ascii="宋体" w:hAnsi="宋体" w:cs="宋体"/>
          <w:b/>
          <w:color w:val="auto"/>
          <w:szCs w:val="21"/>
          <w:highlight w:val="none"/>
          <w:u w:val="single"/>
        </w:rPr>
        <w:t>非现金形式，于签订合同5日内应向发包人交纳合同总金额的1％作为履约保证金，项目竣工验收合格后转为质量保证金，质保期满后无息退还</w:t>
      </w:r>
      <w:r>
        <w:rPr>
          <w:rFonts w:hint="eastAsia" w:ascii="宋体" w:hAnsi="宋体" w:cs="宋体"/>
          <w:color w:val="auto"/>
          <w:szCs w:val="21"/>
          <w:highlight w:val="none"/>
        </w:rPr>
        <w:t>。</w:t>
      </w:r>
    </w:p>
    <w:p w14:paraId="11DD8ABF">
      <w:pPr>
        <w:tabs>
          <w:tab w:val="left" w:pos="864"/>
        </w:tabs>
        <w:snapToGrid w:val="0"/>
        <w:spacing w:line="360" w:lineRule="auto"/>
        <w:rPr>
          <w:rFonts w:hint="eastAsia" w:ascii="宋体" w:hAnsi="宋体" w:cs="宋体"/>
          <w:color w:val="auto"/>
          <w:szCs w:val="21"/>
          <w:highlight w:val="none"/>
        </w:rPr>
      </w:pPr>
      <w:bookmarkStart w:id="554" w:name="_Toc351203636"/>
      <w:r>
        <w:rPr>
          <w:rFonts w:hint="eastAsia" w:ascii="宋体" w:hAnsi="宋体" w:cs="宋体"/>
          <w:color w:val="auto"/>
          <w:szCs w:val="21"/>
          <w:highlight w:val="none"/>
        </w:rPr>
        <w:t>4</w:t>
      </w:r>
      <w:bookmarkStart w:id="555" w:name="_Toc296944501"/>
      <w:bookmarkStart w:id="556" w:name="_Toc267251413"/>
      <w:bookmarkStart w:id="557" w:name="_Toc296890990"/>
      <w:bookmarkStart w:id="558" w:name="_Toc296347161"/>
      <w:bookmarkStart w:id="559" w:name="_Toc292559871"/>
      <w:bookmarkStart w:id="560" w:name="_Toc296503162"/>
      <w:bookmarkStart w:id="561" w:name="_Toc296346663"/>
      <w:bookmarkStart w:id="562" w:name="_Toc296891202"/>
      <w:bookmarkStart w:id="563" w:name="_Toc297048348"/>
      <w:bookmarkStart w:id="564" w:name="_Toc292559366"/>
      <w:bookmarkStart w:id="565" w:name="_Toc297120462"/>
      <w:r>
        <w:rPr>
          <w:rFonts w:hint="eastAsia" w:ascii="宋体" w:hAnsi="宋体" w:cs="宋体"/>
          <w:color w:val="auto"/>
          <w:szCs w:val="21"/>
          <w:highlight w:val="none"/>
        </w:rPr>
        <w:t>. 监</w:t>
      </w:r>
      <w:bookmarkEnd w:id="555"/>
      <w:bookmarkEnd w:id="556"/>
      <w:bookmarkEnd w:id="557"/>
      <w:bookmarkEnd w:id="558"/>
      <w:bookmarkEnd w:id="559"/>
      <w:bookmarkEnd w:id="560"/>
      <w:bookmarkEnd w:id="561"/>
      <w:bookmarkEnd w:id="562"/>
      <w:bookmarkEnd w:id="563"/>
      <w:bookmarkEnd w:id="564"/>
      <w:bookmarkEnd w:id="565"/>
      <w:r>
        <w:rPr>
          <w:rFonts w:hint="eastAsia" w:ascii="宋体" w:hAnsi="宋体" w:cs="宋体"/>
          <w:color w:val="auto"/>
          <w:szCs w:val="21"/>
          <w:highlight w:val="none"/>
        </w:rPr>
        <w:t>理人</w:t>
      </w:r>
      <w:bookmarkEnd w:id="554"/>
    </w:p>
    <w:p w14:paraId="7B208E0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4.1监理人的一般规定</w:t>
      </w:r>
    </w:p>
    <w:p w14:paraId="2AF5E88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b/>
          <w:color w:val="auto"/>
          <w:szCs w:val="21"/>
          <w:highlight w:val="none"/>
          <w:u w:val="single"/>
        </w:rPr>
        <w:t>按监理合同约定实行</w:t>
      </w:r>
      <w:r>
        <w:rPr>
          <w:rFonts w:hint="eastAsia" w:ascii="宋体" w:hAnsi="宋体" w:cs="宋体"/>
          <w:color w:val="auto"/>
          <w:szCs w:val="21"/>
          <w:highlight w:val="none"/>
        </w:rPr>
        <w:t>。</w:t>
      </w:r>
    </w:p>
    <w:p w14:paraId="36E572C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b/>
          <w:color w:val="auto"/>
          <w:szCs w:val="21"/>
          <w:highlight w:val="none"/>
          <w:u w:val="single"/>
        </w:rPr>
        <w:t>在监理工作范围内，凡涉及下列事项必须取得发包人专门以书面形式授权且签证确认后，监理人方可实施</w:t>
      </w:r>
      <w:r>
        <w:rPr>
          <w:rFonts w:hint="eastAsia" w:ascii="宋体" w:hAnsi="宋体" w:cs="宋体"/>
          <w:color w:val="auto"/>
          <w:szCs w:val="21"/>
          <w:highlight w:val="none"/>
        </w:rPr>
        <w:t xml:space="preserve">。 </w:t>
      </w:r>
    </w:p>
    <w:p w14:paraId="1B722FC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（1）同意工程分包，承包人主要项目管理人员更换，或主要材料、设备替换； </w:t>
      </w:r>
    </w:p>
    <w:p w14:paraId="06A021E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（2）签发开工令、同意暂停施工或延期； </w:t>
      </w:r>
    </w:p>
    <w:p w14:paraId="4840E29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（3）同意设计变更、经济签证或技术标准和要求变更； </w:t>
      </w:r>
    </w:p>
    <w:p w14:paraId="7C40E476">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（4）同意合同价款调整、索赔，或暂列金额、暂估价的使用； </w:t>
      </w:r>
    </w:p>
    <w:p w14:paraId="6089728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（5）签发工程计量、支付证书、竣工结清证书； </w:t>
      </w:r>
    </w:p>
    <w:p w14:paraId="13FAD7F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（6）其他须发包人书面确定的事项。</w:t>
      </w:r>
    </w:p>
    <w:p w14:paraId="193B15E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如上述事项未经发包人事先授权且确认的，发包人均有权不予认可，且不能作为竣工结算的有效依据。 </w:t>
      </w:r>
    </w:p>
    <w:p w14:paraId="0AC471ED">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u w:val="single"/>
        </w:rPr>
        <w:t>除上述约定事项外，其他事项授权监理人依照监理合同及相关监理规范办理</w:t>
      </w:r>
      <w:r>
        <w:rPr>
          <w:rFonts w:hint="eastAsia" w:ascii="宋体" w:hAnsi="宋体" w:cs="宋体"/>
          <w:color w:val="auto"/>
          <w:szCs w:val="21"/>
          <w:highlight w:val="none"/>
        </w:rPr>
        <w:t>。</w:t>
      </w:r>
    </w:p>
    <w:p w14:paraId="2D53424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b/>
          <w:color w:val="auto"/>
          <w:szCs w:val="21"/>
          <w:highlight w:val="none"/>
          <w:u w:val="single"/>
        </w:rPr>
        <w:t>/</w:t>
      </w:r>
      <w:r>
        <w:rPr>
          <w:rFonts w:hint="eastAsia" w:ascii="宋体" w:hAnsi="宋体" w:cs="宋体"/>
          <w:color w:val="auto"/>
          <w:szCs w:val="21"/>
          <w:highlight w:val="none"/>
        </w:rPr>
        <w:t>。</w:t>
      </w:r>
    </w:p>
    <w:p w14:paraId="6E21711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监理人员</w:t>
      </w:r>
    </w:p>
    <w:p w14:paraId="13FC18A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总监理工程师：</w:t>
      </w:r>
    </w:p>
    <w:p w14:paraId="494BB45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8521B0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0E31EC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420864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ECCC87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133145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FA0625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6EADC5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商定或确定</w:t>
      </w:r>
    </w:p>
    <w:p w14:paraId="3B13929A">
      <w:pPr>
        <w:snapToGrid w:val="0"/>
        <w:spacing w:line="360" w:lineRule="auto"/>
        <w:ind w:firstLine="420" w:firstLineChars="200"/>
        <w:rPr>
          <w:rFonts w:hint="eastAsia" w:ascii="宋体" w:hAnsi="宋体" w:cs="宋体"/>
          <w:color w:val="auto"/>
          <w:szCs w:val="21"/>
          <w:highlight w:val="none"/>
        </w:rPr>
      </w:pPr>
      <w:bookmarkStart w:id="566" w:name="_Toc267251418"/>
      <w:r>
        <w:rPr>
          <w:rFonts w:hint="eastAsia" w:ascii="宋体" w:hAnsi="宋体" w:cs="宋体"/>
          <w:color w:val="auto"/>
          <w:szCs w:val="21"/>
          <w:highlight w:val="none"/>
        </w:rPr>
        <w:t>在发包人和承包人不能通过协商达成一致意见时，发包人授权监理人对以下事项进行确定：</w:t>
      </w:r>
    </w:p>
    <w:p w14:paraId="78EC0318">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13FB82B">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488F441">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250F4904">
      <w:pPr>
        <w:tabs>
          <w:tab w:val="left" w:pos="864"/>
        </w:tabs>
        <w:snapToGrid w:val="0"/>
        <w:spacing w:line="360" w:lineRule="auto"/>
        <w:rPr>
          <w:rFonts w:hint="eastAsia" w:ascii="宋体" w:hAnsi="宋体" w:cs="宋体"/>
          <w:color w:val="auto"/>
          <w:szCs w:val="21"/>
          <w:highlight w:val="none"/>
        </w:rPr>
      </w:pPr>
      <w:bookmarkStart w:id="567" w:name="_Toc351203637"/>
      <w:r>
        <w:rPr>
          <w:rFonts w:hint="eastAsia" w:ascii="宋体" w:hAnsi="宋体" w:cs="宋体"/>
          <w:color w:val="auto"/>
          <w:szCs w:val="21"/>
          <w:highlight w:val="none"/>
        </w:rPr>
        <w:t>5</w:t>
      </w:r>
      <w:bookmarkEnd w:id="566"/>
      <w:bookmarkStart w:id="568" w:name="_Toc297048349"/>
      <w:bookmarkStart w:id="569" w:name="_Toc296503163"/>
      <w:bookmarkStart w:id="570" w:name="_Toc292559872"/>
      <w:bookmarkStart w:id="571" w:name="_Toc296944502"/>
      <w:bookmarkStart w:id="572" w:name="_Toc296890991"/>
      <w:bookmarkStart w:id="573" w:name="_Toc296347162"/>
      <w:bookmarkStart w:id="574" w:name="_Toc297120463"/>
      <w:bookmarkStart w:id="575" w:name="_Toc296891203"/>
      <w:bookmarkStart w:id="576" w:name="_Toc292559367"/>
      <w:bookmarkStart w:id="577" w:name="_Toc296346664"/>
      <w:r>
        <w:rPr>
          <w:rFonts w:hint="eastAsia" w:ascii="宋体" w:hAnsi="宋体" w:cs="宋体"/>
          <w:color w:val="auto"/>
          <w:szCs w:val="21"/>
          <w:highlight w:val="none"/>
        </w:rPr>
        <w:t>. 工程质量</w:t>
      </w:r>
      <w:bookmarkEnd w:id="567"/>
    </w:p>
    <w:p w14:paraId="5670EB6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质量要求</w:t>
      </w:r>
    </w:p>
    <w:p w14:paraId="4503BD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bookmarkStart w:id="578" w:name="_Toc304295527"/>
      <w:bookmarkStart w:id="579" w:name="_Toc318581164"/>
      <w:bookmarkStart w:id="580" w:name="_Toc297216155"/>
      <w:bookmarkStart w:id="581" w:name="_Toc303539106"/>
      <w:bookmarkStart w:id="582" w:name="_Toc312677997"/>
      <w:bookmarkStart w:id="583" w:name="_Toc300934949"/>
      <w:bookmarkStart w:id="584" w:name="_Toc297123496"/>
      <w:r>
        <w:rPr>
          <w:rFonts w:hint="eastAsia" w:ascii="宋体" w:hAnsi="宋体" w:cs="宋体"/>
          <w:color w:val="auto"/>
          <w:szCs w:val="21"/>
          <w:highlight w:val="none"/>
        </w:rPr>
        <w:t>.1.1 特殊质量标准和要求：</w:t>
      </w:r>
    </w:p>
    <w:p w14:paraId="3B7CB991">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（1）质量标准应符合相关国家标准和规范要求。 </w:t>
      </w:r>
    </w:p>
    <w:p w14:paraId="3AE7CA31">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（2）有消防要求的材料、设备检验需与工程同步，不得影响消防验收。 </w:t>
      </w:r>
    </w:p>
    <w:p w14:paraId="69447D7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3）双方对工程质量有争议的，由双方同意的检测机构鉴定，所需费用及因此造成的损失，由责任方承担。双方都有责任的，由双方根据责任分别承担。双方对工程质量有争议，选择检测机构达不成一致意见的，发包人有单方选择检测机构的权利，检测结果对承包人有约束力。 </w:t>
      </w:r>
    </w:p>
    <w:p w14:paraId="038DF289">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（4）承包人在报价时应充分考虑本工程的质量要求，对本工程各项工艺、材料的检查、检验、试验、测试等所需费用和时间应充分考虑。 </w:t>
      </w:r>
    </w:p>
    <w:p w14:paraId="779E1D00">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（5）在交付及保修期间，如因质量问题需维修，而责任暂时无法界定时，承包人应无条 件先进行维修，待界定责任主体后向相应责任主体追偿。 </w:t>
      </w:r>
    </w:p>
    <w:p w14:paraId="07CB81CA">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（6）本合同工程质量验收时需一次性通过合格验收。</w:t>
      </w:r>
    </w:p>
    <w:p w14:paraId="253ECE5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757FB78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隐蔽工程检查</w:t>
      </w:r>
    </w:p>
    <w:p w14:paraId="3FB0858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5.3.2承包人提前通知监理人隐蔽工程检查的期限的约定：</w:t>
      </w:r>
      <w:r>
        <w:rPr>
          <w:rFonts w:hint="eastAsia" w:ascii="宋体" w:hAnsi="宋体" w:cs="宋体"/>
          <w:b/>
          <w:color w:val="auto"/>
          <w:szCs w:val="21"/>
          <w:highlight w:val="none"/>
          <w:u w:val="single"/>
        </w:rPr>
        <w:t>按通用合同条款约定，承包人未通知监理人到场检查，私自将工程隐蔽部位覆盖的，监理人有权指示承包人钻孔探测或揭开检查，无论工程隐蔽部位质量是否合格，由此造成的工程费用及工期增加，均由承包人承担，且发包人有权视具体情况，要求承包人承担1000元/次及以上的违约金</w:t>
      </w:r>
      <w:r>
        <w:rPr>
          <w:rFonts w:hint="eastAsia" w:ascii="宋体" w:hAnsi="宋体" w:cs="宋体"/>
          <w:color w:val="auto"/>
          <w:szCs w:val="21"/>
          <w:highlight w:val="none"/>
        </w:rPr>
        <w:t>。</w:t>
      </w:r>
    </w:p>
    <w:p w14:paraId="71FFF4B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b/>
          <w:bCs/>
          <w:color w:val="auto"/>
          <w:szCs w:val="21"/>
          <w:highlight w:val="none"/>
          <w:u w:val="single"/>
        </w:rPr>
        <w:t>24</w:t>
      </w:r>
      <w:r>
        <w:rPr>
          <w:rFonts w:hint="eastAsia" w:ascii="宋体" w:hAnsi="宋体" w:cs="宋体"/>
          <w:color w:val="auto"/>
          <w:szCs w:val="21"/>
          <w:highlight w:val="none"/>
        </w:rPr>
        <w:t>小时递交书面延期要求。</w:t>
      </w:r>
    </w:p>
    <w:p w14:paraId="035B2A4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b/>
          <w:bCs/>
          <w:color w:val="auto"/>
          <w:szCs w:val="21"/>
          <w:highlight w:val="none"/>
          <w:u w:val="single"/>
        </w:rPr>
        <w:t>24</w:t>
      </w:r>
      <w:r>
        <w:rPr>
          <w:rFonts w:hint="eastAsia" w:ascii="宋体" w:hAnsi="宋体" w:cs="宋体"/>
          <w:color w:val="auto"/>
          <w:szCs w:val="21"/>
          <w:highlight w:val="none"/>
        </w:rPr>
        <w:t>小时。</w:t>
      </w:r>
    </w:p>
    <w:p w14:paraId="5B71C8EC">
      <w:pPr>
        <w:tabs>
          <w:tab w:val="left" w:pos="864"/>
        </w:tabs>
        <w:snapToGrid w:val="0"/>
        <w:spacing w:line="360" w:lineRule="auto"/>
        <w:rPr>
          <w:rFonts w:hint="eastAsia" w:ascii="宋体" w:hAnsi="宋体" w:cs="宋体"/>
          <w:color w:val="auto"/>
          <w:szCs w:val="21"/>
          <w:highlight w:val="none"/>
        </w:rPr>
      </w:pPr>
      <w:bookmarkStart w:id="585" w:name="_Toc351203638"/>
      <w:r>
        <w:rPr>
          <w:rFonts w:hint="eastAsia" w:ascii="宋体" w:hAnsi="宋体" w:cs="宋体"/>
          <w:color w:val="auto"/>
          <w:szCs w:val="21"/>
          <w:highlight w:val="none"/>
        </w:rPr>
        <w:t>6. 安全文明施工与环境保护</w:t>
      </w:r>
      <w:bookmarkEnd w:id="585"/>
    </w:p>
    <w:p w14:paraId="3735EB7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6.1安全文明施工</w:t>
      </w:r>
    </w:p>
    <w:p w14:paraId="2A97E78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b/>
          <w:color w:val="auto"/>
          <w:szCs w:val="21"/>
          <w:highlight w:val="none"/>
          <w:u w:val="single"/>
        </w:rPr>
        <w:t>施工现场按照《建筑施工安全检查标准》（JGJ59-2011）评定达到“合格”标准</w:t>
      </w:r>
      <w:r>
        <w:rPr>
          <w:rFonts w:hint="eastAsia" w:ascii="宋体" w:hAnsi="宋体" w:cs="宋体"/>
          <w:color w:val="auto"/>
          <w:szCs w:val="21"/>
          <w:highlight w:val="none"/>
        </w:rPr>
        <w:t>。</w:t>
      </w:r>
    </w:p>
    <w:p w14:paraId="209962E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6.1.4 关于治安保卫的特别约定：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377441B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0209BE6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6.1.5 文明施工</w:t>
      </w:r>
    </w:p>
    <w:p w14:paraId="4AD97238">
      <w:pPr>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合同当事人对文明施工的要求：</w:t>
      </w:r>
    </w:p>
    <w:p w14:paraId="12FFA62A">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（1）遵守地方政府和有关部门对施工场地交通、环卫、安全和施工噪音等管理规定，并办理相关审批手续</w:t>
      </w:r>
      <w:r>
        <w:rPr>
          <w:rFonts w:hint="eastAsia" w:ascii="宋体" w:hAnsi="宋体" w:cs="宋体"/>
          <w:b/>
          <w:color w:val="auto"/>
          <w:szCs w:val="21"/>
          <w:highlight w:val="none"/>
        </w:rPr>
        <w:t>。</w:t>
      </w:r>
    </w:p>
    <w:p w14:paraId="74965F3D">
      <w:pPr>
        <w:spacing w:line="360" w:lineRule="auto"/>
        <w:ind w:firstLine="417" w:firstLineChars="198"/>
        <w:rPr>
          <w:rFonts w:hint="eastAsia" w:ascii="宋体" w:hAnsi="宋体" w:cs="宋体"/>
          <w:b/>
          <w:color w:val="auto"/>
          <w:szCs w:val="21"/>
          <w:highlight w:val="none"/>
        </w:rPr>
      </w:pPr>
      <w:r>
        <w:rPr>
          <w:rFonts w:hint="eastAsia" w:ascii="宋体" w:hAnsi="宋体" w:cs="宋体"/>
          <w:b/>
          <w:color w:val="auto"/>
          <w:szCs w:val="21"/>
          <w:highlight w:val="none"/>
          <w:u w:val="single"/>
        </w:rPr>
        <w:t>（2）承包人应采取有效措施尽量减小尘土和噪音污染，需要进行夜间作业时应经有关部门批准</w:t>
      </w:r>
      <w:r>
        <w:rPr>
          <w:rFonts w:hint="eastAsia" w:ascii="宋体" w:hAnsi="宋体" w:cs="宋体"/>
          <w:b/>
          <w:color w:val="auto"/>
          <w:szCs w:val="21"/>
          <w:highlight w:val="none"/>
        </w:rPr>
        <w:t>。</w:t>
      </w:r>
    </w:p>
    <w:p w14:paraId="47D09A06">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（3）其他：</w:t>
      </w:r>
    </w:p>
    <w:p w14:paraId="28B1C38E">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①承包人必须认真执行国家、省、市有关建筑施工安全生产条例和有关规定，施工期间必须认真做好安全管理工作，杜绝重大安全事故发生，同时做好社会综合治理工作。如因承包人管理不善，引起政府有关部门罚款或责令停工整改等，其发生的所有的费用或导致的损失均由承包人自行承担，工期不予顺延，且发包人保留因此而缓付工程进度款的权利。承包人在施工期间发生的事故，一切责任和经济补偿均由承包人自行负责，同时发包人将视情况有权要求承包人承担相应的违约责任。  </w:t>
      </w:r>
    </w:p>
    <w:p w14:paraId="46A7DD3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②承包人进场后与发包人签订现场安全文明施工协议书，由承包人编制专项详细方案，经双方确认后，承包人严格按此方案要求实施。材料堆放整齐，水、电设施管理规范，认真落实各项安全保护措施，并随时接受行业安全检查人员、发包人或监理工程师及有关部门的监督检查。</w:t>
      </w:r>
    </w:p>
    <w:p w14:paraId="30DECE3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③承包人必须按照《杭州市建设工程文明施工管理规定》等省市区工程建设安全文明施工的有关规定，每天清扫卫生，以达到杭州市双标化工地的要求。相关安全生产、文明施工费用必须足额投入，专款专用，否则发包人有权拒绝支付该项费用。</w:t>
      </w:r>
    </w:p>
    <w:p w14:paraId="6E99ED25">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④承包人应建立健全的施工现场安全责任制，强化安全意识，抓好安全生产，对进入施工现场的施工人员进行安全文明施工教育，持证上岗，配备必要的劳动保护用具，消除安全隐患，杜绝事故发生，保证工程的施工安全和人身安全；施工中若发生安全及人身事故均由承包人自行负责处理，并承担全部费用。发现有违反安全生产操作规范的，发包人有权提出整改，承包人必须整改到位。</w:t>
      </w:r>
    </w:p>
    <w:p w14:paraId="222B8421">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⑤安全施工所发生的费用承包人已在投标报价中包干，发生重大伤亡事故或其他事故，承包人应及时上报发包人，并承担全部赔偿责任（非承包人原因除外）。若出现重大事故的，承包人应承担1万元的违约金（重大事故的判别以建设部令《工程建设重大事故报告合调查程序规定》为准），并确保在15天内，按照相关程序积极妥善处理好善后事宜，否则发包人有权直接处理。</w:t>
      </w:r>
    </w:p>
    <w:p w14:paraId="7A7897D0">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（4）上述手续办理费用约定如下：承包人已在投标报价中包干，发生重大伤亡事故或其他事故，承包人应及时上报发包人，并承担全部赔偿责任</w:t>
      </w:r>
      <w:r>
        <w:rPr>
          <w:rFonts w:hint="eastAsia" w:ascii="宋体" w:hAnsi="宋体" w:cs="宋体"/>
          <w:color w:val="auto"/>
          <w:szCs w:val="21"/>
          <w:highlight w:val="none"/>
        </w:rPr>
        <w:t>。</w:t>
      </w:r>
    </w:p>
    <w:p w14:paraId="7F64FEB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b/>
          <w:color w:val="auto"/>
          <w:szCs w:val="21"/>
          <w:highlight w:val="none"/>
          <w:u w:val="single"/>
        </w:rPr>
        <w:t>发包人应在开工后15天内预付安全文明施工费总额的60%，剩余部分支付视相关措施的落实情况与进度款同期支付</w:t>
      </w:r>
      <w:r>
        <w:rPr>
          <w:rFonts w:hint="eastAsia" w:ascii="宋体" w:hAnsi="宋体" w:cs="宋体"/>
          <w:color w:val="auto"/>
          <w:szCs w:val="21"/>
          <w:highlight w:val="none"/>
        </w:rPr>
        <w:t>。</w:t>
      </w:r>
    </w:p>
    <w:bookmarkEnd w:id="578"/>
    <w:bookmarkEnd w:id="579"/>
    <w:bookmarkEnd w:id="580"/>
    <w:bookmarkEnd w:id="581"/>
    <w:bookmarkEnd w:id="582"/>
    <w:bookmarkEnd w:id="583"/>
    <w:bookmarkEnd w:id="584"/>
    <w:p w14:paraId="608DCCB6">
      <w:pPr>
        <w:tabs>
          <w:tab w:val="left" w:pos="864"/>
        </w:tabs>
        <w:snapToGrid w:val="0"/>
        <w:spacing w:line="360" w:lineRule="auto"/>
        <w:rPr>
          <w:rFonts w:hint="eastAsia" w:ascii="宋体" w:hAnsi="宋体" w:cs="宋体"/>
          <w:color w:val="auto"/>
          <w:szCs w:val="21"/>
          <w:highlight w:val="none"/>
        </w:rPr>
      </w:pPr>
      <w:bookmarkStart w:id="586" w:name="_Toc351203639"/>
      <w:r>
        <w:rPr>
          <w:rFonts w:hint="eastAsia" w:ascii="宋体" w:hAnsi="宋体" w:cs="宋体"/>
          <w:color w:val="auto"/>
          <w:szCs w:val="21"/>
          <w:highlight w:val="none"/>
        </w:rPr>
        <w:t>7. 工期和进度</w:t>
      </w:r>
      <w:bookmarkEnd w:id="586"/>
    </w:p>
    <w:p w14:paraId="3AF34E8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 施工组织设计</w:t>
      </w:r>
    </w:p>
    <w:p w14:paraId="2318D79B">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b/>
          <w:color w:val="auto"/>
          <w:szCs w:val="21"/>
          <w:highlight w:val="none"/>
          <w:u w:val="single"/>
        </w:rPr>
        <w:t>按监理工程师要求</w:t>
      </w:r>
      <w:r>
        <w:rPr>
          <w:rFonts w:hint="eastAsia" w:ascii="宋体" w:hAnsi="宋体" w:cs="宋体"/>
          <w:color w:val="auto"/>
          <w:szCs w:val="21"/>
          <w:highlight w:val="none"/>
        </w:rPr>
        <w:t>。</w:t>
      </w:r>
    </w:p>
    <w:p w14:paraId="0B141620">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施工组织设计的递交和修改</w:t>
      </w:r>
    </w:p>
    <w:p w14:paraId="1CA181AD">
      <w:pPr>
        <w:autoSpaceDE w:val="0"/>
        <w:autoSpaceDN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承包人递交详细施工组织设计的期限的约定：</w:t>
      </w:r>
      <w:r>
        <w:rPr>
          <w:rFonts w:hint="eastAsia" w:ascii="宋体" w:hAnsi="宋体" w:cs="宋体"/>
          <w:b/>
          <w:color w:val="auto"/>
          <w:szCs w:val="21"/>
          <w:highlight w:val="none"/>
          <w:u w:val="single"/>
        </w:rPr>
        <w:t>合同签订后（3）天内提供详细施工组织设计（施工方案）和进度计划</w:t>
      </w:r>
      <w:r>
        <w:rPr>
          <w:rFonts w:hint="eastAsia" w:ascii="宋体" w:hAnsi="宋体" w:cs="宋体"/>
          <w:color w:val="auto"/>
          <w:szCs w:val="21"/>
          <w:highlight w:val="none"/>
        </w:rPr>
        <w:t>。</w:t>
      </w:r>
    </w:p>
    <w:p w14:paraId="7AF8783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b/>
          <w:color w:val="auto"/>
          <w:szCs w:val="21"/>
          <w:highlight w:val="none"/>
          <w:u w:val="single"/>
        </w:rPr>
        <w:t>监理人应在收到承包人文件后7天内审查完毕并报送发包人审核，发包人应在收到监理人报送的文件后7天内审查完毕；发包人和监理人对承包人文件若有异议的，承包人应予以修改，并进行重新报送。发包人和监理人的审查并不减轻或免除承包人根据合同约定应当承担的责任</w:t>
      </w:r>
      <w:r>
        <w:rPr>
          <w:rFonts w:hint="eastAsia" w:ascii="宋体" w:hAnsi="宋体" w:cs="宋体"/>
          <w:color w:val="auto"/>
          <w:szCs w:val="21"/>
          <w:highlight w:val="none"/>
        </w:rPr>
        <w:t>。</w:t>
      </w:r>
    </w:p>
    <w:p w14:paraId="2929339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587" w:name="_Toc304295541"/>
      <w:bookmarkStart w:id="588" w:name="_Toc312678005"/>
      <w:bookmarkStart w:id="589" w:name="_Toc297216173"/>
      <w:bookmarkStart w:id="590" w:name="_Toc300934966"/>
      <w:bookmarkStart w:id="591" w:name="_Toc297123514"/>
      <w:bookmarkStart w:id="592" w:name="_Toc303539123"/>
      <w:bookmarkStart w:id="593" w:name="_Toc312677479"/>
      <w:r>
        <w:rPr>
          <w:rFonts w:hint="eastAsia" w:ascii="宋体" w:hAnsi="宋体" w:cs="宋体"/>
          <w:color w:val="auto"/>
          <w:szCs w:val="21"/>
          <w:highlight w:val="none"/>
        </w:rPr>
        <w:t>.2 施工进度计划</w:t>
      </w:r>
    </w:p>
    <w:p w14:paraId="2CAE19A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7.2.2 施工进度计划的修订</w:t>
      </w:r>
    </w:p>
    <w:p w14:paraId="2E19F82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b/>
          <w:color w:val="auto"/>
          <w:szCs w:val="21"/>
          <w:highlight w:val="none"/>
          <w:u w:val="single"/>
        </w:rPr>
        <w:t>监理人应在收到承包人文件后7天内审查完毕并报送发包人审核，发包人应在收到监理人报送的文件后7天内审查完毕；发包人和监理人对承包人文件若有异议的，承包人应予以修改，并进行重新报送。发包人和监理人的审查并不减轻或免除承包人根据合同约定应当承担的责任</w:t>
      </w:r>
      <w:r>
        <w:rPr>
          <w:rFonts w:hint="eastAsia" w:ascii="宋体" w:hAnsi="宋体" w:cs="宋体"/>
          <w:color w:val="auto"/>
          <w:szCs w:val="21"/>
          <w:highlight w:val="none"/>
        </w:rPr>
        <w:t>。</w:t>
      </w:r>
    </w:p>
    <w:p w14:paraId="3552A32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 开工</w:t>
      </w:r>
    </w:p>
    <w:p w14:paraId="3E49C99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7.3.1 开工准备</w:t>
      </w:r>
    </w:p>
    <w:p w14:paraId="2FC85996">
      <w:pPr>
        <w:snapToGrid w:val="0"/>
        <w:spacing w:line="360" w:lineRule="auto"/>
        <w:ind w:firstLine="645"/>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关于承包人递交</w:t>
      </w:r>
      <w:r>
        <w:rPr>
          <w:rFonts w:hint="eastAsia" w:ascii="宋体" w:hAnsi="宋体" w:cs="宋体"/>
          <w:color w:val="auto"/>
          <w:kern w:val="0"/>
          <w:szCs w:val="21"/>
          <w:highlight w:val="none"/>
        </w:rPr>
        <w:t>工程开工报审表的期限：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3421A94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b/>
          <w:color w:val="auto"/>
          <w:szCs w:val="21"/>
          <w:highlight w:val="none"/>
          <w:u w:val="single"/>
        </w:rPr>
        <w:t>同施工组织设计的递交时间</w:t>
      </w:r>
      <w:r>
        <w:rPr>
          <w:rFonts w:hint="eastAsia" w:ascii="宋体" w:hAnsi="宋体" w:cs="宋体"/>
          <w:color w:val="auto"/>
          <w:szCs w:val="21"/>
          <w:highlight w:val="none"/>
        </w:rPr>
        <w:t>。</w:t>
      </w:r>
    </w:p>
    <w:p w14:paraId="0A6713A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关于承包人应完成的其他开工准备工作及期限：</w:t>
      </w:r>
      <w:r>
        <w:rPr>
          <w:rFonts w:hint="eastAsia" w:ascii="宋体" w:hAnsi="宋体" w:cs="宋体"/>
          <w:b/>
          <w:color w:val="auto"/>
          <w:szCs w:val="21"/>
          <w:highlight w:val="none"/>
          <w:u w:val="single"/>
        </w:rPr>
        <w:t>同施工组织设计的递交时间</w:t>
      </w:r>
      <w:r>
        <w:rPr>
          <w:rFonts w:hint="eastAsia" w:ascii="宋体" w:hAnsi="宋体" w:cs="宋体"/>
          <w:color w:val="auto"/>
          <w:szCs w:val="21"/>
          <w:highlight w:val="none"/>
        </w:rPr>
        <w:t>。</w:t>
      </w:r>
    </w:p>
    <w:p w14:paraId="2F6AD7B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7.3.2开工通知</w:t>
      </w:r>
    </w:p>
    <w:p w14:paraId="30E2A20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90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天内发出开工通知的，承包人有权提出价格调整要求，或者解除合同。</w:t>
      </w:r>
    </w:p>
    <w:bookmarkEnd w:id="587"/>
    <w:bookmarkEnd w:id="588"/>
    <w:bookmarkEnd w:id="589"/>
    <w:bookmarkEnd w:id="590"/>
    <w:bookmarkEnd w:id="591"/>
    <w:bookmarkEnd w:id="592"/>
    <w:bookmarkEnd w:id="593"/>
    <w:p w14:paraId="016FE8B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 测量放线</w:t>
      </w:r>
    </w:p>
    <w:p w14:paraId="3D3FE1CA">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b/>
          <w:color w:val="auto"/>
          <w:szCs w:val="21"/>
          <w:highlight w:val="none"/>
          <w:u w:val="single"/>
        </w:rPr>
        <w:t>开工前5天，将水准点和坐标控制点以书面形式通过监理人递交给承包人，双方在现场交验水准点和坐标控制点，交验完毕，即由承包人负责保护，此后由于破坏或失准带来的重新放点费用和其他损失均由承包人负责。工程完工后，承包人将水准点和坐标控制点完好无损的交还给发包人</w:t>
      </w:r>
      <w:r>
        <w:rPr>
          <w:rFonts w:hint="eastAsia" w:ascii="宋体" w:hAnsi="宋体" w:cs="宋体"/>
          <w:color w:val="auto"/>
          <w:szCs w:val="21"/>
          <w:highlight w:val="none"/>
        </w:rPr>
        <w:t>。</w:t>
      </w:r>
    </w:p>
    <w:p w14:paraId="56C5E16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594" w:name="_Toc297216175"/>
      <w:bookmarkStart w:id="595" w:name="_Toc312677484"/>
      <w:bookmarkStart w:id="596" w:name="_Toc304295546"/>
      <w:bookmarkStart w:id="597" w:name="_Toc303539125"/>
      <w:bookmarkStart w:id="598" w:name="_Toc300934968"/>
      <w:bookmarkStart w:id="599" w:name="_Toc312678010"/>
      <w:bookmarkStart w:id="600" w:name="_Toc297123516"/>
      <w:r>
        <w:rPr>
          <w:rFonts w:hint="eastAsia" w:ascii="宋体" w:hAnsi="宋体" w:cs="宋体"/>
          <w:color w:val="auto"/>
          <w:szCs w:val="21"/>
          <w:highlight w:val="none"/>
        </w:rPr>
        <w:t>.5 工期延误</w:t>
      </w:r>
    </w:p>
    <w:bookmarkEnd w:id="594"/>
    <w:bookmarkEnd w:id="595"/>
    <w:bookmarkEnd w:id="596"/>
    <w:bookmarkEnd w:id="597"/>
    <w:bookmarkEnd w:id="598"/>
    <w:bookmarkEnd w:id="599"/>
    <w:bookmarkEnd w:id="600"/>
    <w:p w14:paraId="0064AAE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7.5.1 因发包人原因导致工期延误</w:t>
      </w:r>
    </w:p>
    <w:p w14:paraId="30FDE14C">
      <w:pPr>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（7）因发包人原因导致工期延误的其他情形：</w:t>
      </w:r>
    </w:p>
    <w:p w14:paraId="16B8F7FB">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①重大设计变更引起的工期延误</w:t>
      </w:r>
      <w:r>
        <w:rPr>
          <w:rFonts w:hint="eastAsia" w:ascii="宋体" w:hAnsi="宋体" w:cs="宋体"/>
          <w:b/>
          <w:color w:val="auto"/>
          <w:szCs w:val="21"/>
          <w:highlight w:val="none"/>
        </w:rPr>
        <w:t>；</w:t>
      </w:r>
    </w:p>
    <w:p w14:paraId="510E121A">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②其他：通用条款7.5.1款第（6）项“监理人未按合同约定发出指示、批准等文件”是指在监理人未按合同约定发出指示、批准的情况下，承包人同时向发包人、监理人发出书面催告后的合理期限内，监理人仍未发出指示、批准。</w:t>
      </w:r>
    </w:p>
    <w:p w14:paraId="23D958F2">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若因发包人原因导致局部工程施工受到影响，承包人应采取合理措施予以弥补，延期工程如果不在工程施工进度网络计划的关键线路上，工程总工期不予延长。</w:t>
      </w:r>
    </w:p>
    <w:p w14:paraId="64360C29">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出现通用条款7.5.1发包人的原因造成工期延误的情形的，承包人应在情况发生后14天内就延长的工期以书面形式向发包人、监理人提出报告，在取得相关证据并经发包人盖章确认后工期可顺延（但发包人对承包人工期顺延期间的费用及利润不予补偿），否则工期不作顺延；承包人在情况发生后14天内未向发包人、监理人提出书面报告的，视为不涉及工期延长。</w:t>
      </w:r>
    </w:p>
    <w:p w14:paraId="087D6F58">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承包人按协议条款约定的开工日期开始施工，具体开、停和复工的时间以发包人（或监理单位）的签证为准。除经监理和发包人联系单签证同意外，工期一律不得顺延</w:t>
      </w:r>
      <w:r>
        <w:rPr>
          <w:rFonts w:hint="eastAsia" w:ascii="宋体" w:hAnsi="宋体" w:cs="宋体"/>
          <w:color w:val="auto"/>
          <w:szCs w:val="21"/>
          <w:highlight w:val="none"/>
        </w:rPr>
        <w:t>。</w:t>
      </w:r>
    </w:p>
    <w:p w14:paraId="4F252C6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bookmarkStart w:id="601" w:name="_Toc312678012"/>
      <w:bookmarkStart w:id="602" w:name="_Toc312677486"/>
      <w:bookmarkStart w:id="603" w:name="_Toc318581169"/>
      <w:bookmarkStart w:id="604" w:name="_Toc303539127"/>
      <w:bookmarkStart w:id="605" w:name="_Toc300934970"/>
      <w:bookmarkStart w:id="606" w:name="_Toc297216177"/>
      <w:bookmarkStart w:id="607" w:name="_Toc304295548"/>
      <w:bookmarkStart w:id="608" w:name="_Toc297123518"/>
      <w:r>
        <w:rPr>
          <w:rFonts w:hint="eastAsia" w:ascii="宋体" w:hAnsi="宋体" w:cs="宋体"/>
          <w:color w:val="auto"/>
          <w:szCs w:val="21"/>
          <w:highlight w:val="none"/>
        </w:rPr>
        <w:t>.5.2 因承包人原因导致工期延误</w:t>
      </w:r>
    </w:p>
    <w:bookmarkEnd w:id="601"/>
    <w:bookmarkEnd w:id="602"/>
    <w:bookmarkEnd w:id="603"/>
    <w:p w14:paraId="6025566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w:t>
      </w:r>
      <w:bookmarkStart w:id="609" w:name="_Toc312677487"/>
      <w:bookmarkStart w:id="610" w:name="_Toc312678013"/>
      <w:bookmarkStart w:id="611" w:name="_Toc318581170"/>
      <w:r>
        <w:rPr>
          <w:rFonts w:hint="eastAsia" w:ascii="宋体" w:hAnsi="宋体" w:cs="宋体"/>
          <w:color w:val="auto"/>
          <w:szCs w:val="21"/>
          <w:highlight w:val="none"/>
        </w:rPr>
        <w:t>承包人原因造成工期延误，逾期竣工违约金的计算方法为：</w:t>
      </w:r>
      <w:r>
        <w:rPr>
          <w:rFonts w:hint="eastAsia" w:ascii="宋体" w:hAnsi="宋体" w:cs="宋体"/>
          <w:b/>
          <w:color w:val="auto"/>
          <w:szCs w:val="21"/>
          <w:highlight w:val="none"/>
          <w:u w:val="single"/>
        </w:rPr>
        <w:t>工期延误每延误一天，乙方应按1000元/天的标准向发包人支付违约金。违约金不足以弥补甲方造成的实际损失的，乙方还应承担甲方因此所造成的实际损失，该损失包括但不限于甲方租金损失、其他乙方据此而向甲方提出的索赔、后续乙方不能按时进场施工而产生的损失、因乙方的赶工计划而导致甲方产生的额外费用等等。当甲方认为必要时，可以安排其他承包人完成剩余工作</w:t>
      </w:r>
      <w:r>
        <w:rPr>
          <w:rFonts w:hint="eastAsia" w:ascii="宋体" w:hAnsi="宋体" w:cs="宋体"/>
          <w:color w:val="auto"/>
          <w:szCs w:val="21"/>
          <w:highlight w:val="none"/>
        </w:rPr>
        <w:t>。</w:t>
      </w:r>
      <w:bookmarkEnd w:id="604"/>
      <w:bookmarkEnd w:id="605"/>
      <w:bookmarkEnd w:id="606"/>
      <w:bookmarkEnd w:id="607"/>
      <w:bookmarkEnd w:id="608"/>
      <w:bookmarkEnd w:id="609"/>
      <w:bookmarkEnd w:id="610"/>
    </w:p>
    <w:bookmarkEnd w:id="611"/>
    <w:p w14:paraId="1371090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因承包人原因造成工期延误，逾</w:t>
      </w:r>
      <w:bookmarkStart w:id="612" w:name="_Toc318581171"/>
      <w:bookmarkStart w:id="613" w:name="_Toc312678014"/>
      <w:r>
        <w:rPr>
          <w:rFonts w:hint="eastAsia" w:ascii="宋体" w:hAnsi="宋体" w:cs="宋体"/>
          <w:color w:val="auto"/>
          <w:szCs w:val="21"/>
          <w:highlight w:val="none"/>
        </w:rPr>
        <w:t>期竣工违约金的上限：</w:t>
      </w:r>
      <w:r>
        <w:rPr>
          <w:rFonts w:hint="eastAsia" w:ascii="宋体" w:hAnsi="宋体" w:cs="宋体"/>
          <w:b/>
          <w:color w:val="auto"/>
          <w:szCs w:val="21"/>
          <w:highlight w:val="none"/>
          <w:u w:val="single"/>
        </w:rPr>
        <w:t>工期延误违约金，最高为合同价的2%，甲方可以从应付或到期应付给乙方的任何款项中扣除此金额，甲方也有权要求乙方直接承担</w:t>
      </w:r>
      <w:r>
        <w:rPr>
          <w:rFonts w:hint="eastAsia" w:ascii="宋体" w:hAnsi="宋体" w:cs="宋体"/>
          <w:color w:val="auto"/>
          <w:szCs w:val="21"/>
          <w:highlight w:val="none"/>
        </w:rPr>
        <w:t>。</w:t>
      </w:r>
    </w:p>
    <w:bookmarkEnd w:id="612"/>
    <w:bookmarkEnd w:id="613"/>
    <w:p w14:paraId="727460A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614" w:name="_Toc312678015"/>
      <w:bookmarkStart w:id="615" w:name="_Toc297123519"/>
      <w:bookmarkStart w:id="616" w:name="_Toc304295549"/>
      <w:bookmarkStart w:id="617" w:name="_Toc303539128"/>
      <w:bookmarkStart w:id="618" w:name="_Toc300934971"/>
      <w:bookmarkStart w:id="619" w:name="_Toc297216178"/>
      <w:r>
        <w:rPr>
          <w:rFonts w:hint="eastAsia" w:ascii="宋体" w:hAnsi="宋体" w:cs="宋体"/>
          <w:color w:val="auto"/>
          <w:szCs w:val="21"/>
          <w:highlight w:val="none"/>
        </w:rPr>
        <w:t>.6 不</w:t>
      </w:r>
      <w:bookmarkEnd w:id="614"/>
      <w:bookmarkEnd w:id="615"/>
      <w:bookmarkEnd w:id="616"/>
      <w:bookmarkEnd w:id="617"/>
      <w:bookmarkEnd w:id="618"/>
      <w:bookmarkEnd w:id="619"/>
      <w:r>
        <w:rPr>
          <w:rFonts w:hint="eastAsia" w:ascii="宋体" w:hAnsi="宋体" w:cs="宋体"/>
          <w:color w:val="auto"/>
          <w:szCs w:val="21"/>
          <w:highlight w:val="none"/>
        </w:rPr>
        <w:t>利物质条件</w:t>
      </w:r>
    </w:p>
    <w:p w14:paraId="75ACE452">
      <w:pPr>
        <w:spacing w:line="360" w:lineRule="auto"/>
        <w:ind w:firstLine="415" w:firstLineChars="198"/>
        <w:rPr>
          <w:rFonts w:hint="eastAsia" w:ascii="宋体" w:hAnsi="宋体" w:cs="宋体"/>
          <w:color w:val="auto"/>
          <w:szCs w:val="21"/>
          <w:highlight w:val="none"/>
        </w:rPr>
      </w:pPr>
      <w:bookmarkStart w:id="620" w:name="_Toc300934972"/>
      <w:bookmarkStart w:id="621" w:name="_Toc304295550"/>
      <w:bookmarkStart w:id="622" w:name="_Toc318581172"/>
      <w:bookmarkStart w:id="623" w:name="_Toc297216179"/>
      <w:bookmarkStart w:id="624" w:name="_Toc312678016"/>
      <w:bookmarkStart w:id="625" w:name="_Toc303539129"/>
      <w:bookmarkStart w:id="626" w:name="_Toc297123520"/>
      <w:r>
        <w:rPr>
          <w:rFonts w:hint="eastAsia" w:ascii="宋体" w:hAnsi="宋体" w:cs="宋体"/>
          <w:color w:val="auto"/>
          <w:szCs w:val="21"/>
          <w:highlight w:val="none"/>
        </w:rPr>
        <w:t>不利物质条件的其他情形和有关约定：</w:t>
      </w:r>
    </w:p>
    <w:p w14:paraId="04C00F29">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施工场地周围地下管线</w:t>
      </w:r>
      <w:r>
        <w:rPr>
          <w:rFonts w:hint="eastAsia" w:ascii="宋体" w:hAnsi="宋体" w:cs="宋体"/>
          <w:b/>
          <w:color w:val="auto"/>
          <w:szCs w:val="21"/>
          <w:highlight w:val="none"/>
        </w:rPr>
        <w:t>；</w:t>
      </w:r>
    </w:p>
    <w:p w14:paraId="571244A0">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地下障碍物和污染物</w:t>
      </w:r>
      <w:r>
        <w:rPr>
          <w:rFonts w:hint="eastAsia" w:ascii="宋体" w:hAnsi="宋体" w:cs="宋体"/>
          <w:b/>
          <w:color w:val="auto"/>
          <w:szCs w:val="21"/>
          <w:highlight w:val="none"/>
        </w:rPr>
        <w:t>；</w:t>
      </w:r>
    </w:p>
    <w:p w14:paraId="72DF98D2">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（3）</w:t>
      </w:r>
      <w:r>
        <w:rPr>
          <w:rFonts w:hint="eastAsia" w:ascii="宋体" w:hAnsi="宋体" w:cs="宋体"/>
          <w:b/>
          <w:color w:val="auto"/>
          <w:szCs w:val="21"/>
          <w:highlight w:val="none"/>
          <w:u w:val="single"/>
        </w:rPr>
        <w:t>邻近建筑物、构筑物的保护要求</w:t>
      </w:r>
      <w:r>
        <w:rPr>
          <w:rFonts w:hint="eastAsia" w:ascii="宋体" w:hAnsi="宋体" w:cs="宋体"/>
          <w:b/>
          <w:color w:val="auto"/>
          <w:szCs w:val="21"/>
          <w:highlight w:val="none"/>
        </w:rPr>
        <w:t>；</w:t>
      </w:r>
    </w:p>
    <w:p w14:paraId="06F6A34F">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u w:val="single"/>
        </w:rPr>
        <w:t xml:space="preserve">其他： / </w:t>
      </w:r>
      <w:r>
        <w:rPr>
          <w:rFonts w:hint="eastAsia" w:ascii="宋体" w:hAnsi="宋体" w:cs="宋体"/>
          <w:color w:val="auto"/>
          <w:szCs w:val="21"/>
          <w:highlight w:val="none"/>
        </w:rPr>
        <w:t>。</w:t>
      </w:r>
    </w:p>
    <w:bookmarkEnd w:id="620"/>
    <w:bookmarkEnd w:id="621"/>
    <w:bookmarkEnd w:id="622"/>
    <w:bookmarkEnd w:id="623"/>
    <w:bookmarkEnd w:id="624"/>
    <w:bookmarkEnd w:id="625"/>
    <w:bookmarkEnd w:id="626"/>
    <w:p w14:paraId="3EE3BA4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627" w:name="_Toc312678017"/>
      <w:bookmarkStart w:id="628" w:name="_Toc304295551"/>
      <w:bookmarkStart w:id="629" w:name="_Toc300934973"/>
      <w:bookmarkStart w:id="630" w:name="_Toc297123521"/>
      <w:bookmarkStart w:id="631" w:name="_Toc297216180"/>
      <w:bookmarkStart w:id="632" w:name="_Toc303539130"/>
      <w:r>
        <w:rPr>
          <w:rFonts w:hint="eastAsia" w:ascii="宋体" w:hAnsi="宋体" w:cs="宋体"/>
          <w:color w:val="auto"/>
          <w:szCs w:val="21"/>
          <w:highlight w:val="none"/>
        </w:rPr>
        <w:t>.7异常恶劣的气候条件</w:t>
      </w:r>
    </w:p>
    <w:bookmarkEnd w:id="627"/>
    <w:bookmarkEnd w:id="628"/>
    <w:bookmarkEnd w:id="629"/>
    <w:bookmarkEnd w:id="630"/>
    <w:bookmarkEnd w:id="631"/>
    <w:bookmarkEnd w:id="632"/>
    <w:p w14:paraId="416E38E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3C8A6444">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日最高气温达到40 度及以上；</w:t>
      </w:r>
    </w:p>
    <w:p w14:paraId="243556D4">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启动台风橙色及以上预警；</w:t>
      </w:r>
    </w:p>
    <w:p w14:paraId="2D50B97D">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（3）</w:t>
      </w:r>
      <w:r>
        <w:rPr>
          <w:rFonts w:hint="eastAsia" w:ascii="宋体" w:hAnsi="宋体" w:cs="宋体"/>
          <w:b/>
          <w:color w:val="auto"/>
          <w:szCs w:val="21"/>
          <w:highlight w:val="none"/>
          <w:u w:val="single"/>
        </w:rPr>
        <w:t>启动防汛预案一级响应；</w:t>
      </w:r>
    </w:p>
    <w:p w14:paraId="0CE8CC47">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（4）</w:t>
      </w:r>
      <w:r>
        <w:rPr>
          <w:rFonts w:hint="eastAsia" w:ascii="宋体" w:hAnsi="宋体" w:cs="宋体"/>
          <w:b/>
          <w:color w:val="auto"/>
          <w:szCs w:val="21"/>
          <w:highlight w:val="none"/>
          <w:u w:val="single"/>
        </w:rPr>
        <w:t>启动防冻预案一级响应，</w:t>
      </w:r>
    </w:p>
    <w:p w14:paraId="59F1676E">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（5）</w:t>
      </w:r>
      <w:r>
        <w:rPr>
          <w:rFonts w:hint="eastAsia" w:ascii="宋体" w:hAnsi="宋体" w:cs="宋体"/>
          <w:b/>
          <w:color w:val="auto"/>
          <w:szCs w:val="21"/>
          <w:highlight w:val="none"/>
          <w:u w:val="single"/>
        </w:rPr>
        <w:t>其他属于承包人不能预见、不能避免并不能克服的客观情况</w:t>
      </w:r>
      <w:r>
        <w:rPr>
          <w:rFonts w:hint="eastAsia" w:ascii="宋体" w:hAnsi="宋体" w:cs="宋体"/>
          <w:color w:val="auto"/>
          <w:szCs w:val="21"/>
          <w:highlight w:val="none"/>
        </w:rPr>
        <w:t>。</w:t>
      </w:r>
    </w:p>
    <w:p w14:paraId="1D19C42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7.9 提前竣工的奖励</w:t>
      </w:r>
    </w:p>
    <w:p w14:paraId="0087A45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EB7E3E8">
      <w:pPr>
        <w:tabs>
          <w:tab w:val="left" w:pos="864"/>
        </w:tabs>
        <w:snapToGrid w:val="0"/>
        <w:spacing w:line="360" w:lineRule="auto"/>
        <w:rPr>
          <w:rFonts w:hint="eastAsia" w:ascii="宋体" w:hAnsi="宋体" w:cs="宋体"/>
          <w:color w:val="auto"/>
          <w:szCs w:val="21"/>
          <w:highlight w:val="none"/>
        </w:rPr>
      </w:pPr>
      <w:bookmarkStart w:id="633" w:name="_Toc351203640"/>
      <w:r>
        <w:rPr>
          <w:rFonts w:hint="eastAsia" w:ascii="宋体" w:hAnsi="宋体" w:cs="宋体"/>
          <w:color w:val="auto"/>
          <w:szCs w:val="21"/>
          <w:highlight w:val="none"/>
        </w:rPr>
        <w:t>8. 材料与设备</w:t>
      </w:r>
      <w:bookmarkEnd w:id="633"/>
    </w:p>
    <w:bookmarkEnd w:id="568"/>
    <w:bookmarkEnd w:id="569"/>
    <w:bookmarkEnd w:id="570"/>
    <w:bookmarkEnd w:id="571"/>
    <w:bookmarkEnd w:id="572"/>
    <w:bookmarkEnd w:id="573"/>
    <w:bookmarkEnd w:id="574"/>
    <w:bookmarkEnd w:id="575"/>
    <w:bookmarkEnd w:id="576"/>
    <w:bookmarkEnd w:id="577"/>
    <w:p w14:paraId="1FAF40B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bookmarkStart w:id="634" w:name="_Toc312678019"/>
      <w:bookmarkStart w:id="635" w:name="_Toc280868654"/>
      <w:bookmarkStart w:id="636" w:name="_Toc297216186"/>
      <w:bookmarkStart w:id="637" w:name="_Toc296890995"/>
      <w:bookmarkStart w:id="638" w:name="_Toc296346668"/>
      <w:bookmarkStart w:id="639" w:name="_Toc303539136"/>
      <w:bookmarkStart w:id="640" w:name="_Toc296503167"/>
      <w:bookmarkStart w:id="641" w:name="_Toc297120467"/>
      <w:bookmarkStart w:id="642" w:name="_Toc292559877"/>
      <w:bookmarkStart w:id="643" w:name="_Toc304295556"/>
      <w:bookmarkStart w:id="644" w:name="_Toc300934979"/>
      <w:bookmarkStart w:id="645" w:name="_Toc312677493"/>
      <w:bookmarkStart w:id="646" w:name="_Toc297123527"/>
      <w:bookmarkStart w:id="647" w:name="_Toc296944506"/>
      <w:bookmarkStart w:id="648" w:name="_Toc297048353"/>
      <w:bookmarkStart w:id="649" w:name="_Toc296347166"/>
      <w:bookmarkStart w:id="650" w:name="_Toc296891207"/>
      <w:bookmarkStart w:id="651" w:name="_Toc292559372"/>
      <w:bookmarkStart w:id="652" w:name="_Toc280868656"/>
      <w:bookmarkStart w:id="653" w:name="_Toc280868655"/>
      <w:bookmarkStart w:id="654" w:name="_Toc267251424"/>
      <w:r>
        <w:rPr>
          <w:rFonts w:hint="eastAsia" w:ascii="宋体" w:hAnsi="宋体" w:cs="宋体"/>
          <w:color w:val="auto"/>
          <w:szCs w:val="21"/>
          <w:highlight w:val="none"/>
        </w:rPr>
        <w:t>.4材料与工程设备的保管与使用</w:t>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14:paraId="2153184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w:t>
      </w:r>
      <w:bookmarkStart w:id="655" w:name="_Toc292559373"/>
      <w:bookmarkStart w:id="656" w:name="_Toc292559878"/>
      <w:bookmarkStart w:id="657" w:name="_Toc318581173"/>
      <w:bookmarkStart w:id="658" w:name="_Toc296890996"/>
      <w:bookmarkStart w:id="659" w:name="_Toc296347167"/>
      <w:bookmarkStart w:id="660" w:name="_Toc312677494"/>
      <w:bookmarkStart w:id="661" w:name="_Toc297123528"/>
      <w:bookmarkStart w:id="662" w:name="_Toc303539137"/>
      <w:bookmarkStart w:id="663" w:name="_Toc296944507"/>
      <w:bookmarkStart w:id="664" w:name="_Toc312678020"/>
      <w:bookmarkStart w:id="665" w:name="_Toc296346669"/>
      <w:bookmarkStart w:id="666" w:name="_Toc296891208"/>
      <w:bookmarkStart w:id="667" w:name="_Toc297120468"/>
      <w:bookmarkStart w:id="668" w:name="_Toc304295557"/>
      <w:bookmarkStart w:id="669" w:name="_Toc300934980"/>
      <w:bookmarkStart w:id="670" w:name="_Toc296503168"/>
      <w:bookmarkStart w:id="671" w:name="_Toc297216187"/>
      <w:bookmarkStart w:id="672" w:name="_Toc297048354"/>
      <w:r>
        <w:rPr>
          <w:rFonts w:hint="eastAsia" w:ascii="宋体" w:hAnsi="宋体" w:cs="宋体"/>
          <w:color w:val="auto"/>
          <w:szCs w:val="21"/>
          <w:highlight w:val="none"/>
        </w:rPr>
        <w:t>.4.1发包人供应的材料设备的保管费用的承担：</w:t>
      </w:r>
      <w:r>
        <w:rPr>
          <w:rFonts w:hint="eastAsia" w:ascii="宋体" w:hAnsi="宋体" w:cs="宋体"/>
          <w:b/>
          <w:color w:val="auto"/>
          <w:szCs w:val="21"/>
          <w:highlight w:val="none"/>
          <w:u w:val="single"/>
        </w:rPr>
        <w:t>发包人供应并由承包人使用或安装的材料设备，承包人派人参加清点后由承包人妥善保管，相应保管费（包括提供仓库、保管）、安装过程中的二次搬运和设备就位费、检验试验费均包含在投标总价中，不另行计取。因承包人原因发生丢失损坏，由承包人负责赔偿。发包人未通知承包人清点，承包人不负责材料设备的保管，丢失损坏由发包人负责</w:t>
      </w:r>
      <w:r>
        <w:rPr>
          <w:rFonts w:hint="eastAsia" w:ascii="宋体" w:hAnsi="宋体" w:cs="宋体"/>
          <w:color w:val="auto"/>
          <w:szCs w:val="21"/>
          <w:highlight w:val="none"/>
        </w:rPr>
        <w:t>。</w:t>
      </w:r>
      <w:bookmarkEnd w:id="655"/>
      <w:bookmarkEnd w:id="656"/>
    </w:p>
    <w:p w14:paraId="0BD74D8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8.6 样品</w:t>
      </w:r>
    </w:p>
    <w:p w14:paraId="5DC65044">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8.6.1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14:paraId="1C023631">
      <w:pPr>
        <w:autoSpaceDE w:val="0"/>
        <w:autoSpaceDN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b/>
          <w:color w:val="auto"/>
          <w:szCs w:val="21"/>
          <w:highlight w:val="none"/>
          <w:u w:val="single"/>
        </w:rPr>
        <w:t>按发包人或监理人的书面要求提供</w:t>
      </w:r>
      <w:r>
        <w:rPr>
          <w:rFonts w:hint="eastAsia" w:ascii="宋体" w:hAnsi="宋体" w:cs="宋体"/>
          <w:color w:val="auto"/>
          <w:szCs w:val="21"/>
          <w:highlight w:val="none"/>
        </w:rPr>
        <w:t>。</w:t>
      </w:r>
    </w:p>
    <w:p w14:paraId="1BE5C87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8.8 施工设备和临时设施</w:t>
      </w:r>
    </w:p>
    <w:p w14:paraId="5947A4AA">
      <w:pPr>
        <w:autoSpaceDE w:val="0"/>
        <w:autoSpaceDN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2C84F323">
      <w:pPr>
        <w:autoSpaceDE w:val="0"/>
        <w:autoSpaceDN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关于修建临时设施费用承担的约定：</w:t>
      </w:r>
      <w:r>
        <w:rPr>
          <w:rFonts w:hint="eastAsia" w:ascii="宋体" w:hAnsi="宋体" w:cs="宋体"/>
          <w:b/>
          <w:color w:val="auto"/>
          <w:szCs w:val="21"/>
          <w:highlight w:val="none"/>
          <w:u w:val="single"/>
        </w:rPr>
        <w:t>由承包人承担。 如在施工范围外，需外借场地，由承包人自行借地，费用由承包人支付，发包人配合</w:t>
      </w:r>
      <w:r>
        <w:rPr>
          <w:rFonts w:hint="eastAsia" w:ascii="宋体" w:hAnsi="宋体" w:cs="宋体"/>
          <w:color w:val="auto"/>
          <w:szCs w:val="21"/>
          <w:highlight w:val="none"/>
        </w:rPr>
        <w:t>。</w:t>
      </w:r>
    </w:p>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03705657">
      <w:pPr>
        <w:tabs>
          <w:tab w:val="left" w:pos="864"/>
        </w:tabs>
        <w:snapToGrid w:val="0"/>
        <w:spacing w:line="360" w:lineRule="auto"/>
        <w:rPr>
          <w:rFonts w:hint="eastAsia" w:ascii="宋体" w:hAnsi="宋体" w:cs="宋体"/>
          <w:color w:val="auto"/>
          <w:szCs w:val="21"/>
          <w:highlight w:val="none"/>
        </w:rPr>
      </w:pPr>
      <w:bookmarkStart w:id="673" w:name="_Toc351203641"/>
      <w:r>
        <w:rPr>
          <w:rFonts w:hint="eastAsia" w:ascii="宋体" w:hAnsi="宋体" w:cs="宋体"/>
          <w:color w:val="auto"/>
          <w:szCs w:val="21"/>
          <w:highlight w:val="none"/>
        </w:rPr>
        <w:t>9</w:t>
      </w:r>
      <w:bookmarkEnd w:id="652"/>
      <w:bookmarkEnd w:id="653"/>
      <w:bookmarkEnd w:id="654"/>
      <w:bookmarkStart w:id="674" w:name="_Toc297123533"/>
      <w:bookmarkStart w:id="675" w:name="_Toc312677495"/>
      <w:bookmarkStart w:id="676" w:name="_Toc297216192"/>
      <w:bookmarkStart w:id="677" w:name="_Toc312678021"/>
      <w:bookmarkStart w:id="678" w:name="_Toc303539139"/>
      <w:bookmarkStart w:id="679" w:name="_Toc304295559"/>
      <w:bookmarkStart w:id="680" w:name="_Toc300934982"/>
      <w:bookmarkStart w:id="681" w:name="_Toc296503173"/>
      <w:bookmarkStart w:id="682" w:name="_Toc296891213"/>
      <w:bookmarkStart w:id="683" w:name="_Toc297120473"/>
      <w:bookmarkStart w:id="684" w:name="_Toc267251428"/>
      <w:bookmarkStart w:id="685" w:name="_Toc297048359"/>
      <w:bookmarkStart w:id="686" w:name="_Toc296891001"/>
      <w:bookmarkStart w:id="687" w:name="_Toc267251427"/>
      <w:bookmarkStart w:id="688" w:name="_Toc296346674"/>
      <w:bookmarkStart w:id="689" w:name="_Toc292559883"/>
      <w:bookmarkStart w:id="690" w:name="_Toc296944512"/>
      <w:bookmarkStart w:id="691" w:name="_Toc292559378"/>
      <w:bookmarkStart w:id="692" w:name="_Toc296347172"/>
      <w:r>
        <w:rPr>
          <w:rFonts w:hint="eastAsia" w:ascii="宋体" w:hAnsi="宋体" w:cs="宋体"/>
          <w:color w:val="auto"/>
          <w:szCs w:val="21"/>
          <w:highlight w:val="none"/>
        </w:rPr>
        <w:t>. 试验与检验</w:t>
      </w:r>
      <w:bookmarkEnd w:id="673"/>
    </w:p>
    <w:bookmarkEnd w:id="674"/>
    <w:bookmarkEnd w:id="675"/>
    <w:bookmarkEnd w:id="676"/>
    <w:bookmarkEnd w:id="677"/>
    <w:bookmarkEnd w:id="678"/>
    <w:bookmarkEnd w:id="679"/>
    <w:bookmarkEnd w:id="680"/>
    <w:p w14:paraId="07AD0C2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bookmarkStart w:id="693" w:name="_Toc300934983"/>
      <w:bookmarkStart w:id="694" w:name="_Toc297216193"/>
      <w:bookmarkStart w:id="695" w:name="_Toc304295560"/>
      <w:bookmarkStart w:id="696" w:name="_Toc297123534"/>
      <w:bookmarkStart w:id="697" w:name="_Toc312677496"/>
      <w:bookmarkStart w:id="698" w:name="_Toc303539140"/>
      <w:bookmarkStart w:id="699" w:name="_Toc312678022"/>
      <w:r>
        <w:rPr>
          <w:rFonts w:hint="eastAsia" w:ascii="宋体" w:hAnsi="宋体" w:cs="宋体"/>
          <w:color w:val="auto"/>
          <w:szCs w:val="21"/>
          <w:highlight w:val="none"/>
        </w:rPr>
        <w:t>.1试验设备与试验人员</w:t>
      </w:r>
    </w:p>
    <w:bookmarkEnd w:id="693"/>
    <w:bookmarkEnd w:id="694"/>
    <w:bookmarkEnd w:id="695"/>
    <w:bookmarkEnd w:id="696"/>
    <w:bookmarkEnd w:id="697"/>
    <w:bookmarkEnd w:id="698"/>
    <w:bookmarkEnd w:id="699"/>
    <w:p w14:paraId="14B888D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bookmarkStart w:id="700" w:name="_Toc300934984"/>
      <w:bookmarkStart w:id="701" w:name="_Toc312677497"/>
      <w:bookmarkStart w:id="702" w:name="_Toc304295561"/>
      <w:bookmarkStart w:id="703" w:name="_Toc297123535"/>
      <w:bookmarkStart w:id="704" w:name="_Toc303539141"/>
      <w:bookmarkStart w:id="705" w:name="_Toc312678023"/>
      <w:bookmarkStart w:id="706" w:name="_Toc297216194"/>
      <w:bookmarkStart w:id="707" w:name="_Toc318581174"/>
      <w:r>
        <w:rPr>
          <w:rFonts w:hint="eastAsia" w:ascii="宋体" w:hAnsi="宋体" w:cs="宋体"/>
          <w:color w:val="auto"/>
          <w:szCs w:val="21"/>
          <w:highlight w:val="none"/>
        </w:rPr>
        <w:t>.1.2 试验设备</w:t>
      </w:r>
    </w:p>
    <w:p w14:paraId="0665807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施工现场需要配置的试验场所：</w:t>
      </w:r>
      <w:bookmarkEnd w:id="700"/>
      <w:bookmarkEnd w:id="701"/>
      <w:bookmarkEnd w:id="702"/>
      <w:bookmarkEnd w:id="703"/>
      <w:bookmarkEnd w:id="704"/>
      <w:bookmarkEnd w:id="705"/>
      <w:bookmarkEnd w:id="706"/>
      <w:bookmarkStart w:id="708" w:name="_Toc297216195"/>
      <w:bookmarkStart w:id="709" w:name="_Toc300934985"/>
      <w:bookmarkStart w:id="710" w:name="_Toc303539142"/>
      <w:bookmarkStart w:id="711" w:name="_Toc312677498"/>
      <w:bookmarkStart w:id="712" w:name="_Toc312678024"/>
      <w:bookmarkStart w:id="713" w:name="_Toc304295562"/>
      <w:bookmarkStart w:id="714" w:name="_Toc297123536"/>
      <w:r>
        <w:rPr>
          <w:rFonts w:hint="eastAsia" w:ascii="宋体" w:hAnsi="宋体" w:cs="宋体"/>
          <w:b/>
          <w:color w:val="auto"/>
          <w:szCs w:val="21"/>
          <w:highlight w:val="none"/>
          <w:u w:val="single"/>
        </w:rPr>
        <w:t>按有关规定和发包人或监理人要求执行</w:t>
      </w:r>
      <w:r>
        <w:rPr>
          <w:rFonts w:hint="eastAsia" w:ascii="宋体" w:hAnsi="宋体" w:cs="宋体"/>
          <w:color w:val="auto"/>
          <w:szCs w:val="21"/>
          <w:highlight w:val="none"/>
        </w:rPr>
        <w:t xml:space="preserve">。 </w:t>
      </w:r>
    </w:p>
    <w:p w14:paraId="7EFCF93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施工现场需要配备的试验设备：</w:t>
      </w:r>
      <w:r>
        <w:rPr>
          <w:rFonts w:hint="eastAsia" w:ascii="宋体" w:hAnsi="宋体" w:cs="宋体"/>
          <w:b/>
          <w:color w:val="auto"/>
          <w:szCs w:val="21"/>
          <w:highlight w:val="none"/>
          <w:u w:val="single"/>
        </w:rPr>
        <w:t>按有关规定和发包人或监理人要求执行</w:t>
      </w:r>
      <w:r>
        <w:rPr>
          <w:rFonts w:hint="eastAsia" w:ascii="宋体" w:hAnsi="宋体" w:cs="宋体"/>
          <w:color w:val="auto"/>
          <w:szCs w:val="21"/>
          <w:highlight w:val="none"/>
        </w:rPr>
        <w:t>。</w:t>
      </w:r>
    </w:p>
    <w:p w14:paraId="49F28DF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b/>
          <w:color w:val="auto"/>
          <w:szCs w:val="21"/>
          <w:highlight w:val="none"/>
          <w:u w:val="single"/>
        </w:rPr>
        <w:t>按有关规定和发包人或监理人要求执行</w:t>
      </w:r>
      <w:r>
        <w:rPr>
          <w:rFonts w:hint="eastAsia" w:ascii="宋体" w:hAnsi="宋体" w:cs="宋体"/>
          <w:color w:val="auto"/>
          <w:szCs w:val="21"/>
          <w:highlight w:val="none"/>
        </w:rPr>
        <w:t>。</w:t>
      </w:r>
    </w:p>
    <w:p w14:paraId="793D6A3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9.4 现场工艺试验 </w:t>
      </w:r>
    </w:p>
    <w:p w14:paraId="441FA06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b/>
          <w:color w:val="auto"/>
          <w:szCs w:val="21"/>
          <w:highlight w:val="none"/>
          <w:u w:val="single"/>
        </w:rPr>
        <w:t>按有关规定和发包人或监理人要求执行</w:t>
      </w:r>
      <w:r>
        <w:rPr>
          <w:rFonts w:hint="eastAsia" w:ascii="宋体" w:hAnsi="宋体" w:cs="宋体"/>
          <w:color w:val="auto"/>
          <w:szCs w:val="21"/>
          <w:highlight w:val="none"/>
        </w:rPr>
        <w:t>。</w:t>
      </w:r>
    </w:p>
    <w:bookmarkEnd w:id="707"/>
    <w:bookmarkEnd w:id="708"/>
    <w:bookmarkEnd w:id="709"/>
    <w:bookmarkEnd w:id="710"/>
    <w:bookmarkEnd w:id="711"/>
    <w:bookmarkEnd w:id="712"/>
    <w:bookmarkEnd w:id="713"/>
    <w:bookmarkEnd w:id="714"/>
    <w:p w14:paraId="0C58ADA4">
      <w:pPr>
        <w:tabs>
          <w:tab w:val="left" w:pos="864"/>
        </w:tabs>
        <w:snapToGrid w:val="0"/>
        <w:spacing w:line="360" w:lineRule="auto"/>
        <w:rPr>
          <w:rFonts w:hint="eastAsia" w:ascii="宋体" w:hAnsi="宋体" w:cs="宋体"/>
          <w:color w:val="auto"/>
          <w:szCs w:val="21"/>
          <w:highlight w:val="none"/>
        </w:rPr>
      </w:pPr>
      <w:bookmarkStart w:id="715" w:name="_Toc351203642"/>
      <w:r>
        <w:rPr>
          <w:rFonts w:hint="eastAsia" w:ascii="宋体" w:hAnsi="宋体" w:cs="宋体"/>
          <w:color w:val="auto"/>
          <w:szCs w:val="21"/>
          <w:highlight w:val="none"/>
        </w:rPr>
        <w:t>1</w:t>
      </w:r>
      <w:bookmarkEnd w:id="681"/>
      <w:bookmarkEnd w:id="682"/>
      <w:bookmarkEnd w:id="683"/>
      <w:bookmarkEnd w:id="684"/>
      <w:bookmarkEnd w:id="685"/>
      <w:bookmarkEnd w:id="686"/>
      <w:bookmarkEnd w:id="687"/>
      <w:bookmarkEnd w:id="688"/>
      <w:bookmarkEnd w:id="689"/>
      <w:bookmarkEnd w:id="690"/>
      <w:bookmarkEnd w:id="691"/>
      <w:bookmarkEnd w:id="692"/>
      <w:bookmarkStart w:id="716" w:name="_Toc292559398"/>
      <w:bookmarkStart w:id="717" w:name="_Toc296944532"/>
      <w:bookmarkStart w:id="718" w:name="_Toc296891021"/>
      <w:bookmarkStart w:id="719" w:name="_Toc292559903"/>
      <w:bookmarkStart w:id="720" w:name="_Toc300934989"/>
      <w:bookmarkStart w:id="721" w:name="_Toc304295566"/>
      <w:bookmarkStart w:id="722" w:name="_Toc296346694"/>
      <w:bookmarkStart w:id="723" w:name="_Toc296347192"/>
      <w:bookmarkStart w:id="724" w:name="_Toc296503193"/>
      <w:bookmarkStart w:id="725" w:name="_Toc297120493"/>
      <w:bookmarkStart w:id="726" w:name="_Toc297216199"/>
      <w:bookmarkStart w:id="727" w:name="_Toc303539146"/>
      <w:bookmarkStart w:id="728" w:name="_Toc297048379"/>
      <w:bookmarkStart w:id="729" w:name="_Toc297123540"/>
      <w:bookmarkStart w:id="730" w:name="_Toc296891233"/>
      <w:bookmarkStart w:id="731" w:name="_Toc312678025"/>
      <w:bookmarkStart w:id="732" w:name="_Toc312677499"/>
      <w:bookmarkStart w:id="733" w:name="_Toc267251439"/>
      <w:bookmarkStart w:id="734" w:name="_Toc267251441"/>
      <w:bookmarkStart w:id="735" w:name="_Toc267251437"/>
      <w:bookmarkStart w:id="736" w:name="_Toc267251440"/>
      <w:bookmarkStart w:id="737" w:name="_Toc267251435"/>
      <w:bookmarkStart w:id="738" w:name="_Toc267251433"/>
      <w:bookmarkStart w:id="739" w:name="_Toc267251442"/>
      <w:r>
        <w:rPr>
          <w:rFonts w:hint="eastAsia" w:ascii="宋体" w:hAnsi="宋体" w:cs="宋体"/>
          <w:color w:val="auto"/>
          <w:szCs w:val="21"/>
          <w:highlight w:val="none"/>
        </w:rPr>
        <w:t>0. 变更</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bookmarkEnd w:id="731"/>
    <w:bookmarkEnd w:id="732"/>
    <w:p w14:paraId="410A1E7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740" w:name="_Toc297048380"/>
      <w:bookmarkStart w:id="741" w:name="_Toc292559399"/>
      <w:bookmarkStart w:id="742" w:name="_Toc300934990"/>
      <w:bookmarkStart w:id="743" w:name="_Toc296891234"/>
      <w:bookmarkStart w:id="744" w:name="_Toc297120494"/>
      <w:bookmarkStart w:id="745" w:name="_Toc312677500"/>
      <w:bookmarkStart w:id="746" w:name="_Toc312678026"/>
      <w:bookmarkStart w:id="747" w:name="_Toc292559904"/>
      <w:bookmarkStart w:id="748" w:name="_Toc296347193"/>
      <w:bookmarkStart w:id="749" w:name="_Toc296891022"/>
      <w:bookmarkStart w:id="750" w:name="_Toc297123541"/>
      <w:bookmarkStart w:id="751" w:name="_Toc296503194"/>
      <w:bookmarkStart w:id="752" w:name="_Toc296944533"/>
      <w:bookmarkStart w:id="753" w:name="_Toc304295567"/>
      <w:bookmarkStart w:id="754" w:name="_Toc303539147"/>
      <w:bookmarkStart w:id="755" w:name="_Toc297216200"/>
      <w:bookmarkStart w:id="756" w:name="_Toc296346695"/>
      <w:r>
        <w:rPr>
          <w:rFonts w:hint="eastAsia" w:ascii="宋体" w:hAnsi="宋体" w:cs="宋体"/>
          <w:color w:val="auto"/>
          <w:szCs w:val="21"/>
          <w:highlight w:val="none"/>
        </w:rPr>
        <w:t>0.1变更的范围</w:t>
      </w:r>
    </w:p>
    <w:p w14:paraId="3C402D7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051D5E2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52B2379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10.4.1 变更估价原则</w:t>
      </w:r>
    </w:p>
    <w:p w14:paraId="1A0C71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关于变更估价的约定: </w:t>
      </w:r>
    </w:p>
    <w:p w14:paraId="6A666CE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（1）已标价工程量清单或预算书有相同项目的，按照相同项目单价确定。 </w:t>
      </w:r>
    </w:p>
    <w:p w14:paraId="766DC65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（2）已标价工程量清单或预算书中无相同项目，但有类似项目的，参照类似项目的单价确定。 </w:t>
      </w:r>
    </w:p>
    <w:p w14:paraId="6C5FF12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（3）已标价工程量清单或预算书中无相同项目及类似项目单价的，其单价的确定，按以下约定：套用浙江省2018版预算定额</w:t>
      </w:r>
      <w:bookmarkStart w:id="757" w:name="ed_2022Y1M25D9H51M25"/>
      <w:r>
        <w:rPr>
          <w:rFonts w:hint="eastAsia" w:ascii="宋体" w:hAnsi="宋体" w:cs="宋体"/>
          <w:b/>
          <w:color w:val="auto"/>
          <w:szCs w:val="21"/>
          <w:highlight w:val="none"/>
          <w:u w:val="single"/>
        </w:rPr>
        <w:t>和《浙江省建设工程计价规则》（2018版）或</w:t>
      </w:r>
      <w:bookmarkEnd w:id="757"/>
      <w:r>
        <w:rPr>
          <w:rFonts w:hint="eastAsia" w:ascii="宋体" w:hAnsi="宋体" w:cs="宋体"/>
          <w:b/>
          <w:color w:val="auto"/>
          <w:szCs w:val="21"/>
          <w:highlight w:val="none"/>
          <w:u w:val="single"/>
        </w:rPr>
        <w:t>现行相应专业定额，安全文明施工费、企业管理费、利润按相应类别工程费率的中限计取，规费、税金按《浙江省建设工程计价规则》（2018版）规定计取；材料价格有投标价的执行投标价，无投标价的执行合同工期信息价平均值，对当地信息价正刊没有公布的材料，发包人应在充分市场询价基础上，参照同期同类材料市场价格水平，按照相关规定审批程序签证确定；当零星工程发生签证台班数量，机械单价有投标价的执行投标价，无投标价的执行预算定额单价；按照上述方法计算后乘以（1-承包人报价浮动率L）得出结算单价，承包人报价浮动率 L=（1-中标价÷招标控制价）×100%</w:t>
      </w:r>
      <w:bookmarkStart w:id="758" w:name="ed_2022Y1M25D9H51M53"/>
      <w:r>
        <w:rPr>
          <w:rFonts w:hint="eastAsia" w:ascii="宋体" w:hAnsi="宋体" w:cs="宋体"/>
          <w:b/>
          <w:color w:val="auto"/>
          <w:szCs w:val="21"/>
          <w:highlight w:val="none"/>
          <w:u w:val="single"/>
        </w:rPr>
        <w:t>（若项目含暂列金额，中标价及招标控制价均扣除暂列金额）</w:t>
      </w:r>
      <w:bookmarkEnd w:id="758"/>
      <w:r>
        <w:rPr>
          <w:rFonts w:hint="eastAsia" w:ascii="宋体" w:hAnsi="宋体" w:cs="宋体"/>
          <w:b/>
          <w:color w:val="auto"/>
          <w:szCs w:val="21"/>
          <w:highlight w:val="none"/>
          <w:u w:val="single"/>
        </w:rPr>
        <w:t xml:space="preserve">。 </w:t>
      </w:r>
    </w:p>
    <w:p w14:paraId="37B3E38D">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4）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按照《建设工程工程量清单计价规范》（GB50500-2013）9.6.2 条规定，增加部分的工程量的综合单价应予调低，减少后剩余部分的工程量的综合单价应予调高，可按下列公式调整: </w:t>
      </w:r>
    </w:p>
    <w:p w14:paraId="0B2D657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凡合价金额占合同总价 2%及以上的分部分项清单项目， </w:t>
      </w:r>
    </w:p>
    <w:p w14:paraId="679AB736">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①当 Q1&gt;1.15Q0 时: S=1.15Q0×P0+（Q1-1.15 Q0）×P1 </w:t>
      </w:r>
    </w:p>
    <w:p w14:paraId="35736DC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②当 Q1&lt;0.85Q0 时: S=Q1×P1 </w:t>
      </w:r>
    </w:p>
    <w:p w14:paraId="284853D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凡合价金额占合同总价不到 2%的分部分项清单项目， </w:t>
      </w:r>
    </w:p>
    <w:p w14:paraId="79C587C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③当 Q1&gt;1.25Q0 时: S=1.25Q0×P0+（Q1-1.25 Q0）×P1 </w:t>
      </w:r>
    </w:p>
    <w:p w14:paraId="29F66589">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④当 Q1&lt;0.75Q0 时: S=Q1×P1 </w:t>
      </w:r>
    </w:p>
    <w:p w14:paraId="6CA2120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式中 S——调整后某一分部分项工程费结算价； </w:t>
      </w:r>
    </w:p>
    <w:p w14:paraId="2099BD61">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Q1——最终完成的工程量； </w:t>
      </w:r>
    </w:p>
    <w:p w14:paraId="4503066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Q0——招标工程量清单中列出的工程量； </w:t>
      </w:r>
    </w:p>
    <w:p w14:paraId="2018B6C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P0——承包人在已标价工程量清单中填报的综合单价 </w:t>
      </w:r>
    </w:p>
    <w:p w14:paraId="6F285CE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P1——按照最终完成工程量重新调整后的综合单价，按本合同第 10.4.1条（3）款 </w:t>
      </w:r>
    </w:p>
    <w:p w14:paraId="7A80489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计算结果和 P0 比较，在工程量增加时，若计算结果大于 P0 的,取 P1=P0，在工程量减少时，若计算结果小于 P0 的, 取 P1= P0。 </w:t>
      </w:r>
    </w:p>
    <w:p w14:paraId="266D46FC">
      <w:pPr>
        <w:numPr>
          <w:ilvl w:val="0"/>
          <w:numId w:val="2"/>
        </w:num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其他：</w:t>
      </w:r>
    </w:p>
    <w:p w14:paraId="4948F6B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①工程量必须按照《建设工程工程量清单计价规范》（GB50500-2013）规定的工程量计算规则计算。工程量必须以承包人完成合同工程应予计量的工程量确定。最终结算工程量应首先报监理及发包人初审。 </w:t>
      </w:r>
    </w:p>
    <w:p w14:paraId="0F2D4A5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②工程变更管理按《杭州市政府投资项目工程变更管理暂行办法》（杭财建[2013]1246 号）执行，未履行规定程序的联系单，不得纳入工程结算。 </w:t>
      </w:r>
    </w:p>
    <w:p w14:paraId="57896AC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③本合同专用条款1.1.1.10中的“施工组织设计”是指承包人在投标书中制定的相关技术、经济和施工组织的综合性文件。施工组织措施费按投标报价包干。施工技术措施费，根据实际施工发生的按实结算，原技术措施费项目清单中已有的技术措施项目，按原有技术措施费的组价方法或单价调整，按项计的技术措施费不做调整；原技术措施费项目清单中没有的项目，组价方法按照“10.4.1变更估价原则第（3）条执行。如有甩项工程，发包人将对承包人未实际投入的施工组织措施费和技术措施费按上述方法予以扣除。 </w:t>
      </w:r>
    </w:p>
    <w:p w14:paraId="4DD2549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④工程量清单项目特征描述的分项工程内容均应计入综合单价报价，若承包人提供的分部分项工程量综合单价计算表及综合单价工料机分析表没有详尽分析的，发包人将对实际未实施的分项工程予以扣除，扣除部分的价格按照“10.4.1变更估价原则第（3）条执行。⑤现有管线、邻近建筑物、构筑物（含文物保护建筑）、古树名木等的保护费计算。招标时已明确的，其保护费用承包人应根据发包人提供的交底资料，结合现场探勘，充分考虑施工难度，计入报价，包干使用。实施过程中新发现的，其保护费用按实计算，计算口径按照“10.4.1变更估价原则第（3）条执行。</w:t>
      </w:r>
    </w:p>
    <w:p w14:paraId="19033DA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bCs/>
          <w:color w:val="auto"/>
          <w:szCs w:val="21"/>
          <w:highlight w:val="none"/>
          <w:u w:val="single"/>
        </w:rPr>
        <w:fldChar w:fldCharType="begin"/>
      </w:r>
      <w:r>
        <w:rPr>
          <w:rFonts w:hint="eastAsia" w:ascii="宋体" w:hAnsi="宋体" w:cs="宋体"/>
          <w:b/>
          <w:bCs/>
          <w:color w:val="auto"/>
          <w:szCs w:val="21"/>
          <w:highlight w:val="none"/>
          <w:u w:val="single"/>
        </w:rPr>
        <w:instrText xml:space="preserve"> = 5 \* GB3 </w:instrText>
      </w:r>
      <w:r>
        <w:rPr>
          <w:rFonts w:hint="eastAsia" w:ascii="宋体" w:hAnsi="宋体" w:cs="宋体"/>
          <w:b/>
          <w:bCs/>
          <w:color w:val="auto"/>
          <w:szCs w:val="21"/>
          <w:highlight w:val="none"/>
          <w:u w:val="single"/>
        </w:rPr>
        <w:fldChar w:fldCharType="separate"/>
      </w:r>
      <w:r>
        <w:rPr>
          <w:rFonts w:hint="eastAsia" w:ascii="宋体" w:hAnsi="宋体" w:cs="宋体"/>
          <w:b/>
          <w:bCs/>
          <w:color w:val="auto"/>
          <w:szCs w:val="21"/>
          <w:highlight w:val="none"/>
          <w:u w:val="single"/>
        </w:rPr>
        <w:t>⑤</w:t>
      </w:r>
      <w:r>
        <w:rPr>
          <w:rFonts w:hint="eastAsia" w:ascii="宋体" w:hAnsi="宋体" w:cs="宋体"/>
          <w:b/>
          <w:bCs/>
          <w:color w:val="auto"/>
          <w:szCs w:val="21"/>
          <w:highlight w:val="none"/>
          <w:u w:val="single"/>
        </w:rPr>
        <w:fldChar w:fldCharType="end"/>
      </w:r>
      <w:r>
        <w:rPr>
          <w:rFonts w:hint="eastAsia" w:ascii="宋体" w:hAnsi="宋体" w:cs="宋体"/>
          <w:b/>
          <w:color w:val="auto"/>
          <w:szCs w:val="21"/>
          <w:highlight w:val="none"/>
          <w:u w:val="single"/>
        </w:rPr>
        <w:t xml:space="preserve">发包人与承包人在询标过程中，涉及到合同价款结算有须明确或澄清的事项包括： </w:t>
      </w:r>
    </w:p>
    <w:p w14:paraId="2C62117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待询标明确 </w:t>
      </w:r>
    </w:p>
    <w:p w14:paraId="49456A4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⑥因受疫情影响造成的损失和费用增加，按照《关于新型冠状病毒肺炎疫情后我市建</w:t>
      </w:r>
    </w:p>
    <w:p w14:paraId="070B3AC1">
      <w:pPr>
        <w:snapToGrid w:val="0"/>
        <w:spacing w:line="360" w:lineRule="auto"/>
        <w:jc w:val="left"/>
        <w:rPr>
          <w:rFonts w:hint="eastAsia" w:ascii="宋体" w:hAnsi="宋体" w:cs="宋体"/>
          <w:color w:val="auto"/>
          <w:szCs w:val="21"/>
          <w:highlight w:val="none"/>
          <w:u w:val="single"/>
        </w:rPr>
      </w:pPr>
      <w:r>
        <w:rPr>
          <w:rFonts w:hint="eastAsia" w:ascii="宋体" w:hAnsi="宋体" w:cs="宋体"/>
          <w:b/>
          <w:color w:val="auto"/>
          <w:szCs w:val="21"/>
          <w:highlight w:val="none"/>
          <w:u w:val="single"/>
        </w:rPr>
        <w:t>设工程施工合同履约及工程价款调整的指导意见》执行</w:t>
      </w:r>
      <w:r>
        <w:rPr>
          <w:rFonts w:hint="eastAsia" w:ascii="宋体" w:hAnsi="宋体" w:cs="宋体"/>
          <w:color w:val="auto"/>
          <w:szCs w:val="21"/>
          <w:highlight w:val="none"/>
        </w:rPr>
        <w:t>。</w:t>
      </w:r>
    </w:p>
    <w:p w14:paraId="54D9B57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Start w:id="759" w:name="_Toc303539150"/>
      <w:bookmarkStart w:id="760" w:name="_Toc297120497"/>
      <w:bookmarkStart w:id="761" w:name="_Toc297123544"/>
      <w:bookmarkStart w:id="762" w:name="_Toc297048383"/>
      <w:bookmarkStart w:id="763" w:name="_Toc292559402"/>
      <w:bookmarkStart w:id="764" w:name="_Toc296944536"/>
      <w:bookmarkStart w:id="765" w:name="_Toc297216203"/>
      <w:bookmarkStart w:id="766" w:name="_Toc296346698"/>
      <w:bookmarkStart w:id="767" w:name="_Toc296891237"/>
      <w:bookmarkStart w:id="768" w:name="_Toc296891025"/>
      <w:bookmarkStart w:id="769" w:name="_Toc296503197"/>
      <w:bookmarkStart w:id="770" w:name="_Toc296347196"/>
      <w:bookmarkStart w:id="771" w:name="_Toc292559907"/>
      <w:bookmarkStart w:id="772" w:name="_Toc300934993"/>
      <w:bookmarkStart w:id="773" w:name="_Toc304295570"/>
      <w:bookmarkStart w:id="774" w:name="_Toc312678029"/>
      <w:bookmarkStart w:id="775" w:name="_Toc312677503"/>
      <w:r>
        <w:rPr>
          <w:rFonts w:hint="eastAsia" w:ascii="宋体" w:hAnsi="宋体" w:cs="宋体"/>
          <w:color w:val="auto"/>
          <w:szCs w:val="21"/>
          <w:highlight w:val="none"/>
        </w:rPr>
        <w:t>0.5承</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Start w:id="776" w:name="_Toc300934994"/>
      <w:bookmarkStart w:id="777" w:name="_Toc297120503"/>
      <w:bookmarkStart w:id="778" w:name="_Toc292559913"/>
      <w:bookmarkStart w:id="779" w:name="_Toc297123545"/>
      <w:bookmarkStart w:id="780" w:name="_Toc296891031"/>
      <w:bookmarkStart w:id="781" w:name="_Toc297216204"/>
      <w:bookmarkStart w:id="782" w:name="_Toc296503203"/>
      <w:bookmarkStart w:id="783" w:name="_Toc297048389"/>
      <w:bookmarkStart w:id="784" w:name="_Toc296346704"/>
      <w:bookmarkStart w:id="785" w:name="_Toc296347202"/>
      <w:bookmarkStart w:id="786" w:name="_Toc296891243"/>
      <w:bookmarkStart w:id="787" w:name="_Toc292559408"/>
      <w:bookmarkStart w:id="788" w:name="_Toc296944542"/>
      <w:bookmarkStart w:id="789" w:name="_Toc303539151"/>
      <w:r>
        <w:rPr>
          <w:rFonts w:hint="eastAsia" w:ascii="宋体" w:hAnsi="宋体" w:cs="宋体"/>
          <w:color w:val="auto"/>
          <w:szCs w:val="21"/>
          <w:highlight w:val="none"/>
        </w:rPr>
        <w:t>包人的合理化建议</w:t>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3F1438C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05D3F9C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3020F618">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w:t>
      </w:r>
      <w:bookmarkStart w:id="790" w:name="_Toc292559409"/>
      <w:bookmarkStart w:id="791" w:name="_Toc292559914"/>
      <w:bookmarkStart w:id="792" w:name="_Toc296346705"/>
      <w:bookmarkStart w:id="793" w:name="_Toc296891244"/>
      <w:bookmarkStart w:id="794" w:name="_Toc296347203"/>
      <w:bookmarkStart w:id="795" w:name="_Toc296503204"/>
      <w:bookmarkStart w:id="796" w:name="_Toc304295571"/>
      <w:bookmarkStart w:id="797" w:name="_Toc297123546"/>
      <w:bookmarkStart w:id="798" w:name="_Toc296891032"/>
      <w:bookmarkStart w:id="799" w:name="_Toc297120504"/>
      <w:bookmarkStart w:id="800" w:name="_Toc312677504"/>
      <w:bookmarkStart w:id="801" w:name="_Toc318581175"/>
      <w:bookmarkStart w:id="802" w:name="_Toc297048390"/>
      <w:bookmarkStart w:id="803" w:name="_Toc300934995"/>
      <w:bookmarkStart w:id="804" w:name="_Toc296944543"/>
      <w:bookmarkStart w:id="805" w:name="_Toc312678030"/>
      <w:bookmarkStart w:id="806" w:name="_Toc303539152"/>
      <w:bookmarkStart w:id="807" w:name="_Toc297216205"/>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14:paraId="7B8DCB2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808" w:name="_Toc292559404"/>
      <w:bookmarkStart w:id="809" w:name="_Toc296891027"/>
      <w:bookmarkStart w:id="810" w:name="_Toc292559909"/>
      <w:bookmarkStart w:id="811" w:name="_Toc297123548"/>
      <w:bookmarkStart w:id="812" w:name="_Toc300934997"/>
      <w:bookmarkStart w:id="813" w:name="_Toc312677507"/>
      <w:bookmarkStart w:id="814" w:name="_Toc312678033"/>
      <w:bookmarkStart w:id="815" w:name="_Toc296944538"/>
      <w:bookmarkStart w:id="816" w:name="_Toc304295574"/>
      <w:bookmarkStart w:id="817" w:name="_Toc303539154"/>
      <w:bookmarkStart w:id="818" w:name="_Toc296891239"/>
      <w:bookmarkStart w:id="819" w:name="_Toc297120499"/>
      <w:bookmarkStart w:id="820" w:name="_Toc297048385"/>
      <w:bookmarkStart w:id="821" w:name="_Toc296346700"/>
      <w:bookmarkStart w:id="822" w:name="_Toc297216207"/>
      <w:bookmarkStart w:id="823" w:name="_Toc296347198"/>
      <w:bookmarkStart w:id="824" w:name="_Toc296503199"/>
      <w:r>
        <w:rPr>
          <w:rFonts w:hint="eastAsia" w:ascii="宋体" w:hAnsi="宋体" w:cs="宋体"/>
          <w:color w:val="auto"/>
          <w:szCs w:val="21"/>
          <w:highlight w:val="none"/>
        </w:rPr>
        <w:t>0.7 暂估价</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09B7D8F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暂</w:t>
      </w:r>
      <w:bookmarkStart w:id="825" w:name="_Toc312678034"/>
      <w:bookmarkStart w:id="826" w:name="_Toc312677508"/>
      <w:bookmarkStart w:id="827" w:name="_Toc318581176"/>
      <w:r>
        <w:rPr>
          <w:rFonts w:hint="eastAsia" w:ascii="宋体" w:hAnsi="宋体" w:cs="宋体"/>
          <w:color w:val="auto"/>
          <w:kern w:val="0"/>
          <w:szCs w:val="21"/>
          <w:highlight w:val="none"/>
        </w:rPr>
        <w:t>估价材料和工程设备的明细详见附件11：《</w:t>
      </w:r>
      <w:r>
        <w:rPr>
          <w:rFonts w:hint="eastAsia" w:ascii="宋体" w:hAnsi="宋体" w:cs="宋体"/>
          <w:color w:val="auto"/>
          <w:szCs w:val="21"/>
          <w:highlight w:val="none"/>
        </w:rPr>
        <w:t>暂估价一览表》</w:t>
      </w:r>
      <w:r>
        <w:rPr>
          <w:rFonts w:hint="eastAsia" w:ascii="宋体" w:hAnsi="宋体" w:cs="宋体"/>
          <w:color w:val="auto"/>
          <w:kern w:val="0"/>
          <w:szCs w:val="21"/>
          <w:highlight w:val="none"/>
        </w:rPr>
        <w:t>。</w:t>
      </w:r>
    </w:p>
    <w:bookmarkEnd w:id="825"/>
    <w:bookmarkEnd w:id="826"/>
    <w:bookmarkEnd w:id="827"/>
    <w:p w14:paraId="6D0A182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828" w:name="_Toc318581177"/>
      <w:bookmarkStart w:id="829" w:name="_Toc312678035"/>
      <w:bookmarkStart w:id="830" w:name="_Toc312677509"/>
      <w:r>
        <w:rPr>
          <w:rFonts w:hint="eastAsia" w:ascii="宋体" w:hAnsi="宋体" w:cs="宋体"/>
          <w:color w:val="auto"/>
          <w:szCs w:val="21"/>
          <w:highlight w:val="none"/>
        </w:rPr>
        <w:t>0.7.1 依法必须招标的暂估价项目</w:t>
      </w:r>
    </w:p>
    <w:bookmarkEnd w:id="828"/>
    <w:bookmarkEnd w:id="829"/>
    <w:bookmarkEnd w:id="830"/>
    <w:p w14:paraId="374E378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14:paraId="4EB55DC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1EDC9C4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14:paraId="10640D9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696AEDE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63523F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10.8 暂列金额</w:t>
      </w:r>
    </w:p>
    <w:p w14:paraId="7FB16FED">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w:t>
      </w:r>
      <w:r>
        <w:rPr>
          <w:rFonts w:hint="eastAsia" w:ascii="宋体" w:hAnsi="宋体" w:cs="宋体"/>
          <w:color w:val="auto"/>
          <w:kern w:val="0"/>
          <w:szCs w:val="21"/>
          <w:highlight w:val="none"/>
        </w:rPr>
        <w:t>。</w:t>
      </w:r>
    </w:p>
    <w:p w14:paraId="551FD5F3">
      <w:pPr>
        <w:tabs>
          <w:tab w:val="left" w:pos="864"/>
        </w:tabs>
        <w:snapToGrid w:val="0"/>
        <w:spacing w:line="360" w:lineRule="auto"/>
        <w:rPr>
          <w:rFonts w:hint="eastAsia" w:ascii="宋体" w:hAnsi="宋体" w:cs="宋体"/>
          <w:color w:val="auto"/>
          <w:szCs w:val="21"/>
          <w:highlight w:val="none"/>
        </w:rPr>
      </w:pPr>
      <w:bookmarkStart w:id="831" w:name="_Toc351203643"/>
      <w:r>
        <w:rPr>
          <w:rFonts w:hint="eastAsia" w:ascii="宋体" w:hAnsi="宋体" w:cs="宋体"/>
          <w:color w:val="auto"/>
          <w:szCs w:val="21"/>
          <w:highlight w:val="none"/>
        </w:rPr>
        <w:t>11. 价格调整</w:t>
      </w:r>
      <w:bookmarkEnd w:id="831"/>
    </w:p>
    <w:p w14:paraId="415FB90C">
      <w:pPr>
        <w:snapToGrid w:val="0"/>
        <w:spacing w:line="360" w:lineRule="auto"/>
        <w:ind w:firstLine="420" w:firstLineChars="200"/>
        <w:rPr>
          <w:rFonts w:hint="eastAsia" w:ascii="宋体" w:hAnsi="宋体" w:cs="宋体"/>
          <w:color w:val="auto"/>
          <w:szCs w:val="21"/>
          <w:highlight w:val="none"/>
        </w:rPr>
      </w:pPr>
      <w:bookmarkStart w:id="832" w:name="_Toc297123550"/>
      <w:bookmarkStart w:id="833" w:name="_Toc296347200"/>
      <w:bookmarkStart w:id="834" w:name="_Toc296346702"/>
      <w:bookmarkStart w:id="835" w:name="_Toc312678039"/>
      <w:bookmarkStart w:id="836" w:name="_Toc296891029"/>
      <w:bookmarkStart w:id="837" w:name="_Toc297120501"/>
      <w:bookmarkStart w:id="838" w:name="_Toc303539157"/>
      <w:bookmarkStart w:id="839" w:name="_Toc292559406"/>
      <w:bookmarkStart w:id="840" w:name="_Toc297216209"/>
      <w:bookmarkStart w:id="841" w:name="_Toc297048387"/>
      <w:bookmarkStart w:id="842" w:name="_Toc292559911"/>
      <w:bookmarkStart w:id="843" w:name="_Toc296944540"/>
      <w:bookmarkStart w:id="844" w:name="_Toc296891241"/>
      <w:bookmarkStart w:id="845" w:name="_Toc296503201"/>
      <w:bookmarkStart w:id="846" w:name="_Toc300935000"/>
      <w:bookmarkStart w:id="847" w:name="_Toc304295577"/>
      <w:r>
        <w:rPr>
          <w:rFonts w:hint="eastAsia" w:ascii="宋体" w:hAnsi="宋体" w:cs="宋体"/>
          <w:color w:val="auto"/>
          <w:szCs w:val="21"/>
          <w:highlight w:val="none"/>
        </w:rPr>
        <w:t>11.1 市场价格波动引起的调整</w:t>
      </w:r>
    </w:p>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14:paraId="104ADF2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b/>
          <w:color w:val="auto"/>
          <w:szCs w:val="21"/>
          <w:highlight w:val="none"/>
          <w:u w:val="single"/>
        </w:rPr>
        <w:t>否</w:t>
      </w:r>
      <w:r>
        <w:rPr>
          <w:rFonts w:hint="eastAsia" w:ascii="宋体" w:hAnsi="宋体" w:cs="宋体"/>
          <w:color w:val="auto"/>
          <w:szCs w:val="21"/>
          <w:highlight w:val="none"/>
        </w:rPr>
        <w:t>。</w:t>
      </w:r>
    </w:p>
    <w:p w14:paraId="23605E5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种方式对合同价格进行调整：</w:t>
      </w:r>
    </w:p>
    <w:p w14:paraId="43103B1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60B8F657">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32CF5EE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5878314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（2）关于基准价格的约定：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606A86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%时，或材料单价跌幅以已标价工程量清单或预算书中载明材料单价为基础超过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%时，其超过部分据实调整。</w:t>
      </w:r>
    </w:p>
    <w:p w14:paraId="1877B28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%时，材料单价涨幅以已标价工程量清单或预算书中载明材料单价为基础超过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%时，其超过部分据实调整。</w:t>
      </w:r>
    </w:p>
    <w:p w14:paraId="43083AC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%时，其超过部分据实调整。</w:t>
      </w:r>
    </w:p>
    <w:p w14:paraId="2DC3F9C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第3种方式：其他价格调整方式：</w:t>
      </w:r>
      <w:r>
        <w:rPr>
          <w:rFonts w:hint="eastAsia" w:ascii="宋体" w:hAnsi="宋体" w:cs="宋体"/>
          <w:b/>
          <w:color w:val="auto"/>
          <w:szCs w:val="21"/>
          <w:highlight w:val="none"/>
          <w:u w:val="single"/>
        </w:rPr>
        <w:t>采用政策性文件进行价格调整</w:t>
      </w:r>
      <w:r>
        <w:rPr>
          <w:rFonts w:hint="eastAsia" w:ascii="宋体" w:hAnsi="宋体" w:cs="宋体"/>
          <w:color w:val="auto"/>
          <w:szCs w:val="21"/>
          <w:highlight w:val="none"/>
        </w:rPr>
        <w:t>。</w:t>
      </w:r>
    </w:p>
    <w:bookmarkEnd w:id="733"/>
    <w:bookmarkEnd w:id="734"/>
    <w:bookmarkEnd w:id="735"/>
    <w:bookmarkEnd w:id="736"/>
    <w:bookmarkEnd w:id="737"/>
    <w:bookmarkEnd w:id="738"/>
    <w:p w14:paraId="52520914">
      <w:pPr>
        <w:spacing w:line="360" w:lineRule="auto"/>
        <w:ind w:firstLine="422" w:firstLineChars="200"/>
        <w:rPr>
          <w:rFonts w:hint="eastAsia" w:ascii="宋体" w:hAnsi="宋体" w:cs="宋体"/>
          <w:b/>
          <w:color w:val="auto"/>
          <w:szCs w:val="21"/>
          <w:highlight w:val="none"/>
        </w:rPr>
      </w:pPr>
      <w:bookmarkStart w:id="848" w:name="_Toc296346706"/>
      <w:bookmarkStart w:id="849" w:name="_Toc297048391"/>
      <w:bookmarkStart w:id="850" w:name="_Toc296891245"/>
      <w:bookmarkStart w:id="851" w:name="_Toc296944544"/>
      <w:bookmarkStart w:id="852" w:name="_Toc292559915"/>
      <w:bookmarkStart w:id="853" w:name="_Toc296503205"/>
      <w:bookmarkStart w:id="854" w:name="_Toc297120505"/>
      <w:bookmarkStart w:id="855" w:name="_Toc296891033"/>
      <w:bookmarkStart w:id="856" w:name="_Toc296347204"/>
      <w:bookmarkStart w:id="857" w:name="_Toc292559410"/>
      <w:bookmarkStart w:id="858" w:name="_Toc351203644"/>
      <w:bookmarkStart w:id="859" w:name="_Toc304295579"/>
      <w:bookmarkStart w:id="860" w:name="_Toc300935002"/>
      <w:bookmarkStart w:id="861" w:name="_Toc297123552"/>
      <w:bookmarkStart w:id="862" w:name="_Toc312678040"/>
      <w:bookmarkStart w:id="863" w:name="_Toc297216211"/>
      <w:bookmarkStart w:id="864" w:name="_Toc303539159"/>
      <w:r>
        <w:rPr>
          <w:rFonts w:hint="eastAsia" w:ascii="宋体" w:hAnsi="宋体" w:cs="宋体"/>
          <w:b/>
          <w:color w:val="auto"/>
          <w:szCs w:val="21"/>
          <w:highlight w:val="none"/>
        </w:rPr>
        <w:t>政府投资工程因市场价格波动引起的调整按</w:t>
      </w:r>
      <w:r>
        <w:rPr>
          <w:rFonts w:hint="eastAsia" w:ascii="宋体" w:hAnsi="宋体" w:cs="宋体"/>
          <w:b/>
          <w:color w:val="auto"/>
          <w:szCs w:val="21"/>
          <w:highlight w:val="none"/>
          <w:u w:val="single"/>
        </w:rPr>
        <w:t>《关于进一步加强杭州市建设工程市场要素价格动态管理的指导意见》（杭建市发〔2018〕579号）执行</w:t>
      </w:r>
      <w:r>
        <w:rPr>
          <w:rFonts w:hint="eastAsia" w:ascii="宋体" w:hAnsi="宋体" w:cs="宋体"/>
          <w:b/>
          <w:color w:val="auto"/>
          <w:szCs w:val="21"/>
          <w:highlight w:val="none"/>
        </w:rPr>
        <w:t>执行：</w:t>
      </w:r>
    </w:p>
    <w:p w14:paraId="3033308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其中：</w:t>
      </w:r>
    </w:p>
    <w:p w14:paraId="36D9E3AB">
      <w:pPr>
        <w:spacing w:line="360" w:lineRule="auto"/>
        <w:ind w:firstLine="645"/>
        <w:rPr>
          <w:rFonts w:hint="eastAsia" w:ascii="宋体" w:hAnsi="宋体" w:cs="宋体"/>
          <w:b/>
          <w:color w:val="auto"/>
          <w:szCs w:val="21"/>
          <w:highlight w:val="none"/>
        </w:rPr>
      </w:pPr>
      <w:r>
        <w:rPr>
          <w:rFonts w:hint="eastAsia" w:ascii="宋体" w:hAnsi="宋体" w:cs="宋体"/>
          <w:b/>
          <w:color w:val="auto"/>
          <w:szCs w:val="21"/>
          <w:highlight w:val="none"/>
        </w:rPr>
        <w:t>1、风险范围及幅度的约定：</w:t>
      </w:r>
    </w:p>
    <w:p w14:paraId="5FFFE02D">
      <w:pPr>
        <w:spacing w:line="360" w:lineRule="auto"/>
        <w:ind w:firstLine="645"/>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（1）人工费的风险幅度（ 5 %）</w:t>
      </w:r>
    </w:p>
    <w:p w14:paraId="7647FC01">
      <w:pPr>
        <w:spacing w:line="360" w:lineRule="auto"/>
        <w:ind w:firstLine="645"/>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（2）材料价格的风险幅度（ 5 %）</w:t>
      </w:r>
    </w:p>
    <w:p w14:paraId="429BB484">
      <w:pPr>
        <w:spacing w:line="360" w:lineRule="auto"/>
        <w:ind w:firstLine="645"/>
        <w:rPr>
          <w:rFonts w:hint="eastAsia" w:ascii="宋体" w:hAnsi="宋体" w:cs="宋体"/>
          <w:b/>
          <w:color w:val="auto"/>
          <w:szCs w:val="21"/>
          <w:highlight w:val="none"/>
        </w:rPr>
      </w:pPr>
      <w:r>
        <w:rPr>
          <w:rFonts w:hint="eastAsia" w:ascii="宋体" w:hAnsi="宋体" w:cs="宋体"/>
          <w:b/>
          <w:color w:val="auto"/>
          <w:szCs w:val="21"/>
          <w:highlight w:val="none"/>
        </w:rPr>
        <w:t>2、材料价款动态调整结算方式采用以下</w:t>
      </w:r>
      <w:r>
        <w:rPr>
          <w:rFonts w:hint="eastAsia" w:ascii="宋体" w:hAnsi="宋体" w:cs="宋体"/>
          <w:b/>
          <w:color w:val="auto"/>
          <w:szCs w:val="21"/>
          <w:highlight w:val="none"/>
          <w:u w:val="single"/>
        </w:rPr>
        <w:t>第（ 3 ）种方式</w:t>
      </w:r>
      <w:r>
        <w:rPr>
          <w:rFonts w:hint="eastAsia" w:ascii="宋体" w:hAnsi="宋体" w:cs="宋体"/>
          <w:b/>
          <w:color w:val="auto"/>
          <w:szCs w:val="21"/>
          <w:highlight w:val="none"/>
        </w:rPr>
        <w:t>约定：</w:t>
      </w:r>
    </w:p>
    <w:p w14:paraId="6A68F30F">
      <w:pPr>
        <w:spacing w:line="360" w:lineRule="auto"/>
        <w:ind w:firstLine="645"/>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（1）按时间进度分段结算。</w:t>
      </w:r>
    </w:p>
    <w:p w14:paraId="57416EC0">
      <w:pPr>
        <w:spacing w:line="360" w:lineRule="auto"/>
        <w:ind w:firstLine="645"/>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（2）按工程形象部位(目标)分段结算。</w:t>
      </w:r>
    </w:p>
    <w:p w14:paraId="04428F99">
      <w:pPr>
        <w:spacing w:line="360" w:lineRule="auto"/>
        <w:ind w:firstLine="645"/>
        <w:rPr>
          <w:rFonts w:hint="eastAsia" w:ascii="宋体" w:hAnsi="宋体" w:cs="宋体"/>
          <w:color w:val="auto"/>
          <w:szCs w:val="21"/>
          <w:highlight w:val="none"/>
        </w:rPr>
      </w:pPr>
      <w:r>
        <w:rPr>
          <w:rFonts w:hint="eastAsia" w:ascii="宋体" w:hAnsi="宋体" w:cs="宋体"/>
          <w:b/>
          <w:color w:val="auto"/>
          <w:szCs w:val="21"/>
          <w:highlight w:val="none"/>
          <w:u w:val="single"/>
        </w:rPr>
        <w:t>（3）竣工后一次性结算</w:t>
      </w:r>
      <w:r>
        <w:rPr>
          <w:rFonts w:hint="eastAsia" w:ascii="宋体" w:hAnsi="宋体" w:cs="宋体"/>
          <w:b/>
          <w:color w:val="auto"/>
          <w:szCs w:val="21"/>
          <w:highlight w:val="none"/>
        </w:rPr>
        <w:t>。</w:t>
      </w:r>
    </w:p>
    <w:p w14:paraId="088B9DE1">
      <w:pPr>
        <w:tabs>
          <w:tab w:val="left" w:pos="864"/>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12. </w:t>
      </w:r>
      <w:bookmarkEnd w:id="848"/>
      <w:bookmarkEnd w:id="849"/>
      <w:bookmarkEnd w:id="850"/>
      <w:bookmarkEnd w:id="851"/>
      <w:bookmarkEnd w:id="852"/>
      <w:bookmarkEnd w:id="853"/>
      <w:bookmarkEnd w:id="854"/>
      <w:bookmarkEnd w:id="855"/>
      <w:bookmarkEnd w:id="856"/>
      <w:bookmarkEnd w:id="857"/>
      <w:r>
        <w:rPr>
          <w:rFonts w:hint="eastAsia" w:ascii="宋体" w:hAnsi="宋体" w:cs="宋体"/>
          <w:color w:val="auto"/>
          <w:szCs w:val="21"/>
          <w:highlight w:val="none"/>
        </w:rPr>
        <w:t>合同价格、计量与支付</w:t>
      </w:r>
      <w:bookmarkEnd w:id="858"/>
    </w:p>
    <w:bookmarkEnd w:id="859"/>
    <w:bookmarkEnd w:id="860"/>
    <w:bookmarkEnd w:id="861"/>
    <w:bookmarkEnd w:id="862"/>
    <w:bookmarkEnd w:id="863"/>
    <w:bookmarkEnd w:id="864"/>
    <w:p w14:paraId="6F34642D">
      <w:pPr>
        <w:snapToGrid w:val="0"/>
        <w:spacing w:line="360" w:lineRule="auto"/>
        <w:ind w:firstLine="420" w:firstLineChars="200"/>
        <w:rPr>
          <w:rFonts w:hint="eastAsia" w:ascii="宋体" w:hAnsi="宋体" w:cs="宋体"/>
          <w:color w:val="auto"/>
          <w:szCs w:val="21"/>
          <w:highlight w:val="none"/>
        </w:rPr>
      </w:pPr>
      <w:bookmarkStart w:id="865" w:name="_Toc292559916"/>
      <w:bookmarkStart w:id="866" w:name="_Toc267251461"/>
      <w:bookmarkStart w:id="867" w:name="_Toc292559411"/>
      <w:bookmarkStart w:id="868" w:name="_Toc297048392"/>
      <w:bookmarkStart w:id="869" w:name="_Toc296503206"/>
      <w:bookmarkStart w:id="870" w:name="_Toc296891246"/>
      <w:bookmarkStart w:id="871" w:name="_Toc296944545"/>
      <w:bookmarkStart w:id="872" w:name="_Toc297120506"/>
      <w:bookmarkStart w:id="873" w:name="_Toc296891034"/>
      <w:bookmarkStart w:id="874" w:name="_Toc296347205"/>
      <w:bookmarkStart w:id="875" w:name="_Toc296346707"/>
      <w:bookmarkStart w:id="876" w:name="_Toc297216212"/>
      <w:bookmarkStart w:id="877" w:name="_Toc312678041"/>
      <w:bookmarkStart w:id="878" w:name="_Toc297123553"/>
      <w:bookmarkStart w:id="879" w:name="_Toc304295580"/>
      <w:bookmarkStart w:id="880" w:name="_Toc303539160"/>
      <w:bookmarkStart w:id="881" w:name="_Toc300935003"/>
      <w:r>
        <w:rPr>
          <w:rFonts w:hint="eastAsia" w:ascii="宋体" w:hAnsi="宋体" w:cs="宋体"/>
          <w:color w:val="auto"/>
          <w:szCs w:val="21"/>
          <w:highlight w:val="none"/>
        </w:rPr>
        <w:t>12.1 合</w:t>
      </w:r>
      <w:bookmarkEnd w:id="865"/>
      <w:bookmarkEnd w:id="866"/>
      <w:bookmarkEnd w:id="867"/>
      <w:r>
        <w:rPr>
          <w:rFonts w:hint="eastAsia" w:ascii="宋体" w:hAnsi="宋体" w:cs="宋体"/>
          <w:color w:val="auto"/>
          <w:szCs w:val="21"/>
          <w:highlight w:val="none"/>
        </w:rPr>
        <w:t>同价</w:t>
      </w:r>
      <w:bookmarkEnd w:id="868"/>
      <w:bookmarkEnd w:id="869"/>
      <w:bookmarkEnd w:id="870"/>
      <w:bookmarkEnd w:id="871"/>
      <w:bookmarkEnd w:id="872"/>
      <w:bookmarkEnd w:id="873"/>
      <w:bookmarkEnd w:id="874"/>
      <w:bookmarkEnd w:id="875"/>
      <w:r>
        <w:rPr>
          <w:rFonts w:hint="eastAsia" w:ascii="宋体" w:hAnsi="宋体" w:cs="宋体"/>
          <w:color w:val="auto"/>
          <w:szCs w:val="21"/>
          <w:highlight w:val="none"/>
        </w:rPr>
        <w:t>格形式</w:t>
      </w:r>
    </w:p>
    <w:bookmarkEnd w:id="876"/>
    <w:bookmarkEnd w:id="877"/>
    <w:bookmarkEnd w:id="878"/>
    <w:bookmarkEnd w:id="879"/>
    <w:bookmarkEnd w:id="880"/>
    <w:bookmarkEnd w:id="881"/>
    <w:p w14:paraId="47F40F5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78FCE2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p>
    <w:p w14:paraId="18886D49">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 xml:space="preserve">应由承包人承担的工、料、机在投标编制期或预算书编制期与合同实施期间所发生的市场价格波动。 </w:t>
      </w:r>
    </w:p>
    <w:p w14:paraId="44D547C9">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其他：</w:t>
      </w:r>
    </w:p>
    <w:p w14:paraId="452FC1B0">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①技术规范要求的费用；</w:t>
      </w:r>
    </w:p>
    <w:p w14:paraId="5426445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②由于承包人原因造成的施工方案更改或单方更改施工方案；</w:t>
      </w:r>
    </w:p>
    <w:p w14:paraId="5B18C1C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③承包人对工程现场环境以及招标人提供的招标文件、图纸等资料做出错误的推论、理解而导致报价失误；</w:t>
      </w:r>
    </w:p>
    <w:p w14:paraId="5FCED90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④工程量清单描述不全或现行预算定额未包括或计价规范未描述到，但又是完成分项工程必须的工作内容；</w:t>
      </w:r>
    </w:p>
    <w:p w14:paraId="1D68539C">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⑤工程量清单数量误差引起的综合单价成本差异；</w:t>
      </w:r>
    </w:p>
    <w:p w14:paraId="465C436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⑥合同及各合同附件约定的，要求包干的项目；</w:t>
      </w:r>
    </w:p>
    <w:p w14:paraId="5C922440">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⑦作为一个有经验的承包人应能预计的可能发生的其他费用</w:t>
      </w:r>
      <w:r>
        <w:rPr>
          <w:rFonts w:hint="eastAsia" w:ascii="宋体" w:hAnsi="宋体" w:cs="宋体"/>
          <w:color w:val="auto"/>
          <w:szCs w:val="21"/>
          <w:highlight w:val="none"/>
        </w:rPr>
        <w:t>。</w:t>
      </w:r>
    </w:p>
    <w:p w14:paraId="6D858BA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风险费用的计算方法：</w:t>
      </w:r>
      <w:r>
        <w:rPr>
          <w:rFonts w:hint="eastAsia" w:ascii="宋体" w:hAnsi="宋体" w:cs="宋体"/>
          <w:b/>
          <w:color w:val="auto"/>
          <w:szCs w:val="21"/>
          <w:highlight w:val="none"/>
          <w:u w:val="single"/>
        </w:rPr>
        <w:t>以上风险范围之内的费用投标人在投标报价时自行考虑，工程结算时均不作调整</w:t>
      </w:r>
      <w:r>
        <w:rPr>
          <w:rFonts w:hint="eastAsia" w:ascii="宋体" w:hAnsi="宋体" w:cs="宋体"/>
          <w:color w:val="auto"/>
          <w:szCs w:val="21"/>
          <w:highlight w:val="none"/>
        </w:rPr>
        <w:t>。</w:t>
      </w:r>
    </w:p>
    <w:p w14:paraId="374C89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0E496D7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市场价格波动引起的调整按本合同11.1第3种方式的约定计算</w:t>
      </w:r>
      <w:r>
        <w:rPr>
          <w:rFonts w:hint="eastAsia" w:ascii="宋体" w:hAnsi="宋体" w:cs="宋体"/>
          <w:b/>
          <w:color w:val="auto"/>
          <w:szCs w:val="21"/>
          <w:highlight w:val="none"/>
        </w:rPr>
        <w:t>。</w:t>
      </w:r>
    </w:p>
    <w:p w14:paraId="31F91EA3">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其他：①实物工程量数量按实调整；②变更估价按本合同10.4.1 的约定计算</w:t>
      </w:r>
      <w:r>
        <w:rPr>
          <w:rFonts w:hint="eastAsia" w:ascii="宋体" w:hAnsi="宋体" w:cs="宋体"/>
          <w:color w:val="auto"/>
          <w:szCs w:val="21"/>
          <w:highlight w:val="none"/>
        </w:rPr>
        <w:t>。</w:t>
      </w:r>
    </w:p>
    <w:p w14:paraId="3D1913B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w:t>
      </w:r>
    </w:p>
    <w:p w14:paraId="0616AF7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2F5673D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22A6285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B665E6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01409C98">
      <w:pPr>
        <w:snapToGrid w:val="0"/>
        <w:spacing w:line="360" w:lineRule="auto"/>
        <w:ind w:firstLine="420" w:firstLineChars="200"/>
        <w:rPr>
          <w:rFonts w:hint="eastAsia" w:ascii="宋体" w:hAnsi="宋体" w:cs="宋体"/>
          <w:color w:val="auto"/>
          <w:szCs w:val="21"/>
          <w:highlight w:val="none"/>
        </w:rPr>
      </w:pPr>
      <w:bookmarkStart w:id="882" w:name="_Toc304295581"/>
      <w:bookmarkStart w:id="883" w:name="_Toc297123554"/>
      <w:bookmarkStart w:id="884" w:name="_Toc312678042"/>
      <w:bookmarkStart w:id="885" w:name="_Toc303539161"/>
      <w:bookmarkStart w:id="886" w:name="_Toc300935004"/>
      <w:bookmarkStart w:id="887" w:name="_Toc297216213"/>
      <w:bookmarkStart w:id="888" w:name="_Toc292559917"/>
      <w:bookmarkStart w:id="889" w:name="_Toc297120507"/>
      <w:bookmarkStart w:id="890" w:name="_Toc296346708"/>
      <w:bookmarkStart w:id="891" w:name="_Toc296891035"/>
      <w:bookmarkStart w:id="892" w:name="_Toc296347206"/>
      <w:bookmarkStart w:id="893" w:name="_Toc292559412"/>
      <w:bookmarkStart w:id="894" w:name="_Toc296891247"/>
      <w:bookmarkStart w:id="895" w:name="_Toc297048393"/>
      <w:bookmarkStart w:id="896" w:name="_Toc296944546"/>
      <w:bookmarkStart w:id="897" w:name="_Toc296503207"/>
      <w:r>
        <w:rPr>
          <w:rFonts w:hint="eastAsia" w:ascii="宋体" w:hAnsi="宋体" w:cs="宋体"/>
          <w:color w:val="auto"/>
          <w:szCs w:val="21"/>
          <w:highlight w:val="none"/>
        </w:rPr>
        <w:t>12.2 预付款</w:t>
      </w:r>
    </w:p>
    <w:bookmarkEnd w:id="882"/>
    <w:bookmarkEnd w:id="883"/>
    <w:bookmarkEnd w:id="884"/>
    <w:bookmarkEnd w:id="885"/>
    <w:bookmarkEnd w:id="886"/>
    <w:bookmarkEnd w:id="887"/>
    <w:p w14:paraId="26C41A6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12.2.1 预付款的支付</w:t>
      </w:r>
    </w:p>
    <w:p w14:paraId="4C35E18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b/>
          <w:bCs/>
          <w:color w:val="auto"/>
          <w:szCs w:val="21"/>
          <w:highlight w:val="none"/>
          <w:u w:val="single"/>
        </w:rPr>
        <w:t>合同金额的50%</w:t>
      </w:r>
      <w:r>
        <w:rPr>
          <w:rFonts w:hint="eastAsia" w:ascii="宋体" w:hAnsi="宋体" w:cs="宋体"/>
          <w:color w:val="auto"/>
          <w:szCs w:val="21"/>
          <w:highlight w:val="none"/>
        </w:rPr>
        <w:t>。</w:t>
      </w:r>
    </w:p>
    <w:p w14:paraId="4A1A8E1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u w:val="single"/>
        </w:rPr>
        <w:t>合同生效、具备实施条件后，承包人在5个工作日内提交银行或者保险公司出具的预付款保函，</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在5个工作日内支付合同总价的50%作为预付款(因客观原因造成</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预付款逾期支付的，不追究逾期支付违约责任，具体付款日期按实际支付时间执行)</w:t>
      </w:r>
      <w:r>
        <w:rPr>
          <w:rFonts w:hint="eastAsia" w:ascii="宋体" w:hAnsi="宋体" w:cs="宋体"/>
          <w:color w:val="auto"/>
          <w:szCs w:val="21"/>
          <w:highlight w:val="none"/>
        </w:rPr>
        <w:t>。</w:t>
      </w:r>
    </w:p>
    <w:p w14:paraId="77C8E80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b/>
          <w:bCs/>
          <w:color w:val="auto"/>
          <w:szCs w:val="21"/>
          <w:highlight w:val="none"/>
          <w:u w:val="single"/>
        </w:rPr>
        <w:t>在竣工时一并结算</w:t>
      </w:r>
      <w:r>
        <w:rPr>
          <w:rFonts w:hint="eastAsia" w:ascii="宋体" w:hAnsi="宋体" w:cs="宋体"/>
          <w:color w:val="auto"/>
          <w:szCs w:val="21"/>
          <w:highlight w:val="none"/>
        </w:rPr>
        <w:t>。</w:t>
      </w:r>
    </w:p>
    <w:p w14:paraId="717979A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12.2.2 预付款担保</w:t>
      </w:r>
    </w:p>
    <w:p w14:paraId="5C3CEF4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承包人递交预付款担保的期限：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合同生效、具备实施条件后，承包人在5个工作日内提交银行或者保险公司出具的预付款保函</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28B4817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银行或者保险公司出具的预付款保函</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888"/>
    <w:bookmarkEnd w:id="889"/>
    <w:bookmarkEnd w:id="890"/>
    <w:bookmarkEnd w:id="891"/>
    <w:bookmarkEnd w:id="892"/>
    <w:bookmarkEnd w:id="893"/>
    <w:bookmarkEnd w:id="894"/>
    <w:bookmarkEnd w:id="895"/>
    <w:bookmarkEnd w:id="896"/>
    <w:bookmarkEnd w:id="897"/>
    <w:p w14:paraId="2FD8543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计量</w:t>
      </w:r>
    </w:p>
    <w:p w14:paraId="192326C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7493A2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工程量计算规则：</w:t>
      </w:r>
    </w:p>
    <w:p w14:paraId="5EDFD58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 xml:space="preserve"> 实行工程量清单计价的工程项目，其工程量的计算规则应按国家标准工程量计算规范及省级行业主管部门颁布的补充规定执行。</w:t>
      </w:r>
    </w:p>
    <w:p w14:paraId="4C0FFA0E">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不实行工程量清单计价的工程项目，工程量的计算规则应按省、市行业主管部门颁布的各专业工程定额的工程量计算规则执行</w:t>
      </w:r>
      <w:r>
        <w:rPr>
          <w:rFonts w:hint="eastAsia" w:ascii="宋体" w:hAnsi="宋体" w:cs="宋体"/>
          <w:color w:val="auto"/>
          <w:szCs w:val="21"/>
          <w:highlight w:val="none"/>
        </w:rPr>
        <w:t>。</w:t>
      </w:r>
    </w:p>
    <w:p w14:paraId="1BF8CCA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12.3.2 计量周期</w:t>
      </w:r>
    </w:p>
    <w:p w14:paraId="32CF9C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w:t>
      </w:r>
    </w:p>
    <w:p w14:paraId="61B1BEB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12.3.3 单价合同的计量</w:t>
      </w:r>
    </w:p>
    <w:p w14:paraId="7AED811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w:t>
      </w:r>
    </w:p>
    <w:p w14:paraId="047F163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12.3.4 总价合同的计量</w:t>
      </w:r>
    </w:p>
    <w:p w14:paraId="1A833BE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379EE30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w:t>
      </w:r>
      <w:r>
        <w:rPr>
          <w:rFonts w:hint="eastAsia" w:ascii="宋体" w:hAnsi="宋体" w:cs="宋体"/>
          <w:color w:val="auto"/>
          <w:kern w:val="0"/>
          <w:szCs w:val="21"/>
          <w:highlight w:val="none"/>
        </w:rPr>
        <w:t xml:space="preserve">12.3.4 </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578DEB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12.3.6 其他价格形式合同的计量</w:t>
      </w:r>
    </w:p>
    <w:p w14:paraId="6904AB0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7323281A">
      <w:pPr>
        <w:snapToGrid w:val="0"/>
        <w:spacing w:line="360" w:lineRule="auto"/>
        <w:rPr>
          <w:rFonts w:hint="eastAsia" w:ascii="宋体" w:hAnsi="宋体" w:cs="宋体"/>
          <w:color w:val="auto"/>
          <w:szCs w:val="21"/>
          <w:highlight w:val="none"/>
        </w:rPr>
      </w:pPr>
      <w:bookmarkStart w:id="898" w:name="_Toc292559416"/>
      <w:bookmarkStart w:id="899" w:name="_Toc292559921"/>
      <w:bookmarkStart w:id="900" w:name="_Toc296346712"/>
      <w:bookmarkStart w:id="901" w:name="_Toc296891251"/>
      <w:bookmarkStart w:id="902" w:name="_Toc296503211"/>
      <w:bookmarkStart w:id="903" w:name="_Toc297048397"/>
      <w:bookmarkStart w:id="904" w:name="_Toc296944550"/>
      <w:bookmarkStart w:id="905" w:name="_Toc296347210"/>
      <w:bookmarkStart w:id="906" w:name="_Toc303539163"/>
      <w:bookmarkStart w:id="907" w:name="_Toc297216215"/>
      <w:bookmarkStart w:id="908" w:name="_Toc300935006"/>
      <w:bookmarkStart w:id="909" w:name="_Toc297123556"/>
      <w:bookmarkStart w:id="910" w:name="_Toc297120511"/>
      <w:bookmarkStart w:id="911" w:name="_Toc296891039"/>
      <w:r>
        <w:rPr>
          <w:rFonts w:hint="eastAsia" w:ascii="宋体" w:hAnsi="宋体" w:cs="宋体"/>
          <w:color w:val="auto"/>
          <w:szCs w:val="21"/>
          <w:highlight w:val="none"/>
        </w:rPr>
        <w:t>12.4 工程进度款支付</w:t>
      </w:r>
    </w:p>
    <w:p w14:paraId="26C65C7E">
      <w:pPr>
        <w:snapToGri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12.4.1 付款周期</w:t>
      </w:r>
    </w:p>
    <w:p w14:paraId="22D708BE">
      <w:pPr>
        <w:snapToGri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12.4.1.1合同生效、具备实施条件后，</w:t>
      </w:r>
      <w:r>
        <w:rPr>
          <w:rFonts w:hint="eastAsia" w:ascii="宋体" w:hAnsi="宋体" w:cs="宋体"/>
          <w:b/>
          <w:bCs/>
          <w:color w:val="auto"/>
          <w:szCs w:val="21"/>
          <w:highlight w:val="none"/>
          <w:u w:val="single"/>
          <w:lang w:val="en-US" w:eastAsia="zh-CN"/>
        </w:rPr>
        <w:t>承包人</w:t>
      </w:r>
      <w:r>
        <w:rPr>
          <w:rFonts w:hint="eastAsia" w:ascii="宋体" w:hAnsi="宋体" w:cs="宋体"/>
          <w:b/>
          <w:bCs/>
          <w:color w:val="auto"/>
          <w:szCs w:val="21"/>
          <w:highlight w:val="none"/>
          <w:u w:val="single"/>
        </w:rPr>
        <w:t>在5个工作日内提交银行或者保险公司出具的预付款保函，</w:t>
      </w:r>
      <w:r>
        <w:rPr>
          <w:rFonts w:hint="eastAsia" w:ascii="宋体" w:hAnsi="宋体" w:cs="宋体"/>
          <w:b/>
          <w:bCs/>
          <w:color w:val="auto"/>
          <w:szCs w:val="21"/>
          <w:highlight w:val="none"/>
          <w:u w:val="single"/>
          <w:lang w:val="en-US" w:eastAsia="zh-CN"/>
        </w:rPr>
        <w:t>发包人</w:t>
      </w:r>
      <w:r>
        <w:rPr>
          <w:rFonts w:hint="eastAsia" w:ascii="宋体" w:hAnsi="宋体" w:cs="宋体"/>
          <w:b/>
          <w:bCs/>
          <w:color w:val="auto"/>
          <w:szCs w:val="21"/>
          <w:highlight w:val="none"/>
          <w:u w:val="single"/>
        </w:rPr>
        <w:t>在5个工作日内支付合同总价的50%作为预付款(因客观原因造成</w:t>
      </w:r>
      <w:r>
        <w:rPr>
          <w:rFonts w:hint="eastAsia" w:ascii="宋体" w:hAnsi="宋体" w:cs="宋体"/>
          <w:b/>
          <w:bCs/>
          <w:color w:val="auto"/>
          <w:szCs w:val="21"/>
          <w:highlight w:val="none"/>
          <w:u w:val="single"/>
          <w:lang w:val="en-US" w:eastAsia="zh-CN"/>
        </w:rPr>
        <w:t>发包人</w:t>
      </w:r>
      <w:r>
        <w:rPr>
          <w:rFonts w:hint="eastAsia" w:ascii="宋体" w:hAnsi="宋体" w:cs="宋体"/>
          <w:b/>
          <w:bCs/>
          <w:color w:val="auto"/>
          <w:szCs w:val="21"/>
          <w:highlight w:val="none"/>
          <w:u w:val="single"/>
        </w:rPr>
        <w:t>预付款逾期支付的，不追究逾期支付违约责任，具体付款日期按实际支付时间执行)；</w:t>
      </w:r>
    </w:p>
    <w:p w14:paraId="2E7738FE">
      <w:pPr>
        <w:snapToGri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12.4.1.2工程竣工验收合格、提交所有竣工资料（包括但不限于监理工程师签署的全部工程验收合格的资料、缺陷修补完成的证明材料等）、并移交接收管理部门后，支付合同金额的35%；</w:t>
      </w:r>
    </w:p>
    <w:p w14:paraId="2ED22531">
      <w:pPr>
        <w:snapToGri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12.4.1.3待工程决算审价结束且资料归档后，发包人收到承包人质量保证金保函（质量保证金金额为审定的工程结算总价的1%）后付至经审定的工程结算总价（本工程结算造价以第三方审计单位审核为准）的100％。</w:t>
      </w:r>
    </w:p>
    <w:p w14:paraId="4EE9962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12.4.2 进度付款申请单的编制</w:t>
      </w:r>
    </w:p>
    <w:p w14:paraId="723134D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关于进度付款申请单编制的约定：</w:t>
      </w:r>
      <w:r>
        <w:rPr>
          <w:rFonts w:hint="eastAsia" w:ascii="宋体" w:hAnsi="宋体" w:cs="宋体"/>
          <w:b/>
          <w:color w:val="auto"/>
          <w:szCs w:val="21"/>
          <w:highlight w:val="none"/>
          <w:u w:val="single"/>
        </w:rPr>
        <w:t>按通用合同条款约定，一式伍份</w:t>
      </w:r>
      <w:r>
        <w:rPr>
          <w:rFonts w:hint="eastAsia" w:ascii="宋体" w:hAnsi="宋体" w:cs="宋体"/>
          <w:color w:val="auto"/>
          <w:szCs w:val="21"/>
          <w:highlight w:val="none"/>
        </w:rPr>
        <w:t>。</w:t>
      </w:r>
    </w:p>
    <w:p w14:paraId="64C53FE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Pr>
          <w:rFonts w:hint="eastAsia" w:ascii="宋体" w:hAnsi="宋体" w:cs="宋体"/>
          <w:color w:val="auto"/>
          <w:szCs w:val="21"/>
          <w:highlight w:val="none"/>
        </w:rPr>
        <w:t>2.4.3 进度付款申请单的递交</w:t>
      </w:r>
    </w:p>
    <w:p w14:paraId="7E31371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（1）单价合同进度付款申请单递交的约定：</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w:t>
      </w:r>
    </w:p>
    <w:p w14:paraId="411B53B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（2）总价合同进度付款申请单递交的约定：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067256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（3）其他价格形式合同进度付款申请单递交的约定：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2012309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12.4.4 进度款审核和支付</w:t>
      </w:r>
    </w:p>
    <w:p w14:paraId="74DFD538">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b/>
          <w:color w:val="auto"/>
          <w:szCs w:val="21"/>
          <w:highlight w:val="none"/>
          <w:u w:val="single"/>
        </w:rPr>
        <w:t>监理人应在收到承包人进度付款申请单以及相关资料后7天内完成审查并报送发包人</w:t>
      </w:r>
      <w:r>
        <w:rPr>
          <w:rFonts w:hint="eastAsia" w:ascii="宋体" w:hAnsi="宋体" w:cs="宋体"/>
          <w:color w:val="auto"/>
          <w:szCs w:val="21"/>
          <w:highlight w:val="none"/>
        </w:rPr>
        <w:t>。</w:t>
      </w:r>
    </w:p>
    <w:p w14:paraId="4A03AB8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发包人完成审批并签发进度款支付证书的期限：</w:t>
      </w:r>
      <w:r>
        <w:rPr>
          <w:rFonts w:hint="eastAsia" w:ascii="宋体" w:hAnsi="宋体" w:cs="宋体"/>
          <w:b/>
          <w:color w:val="auto"/>
          <w:szCs w:val="21"/>
          <w:highlight w:val="none"/>
          <w:u w:val="single"/>
        </w:rPr>
        <w:t>发包人应在收到后20天内完成审批并签发进度款支付证书</w:t>
      </w:r>
      <w:r>
        <w:rPr>
          <w:rFonts w:hint="eastAsia" w:ascii="宋体" w:hAnsi="宋体" w:cs="宋体"/>
          <w:color w:val="auto"/>
          <w:szCs w:val="21"/>
          <w:highlight w:val="none"/>
        </w:rPr>
        <w:t>。</w:t>
      </w:r>
    </w:p>
    <w:p w14:paraId="09D8EA6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1A57BB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2488C0FA">
      <w:pPr>
        <w:snapToGrid w:val="0"/>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12.4.6 支付分解表的编制</w:t>
      </w:r>
    </w:p>
    <w:p w14:paraId="2D5FFCF4">
      <w:pPr>
        <w:snapToGrid w:val="0"/>
        <w:spacing w:line="360" w:lineRule="auto"/>
        <w:ind w:left="4259" w:leftChars="228" w:hanging="3780" w:hangingChars="1800"/>
        <w:jc w:val="left"/>
        <w:rPr>
          <w:rFonts w:hint="eastAsia" w:ascii="宋体" w:hAnsi="宋体" w:cs="宋体"/>
          <w:color w:val="auto"/>
          <w:szCs w:val="21"/>
          <w:highlight w:val="non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677F71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3、单价合同的总价项目支付分解表的编制与审批：</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bookmarkEnd w:id="739"/>
    <w:p w14:paraId="534E9D52">
      <w:pPr>
        <w:tabs>
          <w:tab w:val="left" w:pos="864"/>
        </w:tabs>
        <w:snapToGrid w:val="0"/>
        <w:spacing w:line="360" w:lineRule="auto"/>
        <w:rPr>
          <w:rFonts w:hint="eastAsia" w:ascii="宋体" w:hAnsi="宋体" w:cs="宋体"/>
          <w:color w:val="auto"/>
          <w:szCs w:val="21"/>
          <w:highlight w:val="none"/>
        </w:rPr>
      </w:pPr>
      <w:bookmarkStart w:id="912" w:name="_Toc351203645"/>
      <w:bookmarkStart w:id="913" w:name="_Toc297120519"/>
      <w:bookmarkStart w:id="914" w:name="_Toc297048405"/>
      <w:bookmarkStart w:id="915" w:name="_Toc303539172"/>
      <w:bookmarkStart w:id="916" w:name="_Toc297216223"/>
      <w:bookmarkStart w:id="917" w:name="_Toc296891047"/>
      <w:bookmarkStart w:id="918" w:name="_Toc300935015"/>
      <w:bookmarkStart w:id="919" w:name="_Toc304295593"/>
      <w:bookmarkStart w:id="920" w:name="_Toc292559424"/>
      <w:bookmarkStart w:id="921" w:name="_Toc292559929"/>
      <w:bookmarkStart w:id="922" w:name="_Toc297123564"/>
      <w:bookmarkStart w:id="923" w:name="_Toc296891259"/>
      <w:bookmarkStart w:id="924" w:name="_Toc312678053"/>
      <w:bookmarkStart w:id="925" w:name="_Toc296944558"/>
      <w:bookmarkStart w:id="926" w:name="_Toc296347218"/>
      <w:bookmarkStart w:id="927" w:name="_Toc296346720"/>
      <w:bookmarkStart w:id="928" w:name="_Toc296503219"/>
      <w:r>
        <w:rPr>
          <w:rFonts w:hint="eastAsia" w:ascii="宋体" w:hAnsi="宋体" w:cs="宋体"/>
          <w:color w:val="auto"/>
          <w:szCs w:val="21"/>
          <w:highlight w:val="none"/>
        </w:rPr>
        <w:t>13. 验收和工程试车</w:t>
      </w:r>
      <w:bookmarkEnd w:id="912"/>
    </w:p>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14:paraId="09F6319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分部分项工程验收</w:t>
      </w:r>
    </w:p>
    <w:p w14:paraId="44D8A5A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24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小时递交书面延期要求。</w:t>
      </w:r>
    </w:p>
    <w:p w14:paraId="4656C111">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48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w:t>
      </w:r>
    </w:p>
    <w:p w14:paraId="09399022">
      <w:pPr>
        <w:snapToGrid w:val="0"/>
        <w:spacing w:line="360" w:lineRule="auto"/>
        <w:ind w:firstLine="420" w:firstLineChars="200"/>
        <w:rPr>
          <w:rFonts w:hint="eastAsia" w:ascii="宋体" w:hAnsi="宋体" w:cs="宋体"/>
          <w:color w:val="auto"/>
          <w:szCs w:val="21"/>
          <w:highlight w:val="none"/>
        </w:rPr>
      </w:pPr>
      <w:bookmarkStart w:id="929" w:name="_Toc297123565"/>
      <w:bookmarkStart w:id="930" w:name="_Toc296346724"/>
      <w:bookmarkStart w:id="931" w:name="_Toc296347222"/>
      <w:bookmarkStart w:id="932" w:name="_Toc296944562"/>
      <w:bookmarkStart w:id="933" w:name="_Toc312678056"/>
      <w:bookmarkStart w:id="934" w:name="_Toc304295596"/>
      <w:bookmarkStart w:id="935" w:name="_Toc296891263"/>
      <w:bookmarkStart w:id="936" w:name="_Toc297048409"/>
      <w:bookmarkStart w:id="937" w:name="_Toc303539173"/>
      <w:bookmarkStart w:id="938" w:name="_Toc292559933"/>
      <w:bookmarkStart w:id="939" w:name="_Toc296503223"/>
      <w:bookmarkStart w:id="940" w:name="_Toc292559428"/>
      <w:bookmarkStart w:id="941" w:name="_Toc297216224"/>
      <w:bookmarkStart w:id="942" w:name="_Toc297120523"/>
      <w:bookmarkStart w:id="943" w:name="_Toc300935016"/>
      <w:bookmarkStart w:id="944" w:name="_Toc296891051"/>
      <w:bookmarkStart w:id="945" w:name="_Toc267251472"/>
      <w:bookmarkStart w:id="946" w:name="_Toc267251471"/>
      <w:bookmarkStart w:id="947" w:name="_Toc267251470"/>
      <w:bookmarkStart w:id="948" w:name="_Toc267251474"/>
      <w:bookmarkStart w:id="949" w:name="_Toc267251475"/>
      <w:bookmarkStart w:id="950" w:name="_Toc267251473"/>
      <w:bookmarkStart w:id="951" w:name="_Toc267251476"/>
      <w:r>
        <w:rPr>
          <w:rFonts w:hint="eastAsia" w:ascii="宋体" w:hAnsi="宋体" w:cs="宋体"/>
          <w:color w:val="auto"/>
          <w:szCs w:val="21"/>
          <w:highlight w:val="none"/>
        </w:rPr>
        <w:t>13.2 竣工验收</w:t>
      </w:r>
    </w:p>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14:paraId="005B0B7F">
      <w:pPr>
        <w:snapToGrid w:val="0"/>
        <w:spacing w:line="360" w:lineRule="auto"/>
        <w:ind w:firstLine="420" w:firstLineChars="200"/>
        <w:jc w:val="left"/>
        <w:rPr>
          <w:rFonts w:hint="eastAsia" w:ascii="宋体" w:hAnsi="宋体" w:cs="宋体"/>
          <w:color w:val="auto"/>
          <w:szCs w:val="21"/>
          <w:highlight w:val="none"/>
        </w:rPr>
      </w:pPr>
      <w:bookmarkStart w:id="952" w:name="_Toc280868704"/>
      <w:bookmarkStart w:id="953" w:name="_Toc280868705"/>
      <w:bookmarkStart w:id="954" w:name="_Toc280868706"/>
      <w:bookmarkStart w:id="955" w:name="_Toc280868707"/>
      <w:bookmarkStart w:id="956" w:name="_Toc280868708"/>
      <w:bookmarkStart w:id="957" w:name="_Toc280868709"/>
      <w:r>
        <w:rPr>
          <w:rFonts w:hint="eastAsia" w:ascii="宋体" w:hAnsi="宋体" w:cs="宋体"/>
          <w:color w:val="auto"/>
          <w:szCs w:val="21"/>
          <w:highlight w:val="none"/>
        </w:rPr>
        <w:t>13.2.2竣工验收程序</w:t>
      </w:r>
    </w:p>
    <w:bookmarkEnd w:id="952"/>
    <w:p w14:paraId="3FD4C1E1">
      <w:pPr>
        <w:snapToGrid w:val="0"/>
        <w:spacing w:line="360" w:lineRule="auto"/>
        <w:ind w:left="4259" w:leftChars="228" w:hanging="3780" w:hangingChars="1800"/>
        <w:jc w:val="left"/>
        <w:rPr>
          <w:rFonts w:hint="eastAsia" w:ascii="宋体" w:hAnsi="宋体" w:cs="宋体"/>
          <w:color w:val="auto"/>
          <w:szCs w:val="21"/>
          <w:highlight w:val="none"/>
        </w:rPr>
      </w:pPr>
      <w:r>
        <w:rPr>
          <w:rFonts w:hint="eastAsia" w:ascii="宋体" w:hAnsi="宋体" w:cs="宋体"/>
          <w:color w:val="auto"/>
          <w:kern w:val="0"/>
          <w:szCs w:val="21"/>
          <w:highlight w:val="none"/>
        </w:rPr>
        <w:t>关于竣工验收程序的约定：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601EBE2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bookmarkEnd w:id="953"/>
    <w:p w14:paraId="167228E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954"/>
    <w:p w14:paraId="3498D38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65F6D9AC">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bookmarkEnd w:id="955"/>
    <w:p w14:paraId="4A09853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r>
        <w:rPr>
          <w:rFonts w:hint="eastAsia" w:ascii="宋体" w:hAnsi="宋体" w:cs="宋体"/>
          <w:b/>
          <w:color w:val="auto"/>
          <w:szCs w:val="21"/>
          <w:highlight w:val="none"/>
          <w:u w:val="single"/>
        </w:rPr>
        <w:t>按工期延误承担违约责任</w:t>
      </w:r>
      <w:r>
        <w:rPr>
          <w:rFonts w:hint="eastAsia" w:ascii="宋体" w:hAnsi="宋体" w:cs="宋体"/>
          <w:color w:val="auto"/>
          <w:szCs w:val="21"/>
          <w:highlight w:val="none"/>
        </w:rPr>
        <w:t>。</w:t>
      </w:r>
    </w:p>
    <w:p w14:paraId="6A48276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工程试车</w:t>
      </w:r>
    </w:p>
    <w:bookmarkEnd w:id="956"/>
    <w:p w14:paraId="6D1CA2D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7EA0C93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7953D6A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承担；</w:t>
      </w:r>
    </w:p>
    <w:p w14:paraId="205FEF1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承担。</w:t>
      </w:r>
    </w:p>
    <w:p w14:paraId="1B63EE0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63AFE7A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E579CD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 竣工退场</w:t>
      </w:r>
    </w:p>
    <w:p w14:paraId="3229629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78B7027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b/>
          <w:bCs/>
          <w:color w:val="auto"/>
          <w:szCs w:val="21"/>
          <w:highlight w:val="none"/>
          <w:u w:val="single"/>
        </w:rPr>
        <w:t>工程移交完成后14天内</w:t>
      </w:r>
      <w:r>
        <w:rPr>
          <w:rFonts w:hint="eastAsia" w:ascii="宋体" w:hAnsi="宋体" w:cs="宋体"/>
          <w:color w:val="auto"/>
          <w:kern w:val="0"/>
          <w:szCs w:val="21"/>
          <w:highlight w:val="none"/>
        </w:rPr>
        <w:t>。</w:t>
      </w:r>
    </w:p>
    <w:p w14:paraId="1FE61BAC">
      <w:pPr>
        <w:tabs>
          <w:tab w:val="left" w:pos="864"/>
        </w:tabs>
        <w:snapToGrid w:val="0"/>
        <w:spacing w:line="360" w:lineRule="auto"/>
        <w:rPr>
          <w:rFonts w:hint="eastAsia" w:ascii="宋体" w:hAnsi="宋体" w:cs="宋体"/>
          <w:color w:val="auto"/>
          <w:szCs w:val="21"/>
          <w:highlight w:val="none"/>
        </w:rPr>
      </w:pPr>
      <w:bookmarkStart w:id="958" w:name="_Toc351203646"/>
      <w:r>
        <w:rPr>
          <w:rFonts w:hint="eastAsia" w:ascii="宋体" w:hAnsi="宋体" w:cs="宋体"/>
          <w:color w:val="auto"/>
          <w:szCs w:val="21"/>
          <w:highlight w:val="none"/>
        </w:rPr>
        <w:t>14. 竣工结算</w:t>
      </w:r>
      <w:bookmarkEnd w:id="958"/>
    </w:p>
    <w:p w14:paraId="59C04EF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竣工结算申请</w:t>
      </w:r>
    </w:p>
    <w:p w14:paraId="41A1CCB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承包人递交竣工结算申请单的期限：</w:t>
      </w:r>
      <w:r>
        <w:rPr>
          <w:rFonts w:hint="eastAsia" w:ascii="宋体" w:hAnsi="宋体" w:cs="宋体"/>
          <w:b/>
          <w:color w:val="auto"/>
          <w:szCs w:val="21"/>
          <w:highlight w:val="none"/>
          <w:u w:val="single"/>
        </w:rPr>
        <w:t>工程竣工验收报告经发包人认可后的28日内</w:t>
      </w:r>
      <w:r>
        <w:rPr>
          <w:rFonts w:hint="eastAsia" w:ascii="宋体" w:hAnsi="宋体" w:cs="宋体"/>
          <w:color w:val="auto"/>
          <w:szCs w:val="21"/>
          <w:highlight w:val="none"/>
        </w:rPr>
        <w:t>。</w:t>
      </w:r>
    </w:p>
    <w:p w14:paraId="77368B4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竣工结算申请单应包括的内容：</w:t>
      </w:r>
      <w:r>
        <w:rPr>
          <w:rFonts w:hint="eastAsia" w:ascii="宋体" w:hAnsi="宋体" w:cs="宋体"/>
          <w:b/>
          <w:color w:val="auto"/>
          <w:szCs w:val="21"/>
          <w:highlight w:val="none"/>
          <w:u w:val="single"/>
        </w:rPr>
        <w:t>完整的竣工结算书文件及相关资料</w:t>
      </w:r>
      <w:r>
        <w:rPr>
          <w:rFonts w:hint="eastAsia" w:ascii="宋体" w:hAnsi="宋体" w:cs="宋体"/>
          <w:color w:val="auto"/>
          <w:szCs w:val="21"/>
          <w:highlight w:val="none"/>
        </w:rPr>
        <w:t>。</w:t>
      </w:r>
    </w:p>
    <w:p w14:paraId="0289E8A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竣工结算审核</w:t>
      </w:r>
    </w:p>
    <w:p w14:paraId="7FAE270D">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发包人审批竣工付款申请单的期限：</w:t>
      </w:r>
      <w:r>
        <w:rPr>
          <w:rFonts w:hint="eastAsia" w:ascii="宋体" w:hAnsi="宋体" w:cs="宋体"/>
          <w:b/>
          <w:color w:val="auto"/>
          <w:szCs w:val="21"/>
          <w:highlight w:val="none"/>
          <w:u w:val="single"/>
        </w:rPr>
        <w:t xml:space="preserve">竣工结算书文件核对期限是（承包人未按照前述14.1 中约定的时限内递交完整的竣工结算书文件及相关资料的，以下关于核对期限的约定将不对 发包人产生效力）： </w:t>
      </w:r>
    </w:p>
    <w:p w14:paraId="571D114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将初审过的工程结算资料7天内递交审计，审计自接到经完整、有效的竣工结算资料之日起，2个月内出具竣工结算审计报告。</w:t>
      </w:r>
    </w:p>
    <w:p w14:paraId="112C2BB5">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承包人同意发包人指定的具有合格资质的造价咨询单位或跟踪审计单位进行审计并认可其审计结论，并根据《浙江省建设工程造价咨询服务项目及收费指引》 (浙建价协[2021]13号)有关规定，追加审核费用由承包人承担，具体为：核减追加审核费=（核减额-送审造价*5%）*5% ，核增追加审核费=核增额*5%。承包人需在盖审定表或咨询单位出具审计报告的同时向咨询单位付清审计费用，否则发包人有权从承包人工程进度款中代扣支付预算、结算审计费用。</w:t>
      </w:r>
    </w:p>
    <w:p w14:paraId="6695759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b/>
          <w:color w:val="auto"/>
          <w:szCs w:val="21"/>
          <w:highlight w:val="none"/>
          <w:u w:val="single"/>
        </w:rPr>
        <w:t>签发竣工付款证书后的14天内</w:t>
      </w:r>
      <w:r>
        <w:rPr>
          <w:rFonts w:hint="eastAsia" w:ascii="宋体" w:hAnsi="宋体" w:cs="宋体"/>
          <w:color w:val="auto"/>
          <w:szCs w:val="21"/>
          <w:highlight w:val="none"/>
        </w:rPr>
        <w:t>。</w:t>
      </w:r>
    </w:p>
    <w:p w14:paraId="0ECD6D4A">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b/>
          <w:color w:val="auto"/>
          <w:szCs w:val="21"/>
          <w:highlight w:val="none"/>
          <w:u w:val="single"/>
        </w:rPr>
        <w:t>1、发包人应在竣工结算书文件核对期限内核对。经核对需要承包人进一步补充资料和修改结算文件的，应在竣工结算书文件核对期限内向承包人提出核对意见。发包人在竣工结算书文件核对期限内，不核对竣工结算或未提出核对意见的，视为承包人递交的竣工结算书已经发包人认可，发包人应据此向承包人支付工程结算价款。</w:t>
      </w:r>
    </w:p>
    <w:p w14:paraId="79E66946">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2、承包人在接到发包人提出的核对意见后，在 28 日内按发包人提出的合理要求补充资料、修改竣工结算文件，并再次递交发包人复核后批准。承包人在 28 日内不确认也未提出异议的，视为发包人提出的核对意见已经认可。 </w:t>
      </w:r>
    </w:p>
    <w:p w14:paraId="1761A7E1">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3、发包人收到承包人再次递交的补充资料和修改的竣工结算文件后，在 14 日内予以复核，修正核对意见，并通知承包人。 </w:t>
      </w:r>
    </w:p>
    <w:p w14:paraId="1872298C">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4、发、承包人均对修正核对意见无异议的，应于 7 日内在竣工结算核对意见上签字确认</w:t>
      </w:r>
      <w:r>
        <w:rPr>
          <w:rFonts w:hint="eastAsia" w:ascii="宋体" w:hAnsi="宋体" w:cs="宋体"/>
          <w:color w:val="auto"/>
          <w:szCs w:val="21"/>
          <w:highlight w:val="none"/>
        </w:rPr>
        <w:t>。</w:t>
      </w:r>
    </w:p>
    <w:p w14:paraId="6EB0AC4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 最终结清</w:t>
      </w:r>
    </w:p>
    <w:p w14:paraId="0ACE50D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2800771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承包人递交最终结清申请单的份数：</w:t>
      </w:r>
      <w:r>
        <w:rPr>
          <w:rFonts w:hint="eastAsia" w:ascii="宋体" w:hAnsi="宋体" w:cs="宋体"/>
          <w:b/>
          <w:color w:val="auto"/>
          <w:szCs w:val="21"/>
          <w:highlight w:val="none"/>
          <w:u w:val="single"/>
        </w:rPr>
        <w:t>承包人应在质量保修期终止证书颁发后7天内，向发包人递交一式伍份的最终结清申请单，并提供相关证明材料。最终结清申请单应列明质量保证金、应扣除的质量保证金、质量保修期内发生的增减费用</w:t>
      </w:r>
      <w:r>
        <w:rPr>
          <w:rFonts w:hint="eastAsia" w:ascii="宋体" w:hAnsi="宋体" w:cs="宋体"/>
          <w:color w:val="auto"/>
          <w:szCs w:val="21"/>
          <w:highlight w:val="none"/>
        </w:rPr>
        <w:t>。</w:t>
      </w:r>
    </w:p>
    <w:p w14:paraId="34E47FA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承包人递交最终结算申请单的期限：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 xml:space="preserve">。 </w:t>
      </w:r>
    </w:p>
    <w:p w14:paraId="3D02C1A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14.4.2 最终结清证书和支付</w:t>
      </w:r>
    </w:p>
    <w:p w14:paraId="2DCCDBA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b/>
          <w:color w:val="auto"/>
          <w:szCs w:val="21"/>
          <w:highlight w:val="none"/>
          <w:u w:val="single"/>
        </w:rPr>
        <w:t>发包人应在收到承包人递交的最终结清申请单后30天内完成审批并向承包人颁发最终结清证书。发包人逾期未完成审批，又未提出修改意见的，承包人应向发包人发出书面催告，在收到承包人书面催告后7天内发包人仍未回复的，视为发包人同意承包人递交的最终结清申请单</w:t>
      </w:r>
      <w:r>
        <w:rPr>
          <w:rFonts w:hint="eastAsia" w:ascii="宋体" w:hAnsi="宋体" w:cs="宋体"/>
          <w:color w:val="auto"/>
          <w:szCs w:val="21"/>
          <w:highlight w:val="none"/>
        </w:rPr>
        <w:t>。</w:t>
      </w:r>
    </w:p>
    <w:p w14:paraId="271416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b/>
          <w:color w:val="auto"/>
          <w:szCs w:val="21"/>
          <w:highlight w:val="none"/>
          <w:u w:val="single"/>
        </w:rPr>
        <w:t>发包人应在颁发最终结清证书后30天内完成支付</w:t>
      </w:r>
      <w:r>
        <w:rPr>
          <w:rFonts w:hint="eastAsia" w:ascii="宋体" w:hAnsi="宋体" w:cs="宋体"/>
          <w:color w:val="auto"/>
          <w:szCs w:val="21"/>
          <w:highlight w:val="none"/>
        </w:rPr>
        <w:t>。</w:t>
      </w:r>
    </w:p>
    <w:bookmarkEnd w:id="945"/>
    <w:bookmarkEnd w:id="946"/>
    <w:bookmarkEnd w:id="947"/>
    <w:bookmarkEnd w:id="948"/>
    <w:bookmarkEnd w:id="949"/>
    <w:bookmarkEnd w:id="950"/>
    <w:bookmarkEnd w:id="951"/>
    <w:bookmarkEnd w:id="957"/>
    <w:p w14:paraId="48ADFFC3">
      <w:pPr>
        <w:tabs>
          <w:tab w:val="left" w:pos="864"/>
        </w:tabs>
        <w:snapToGrid w:val="0"/>
        <w:spacing w:line="360" w:lineRule="auto"/>
        <w:rPr>
          <w:rFonts w:hint="eastAsia" w:ascii="宋体" w:hAnsi="宋体" w:cs="宋体"/>
          <w:color w:val="auto"/>
          <w:szCs w:val="21"/>
          <w:highlight w:val="none"/>
        </w:rPr>
      </w:pPr>
      <w:bookmarkStart w:id="959" w:name="_Toc351203647"/>
      <w:bookmarkStart w:id="960" w:name="_Toc267251483"/>
      <w:bookmarkStart w:id="961" w:name="_Toc267251482"/>
      <w:bookmarkStart w:id="962" w:name="_Toc267251484"/>
      <w:bookmarkStart w:id="963" w:name="_Toc267251485"/>
      <w:bookmarkStart w:id="964" w:name="_Toc267251486"/>
      <w:bookmarkStart w:id="965" w:name="_Toc267251488"/>
      <w:bookmarkStart w:id="966" w:name="_Toc267251489"/>
      <w:bookmarkStart w:id="967" w:name="_Toc267251490"/>
      <w:bookmarkStart w:id="968" w:name="_Toc267251497"/>
      <w:bookmarkStart w:id="969" w:name="_Toc267251496"/>
      <w:bookmarkStart w:id="970" w:name="_Toc267251492"/>
      <w:bookmarkStart w:id="971" w:name="_Toc267251491"/>
      <w:bookmarkStart w:id="972" w:name="_Toc267251494"/>
      <w:bookmarkStart w:id="973" w:name="_Toc267251499"/>
      <w:bookmarkStart w:id="974" w:name="_Toc267251501"/>
      <w:bookmarkStart w:id="975" w:name="_Toc267251503"/>
      <w:bookmarkStart w:id="976" w:name="_Toc267251498"/>
      <w:bookmarkStart w:id="977" w:name="_Toc267251493"/>
      <w:bookmarkStart w:id="978" w:name="_Toc267251495"/>
      <w:bookmarkStart w:id="979" w:name="_Toc267251502"/>
      <w:bookmarkStart w:id="980" w:name="_Toc267251506"/>
      <w:bookmarkStart w:id="981" w:name="_Toc267251504"/>
      <w:bookmarkStart w:id="982" w:name="_Toc267251507"/>
      <w:bookmarkStart w:id="983" w:name="_Toc267251508"/>
      <w:bookmarkStart w:id="984" w:name="_Toc267251513"/>
      <w:bookmarkStart w:id="985" w:name="_Toc267251511"/>
      <w:bookmarkStart w:id="986" w:name="_Toc267251509"/>
      <w:bookmarkStart w:id="987" w:name="_Toc267251515"/>
      <w:bookmarkStart w:id="988" w:name="_Toc267251510"/>
      <w:bookmarkStart w:id="989" w:name="_Toc267251514"/>
      <w:r>
        <w:rPr>
          <w:rFonts w:hint="eastAsia" w:ascii="宋体" w:hAnsi="宋体" w:cs="宋体"/>
          <w:color w:val="auto"/>
          <w:szCs w:val="21"/>
          <w:highlight w:val="none"/>
        </w:rPr>
        <w:t>15. 缺陷责任期与保修</w:t>
      </w:r>
      <w:bookmarkEnd w:id="959"/>
    </w:p>
    <w:p w14:paraId="5639A85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15.2缺陷责任期</w:t>
      </w:r>
      <w:bookmarkEnd w:id="960"/>
    </w:p>
    <w:p w14:paraId="7CFBFCE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cs="宋体"/>
          <w:b/>
          <w:color w:val="auto"/>
          <w:szCs w:val="21"/>
          <w:highlight w:val="none"/>
          <w:u w:val="single"/>
        </w:rPr>
        <w:t>24个月</w:t>
      </w:r>
      <w:r>
        <w:rPr>
          <w:rFonts w:hint="eastAsia" w:ascii="宋体" w:hAnsi="宋体" w:cs="宋体"/>
          <w:color w:val="auto"/>
          <w:szCs w:val="21"/>
          <w:highlight w:val="none"/>
        </w:rPr>
        <w:t>。</w:t>
      </w:r>
    </w:p>
    <w:p w14:paraId="6A2207F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 质量保证金</w:t>
      </w:r>
    </w:p>
    <w:p w14:paraId="3697F3F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b/>
          <w:bCs/>
          <w:color w:val="auto"/>
          <w:szCs w:val="21"/>
          <w:highlight w:val="none"/>
          <w:u w:val="single"/>
        </w:rPr>
        <w:t>扣留</w:t>
      </w:r>
      <w:r>
        <w:rPr>
          <w:rFonts w:hint="eastAsia" w:ascii="宋体" w:hAnsi="宋体" w:cs="宋体"/>
          <w:color w:val="auto"/>
          <w:szCs w:val="21"/>
          <w:highlight w:val="none"/>
        </w:rPr>
        <w:t>。工程结算审计完成后扣留。</w:t>
      </w:r>
    </w:p>
    <w:p w14:paraId="7E77C3F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53A4D3A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7557DB05">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b/>
          <w:bCs/>
          <w:color w:val="auto"/>
          <w:szCs w:val="21"/>
          <w:highlight w:val="none"/>
          <w:u w:val="single"/>
        </w:rPr>
        <w:t>工程竣工结算审定价</w:t>
      </w:r>
      <w:r>
        <w:rPr>
          <w:rFonts w:hint="eastAsia" w:ascii="宋体" w:hAnsi="宋体" w:cs="宋体"/>
          <w:color w:val="auto"/>
          <w:kern w:val="0"/>
          <w:szCs w:val="21"/>
          <w:highlight w:val="none"/>
          <w:u w:val="single"/>
        </w:rPr>
        <w:t>的1%</w:t>
      </w:r>
      <w:r>
        <w:rPr>
          <w:rFonts w:hint="eastAsia" w:ascii="宋体" w:hAnsi="宋体" w:cs="宋体"/>
          <w:color w:val="auto"/>
          <w:kern w:val="0"/>
          <w:szCs w:val="21"/>
          <w:highlight w:val="none"/>
        </w:rPr>
        <w:t>；</w:t>
      </w:r>
    </w:p>
    <w:p w14:paraId="467A419B">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
          <w:bCs/>
          <w:color w:val="auto"/>
          <w:kern w:val="0"/>
          <w:szCs w:val="21"/>
          <w:highlight w:val="none"/>
          <w:u w:val="single"/>
        </w:rPr>
        <w:t>1</w:t>
      </w:r>
      <w:r>
        <w:rPr>
          <w:rFonts w:hint="eastAsia" w:ascii="宋体" w:hAnsi="宋体" w:cs="宋体"/>
          <w:color w:val="auto"/>
          <w:kern w:val="0"/>
          <w:szCs w:val="21"/>
          <w:highlight w:val="none"/>
        </w:rPr>
        <w:t>%的工程款；</w:t>
      </w:r>
    </w:p>
    <w:p w14:paraId="5B33BBA3">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6AB23E5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15.3.2 质量保证金的扣留 </w:t>
      </w:r>
    </w:p>
    <w:p w14:paraId="530F9A6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2 </w:t>
      </w:r>
      <w:r>
        <w:rPr>
          <w:rFonts w:hint="eastAsia" w:ascii="宋体" w:hAnsi="宋体" w:cs="宋体"/>
          <w:color w:val="auto"/>
          <w:szCs w:val="21"/>
          <w:highlight w:val="none"/>
        </w:rPr>
        <w:t>种方式：</w:t>
      </w:r>
    </w:p>
    <w:p w14:paraId="18A33DBB">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14:paraId="49840061">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（2）工程竣工结算时，承包人一次性缴纳质量保证金；</w:t>
      </w:r>
    </w:p>
    <w:p w14:paraId="680F7415">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u w:val="single"/>
        </w:rPr>
        <w:t>履约保证金转为质量保证金</w:t>
      </w:r>
      <w:r>
        <w:rPr>
          <w:rFonts w:hint="eastAsia" w:ascii="宋体" w:hAnsi="宋体" w:cs="宋体"/>
          <w:color w:val="auto"/>
          <w:kern w:val="0"/>
          <w:szCs w:val="21"/>
          <w:highlight w:val="none"/>
        </w:rPr>
        <w:t>。</w:t>
      </w:r>
    </w:p>
    <w:p w14:paraId="33E54A9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w:t>
      </w:r>
      <w:r>
        <w:rPr>
          <w:rFonts w:hint="eastAsia" w:ascii="宋体" w:hAnsi="宋体" w:cs="宋体"/>
          <w:b/>
          <w:color w:val="auto"/>
          <w:szCs w:val="21"/>
          <w:highlight w:val="none"/>
          <w:u w:val="single"/>
        </w:rPr>
        <w:t>质量保证金不计利息</w:t>
      </w:r>
      <w:r>
        <w:rPr>
          <w:rFonts w:hint="eastAsia" w:ascii="宋体" w:hAnsi="宋体" w:cs="宋体"/>
          <w:color w:val="auto"/>
          <w:kern w:val="0"/>
          <w:szCs w:val="21"/>
          <w:highlight w:val="none"/>
        </w:rPr>
        <w:t>。</w:t>
      </w:r>
    </w:p>
    <w:bookmarkEnd w:id="961"/>
    <w:bookmarkEnd w:id="962"/>
    <w:p w14:paraId="7E6B00C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15.4保修</w:t>
      </w:r>
    </w:p>
    <w:bookmarkEnd w:id="963"/>
    <w:p w14:paraId="6A08E904">
      <w:pPr>
        <w:snapToGrid w:val="0"/>
        <w:spacing w:line="360" w:lineRule="auto"/>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15.4.1 保修责任</w:t>
      </w:r>
    </w:p>
    <w:p w14:paraId="72E036D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b/>
          <w:color w:val="auto"/>
          <w:szCs w:val="21"/>
          <w:highlight w:val="none"/>
          <w:u w:val="single"/>
        </w:rPr>
        <w:t>详见工程质量保修书</w:t>
      </w:r>
      <w:r>
        <w:rPr>
          <w:rFonts w:hint="eastAsia" w:ascii="宋体" w:hAnsi="宋体" w:cs="宋体"/>
          <w:color w:val="auto"/>
          <w:kern w:val="0"/>
          <w:szCs w:val="21"/>
          <w:highlight w:val="none"/>
        </w:rPr>
        <w:t>。</w:t>
      </w:r>
    </w:p>
    <w:p w14:paraId="1EA59228">
      <w:pPr>
        <w:snapToGrid w:val="0"/>
        <w:spacing w:line="360" w:lineRule="auto"/>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15.4.3 修复通知</w:t>
      </w:r>
    </w:p>
    <w:p w14:paraId="50E4C24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bookmarkEnd w:id="964"/>
    <w:bookmarkEnd w:id="965"/>
    <w:bookmarkEnd w:id="966"/>
    <w:bookmarkEnd w:id="967"/>
    <w:p w14:paraId="72FEDF88">
      <w:pPr>
        <w:tabs>
          <w:tab w:val="left" w:pos="864"/>
        </w:tabs>
        <w:snapToGrid w:val="0"/>
        <w:spacing w:line="360" w:lineRule="auto"/>
        <w:rPr>
          <w:rFonts w:hint="eastAsia" w:ascii="宋体" w:hAnsi="宋体" w:cs="宋体"/>
          <w:color w:val="auto"/>
          <w:szCs w:val="21"/>
          <w:highlight w:val="none"/>
        </w:rPr>
      </w:pPr>
      <w:bookmarkStart w:id="990" w:name="_Toc351203648"/>
      <w:bookmarkStart w:id="991" w:name="_Toc280868717"/>
      <w:bookmarkStart w:id="992" w:name="_Toc280868718"/>
      <w:r>
        <w:rPr>
          <w:rFonts w:hint="eastAsia" w:ascii="宋体" w:hAnsi="宋体" w:cs="宋体"/>
          <w:color w:val="auto"/>
          <w:szCs w:val="21"/>
          <w:highlight w:val="none"/>
        </w:rPr>
        <w:t>16. 违约</w:t>
      </w:r>
      <w:bookmarkEnd w:id="990"/>
    </w:p>
    <w:p w14:paraId="36D2634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发包人违约</w:t>
      </w:r>
    </w:p>
    <w:p w14:paraId="4036C8B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16.1.1发包人违约的情形</w:t>
      </w:r>
    </w:p>
    <w:p w14:paraId="10C02533">
      <w:pPr>
        <w:snapToGrid w:val="0"/>
        <w:spacing w:line="360" w:lineRule="auto"/>
        <w:ind w:left="1109" w:leftChars="228" w:hanging="630" w:hangingChars="3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365FD8E4">
      <w:pPr>
        <w:snapToGrid w:val="0"/>
        <w:spacing w:line="360" w:lineRule="auto"/>
        <w:ind w:left="1050" w:hanging="1050" w:hangingChars="5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16.1.2 发包人违约的责任</w:t>
      </w:r>
    </w:p>
    <w:p w14:paraId="1610619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D7DCC7C">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b/>
          <w:color w:val="auto"/>
          <w:szCs w:val="21"/>
          <w:highlight w:val="none"/>
          <w:u w:val="single"/>
        </w:rPr>
        <w:t>由发包人承担因其违约给承包人延误的工期，但承包人不得向发包人提出除工期顺延外的任何索赔要求</w:t>
      </w:r>
      <w:r>
        <w:rPr>
          <w:rFonts w:hint="eastAsia" w:ascii="宋体" w:hAnsi="宋体" w:cs="宋体"/>
          <w:color w:val="auto"/>
          <w:kern w:val="0"/>
          <w:szCs w:val="21"/>
          <w:highlight w:val="none"/>
        </w:rPr>
        <w:t>。</w:t>
      </w:r>
    </w:p>
    <w:p w14:paraId="2E1A5B9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b/>
          <w:color w:val="auto"/>
          <w:szCs w:val="21"/>
          <w:highlight w:val="none"/>
          <w:u w:val="single"/>
        </w:rPr>
        <w:t>发包人超过约定的支付时间不支付合同价款的，承包人可向发包人发出要求付款的书面通知，发包人收到承包人书面通知后30天内仍不能按要求付款，可与承包人协商签订延期付款协议，经承包人同意后可延期支付，除此之外不承担其他任何责任</w:t>
      </w:r>
      <w:r>
        <w:rPr>
          <w:rFonts w:hint="eastAsia" w:ascii="宋体" w:hAnsi="宋体" w:cs="宋体"/>
          <w:color w:val="auto"/>
          <w:kern w:val="0"/>
          <w:szCs w:val="21"/>
          <w:highlight w:val="none"/>
        </w:rPr>
        <w:t>。</w:t>
      </w:r>
    </w:p>
    <w:p w14:paraId="443929B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b/>
          <w:color w:val="auto"/>
          <w:szCs w:val="21"/>
          <w:highlight w:val="none"/>
          <w:u w:val="single"/>
        </w:rPr>
        <w:t>由发包人承担由此给承包人造成的直接损失，不另计违约金及承包人利润</w:t>
      </w:r>
      <w:r>
        <w:rPr>
          <w:rFonts w:hint="eastAsia" w:ascii="宋体" w:hAnsi="宋体" w:cs="宋体"/>
          <w:color w:val="auto"/>
          <w:kern w:val="0"/>
          <w:szCs w:val="21"/>
          <w:highlight w:val="none"/>
        </w:rPr>
        <w:t>。</w:t>
      </w:r>
    </w:p>
    <w:p w14:paraId="60032F1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b/>
          <w:color w:val="auto"/>
          <w:szCs w:val="21"/>
          <w:highlight w:val="none"/>
          <w:u w:val="single"/>
        </w:rPr>
        <w:t>由发包人承担因其违约给承包人延误的工期；若给承包人造成损失的，由发包人承担由此给承包人造成的直接损失</w:t>
      </w:r>
      <w:r>
        <w:rPr>
          <w:rFonts w:hint="eastAsia" w:ascii="宋体" w:hAnsi="宋体" w:cs="宋体"/>
          <w:color w:val="auto"/>
          <w:kern w:val="0"/>
          <w:szCs w:val="21"/>
          <w:highlight w:val="none"/>
        </w:rPr>
        <w:t>。</w:t>
      </w:r>
    </w:p>
    <w:p w14:paraId="75329A1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b/>
          <w:color w:val="auto"/>
          <w:szCs w:val="21"/>
          <w:highlight w:val="none"/>
          <w:u w:val="single"/>
        </w:rPr>
        <w:t>由发包人承担因其违约给承包人延误的工期，不另计违约金及承包人利润</w:t>
      </w:r>
      <w:r>
        <w:rPr>
          <w:rFonts w:hint="eastAsia" w:ascii="宋体" w:hAnsi="宋体" w:cs="宋体"/>
          <w:color w:val="auto"/>
          <w:kern w:val="0"/>
          <w:szCs w:val="21"/>
          <w:highlight w:val="none"/>
        </w:rPr>
        <w:t>。</w:t>
      </w:r>
    </w:p>
    <w:p w14:paraId="314E2D3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b/>
          <w:color w:val="auto"/>
          <w:szCs w:val="21"/>
          <w:highlight w:val="none"/>
          <w:u w:val="single"/>
        </w:rPr>
        <w:t>由发包人承担因其违约给承包人延误的工期，不另计违约金及承包人利润</w:t>
      </w:r>
      <w:r>
        <w:rPr>
          <w:rFonts w:hint="eastAsia" w:ascii="宋体" w:hAnsi="宋体" w:cs="宋体"/>
          <w:color w:val="auto"/>
          <w:kern w:val="0"/>
          <w:szCs w:val="21"/>
          <w:highlight w:val="none"/>
        </w:rPr>
        <w:t>。</w:t>
      </w:r>
    </w:p>
    <w:p w14:paraId="1F28533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b/>
          <w:bCs/>
          <w:color w:val="auto"/>
          <w:kern w:val="0"/>
          <w:szCs w:val="21"/>
          <w:highlight w:val="none"/>
          <w:u w:val="single"/>
        </w:rPr>
        <w:t>/</w:t>
      </w:r>
      <w:r>
        <w:rPr>
          <w:rFonts w:hint="eastAsia" w:ascii="宋体" w:hAnsi="宋体" w:cs="宋体"/>
          <w:color w:val="auto"/>
          <w:kern w:val="0"/>
          <w:szCs w:val="21"/>
          <w:highlight w:val="none"/>
        </w:rPr>
        <w:t>。</w:t>
      </w:r>
    </w:p>
    <w:p w14:paraId="690C66F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16.1.3 因发包人违约解除合同</w:t>
      </w:r>
    </w:p>
    <w:p w14:paraId="1BD6648D">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天后发包人仍不纠正其违约行为并致使合同目的不能实现的，承包人有权解除合同。</w:t>
      </w:r>
    </w:p>
    <w:p w14:paraId="0ADC3AC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承包人违约</w:t>
      </w:r>
    </w:p>
    <w:p w14:paraId="3DC6ED8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1393581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承包人违约的其他情形：</w:t>
      </w:r>
    </w:p>
    <w:p w14:paraId="16A65FF7">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kern w:val="0"/>
          <w:szCs w:val="21"/>
          <w:highlight w:val="none"/>
        </w:rPr>
        <w:t>（1）</w:t>
      </w:r>
      <w:r>
        <w:rPr>
          <w:rFonts w:hint="eastAsia" w:ascii="宋体" w:hAnsi="宋体" w:cs="宋体"/>
          <w:b/>
          <w:bCs/>
          <w:color w:val="auto"/>
          <w:szCs w:val="21"/>
          <w:highlight w:val="none"/>
          <w:u w:val="single"/>
        </w:rPr>
        <w:t>承包人未按3.1（10）条规定分包渣土运输业务的，承包人应支付 合同价的千分之一的 违约金</w:t>
      </w:r>
      <w:r>
        <w:rPr>
          <w:rFonts w:hint="eastAsia" w:ascii="宋体" w:hAnsi="宋体" w:cs="宋体"/>
          <w:b/>
          <w:bCs/>
          <w:color w:val="auto"/>
          <w:szCs w:val="21"/>
          <w:highlight w:val="none"/>
        </w:rPr>
        <w:t>；</w:t>
      </w:r>
    </w:p>
    <w:p w14:paraId="07BC4DC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u w:val="single"/>
        </w:rPr>
        <w:t>（2）承包人未按照3.1（10）条规定加强建筑垃圾处置分包合同履约监管，出现分包单位使用不符合规定的车辆进出施工现场运输建筑垃圾或将建筑垃圾运输至非指定消纳场所等现象的，承包人应支付 5000元/次违约金</w:t>
      </w:r>
      <w:r>
        <w:rPr>
          <w:rFonts w:hint="eastAsia" w:ascii="宋体" w:hAnsi="宋体" w:cs="宋体"/>
          <w:b/>
          <w:bCs/>
          <w:color w:val="auto"/>
          <w:szCs w:val="21"/>
          <w:highlight w:val="none"/>
        </w:rPr>
        <w:t>；</w:t>
      </w:r>
    </w:p>
    <w:p w14:paraId="5E00132C">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（3）承包人未做好工程垃圾处理出土处置台账的，承包人应支付 5000元/次 违约金；</w:t>
      </w:r>
    </w:p>
    <w:p w14:paraId="43EC56F3">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（4）承包人在结算前未查验接纳回执，与运输、处置单位结算相关费用的，承包人应支付 5000元/次 违约金</w:t>
      </w:r>
      <w:r>
        <w:rPr>
          <w:rFonts w:hint="eastAsia" w:ascii="宋体" w:hAnsi="宋体" w:cs="宋体"/>
          <w:b/>
          <w:bCs/>
          <w:color w:val="auto"/>
          <w:szCs w:val="21"/>
          <w:highlight w:val="none"/>
        </w:rPr>
        <w:t>；</w:t>
      </w:r>
    </w:p>
    <w:p w14:paraId="5CD08B8E">
      <w:pPr>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szCs w:val="21"/>
          <w:highlight w:val="none"/>
          <w:u w:val="single"/>
        </w:rPr>
        <w:t>（5）承包人未按照已备案的渣土处置方案落实渣土处置措施的，承包人应支付 5000元/次 违约金</w:t>
      </w:r>
      <w:r>
        <w:rPr>
          <w:rFonts w:hint="eastAsia" w:ascii="宋体" w:hAnsi="宋体" w:cs="宋体"/>
          <w:color w:val="auto"/>
          <w:kern w:val="0"/>
          <w:szCs w:val="21"/>
          <w:highlight w:val="none"/>
        </w:rPr>
        <w:t>。</w:t>
      </w:r>
    </w:p>
    <w:p w14:paraId="4786BA4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16A4FAA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230AFBC">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（1）承包人违反合同约定进行转包或违法分包的违约责任：发包人有权解除合同，没收全部履约保证金外，赔偿由此给发包人造成的一切损失。</w:t>
      </w:r>
    </w:p>
    <w:p w14:paraId="30D29BA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承包人违反合同约定采购和使用不合格的材料和工程设备的违约责任：除重新采购合格的材料和工程设备，如已施工的无条件返工，并自行承担相关费用和造成的损失且工期不得顺延外；每发生一次应承担人民币5000元的违约金；若由此还给发包人造成损失的，由承包人负责赔偿。</w:t>
      </w:r>
    </w:p>
    <w:p w14:paraId="1AAB60FE">
      <w:pPr>
        <w:pStyle w:val="33"/>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 xml:space="preserve">（3）因承包人原因导致工程质量不符合合同要求的违约责任：工程经各方验收，质量未达到合同约定“合格”标准的，由承包人负责整改直至通过验收，承包人承担由此产生的所有费用及给发包人造成的损失，且工期不予顺延；工程经过承包人的全面整改后，经各方验收仍然未达到合同约定“合格”标准的，承包人必须按合同总价的5%向发包人支付违约金，该违约金从履约保证金及工程款中扣除。若承包人不按发包人要求整改的，发包人有权委托第三方进行整改，整改费用由承包人承担，在工程款中扣除。发包人委托第三方整改不能免除承包人根据合同约定应当承担的工程维修责任。  </w:t>
      </w:r>
    </w:p>
    <w:p w14:paraId="3BB4B0A3">
      <w:pPr>
        <w:pStyle w:val="33"/>
        <w:spacing w:line="360" w:lineRule="auto"/>
        <w:ind w:firstLine="474" w:firstLineChars="225"/>
        <w:rPr>
          <w:rFonts w:hint="eastAsia" w:hAnsi="宋体" w:cs="宋体"/>
          <w:b/>
          <w:color w:val="auto"/>
          <w:highlight w:val="none"/>
          <w:u w:val="single"/>
        </w:rPr>
      </w:pPr>
      <w:r>
        <w:rPr>
          <w:rFonts w:hint="eastAsia" w:hAnsi="宋体" w:cs="宋体"/>
          <w:b/>
          <w:color w:val="auto"/>
          <w:highlight w:val="none"/>
          <w:u w:val="single"/>
        </w:rPr>
        <w:t>承包人必须严格按合同条款、施工图纸及设计说明文件、施工验收规范、国家和省市的有关质量验收标准，精心组织施工，确保工程质量达到国家合格验收标准。</w:t>
      </w:r>
    </w:p>
    <w:p w14:paraId="1DE9382E">
      <w:pPr>
        <w:pStyle w:val="33"/>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（4）承包人违反材料与设备专用要求的约定，未经批准，私自将已按照合同约定进入施工现场的材料或设备撤离施工现场的违约责任：承包人应及时停止撤离，并承担相应损失。</w:t>
      </w:r>
    </w:p>
    <w:p w14:paraId="171D03D2">
      <w:pPr>
        <w:pStyle w:val="33"/>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 xml:space="preserve">（5）承包人未能按施工进度计划及时完成合同约定的工作，造成工期延误的违约责任：同专用条款7.5.2款约定。 </w:t>
      </w:r>
    </w:p>
    <w:p w14:paraId="4F28513A">
      <w:pPr>
        <w:pStyle w:val="33"/>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6）承包人在缺陷责任期及保修期内，未能在合理期限对工程缺陷进行修复，或拒绝按发包人要求进行修复的违约责任：发包人有权自行修复或委托第三方修复，所需费用由承包人全部承担（修复费用=实际修复费用+实际修复费用20%的管理费用），上述违约金额在质量保证金中直接扣除，且承包人应在收到发包人扣罚通知后7天内补足质量保证金，若承包人未按要求补足质量保证金的，发包人有权在退还质量保证金时双倍扣减上述修复费用。</w:t>
      </w:r>
    </w:p>
    <w:p w14:paraId="58C0F1EA">
      <w:pPr>
        <w:pStyle w:val="33"/>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（7）承包人由于违反安全操作规范，被政府有关部门处罚，如通报批评、警告和罚款等，承包人承担一切责任，并每被查处一次，发包人每次扣罚违约金5000元，上述扣款在工程进度款中逐期扣除。</w:t>
      </w:r>
    </w:p>
    <w:p w14:paraId="7D0D81A9">
      <w:pPr>
        <w:pStyle w:val="33"/>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8）承包人应强化安全意识，抓好安全生产，杜绝事故发生，施工中若发生安全及人身事故均由承包人自行负责处理，承担一切责任包括全部费用。安全事故每发生一次，承包人向发包人支付1万元的违约金，上述扣款在工程进度款中逐期扣除。</w:t>
      </w:r>
    </w:p>
    <w:p w14:paraId="0A342091">
      <w:pPr>
        <w:pStyle w:val="33"/>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 xml:space="preserve">（9）双方约定的承包人其他违约责任: </w:t>
      </w:r>
    </w:p>
    <w:p w14:paraId="0CD20B0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1）本工程的所有隐蔽工程必须经监理验收合格签字确认后方可隐蔽，如隐蔽工程未经监理工程师验收合格签字认可，而承包人擅自隐蔽进入下道工序的，每发生一次除全部返工并承担返工费用外，发包人有权要求承包方承担2万元的违约金。 </w:t>
      </w:r>
    </w:p>
    <w:p w14:paraId="70FD0545">
      <w:pPr>
        <w:pStyle w:val="33"/>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 xml:space="preserve">2）施工中不能达到安全文明施工的相关要求，经监理人确认后发包人有权停止支付剩余安全文明施工费用，待安全文明施工工作符合合同约定和相关要求后发包人恢复支付；情节严重时，发包人有权视情节要求承包人承担相应的违约责任。 </w:t>
      </w:r>
    </w:p>
    <w:p w14:paraId="35C0151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施工过程中，如承包人的施工队伍素质、力量、机构配备不符合投标承诺或施工组织设计，造成现场管理混乱，工程质量和进度明显不到预定计划时，发包人有权要求其调整充实力量，加强管理。当上述措施仍无效时，发包人有权视情节要求承包人承担相应的违约责任，情节恶劣时发包人有权单方面终止本承包合同，并由承包人承担由此造成的一切损失。</w:t>
      </w:r>
    </w:p>
    <w:p w14:paraId="24F5D1EC">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4）由于管理混乱，造成的罚款与损失均由乙方自行承担外，甲方将提出警告并有权要求乙方承担每次二万元的违约金，并扣除该项措施费用及履约担保金中的相关费用，以确保本工程文明管理得到贯彻执行。</w:t>
      </w:r>
    </w:p>
    <w:p w14:paraId="058317EA">
      <w:pPr>
        <w:spacing w:line="360" w:lineRule="auto"/>
        <w:ind w:firstLine="422" w:firstLineChars="200"/>
        <w:rPr>
          <w:rFonts w:hint="eastAsia" w:ascii="宋体" w:hAnsi="宋体" w:cs="宋体"/>
          <w:color w:val="auto"/>
          <w:kern w:val="0"/>
          <w:szCs w:val="21"/>
          <w:highlight w:val="none"/>
          <w:u w:val="single"/>
        </w:rPr>
      </w:pPr>
      <w:r>
        <w:rPr>
          <w:rFonts w:hint="eastAsia" w:ascii="宋体" w:hAnsi="宋体" w:cs="宋体"/>
          <w:b/>
          <w:color w:val="auto"/>
          <w:szCs w:val="21"/>
          <w:highlight w:val="none"/>
          <w:u w:val="single"/>
        </w:rPr>
        <w:t>5）承包人不履行合同义务，或不按合同约定履行合同义务的其他情况，承包人承担违约责任，发包人保留索赔其他损失的权利</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w:t>
      </w:r>
    </w:p>
    <w:p w14:paraId="113922E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57FDE3C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p>
    <w:p w14:paraId="4217D83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（1）合同解除后发包人将本工程另行发包，承包人应负责保管施工场地直至与新的施工单位办理移交。新的施工单位签约价与本合同签约价之间的差额作为发包人损失全部由承包人承担。</w:t>
      </w:r>
    </w:p>
    <w:p w14:paraId="27CE225A">
      <w:pPr>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szCs w:val="21"/>
          <w:highlight w:val="none"/>
          <w:u w:val="single"/>
        </w:rPr>
        <w:t>（2）合同解除后，承包人对由其完成的工程，仍应按《工程质量保修书》约定履行质量保修义务</w:t>
      </w:r>
      <w:r>
        <w:rPr>
          <w:rFonts w:hint="eastAsia" w:ascii="宋体" w:hAnsi="宋体" w:cs="宋体"/>
          <w:color w:val="auto"/>
          <w:kern w:val="0"/>
          <w:szCs w:val="21"/>
          <w:highlight w:val="none"/>
        </w:rPr>
        <w:t>。</w:t>
      </w:r>
    </w:p>
    <w:p w14:paraId="2A0899E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b/>
          <w:color w:val="auto"/>
          <w:szCs w:val="21"/>
          <w:highlight w:val="none"/>
          <w:u w:val="single"/>
        </w:rPr>
        <w:t>由发包人支付承包人相应费用（成本费用，不计利润）</w:t>
      </w:r>
      <w:r>
        <w:rPr>
          <w:rFonts w:hint="eastAsia" w:ascii="宋体" w:hAnsi="宋体" w:cs="宋体"/>
          <w:color w:val="auto"/>
          <w:kern w:val="0"/>
          <w:szCs w:val="21"/>
          <w:highlight w:val="none"/>
        </w:rPr>
        <w:t>。</w:t>
      </w:r>
    </w:p>
    <w:p w14:paraId="27053080">
      <w:pPr>
        <w:tabs>
          <w:tab w:val="left" w:pos="864"/>
        </w:tabs>
        <w:snapToGrid w:val="0"/>
        <w:spacing w:line="360" w:lineRule="auto"/>
        <w:rPr>
          <w:rFonts w:hint="eastAsia" w:ascii="宋体" w:hAnsi="宋体" w:cs="宋体"/>
          <w:color w:val="auto"/>
          <w:szCs w:val="21"/>
          <w:highlight w:val="none"/>
        </w:rPr>
      </w:pPr>
      <w:bookmarkStart w:id="993" w:name="_Toc351203649"/>
      <w:r>
        <w:rPr>
          <w:rFonts w:hint="eastAsia" w:ascii="宋体" w:hAnsi="宋体" w:cs="宋体"/>
          <w:color w:val="auto"/>
          <w:szCs w:val="21"/>
          <w:highlight w:val="none"/>
        </w:rPr>
        <w:t>17. 不可抗力</w:t>
      </w:r>
      <w:bookmarkEnd w:id="993"/>
      <w:r>
        <w:rPr>
          <w:rFonts w:hint="eastAsia" w:ascii="宋体" w:hAnsi="宋体" w:cs="宋体"/>
          <w:color w:val="auto"/>
          <w:szCs w:val="21"/>
          <w:highlight w:val="none"/>
        </w:rPr>
        <w:t xml:space="preserve"> </w:t>
      </w:r>
      <w:bookmarkEnd w:id="991"/>
    </w:p>
    <w:p w14:paraId="0D22627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不可抗力的确认</w:t>
      </w:r>
    </w:p>
    <w:p w14:paraId="7B28190A">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除通用合同条款约定的不可抗力事件之外，视为不可抗力的其他情形： </w:t>
      </w:r>
      <w:r>
        <w:rPr>
          <w:rFonts w:hint="eastAsia" w:ascii="宋体" w:hAnsi="宋体" w:cs="宋体"/>
          <w:b/>
          <w:color w:val="auto"/>
          <w:szCs w:val="21"/>
          <w:highlight w:val="none"/>
          <w:u w:val="single"/>
        </w:rPr>
        <w:t>按通用合同条款约定</w:t>
      </w:r>
      <w:r>
        <w:rPr>
          <w:rFonts w:hint="eastAsia" w:ascii="宋体" w:hAnsi="宋体" w:cs="宋体"/>
          <w:color w:val="auto"/>
          <w:kern w:val="0"/>
          <w:szCs w:val="21"/>
          <w:highlight w:val="none"/>
        </w:rPr>
        <w:t>。</w:t>
      </w:r>
    </w:p>
    <w:p w14:paraId="4C557C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 因不可抗力解除合同</w:t>
      </w:r>
    </w:p>
    <w:p w14:paraId="0687122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天内完成款项的支付。</w:t>
      </w:r>
    </w:p>
    <w:p w14:paraId="06D0C6DA">
      <w:pPr>
        <w:tabs>
          <w:tab w:val="left" w:pos="864"/>
        </w:tabs>
        <w:snapToGrid w:val="0"/>
        <w:spacing w:line="360" w:lineRule="auto"/>
        <w:rPr>
          <w:rFonts w:hint="eastAsia" w:ascii="宋体" w:hAnsi="宋体" w:cs="宋体"/>
          <w:color w:val="auto"/>
          <w:szCs w:val="21"/>
          <w:highlight w:val="none"/>
        </w:rPr>
      </w:pPr>
      <w:bookmarkStart w:id="994" w:name="_Toc351203650"/>
      <w:r>
        <w:rPr>
          <w:rFonts w:hint="eastAsia" w:ascii="宋体" w:hAnsi="宋体" w:cs="宋体"/>
          <w:color w:val="auto"/>
          <w:szCs w:val="21"/>
          <w:highlight w:val="none"/>
        </w:rPr>
        <w:t>18. 保险</w:t>
      </w:r>
      <w:bookmarkEnd w:id="994"/>
    </w:p>
    <w:bookmarkEnd w:id="992"/>
    <w:p w14:paraId="12695AC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 工程保险</w:t>
      </w:r>
    </w:p>
    <w:p w14:paraId="6ECB9BD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b/>
          <w:color w:val="auto"/>
          <w:szCs w:val="21"/>
          <w:highlight w:val="none"/>
          <w:u w:val="single"/>
        </w:rPr>
        <w:t>承包人应投保工程一切险，并承担相应费用</w:t>
      </w:r>
      <w:r>
        <w:rPr>
          <w:rFonts w:hint="eastAsia" w:ascii="宋体" w:hAnsi="宋体" w:cs="宋体"/>
          <w:color w:val="auto"/>
          <w:kern w:val="0"/>
          <w:szCs w:val="21"/>
          <w:highlight w:val="none"/>
        </w:rPr>
        <w:t>。</w:t>
      </w:r>
    </w:p>
    <w:p w14:paraId="14267F5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 其他保险</w:t>
      </w:r>
    </w:p>
    <w:p w14:paraId="23F1012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b/>
          <w:color w:val="auto"/>
          <w:szCs w:val="21"/>
          <w:highlight w:val="none"/>
          <w:u w:val="single"/>
        </w:rPr>
        <w:t>承包人为建设工程和施工场地内的自有人员设备及第三方生命财产办理保险并支付保险费用，费用已包含在总价内。施工期间所发生的一切与本工程有关的承包人的人员、财产等意外伤害、损失，由承包人承担全部责任和费用</w:t>
      </w:r>
      <w:r>
        <w:rPr>
          <w:rFonts w:hint="eastAsia" w:ascii="宋体" w:hAnsi="宋体" w:cs="宋体"/>
          <w:color w:val="auto"/>
          <w:kern w:val="0"/>
          <w:szCs w:val="21"/>
          <w:highlight w:val="none"/>
        </w:rPr>
        <w:t>。</w:t>
      </w:r>
    </w:p>
    <w:p w14:paraId="6FC6245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承包人是否应为其施工设备等办理财产保险：</w:t>
      </w:r>
      <w:r>
        <w:rPr>
          <w:rFonts w:hint="eastAsia" w:ascii="宋体" w:hAnsi="宋体" w:cs="宋体"/>
          <w:b/>
          <w:color w:val="auto"/>
          <w:szCs w:val="21"/>
          <w:highlight w:val="none"/>
          <w:u w:val="single"/>
        </w:rPr>
        <w:t>是，并承担相应费用</w:t>
      </w:r>
      <w:r>
        <w:rPr>
          <w:rFonts w:hint="eastAsia" w:ascii="宋体" w:hAnsi="宋体" w:cs="宋体"/>
          <w:color w:val="auto"/>
          <w:szCs w:val="21"/>
          <w:highlight w:val="none"/>
        </w:rPr>
        <w:t>。</w:t>
      </w:r>
    </w:p>
    <w:p w14:paraId="1F6DCC8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 通知义务</w:t>
      </w:r>
    </w:p>
    <w:p w14:paraId="524CB25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关于变更保险合同时的通知义务的约定：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bookmarkEnd w:id="968"/>
    <w:bookmarkEnd w:id="969"/>
    <w:bookmarkEnd w:id="970"/>
    <w:bookmarkEnd w:id="971"/>
    <w:bookmarkEnd w:id="972"/>
    <w:bookmarkEnd w:id="973"/>
    <w:bookmarkEnd w:id="974"/>
    <w:bookmarkEnd w:id="975"/>
    <w:bookmarkEnd w:id="976"/>
    <w:bookmarkEnd w:id="977"/>
    <w:bookmarkEnd w:id="978"/>
    <w:bookmarkEnd w:id="979"/>
    <w:p w14:paraId="6363404C">
      <w:pPr>
        <w:tabs>
          <w:tab w:val="left" w:pos="864"/>
        </w:tabs>
        <w:snapToGrid w:val="0"/>
        <w:spacing w:line="360" w:lineRule="auto"/>
        <w:rPr>
          <w:rFonts w:hint="eastAsia" w:ascii="宋体" w:hAnsi="宋体" w:cs="宋体"/>
          <w:color w:val="auto"/>
          <w:szCs w:val="21"/>
          <w:highlight w:val="none"/>
        </w:rPr>
      </w:pPr>
      <w:bookmarkStart w:id="995" w:name="_Toc351203651"/>
      <w:r>
        <w:rPr>
          <w:rFonts w:hint="eastAsia" w:ascii="宋体" w:hAnsi="宋体" w:cs="宋体"/>
          <w:color w:val="auto"/>
          <w:szCs w:val="21"/>
          <w:highlight w:val="none"/>
        </w:rPr>
        <w:t>20. 争议解决</w:t>
      </w:r>
      <w:bookmarkEnd w:id="995"/>
    </w:p>
    <w:bookmarkEnd w:id="980"/>
    <w:bookmarkEnd w:id="981"/>
    <w:p w14:paraId="71A68B6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争</w:t>
      </w:r>
      <w:bookmarkEnd w:id="982"/>
      <w:r>
        <w:rPr>
          <w:rFonts w:hint="eastAsia" w:ascii="宋体" w:hAnsi="宋体" w:cs="宋体"/>
          <w:color w:val="auto"/>
          <w:szCs w:val="21"/>
          <w:highlight w:val="none"/>
        </w:rPr>
        <w:t>议评审</w:t>
      </w:r>
    </w:p>
    <w:p w14:paraId="1D3E1E6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合同当事人是否同意将工程争议递交争议评审小组决定：</w:t>
      </w:r>
      <w:r>
        <w:rPr>
          <w:rFonts w:hint="eastAsia" w:ascii="宋体" w:hAnsi="宋体" w:cs="宋体"/>
          <w:b/>
          <w:color w:val="auto"/>
          <w:szCs w:val="21"/>
          <w:highlight w:val="none"/>
          <w:u w:val="single"/>
        </w:rPr>
        <w:t>否</w:t>
      </w:r>
      <w:r>
        <w:rPr>
          <w:rFonts w:hint="eastAsia" w:ascii="宋体" w:hAnsi="宋体" w:cs="宋体"/>
          <w:color w:val="auto"/>
          <w:szCs w:val="21"/>
          <w:highlight w:val="none"/>
        </w:rPr>
        <w:t xml:space="preserve">。  </w:t>
      </w:r>
    </w:p>
    <w:p w14:paraId="7320E2D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20.3.1 争议评审小组的确定</w:t>
      </w:r>
    </w:p>
    <w:p w14:paraId="4FAACC8F">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676795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A1AE8C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256228F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1CB38F1">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2C5456E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3A95F41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20.4仲裁或诉讼</w:t>
      </w:r>
      <w:bookmarkEnd w:id="983"/>
    </w:p>
    <w:p w14:paraId="25C1137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因合同及合同有关事项发生的争议双方及时协商解决，如协商不成的按下列方式解决：</w:t>
      </w:r>
    </w:p>
    <w:p w14:paraId="7B143CD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向</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发包人所在地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bookmarkEnd w:id="984"/>
      <w:bookmarkEnd w:id="985"/>
      <w:bookmarkEnd w:id="986"/>
      <w:bookmarkEnd w:id="987"/>
      <w:bookmarkEnd w:id="988"/>
      <w:bookmarkEnd w:id="989"/>
      <w:r>
        <w:rPr>
          <w:rFonts w:hint="eastAsia" w:ascii="宋体" w:hAnsi="宋体" w:cs="宋体"/>
          <w:color w:val="auto"/>
          <w:szCs w:val="21"/>
          <w:highlight w:val="none"/>
        </w:rPr>
        <w:t>，本合同的内容，如与中华人民共和国相关法律、法规相抵触，以相关法律、法规为准；双方对违约责任的处理不能达成一致意见时按《中华人民共和国民法典》规定处理。</w:t>
      </w:r>
    </w:p>
    <w:p w14:paraId="526E7C3D">
      <w:pPr>
        <w:rPr>
          <w:rFonts w:hint="eastAsia" w:ascii="宋体" w:hAnsi="宋体"/>
          <w:b/>
          <w:color w:val="auto"/>
          <w:sz w:val="24"/>
          <w:highlight w:val="none"/>
        </w:rPr>
      </w:pPr>
    </w:p>
    <w:p w14:paraId="73A1074D">
      <w:pPr>
        <w:snapToGrid w:val="0"/>
        <w:spacing w:line="360" w:lineRule="auto"/>
        <w:rPr>
          <w:rFonts w:hint="eastAsia" w:ascii="宋体" w:hAnsi="宋体"/>
          <w:color w:val="auto"/>
          <w:sz w:val="24"/>
          <w:highlight w:val="none"/>
        </w:rPr>
      </w:pPr>
      <w:r>
        <w:rPr>
          <w:rFonts w:hint="eastAsia" w:ascii="宋体" w:hAnsi="宋体"/>
          <w:b/>
          <w:color w:val="auto"/>
          <w:sz w:val="24"/>
          <w:highlight w:val="none"/>
        </w:rPr>
        <w:t>附件：</w:t>
      </w:r>
    </w:p>
    <w:p w14:paraId="03A1F855">
      <w:pPr>
        <w:adjustRightInd/>
        <w:snapToGrid w:val="0"/>
        <w:spacing w:line="360" w:lineRule="auto"/>
        <w:ind w:firstLine="371" w:firstLineChars="177"/>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附件1：建筑工程质量保修书</w:t>
      </w:r>
    </w:p>
    <w:p w14:paraId="77C082F5">
      <w:pPr>
        <w:adjustRightInd/>
        <w:ind w:firstLine="371" w:firstLineChars="177"/>
        <w:jc w:val="left"/>
        <w:rPr>
          <w:rFonts w:hint="eastAsia" w:ascii="宋体" w:hAnsi="宋体"/>
          <w:snapToGrid w:val="0"/>
          <w:color w:val="auto"/>
          <w:kern w:val="0"/>
          <w:szCs w:val="21"/>
          <w:highlight w:val="none"/>
        </w:rPr>
      </w:pPr>
    </w:p>
    <w:p w14:paraId="2F6CE60B">
      <w:pPr>
        <w:spacing w:before="162" w:line="440" w:lineRule="exact"/>
        <w:ind w:firstLine="480"/>
        <w:rPr>
          <w:rFonts w:hint="eastAsia" w:ascii="宋体" w:hAnsi="宋体"/>
          <w:b/>
          <w:bCs/>
          <w:color w:val="auto"/>
          <w:sz w:val="24"/>
          <w:highlight w:val="none"/>
        </w:rPr>
      </w:pPr>
      <w:r>
        <w:rPr>
          <w:rFonts w:ascii="宋体" w:hAnsi="宋体"/>
          <w:color w:val="auto"/>
          <w:sz w:val="24"/>
          <w:highlight w:val="none"/>
          <w:u w:val="single"/>
        </w:rPr>
        <w:br w:type="page"/>
      </w:r>
      <w:bookmarkStart w:id="996" w:name="_Toc249091536"/>
      <w:bookmarkStart w:id="997" w:name="_Toc534620509"/>
      <w:r>
        <w:rPr>
          <w:rFonts w:hint="eastAsia" w:ascii="宋体" w:hAnsi="宋体"/>
          <w:b/>
          <w:bCs/>
          <w:color w:val="auto"/>
          <w:sz w:val="24"/>
          <w:highlight w:val="none"/>
        </w:rPr>
        <w:t>附件1:</w:t>
      </w:r>
    </w:p>
    <w:bookmarkEnd w:id="996"/>
    <w:bookmarkEnd w:id="997"/>
    <w:p w14:paraId="7FC20357">
      <w:pPr>
        <w:adjustRightInd/>
        <w:spacing w:before="120" w:beforeLines="50" w:after="120" w:afterLines="50" w:line="288" w:lineRule="auto"/>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工程质量保修书</w:t>
      </w:r>
    </w:p>
    <w:p w14:paraId="51072E85">
      <w:pPr>
        <w:adjustRightInd/>
        <w:spacing w:line="288"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发包人（全称）：</w:t>
      </w:r>
      <w:r>
        <w:rPr>
          <w:rFonts w:ascii="宋体" w:hAnsi="宋体"/>
          <w:snapToGrid w:val="0"/>
          <w:color w:val="auto"/>
          <w:kern w:val="0"/>
          <w:szCs w:val="21"/>
          <w:highlight w:val="none"/>
          <w:u w:val="single"/>
        </w:rPr>
        <w:t xml:space="preserve">  </w:t>
      </w:r>
      <w:bookmarkStart w:id="998" w:name="SOA_zyht_zlbxfbr"/>
      <w:r>
        <w:rPr>
          <w:rFonts w:hint="eastAsia" w:ascii="宋体" w:hAnsi="宋体"/>
          <w:snapToGrid w:val="0"/>
          <w:color w:val="auto"/>
          <w:kern w:val="0"/>
          <w:szCs w:val="21"/>
          <w:highlight w:val="none"/>
          <w:u w:val="single"/>
          <w:lang w:eastAsia="zh-CN"/>
        </w:rPr>
        <w:t>浙江省杭州第十一中学</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bookmarkEnd w:id="998"/>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1B907F5B">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承包人（全称）：</w:t>
      </w:r>
      <w:r>
        <w:rPr>
          <w:rFonts w:ascii="宋体" w:hAnsi="宋体"/>
          <w:snapToGrid w:val="0"/>
          <w:color w:val="auto"/>
          <w:kern w:val="0"/>
          <w:szCs w:val="21"/>
          <w:highlight w:val="none"/>
          <w:u w:val="single"/>
        </w:rPr>
        <w:t xml:space="preserve">  </w:t>
      </w:r>
      <w:bookmarkStart w:id="999" w:name="SOA_zyht_zlbxcbr"/>
      <w:r>
        <w:rPr>
          <w:rFonts w:ascii="宋体" w:hAnsi="宋体"/>
          <w:snapToGrid w:val="0"/>
          <w:color w:val="auto"/>
          <w:kern w:val="0"/>
          <w:szCs w:val="21"/>
          <w:highlight w:val="none"/>
          <w:u w:val="single"/>
        </w:rPr>
        <w:t xml:space="preserve"> </w:t>
      </w:r>
      <w:bookmarkEnd w:id="999"/>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11729423">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发包人和承包人根据《中华人民共和国建筑法》和《建设工程质量管理条例》，经协商一致就</w:t>
      </w:r>
      <w:r>
        <w:rPr>
          <w:rFonts w:ascii="宋体" w:hAnsi="宋体"/>
          <w:snapToGrid w:val="0"/>
          <w:color w:val="auto"/>
          <w:kern w:val="0"/>
          <w:szCs w:val="21"/>
          <w:highlight w:val="none"/>
          <w:u w:val="single"/>
        </w:rPr>
        <w:t xml:space="preserve">  </w:t>
      </w:r>
      <w:bookmarkStart w:id="1000" w:name="SOA_zyht_gcqc"/>
      <w:r>
        <w:rPr>
          <w:rFonts w:ascii="宋体" w:hAnsi="宋体"/>
          <w:snapToGrid w:val="0"/>
          <w:color w:val="auto"/>
          <w:kern w:val="0"/>
          <w:szCs w:val="21"/>
          <w:highlight w:val="none"/>
          <w:u w:val="single"/>
        </w:rPr>
        <w:t xml:space="preserve"> </w:t>
      </w:r>
      <w:r>
        <w:rPr>
          <w:rFonts w:hint="eastAsia" w:ascii="宋体" w:hAnsi="宋体" w:cs="宋体"/>
          <w:b/>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bookmarkEnd w:id="1000"/>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（工程全称）签订工程质量保修书。</w:t>
      </w:r>
    </w:p>
    <w:p w14:paraId="73A9C087">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一、工程质量保修范围和内容</w:t>
      </w:r>
    </w:p>
    <w:p w14:paraId="524BF5A0">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承包人在质量保修期内，按照有关法律规定和合同约定，承担工程质量保修责任。</w:t>
      </w:r>
    </w:p>
    <w:p w14:paraId="471ADB42">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C5A4E89">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u w:val="single"/>
        </w:rPr>
        <w:t xml:space="preserve">   </w:t>
      </w:r>
      <w:bookmarkStart w:id="1001" w:name="SOA_zyht_gczlbxfw"/>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双方约定对施工承包范围内的所有内容实行保修</w:t>
      </w:r>
      <w:r>
        <w:rPr>
          <w:rFonts w:ascii="宋体" w:hAnsi="宋体"/>
          <w:snapToGrid w:val="0"/>
          <w:color w:val="auto"/>
          <w:kern w:val="0"/>
          <w:szCs w:val="21"/>
          <w:highlight w:val="none"/>
          <w:u w:val="single"/>
        </w:rPr>
        <w:t xml:space="preserve">   </w:t>
      </w:r>
      <w:bookmarkEnd w:id="1001"/>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5F83DC9F">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二、质量保修期</w:t>
      </w:r>
    </w:p>
    <w:p w14:paraId="60B3AD88">
      <w:pPr>
        <w:adjustRightInd/>
        <w:spacing w:line="288"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根据《建设工程质量管理条例》及有关规定，工程的质量保修期如下：</w:t>
      </w:r>
    </w:p>
    <w:p w14:paraId="68151837">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1．地基基础工程和主体结构工程为设计文件规定的工程合理使用年限；</w:t>
      </w:r>
    </w:p>
    <w:p w14:paraId="0C4EDFB5">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ascii="宋体" w:hAnsi="宋体"/>
          <w:snapToGrid w:val="0"/>
          <w:color w:val="auto"/>
          <w:kern w:val="0"/>
          <w:szCs w:val="21"/>
          <w:highlight w:val="none"/>
        </w:rPr>
        <w:t>屋面防水工程、有防水要求的卫生间、房间和外墙面的防渗</w:t>
      </w:r>
      <w:r>
        <w:rPr>
          <w:rFonts w:hint="eastAsia" w:ascii="宋体" w:hAnsi="宋体"/>
          <w:snapToGrid w:val="0"/>
          <w:color w:val="auto"/>
          <w:kern w:val="0"/>
          <w:szCs w:val="21"/>
          <w:highlight w:val="none"/>
        </w:rPr>
        <w:t>为</w:t>
      </w:r>
      <w:r>
        <w:rPr>
          <w:rFonts w:hint="eastAsia" w:ascii="宋体" w:hAnsi="宋体"/>
          <w:snapToGrid w:val="0"/>
          <w:color w:val="auto"/>
          <w:kern w:val="0"/>
          <w:szCs w:val="21"/>
          <w:highlight w:val="none"/>
          <w:u w:val="single"/>
        </w:rPr>
        <w:t xml:space="preserve"> 5 </w:t>
      </w:r>
      <w:r>
        <w:rPr>
          <w:rFonts w:ascii="宋体" w:hAnsi="宋体"/>
          <w:snapToGrid w:val="0"/>
          <w:color w:val="auto"/>
          <w:kern w:val="0"/>
          <w:szCs w:val="21"/>
          <w:highlight w:val="none"/>
        </w:rPr>
        <w:t>年；</w:t>
      </w:r>
    </w:p>
    <w:p w14:paraId="48E8E18B">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装修工程为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2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p>
    <w:p w14:paraId="29217394">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w:t>
      </w:r>
      <w:r>
        <w:rPr>
          <w:rFonts w:ascii="宋体" w:hAnsi="宋体"/>
          <w:snapToGrid w:val="0"/>
          <w:color w:val="auto"/>
          <w:kern w:val="0"/>
          <w:szCs w:val="21"/>
          <w:highlight w:val="none"/>
        </w:rPr>
        <w:t>电气管线、给排水管道、设备安装工程为</w:t>
      </w:r>
      <w:bookmarkStart w:id="1002" w:name="SOA_zyht_azbxnx"/>
      <w:r>
        <w:rPr>
          <w:rFonts w:ascii="宋体" w:hAnsi="宋体"/>
          <w:snapToGrid w:val="0"/>
          <w:color w:val="auto"/>
          <w:kern w:val="0"/>
          <w:szCs w:val="21"/>
          <w:highlight w:val="none"/>
          <w:u w:val="single"/>
        </w:rPr>
        <w:t xml:space="preserve"> </w:t>
      </w:r>
      <w:bookmarkEnd w:id="1002"/>
      <w:r>
        <w:rPr>
          <w:rFonts w:hint="eastAsia" w:ascii="宋体" w:hAnsi="宋体"/>
          <w:snapToGrid w:val="0"/>
          <w:color w:val="auto"/>
          <w:kern w:val="0"/>
          <w:szCs w:val="21"/>
          <w:highlight w:val="none"/>
          <w:u w:val="single"/>
        </w:rPr>
        <w:t>2</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p>
    <w:p w14:paraId="035BC5B1">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w:t>
      </w:r>
      <w:r>
        <w:rPr>
          <w:rFonts w:ascii="宋体" w:hAnsi="宋体"/>
          <w:snapToGrid w:val="0"/>
          <w:color w:val="auto"/>
          <w:kern w:val="0"/>
          <w:szCs w:val="21"/>
          <w:highlight w:val="none"/>
        </w:rPr>
        <w:t>供热与供冷系统为</w:t>
      </w:r>
      <w:r>
        <w:rPr>
          <w:rFonts w:ascii="宋体" w:hAnsi="宋体"/>
          <w:snapToGrid w:val="0"/>
          <w:color w:val="auto"/>
          <w:kern w:val="0"/>
          <w:szCs w:val="21"/>
          <w:highlight w:val="none"/>
          <w:u w:val="single"/>
        </w:rPr>
        <w:t xml:space="preserve"> </w:t>
      </w:r>
      <w:bookmarkStart w:id="1003" w:name="SOA_zyht_grbxnx"/>
      <w:r>
        <w:rPr>
          <w:rFonts w:hint="eastAsia" w:ascii="宋体" w:hAnsi="宋体"/>
          <w:snapToGrid w:val="0"/>
          <w:color w:val="auto"/>
          <w:kern w:val="0"/>
          <w:szCs w:val="21"/>
          <w:highlight w:val="none"/>
          <w:u w:val="single"/>
        </w:rPr>
        <w:t>2</w:t>
      </w:r>
      <w:r>
        <w:rPr>
          <w:rFonts w:ascii="宋体" w:hAnsi="宋体"/>
          <w:snapToGrid w:val="0"/>
          <w:color w:val="auto"/>
          <w:kern w:val="0"/>
          <w:szCs w:val="21"/>
          <w:highlight w:val="none"/>
          <w:u w:val="single"/>
        </w:rPr>
        <w:t xml:space="preserve"> </w:t>
      </w:r>
      <w:bookmarkEnd w:id="1003"/>
      <w:r>
        <w:rPr>
          <w:rFonts w:ascii="宋体" w:hAnsi="宋体"/>
          <w:snapToGrid w:val="0"/>
          <w:color w:val="auto"/>
          <w:kern w:val="0"/>
          <w:szCs w:val="21"/>
          <w:highlight w:val="none"/>
        </w:rPr>
        <w:t>个采暖期、供冷期；</w:t>
      </w:r>
    </w:p>
    <w:p w14:paraId="72BBD15E">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住宅小区内的给排水设施、道路等配套工程为</w:t>
      </w:r>
      <w:r>
        <w:rPr>
          <w:rFonts w:hint="eastAsia" w:ascii="宋体" w:hAnsi="宋体"/>
          <w:snapToGrid w:val="0"/>
          <w:color w:val="auto"/>
          <w:kern w:val="0"/>
          <w:szCs w:val="21"/>
          <w:highlight w:val="none"/>
          <w:u w:val="single"/>
        </w:rPr>
        <w:t>2</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p>
    <w:p w14:paraId="2A5BFA96">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7．</w:t>
      </w:r>
      <w:r>
        <w:rPr>
          <w:rFonts w:ascii="宋体" w:hAnsi="宋体"/>
          <w:snapToGrid w:val="0"/>
          <w:color w:val="auto"/>
          <w:kern w:val="0"/>
          <w:szCs w:val="21"/>
          <w:highlight w:val="none"/>
        </w:rPr>
        <w:t>其他项目保修期限约定如下：</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5A914A6">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质量保修期自工程竣工验收合格之日起计算。</w:t>
      </w:r>
    </w:p>
    <w:p w14:paraId="6289FB12">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三、缺陷责任期</w:t>
      </w:r>
    </w:p>
    <w:p w14:paraId="6271C86A">
      <w:pPr>
        <w:adjustRightInd/>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工程缺陷责任期为</w:t>
      </w:r>
      <w:bookmarkStart w:id="1004" w:name="SOA_zyht_gcqxq"/>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24 </w:t>
      </w:r>
      <w:r>
        <w:rPr>
          <w:rFonts w:ascii="宋体" w:hAnsi="宋体"/>
          <w:snapToGrid w:val="0"/>
          <w:color w:val="auto"/>
          <w:kern w:val="0"/>
          <w:szCs w:val="21"/>
          <w:highlight w:val="none"/>
          <w:u w:val="single"/>
        </w:rPr>
        <w:t xml:space="preserve"> </w:t>
      </w:r>
      <w:bookmarkEnd w:id="1004"/>
      <w:r>
        <w:rPr>
          <w:rFonts w:ascii="宋体" w:hAnsi="宋体"/>
          <w:snapToGrid w:val="0"/>
          <w:color w:val="auto"/>
          <w:kern w:val="0"/>
          <w:szCs w:val="21"/>
          <w:highlight w:val="none"/>
        </w:rPr>
        <w:t>个月，缺陷责任期自</w:t>
      </w:r>
      <w:r>
        <w:rPr>
          <w:rFonts w:hint="eastAsia" w:ascii="宋体" w:hAnsi="宋体"/>
          <w:snapToGrid w:val="0"/>
          <w:color w:val="auto"/>
          <w:kern w:val="0"/>
          <w:szCs w:val="21"/>
          <w:highlight w:val="none"/>
        </w:rPr>
        <w:t>工程通过竣工验收合格之日</w:t>
      </w:r>
      <w:r>
        <w:rPr>
          <w:rFonts w:ascii="宋体" w:hAnsi="宋体"/>
          <w:snapToGrid w:val="0"/>
          <w:color w:val="auto"/>
          <w:kern w:val="0"/>
          <w:szCs w:val="21"/>
          <w:highlight w:val="none"/>
        </w:rPr>
        <w:t>起计算。单位工程先于全部工程进行验收，单位工程缺陷责任期自单位工程</w:t>
      </w:r>
      <w:r>
        <w:rPr>
          <w:rFonts w:hint="eastAsia" w:ascii="宋体" w:hAnsi="宋体"/>
          <w:snapToGrid w:val="0"/>
          <w:color w:val="auto"/>
          <w:kern w:val="0"/>
          <w:szCs w:val="21"/>
          <w:highlight w:val="none"/>
        </w:rPr>
        <w:t>验收合格之日</w:t>
      </w:r>
      <w:r>
        <w:rPr>
          <w:rFonts w:ascii="宋体" w:hAnsi="宋体"/>
          <w:snapToGrid w:val="0"/>
          <w:color w:val="auto"/>
          <w:kern w:val="0"/>
          <w:szCs w:val="21"/>
          <w:highlight w:val="none"/>
        </w:rPr>
        <w:t>起</w:t>
      </w:r>
      <w:r>
        <w:rPr>
          <w:rFonts w:hint="eastAsia" w:ascii="宋体" w:hAnsi="宋体"/>
          <w:snapToGrid w:val="0"/>
          <w:color w:val="auto"/>
          <w:kern w:val="0"/>
          <w:szCs w:val="21"/>
          <w:highlight w:val="none"/>
        </w:rPr>
        <w:t>计</w:t>
      </w:r>
      <w:r>
        <w:rPr>
          <w:rFonts w:ascii="宋体" w:hAnsi="宋体"/>
          <w:snapToGrid w:val="0"/>
          <w:color w:val="auto"/>
          <w:kern w:val="0"/>
          <w:szCs w:val="21"/>
          <w:highlight w:val="none"/>
        </w:rPr>
        <w:t>算。</w:t>
      </w:r>
    </w:p>
    <w:p w14:paraId="42227368">
      <w:pPr>
        <w:adjustRightInd/>
        <w:spacing w:line="288"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缺陷责任期终止后，发包人应退还剩余的质量保证金。</w:t>
      </w:r>
    </w:p>
    <w:p w14:paraId="3EB24203">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四、质量保修责任</w:t>
      </w:r>
    </w:p>
    <w:p w14:paraId="579B2FC6">
      <w:pPr>
        <w:adjustRightInd/>
        <w:spacing w:line="288" w:lineRule="auto"/>
        <w:ind w:left="105" w:leftChars="50" w:firstLine="430" w:firstLineChars="205"/>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属于保修范围、内容的项目，承包人应当在接到保修通知之日起7天内派人保修。承包人不在约定期限内派人保修的，发包人可以委托他人修理。</w:t>
      </w:r>
    </w:p>
    <w:p w14:paraId="7784B217">
      <w:pPr>
        <w:adjustRightInd/>
        <w:spacing w:line="300" w:lineRule="auto"/>
        <w:ind w:left="105" w:leftChars="50" w:firstLine="430" w:firstLineChars="205"/>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ascii="宋体" w:hAnsi="宋体"/>
          <w:snapToGrid w:val="0"/>
          <w:color w:val="auto"/>
          <w:kern w:val="0"/>
          <w:szCs w:val="21"/>
          <w:highlight w:val="none"/>
        </w:rPr>
        <w:t>发生紧急事故需抢修的，承包人在接到事故通知后，应当立即到达事故现场抢修。</w:t>
      </w:r>
    </w:p>
    <w:p w14:paraId="38B12387">
      <w:pPr>
        <w:adjustRightInd/>
        <w:spacing w:line="300" w:lineRule="auto"/>
        <w:ind w:left="105" w:leftChars="50" w:firstLine="430" w:firstLineChars="205"/>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ACBF97">
      <w:pPr>
        <w:adjustRightInd/>
        <w:spacing w:line="300" w:lineRule="auto"/>
        <w:ind w:left="420" w:leftChars="200" w:firstLine="105" w:firstLineChars="5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w:t>
      </w:r>
      <w:r>
        <w:rPr>
          <w:rFonts w:ascii="宋体" w:hAnsi="宋体"/>
          <w:snapToGrid w:val="0"/>
          <w:color w:val="auto"/>
          <w:kern w:val="0"/>
          <w:szCs w:val="21"/>
          <w:highlight w:val="none"/>
        </w:rPr>
        <w:t>质量保修完成后，由发包人组织验收。</w:t>
      </w:r>
    </w:p>
    <w:p w14:paraId="443F03FC">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五、保修费用</w:t>
      </w:r>
    </w:p>
    <w:p w14:paraId="4088A567">
      <w:pPr>
        <w:adjustRightInd/>
        <w:spacing w:line="300" w:lineRule="auto"/>
        <w:ind w:firstLine="480"/>
        <w:rPr>
          <w:rFonts w:hint="eastAsia" w:ascii="宋体" w:hAnsi="宋体"/>
          <w:snapToGrid w:val="0"/>
          <w:color w:val="auto"/>
          <w:kern w:val="0"/>
          <w:szCs w:val="21"/>
          <w:highlight w:val="none"/>
        </w:rPr>
      </w:pPr>
      <w:r>
        <w:rPr>
          <w:rFonts w:ascii="宋体" w:hAnsi="宋体"/>
          <w:snapToGrid w:val="0"/>
          <w:color w:val="auto"/>
          <w:kern w:val="0"/>
          <w:szCs w:val="21"/>
          <w:highlight w:val="none"/>
        </w:rPr>
        <w:t>保修费用由造成质量缺陷的责任方承担。</w:t>
      </w:r>
    </w:p>
    <w:p w14:paraId="553E2580">
      <w:pPr>
        <w:adjustRightInd/>
        <w:spacing w:line="360" w:lineRule="auto"/>
        <w:ind w:firstLine="600"/>
        <w:jc w:val="left"/>
        <w:rPr>
          <w:rFonts w:hint="eastAsia" w:ascii="宋体" w:hAnsi="宋体"/>
          <w:snapToGrid w:val="0"/>
          <w:color w:val="auto"/>
          <w:kern w:val="0"/>
          <w:szCs w:val="21"/>
          <w:highlight w:val="none"/>
          <w:u w:val="single"/>
        </w:rPr>
      </w:pPr>
      <w:r>
        <w:rPr>
          <w:rFonts w:ascii="宋体" w:hAnsi="宋体"/>
          <w:b/>
          <w:snapToGrid w:val="0"/>
          <w:color w:val="auto"/>
          <w:kern w:val="0"/>
          <w:szCs w:val="21"/>
          <w:highlight w:val="none"/>
        </w:rPr>
        <w:t>六</w:t>
      </w:r>
      <w:r>
        <w:rPr>
          <w:rFonts w:ascii="宋体" w:hAnsi="宋体"/>
          <w:snapToGrid w:val="0"/>
          <w:color w:val="auto"/>
          <w:kern w:val="0"/>
          <w:szCs w:val="21"/>
          <w:highlight w:val="none"/>
        </w:rPr>
        <w:t>、双方约定的其他工程质量保修事项：</w:t>
      </w:r>
      <w:r>
        <w:rPr>
          <w:rFonts w:hint="eastAsia" w:ascii="宋体" w:hAnsi="宋体"/>
          <w:snapToGrid w:val="0"/>
          <w:color w:val="auto"/>
          <w:kern w:val="0"/>
          <w:szCs w:val="21"/>
          <w:highlight w:val="none"/>
          <w:u w:val="single"/>
        </w:rPr>
        <w:t>工程质量保证金在工程缺陷期满后，扣除相应的扣款（由于乙方维修不及时而甲方自行维修的费用）后，结清余款（无息）。</w:t>
      </w:r>
    </w:p>
    <w:p w14:paraId="4C318B79">
      <w:pPr>
        <w:adjustRightInd/>
        <w:spacing w:line="360" w:lineRule="auto"/>
        <w:ind w:firstLine="6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u w:val="single"/>
        </w:rPr>
        <w:t>甲方在保修期内发现质量问题并通知乙方，乙方应及时派专业人员进行维修，如乙方未及时派专业人员进行维修，甲方有权请其它人进行维修，由此产生的费用将从乙方的质量保修金中予以扣除，同时乙方将承担因维修延误给甲方造成的一切损失</w:t>
      </w:r>
      <w:r>
        <w:rPr>
          <w:rFonts w:ascii="宋体" w:hAnsi="宋体"/>
          <w:snapToGrid w:val="0"/>
          <w:color w:val="auto"/>
          <w:kern w:val="0"/>
          <w:szCs w:val="21"/>
          <w:highlight w:val="none"/>
        </w:rPr>
        <w:t>。</w:t>
      </w:r>
    </w:p>
    <w:p w14:paraId="23C070FC">
      <w:pPr>
        <w:adjustRightInd/>
        <w:spacing w:line="300" w:lineRule="auto"/>
        <w:ind w:firstLine="399" w:firstLineChars="190"/>
        <w:rPr>
          <w:rFonts w:hint="eastAsia" w:ascii="宋体" w:hAnsi="宋体"/>
          <w:snapToGrid w:val="0"/>
          <w:color w:val="auto"/>
          <w:kern w:val="0"/>
          <w:szCs w:val="21"/>
          <w:highlight w:val="none"/>
        </w:rPr>
      </w:pPr>
      <w:r>
        <w:rPr>
          <w:rFonts w:ascii="宋体" w:hAnsi="宋体"/>
          <w:snapToGrid w:val="0"/>
          <w:color w:val="auto"/>
          <w:kern w:val="0"/>
          <w:szCs w:val="21"/>
          <w:highlight w:val="none"/>
        </w:rPr>
        <w:t>工程质量保修书由发包人、承包人在工程竣工验收前共同签署，作为施工合同附件，其有效期限至保修期满。</w:t>
      </w:r>
    </w:p>
    <w:p w14:paraId="28BB26BA">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发包人(公章)：</w:t>
      </w:r>
      <w:r>
        <w:rPr>
          <w:rFonts w:ascii="宋体" w:hAnsi="宋体"/>
          <w:snapToGrid w:val="0"/>
          <w:color w:val="auto"/>
          <w:kern w:val="0"/>
          <w:szCs w:val="21"/>
          <w:highlight w:val="none"/>
          <w:u w:val="single"/>
        </w:rPr>
        <w:t xml:space="preserve"> </w:t>
      </w:r>
      <w:bookmarkStart w:id="1005" w:name="SOA_zyht_fb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bookmarkEnd w:id="1005"/>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承包人(公章)：</w:t>
      </w:r>
      <w:r>
        <w:rPr>
          <w:rFonts w:ascii="宋体" w:hAnsi="宋体"/>
          <w:snapToGrid w:val="0"/>
          <w:color w:val="auto"/>
          <w:kern w:val="0"/>
          <w:szCs w:val="21"/>
          <w:highlight w:val="none"/>
          <w:u w:val="single"/>
        </w:rPr>
        <w:t></w:t>
      </w:r>
      <w:bookmarkStart w:id="1006" w:name="SOA_zyht_cb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bookmarkEnd w:id="1006"/>
      <w:r>
        <w:rPr>
          <w:rFonts w:hint="eastAsia" w:ascii="宋体" w:hAnsi="宋体"/>
          <w:snapToGrid w:val="0"/>
          <w:color w:val="auto"/>
          <w:kern w:val="0"/>
          <w:szCs w:val="21"/>
          <w:highlight w:val="none"/>
          <w:u w:val="single"/>
        </w:rPr>
        <w:t xml:space="preserve">  </w:t>
      </w:r>
    </w:p>
    <w:p w14:paraId="2EC9635F">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地  址：</w:t>
      </w:r>
      <w:r>
        <w:rPr>
          <w:rFonts w:ascii="宋体" w:hAnsi="宋体"/>
          <w:snapToGrid w:val="0"/>
          <w:color w:val="auto"/>
          <w:kern w:val="0"/>
          <w:szCs w:val="21"/>
          <w:highlight w:val="none"/>
          <w:u w:val="single"/>
        </w:rPr>
        <w:t xml:space="preserve"> </w:t>
      </w:r>
      <w:bookmarkStart w:id="1007" w:name="SOA_zyht_fbrdz"/>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bookmarkEnd w:id="1007"/>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地  址：</w:t>
      </w:r>
      <w:r>
        <w:rPr>
          <w:rFonts w:ascii="宋体" w:hAnsi="宋体"/>
          <w:snapToGrid w:val="0"/>
          <w:color w:val="auto"/>
          <w:kern w:val="0"/>
          <w:szCs w:val="21"/>
          <w:highlight w:val="none"/>
          <w:u w:val="single"/>
        </w:rPr>
        <w:t></w:t>
      </w:r>
      <w:bookmarkStart w:id="1008" w:name="SOA_zyht_cbrdz"/>
      <w:r>
        <w:rPr>
          <w:rFonts w:ascii="宋体" w:hAnsi="宋体"/>
          <w:snapToGrid w:val="0"/>
          <w:color w:val="auto"/>
          <w:kern w:val="0"/>
          <w:szCs w:val="21"/>
          <w:highlight w:val="none"/>
          <w:u w:val="single"/>
        </w:rPr>
        <w:t xml:space="preserve">      </w:t>
      </w:r>
      <w:bookmarkEnd w:id="1008"/>
      <w:r>
        <w:rPr>
          <w:rFonts w:ascii="宋体" w:hAnsi="宋体"/>
          <w:snapToGrid w:val="0"/>
          <w:color w:val="auto"/>
          <w:kern w:val="0"/>
          <w:szCs w:val="21"/>
          <w:highlight w:val="none"/>
          <w:u w:val="single"/>
        </w:rPr>
        <w:t></w:t>
      </w:r>
    </w:p>
    <w:p w14:paraId="7EF5F705">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法定代表人(签字)：</w:t>
      </w:r>
      <w:bookmarkStart w:id="1009" w:name="SOA_zyht_fddbr1"/>
      <w:r>
        <w:rPr>
          <w:rFonts w:ascii="宋体" w:hAnsi="宋体"/>
          <w:snapToGrid w:val="0"/>
          <w:color w:val="auto"/>
          <w:kern w:val="0"/>
          <w:szCs w:val="21"/>
          <w:highlight w:val="none"/>
          <w:u w:val="single"/>
        </w:rPr>
        <w:t xml:space="preserve">      </w:t>
      </w:r>
      <w:bookmarkEnd w:id="1009"/>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法定代表人(签字)：</w:t>
      </w:r>
      <w:bookmarkStart w:id="1010" w:name="SOA_zyht_fddbr2"/>
      <w:r>
        <w:rPr>
          <w:rFonts w:ascii="宋体" w:hAnsi="宋体"/>
          <w:snapToGrid w:val="0"/>
          <w:color w:val="auto"/>
          <w:kern w:val="0"/>
          <w:szCs w:val="21"/>
          <w:highlight w:val="none"/>
          <w:u w:val="single"/>
        </w:rPr>
        <w:t xml:space="preserve">      </w:t>
      </w:r>
      <w:bookmarkEnd w:id="1010"/>
      <w:r>
        <w:rPr>
          <w:rFonts w:hint="eastAsia" w:ascii="宋体" w:hAnsi="宋体"/>
          <w:snapToGrid w:val="0"/>
          <w:color w:val="auto"/>
          <w:kern w:val="0"/>
          <w:szCs w:val="21"/>
          <w:highlight w:val="none"/>
          <w:u w:val="single"/>
        </w:rPr>
        <w:t xml:space="preserve">  </w:t>
      </w:r>
    </w:p>
    <w:p w14:paraId="3D126DE8">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委托代理人(签字)：</w:t>
      </w:r>
      <w:bookmarkStart w:id="1011" w:name="SOA_zyht_wtdlr1"/>
      <w:r>
        <w:rPr>
          <w:rFonts w:ascii="宋体" w:hAnsi="宋体"/>
          <w:snapToGrid w:val="0"/>
          <w:color w:val="auto"/>
          <w:kern w:val="0"/>
          <w:szCs w:val="21"/>
          <w:highlight w:val="none"/>
          <w:u w:val="single"/>
        </w:rPr>
        <w:t xml:space="preserve">      </w:t>
      </w:r>
      <w:bookmarkEnd w:id="1011"/>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委托代理人(签字)：</w:t>
      </w:r>
      <w:bookmarkStart w:id="1012" w:name="SOA_zyht_wtdlr2"/>
      <w:r>
        <w:rPr>
          <w:rFonts w:ascii="宋体" w:hAnsi="宋体"/>
          <w:snapToGrid w:val="0"/>
          <w:color w:val="auto"/>
          <w:kern w:val="0"/>
          <w:szCs w:val="21"/>
          <w:highlight w:val="none"/>
          <w:u w:val="single"/>
        </w:rPr>
        <w:t xml:space="preserve">      </w:t>
      </w:r>
      <w:bookmarkEnd w:id="1012"/>
      <w:r>
        <w:rPr>
          <w:rFonts w:hint="eastAsia" w:ascii="宋体" w:hAnsi="宋体"/>
          <w:snapToGrid w:val="0"/>
          <w:color w:val="auto"/>
          <w:kern w:val="0"/>
          <w:szCs w:val="21"/>
          <w:highlight w:val="none"/>
          <w:u w:val="single"/>
        </w:rPr>
        <w:t xml:space="preserve">  </w:t>
      </w:r>
    </w:p>
    <w:p w14:paraId="070F3720">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w:t>
      </w:r>
      <w:bookmarkStart w:id="1013" w:name="SOA_zyht_fbrdh1"/>
      <w:r>
        <w:rPr>
          <w:rFonts w:ascii="宋体" w:hAnsi="宋体"/>
          <w:snapToGrid w:val="0"/>
          <w:color w:val="auto"/>
          <w:kern w:val="0"/>
          <w:szCs w:val="21"/>
          <w:highlight w:val="none"/>
          <w:u w:val="single"/>
        </w:rPr>
        <w:t xml:space="preserve">      </w:t>
      </w:r>
      <w:bookmarkEnd w:id="1013"/>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w:t>
      </w:r>
      <w:bookmarkStart w:id="1014" w:name="SOA_zyht_cbrdh"/>
      <w:r>
        <w:rPr>
          <w:rFonts w:ascii="宋体" w:hAnsi="宋体"/>
          <w:snapToGrid w:val="0"/>
          <w:color w:val="auto"/>
          <w:kern w:val="0"/>
          <w:szCs w:val="21"/>
          <w:highlight w:val="none"/>
          <w:u w:val="single"/>
        </w:rPr>
        <w:t xml:space="preserve">      </w:t>
      </w:r>
      <w:bookmarkEnd w:id="1014"/>
      <w:r>
        <w:rPr>
          <w:rFonts w:ascii="宋体" w:hAnsi="宋体"/>
          <w:snapToGrid w:val="0"/>
          <w:color w:val="auto"/>
          <w:kern w:val="0"/>
          <w:szCs w:val="21"/>
          <w:highlight w:val="none"/>
          <w:u w:val="single"/>
        </w:rPr>
        <w:t xml:space="preserve"> </w:t>
      </w:r>
    </w:p>
    <w:p w14:paraId="6DC271EE">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传  真：</w:t>
      </w:r>
      <w:r>
        <w:rPr>
          <w:rFonts w:hint="eastAsia" w:ascii="宋体" w:hAnsi="宋体"/>
          <w:snapToGrid w:val="0"/>
          <w:color w:val="auto"/>
          <w:kern w:val="0"/>
          <w:szCs w:val="21"/>
          <w:highlight w:val="none"/>
          <w:u w:val="single"/>
        </w:rPr>
        <w:t xml:space="preserve">  </w:t>
      </w:r>
      <w:bookmarkStart w:id="1015" w:name="SOA_zyht_fbrcz"/>
      <w:r>
        <w:rPr>
          <w:rFonts w:ascii="宋体" w:hAnsi="宋体"/>
          <w:snapToGrid w:val="0"/>
          <w:color w:val="auto"/>
          <w:kern w:val="0"/>
          <w:szCs w:val="21"/>
          <w:highlight w:val="none"/>
          <w:u w:val="single"/>
        </w:rPr>
        <w:t xml:space="preserve">      </w:t>
      </w:r>
      <w:bookmarkEnd w:id="1015"/>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传  真：</w:t>
      </w:r>
      <w:r>
        <w:rPr>
          <w:rFonts w:ascii="宋体" w:hAnsi="宋体"/>
          <w:snapToGrid w:val="0"/>
          <w:color w:val="auto"/>
          <w:kern w:val="0"/>
          <w:szCs w:val="21"/>
          <w:highlight w:val="none"/>
          <w:u w:val="single"/>
        </w:rPr>
        <w:t></w:t>
      </w:r>
      <w:bookmarkStart w:id="1016" w:name="SOA_zyht_cbrcz"/>
      <w:r>
        <w:rPr>
          <w:rFonts w:ascii="宋体" w:hAnsi="宋体"/>
          <w:snapToGrid w:val="0"/>
          <w:color w:val="auto"/>
          <w:kern w:val="0"/>
          <w:szCs w:val="21"/>
          <w:highlight w:val="none"/>
          <w:u w:val="single"/>
        </w:rPr>
        <w:t xml:space="preserve">      </w:t>
      </w:r>
      <w:bookmarkEnd w:id="1016"/>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 xml:space="preserve"> </w:t>
      </w:r>
    </w:p>
    <w:p w14:paraId="5799B736">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开户银行：</w:t>
      </w:r>
      <w:bookmarkStart w:id="1017" w:name="SOA_zyht_fbrkhyh"/>
      <w:r>
        <w:rPr>
          <w:rFonts w:ascii="宋体" w:hAnsi="宋体"/>
          <w:snapToGrid w:val="0"/>
          <w:color w:val="auto"/>
          <w:kern w:val="0"/>
          <w:szCs w:val="21"/>
          <w:highlight w:val="none"/>
          <w:u w:val="single"/>
        </w:rPr>
        <w:t xml:space="preserve">      </w:t>
      </w:r>
      <w:bookmarkEnd w:id="1017"/>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开户银行：</w:t>
      </w:r>
      <w:bookmarkStart w:id="1018" w:name="SOA_zyht_cbrkhyh"/>
      <w:r>
        <w:rPr>
          <w:rFonts w:ascii="宋体" w:hAnsi="宋体"/>
          <w:snapToGrid w:val="0"/>
          <w:color w:val="auto"/>
          <w:kern w:val="0"/>
          <w:szCs w:val="21"/>
          <w:highlight w:val="none"/>
          <w:u w:val="single"/>
        </w:rPr>
        <w:t xml:space="preserve">      </w:t>
      </w:r>
      <w:bookmarkEnd w:id="1018"/>
      <w:r>
        <w:rPr>
          <w:rFonts w:hint="eastAsia" w:ascii="宋体" w:hAnsi="宋体"/>
          <w:snapToGrid w:val="0"/>
          <w:color w:val="auto"/>
          <w:kern w:val="0"/>
          <w:szCs w:val="21"/>
          <w:highlight w:val="none"/>
          <w:u w:val="single"/>
        </w:rPr>
        <w:t xml:space="preserve">  </w:t>
      </w:r>
    </w:p>
    <w:p w14:paraId="3F168748">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账  号：</w:t>
      </w:r>
      <w:r>
        <w:rPr>
          <w:rFonts w:ascii="宋体" w:hAnsi="宋体"/>
          <w:snapToGrid w:val="0"/>
          <w:color w:val="auto"/>
          <w:kern w:val="0"/>
          <w:szCs w:val="21"/>
          <w:highlight w:val="none"/>
          <w:u w:val="single"/>
        </w:rPr>
        <w:t></w:t>
      </w:r>
      <w:bookmarkStart w:id="1019" w:name="SOA_zyht_fbrzh"/>
      <w:r>
        <w:rPr>
          <w:rFonts w:ascii="宋体" w:hAnsi="宋体"/>
          <w:snapToGrid w:val="0"/>
          <w:color w:val="auto"/>
          <w:kern w:val="0"/>
          <w:szCs w:val="21"/>
          <w:highlight w:val="none"/>
          <w:u w:val="single"/>
        </w:rPr>
        <w:t xml:space="preserve">      </w:t>
      </w:r>
      <w:bookmarkEnd w:id="1019"/>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账</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 xml:space="preserve"> 号：</w:t>
      </w:r>
      <w:r>
        <w:rPr>
          <w:rFonts w:ascii="宋体" w:hAnsi="宋体"/>
          <w:snapToGrid w:val="0"/>
          <w:color w:val="auto"/>
          <w:kern w:val="0"/>
          <w:szCs w:val="21"/>
          <w:highlight w:val="none"/>
          <w:u w:val="single"/>
        </w:rPr>
        <w:t></w:t>
      </w:r>
      <w:bookmarkStart w:id="1020" w:name="SOA_zyht_cbrzh"/>
      <w:r>
        <w:rPr>
          <w:rFonts w:ascii="宋体" w:hAnsi="宋体"/>
          <w:snapToGrid w:val="0"/>
          <w:color w:val="auto"/>
          <w:kern w:val="0"/>
          <w:szCs w:val="21"/>
          <w:highlight w:val="none"/>
          <w:u w:val="single"/>
        </w:rPr>
        <w:t xml:space="preserve">      </w:t>
      </w:r>
      <w:bookmarkEnd w:id="1020"/>
      <w:r>
        <w:rPr>
          <w:rFonts w:hint="eastAsia" w:ascii="宋体" w:hAnsi="宋体"/>
          <w:snapToGrid w:val="0"/>
          <w:color w:val="auto"/>
          <w:kern w:val="0"/>
          <w:szCs w:val="21"/>
          <w:highlight w:val="none"/>
          <w:u w:val="single"/>
        </w:rPr>
        <w:t xml:space="preserve">  </w:t>
      </w:r>
    </w:p>
    <w:p w14:paraId="5E50A7E0">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bookmarkStart w:id="1021" w:name="SOA_zyht_fbryb"/>
      <w:r>
        <w:rPr>
          <w:rFonts w:ascii="宋体" w:hAnsi="宋体"/>
          <w:snapToGrid w:val="0"/>
          <w:color w:val="auto"/>
          <w:kern w:val="0"/>
          <w:szCs w:val="21"/>
          <w:highlight w:val="none"/>
          <w:u w:val="single"/>
        </w:rPr>
        <w:t xml:space="preserve">      </w:t>
      </w:r>
      <w:bookmarkEnd w:id="1021"/>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w:t>
      </w:r>
      <w:bookmarkStart w:id="1022" w:name="SOA_zyht_cbryb"/>
      <w:r>
        <w:rPr>
          <w:rFonts w:ascii="宋体" w:hAnsi="宋体"/>
          <w:snapToGrid w:val="0"/>
          <w:color w:val="auto"/>
          <w:kern w:val="0"/>
          <w:szCs w:val="21"/>
          <w:highlight w:val="none"/>
          <w:u w:val="single"/>
        </w:rPr>
        <w:t xml:space="preserve">     </w:t>
      </w:r>
      <w:bookmarkEnd w:id="1022"/>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p>
    <w:p w14:paraId="57452A98">
      <w:pPr>
        <w:spacing w:line="480" w:lineRule="auto"/>
        <w:jc w:val="center"/>
        <w:rPr>
          <w:rFonts w:hint="eastAsia" w:ascii="宋体" w:hAnsi="宋体" w:cs="宋体"/>
          <w:b/>
          <w:color w:val="auto"/>
          <w:sz w:val="28"/>
          <w:szCs w:val="28"/>
          <w:highlight w:val="none"/>
        </w:rPr>
      </w:pPr>
    </w:p>
    <w:p w14:paraId="137FEA7B">
      <w:pPr>
        <w:spacing w:line="360" w:lineRule="auto"/>
        <w:ind w:left="-420" w:leftChars="-200" w:right="-420" w:rightChars="-200" w:firstLine="480" w:firstLineChars="200"/>
        <w:jc w:val="center"/>
        <w:outlineLvl w:val="0"/>
        <w:rPr>
          <w:rFonts w:hint="eastAsia" w:ascii="宋体" w:hAnsi="宋体" w:cs="宋体"/>
          <w:color w:val="auto"/>
          <w:sz w:val="24"/>
          <w:highlight w:val="none"/>
        </w:rPr>
        <w:sectPr>
          <w:headerReference r:id="rId8" w:type="first"/>
          <w:footerReference r:id="rId10" w:type="first"/>
          <w:footerReference r:id="rId9" w:type="default"/>
          <w:pgSz w:w="11906" w:h="16838"/>
          <w:pgMar w:top="1440" w:right="1080" w:bottom="1440" w:left="1080" w:header="851" w:footer="992" w:gutter="0"/>
          <w:cols w:space="720" w:num="1"/>
          <w:titlePg/>
          <w:docGrid w:linePitch="312" w:charSpace="0"/>
        </w:sectPr>
      </w:pPr>
    </w:p>
    <w:p w14:paraId="2D531B52">
      <w:pPr>
        <w:snapToGrid w:val="0"/>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8"/>
      <w:r>
        <w:rPr>
          <w:rFonts w:hint="eastAsia" w:ascii="宋体" w:hAnsi="宋体" w:cs="宋体"/>
          <w:b/>
          <w:color w:val="auto"/>
          <w:sz w:val="36"/>
          <w:szCs w:val="20"/>
          <w:highlight w:val="none"/>
        </w:rPr>
        <w:t xml:space="preserve"> </w:t>
      </w:r>
      <w:bookmarkEnd w:id="399"/>
      <w:r>
        <w:rPr>
          <w:rFonts w:hint="eastAsia" w:ascii="宋体" w:hAnsi="宋体" w:cs="宋体"/>
          <w:b/>
          <w:color w:val="auto"/>
          <w:sz w:val="36"/>
          <w:szCs w:val="20"/>
          <w:highlight w:val="none"/>
        </w:rPr>
        <w:t>应提交的有关格式范例</w:t>
      </w:r>
    </w:p>
    <w:p w14:paraId="684BD9D3">
      <w:pPr>
        <w:spacing w:line="360" w:lineRule="auto"/>
        <w:jc w:val="center"/>
        <w:rPr>
          <w:rFonts w:hint="eastAsia" w:ascii="宋体" w:hAnsi="宋体" w:cs="宋体"/>
          <w:b/>
          <w:color w:val="auto"/>
          <w:kern w:val="0"/>
          <w:sz w:val="36"/>
          <w:szCs w:val="36"/>
          <w:highlight w:val="none"/>
        </w:rPr>
      </w:pPr>
    </w:p>
    <w:p w14:paraId="40F066F8">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1AB0079">
      <w:pPr>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83E0DA0">
      <w:pPr>
        <w:spacing w:line="360" w:lineRule="auto"/>
        <w:jc w:val="center"/>
        <w:rPr>
          <w:rFonts w:hint="eastAsia" w:ascii="宋体" w:hAnsi="宋体" w:cs="宋体"/>
          <w:b/>
          <w:color w:val="auto"/>
          <w:kern w:val="0"/>
          <w:sz w:val="36"/>
          <w:szCs w:val="36"/>
          <w:highlight w:val="none"/>
        </w:rPr>
      </w:pPr>
    </w:p>
    <w:p w14:paraId="7F9DB40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600F4E06">
      <w:pPr>
        <w:snapToGri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463116E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64490DE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61A87E7C">
      <w:pPr>
        <w:snapToGrid w:val="0"/>
        <w:spacing w:line="360" w:lineRule="auto"/>
        <w:ind w:firstLine="480" w:firstLineChars="200"/>
        <w:rPr>
          <w:rFonts w:hint="eastAsia" w:ascii="宋体" w:hAnsi="宋体" w:cs="宋体"/>
          <w:color w:val="auto"/>
          <w:sz w:val="24"/>
          <w:highlight w:val="none"/>
        </w:rPr>
      </w:pPr>
    </w:p>
    <w:p w14:paraId="18095422">
      <w:pPr>
        <w:spacing w:line="360" w:lineRule="auto"/>
        <w:ind w:firstLine="480" w:firstLineChars="200"/>
        <w:rPr>
          <w:rFonts w:hint="eastAsia" w:ascii="宋体" w:hAnsi="宋体" w:cs="宋体"/>
          <w:color w:val="auto"/>
          <w:sz w:val="24"/>
          <w:highlight w:val="none"/>
        </w:rPr>
      </w:pPr>
    </w:p>
    <w:p w14:paraId="38ED6435">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062A268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浙江省杭州第十一中学</w:t>
      </w:r>
      <w:r>
        <w:rPr>
          <w:rFonts w:hint="eastAsia" w:ascii="宋体" w:hAnsi="宋体" w:cs="宋体"/>
          <w:color w:val="auto"/>
          <w:sz w:val="24"/>
          <w:highlight w:val="none"/>
        </w:rPr>
        <w:t>、浙江中通通信有限公司：</w:t>
      </w:r>
    </w:p>
    <w:p w14:paraId="1A14409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学生宿舍改造二期</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330100261010240000003-0603</w:t>
      </w:r>
      <w:r>
        <w:rPr>
          <w:rFonts w:hint="eastAsia" w:ascii="宋体" w:hAnsi="宋体" w:cs="宋体"/>
          <w:color w:val="auto"/>
          <w:sz w:val="24"/>
          <w:highlight w:val="none"/>
        </w:rPr>
        <w:t>】政府采购活动，郑重承诺：</w:t>
      </w:r>
    </w:p>
    <w:p w14:paraId="15FEA1E5">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4959B2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5A6DA2D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B0C3DF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FB1E0E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60D01C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C09708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12DD67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26893F5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（三）不存在以下情况：</w:t>
      </w:r>
    </w:p>
    <w:p w14:paraId="7A50AC1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3E728B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56115157">
      <w:pPr>
        <w:snapToGrid w:val="0"/>
        <w:spacing w:line="360" w:lineRule="auto"/>
        <w:ind w:firstLine="5520" w:firstLineChars="23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716A492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8623A2">
      <w:pPr>
        <w:snapToGrid w:val="0"/>
        <w:spacing w:line="360" w:lineRule="auto"/>
        <w:ind w:right="480"/>
        <w:jc w:val="center"/>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5611C110">
      <w:pPr>
        <w:widowControl/>
        <w:spacing w:line="360" w:lineRule="auto"/>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02285A08">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[以联合体形式参与的，提供联合协议（附件5）；本项目不接受联合体或者供应商不以联合体形式投参与的，则不需要提供]</w:t>
      </w:r>
    </w:p>
    <w:p w14:paraId="6112A8DD">
      <w:pPr>
        <w:snapToGrid w:val="0"/>
        <w:spacing w:line="360" w:lineRule="auto"/>
        <w:ind w:right="480"/>
        <w:jc w:val="center"/>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23E51CD3">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278FA2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（根据竞争性磋商公告落实政府采购政策需满足的资格要求选择提供相应的材料；未要求的，无需提供）</w:t>
      </w:r>
    </w:p>
    <w:p w14:paraId="4C642A6B">
      <w:pPr>
        <w:snapToGrid w:val="0"/>
        <w:spacing w:before="50" w:after="50"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.专门面向中小企业，工程全部由符合政策要求的中小企业（或小微企业）承建的，提供相应的中小企业声明函（附件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39BC3652">
      <w:pPr>
        <w:widowControl/>
        <w:spacing w:line="360" w:lineRule="auto"/>
        <w:ind w:firstLine="480"/>
        <w:jc w:val="left"/>
        <w:rPr>
          <w:rFonts w:hint="eastAsia" w:ascii="宋体" w:hAnsi="宋体" w:cs="宋体"/>
          <w:color w:val="auto"/>
          <w:sz w:val="24"/>
          <w:highlight w:val="none"/>
        </w:rPr>
      </w:pPr>
    </w:p>
    <w:p w14:paraId="047CAD67">
      <w:pPr>
        <w:widowControl/>
        <w:spacing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），联合协议中中小企业合同金额应当达到竞争性磋商公告载明的比例；如果供应商本身提供所有标的均由中小企业承建的，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3E14F214">
      <w:pPr>
        <w:snapToGrid w:val="0"/>
        <w:spacing w:before="50" w:after="50"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 xml:space="preserve">    </w:t>
      </w:r>
    </w:p>
    <w:p w14:paraId="4497C2CE">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），分包意向协议中中小企业合同金额应当达到竞争性磋商公告载明的比例；如果供应商本身提供所有标的均由中小企业承建，</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0D193500">
      <w:pPr>
        <w:widowControl/>
        <w:spacing w:line="360" w:lineRule="auto"/>
        <w:ind w:left="150"/>
        <w:jc w:val="center"/>
        <w:rPr>
          <w:rFonts w:hint="eastAsia" w:ascii="宋体" w:hAnsi="宋体" w:cs="宋体"/>
          <w:b/>
          <w:color w:val="auto"/>
          <w:kern w:val="0"/>
          <w:sz w:val="32"/>
          <w:szCs w:val="32"/>
          <w:highlight w:val="none"/>
        </w:rPr>
      </w:pPr>
    </w:p>
    <w:p w14:paraId="1B130483">
      <w:pPr>
        <w:widowControl/>
        <w:spacing w:line="360" w:lineRule="auto"/>
        <w:ind w:left="15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43A0E25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（根据竞争性磋商公告本项目的特定资格要求提供相应的材料；未要求的，无需提供）</w:t>
      </w:r>
    </w:p>
    <w:p w14:paraId="0E171745">
      <w:pPr>
        <w:rPr>
          <w:rFonts w:hint="eastAsia" w:ascii="宋体" w:hAnsi="宋体" w:cs="宋体"/>
          <w:color w:val="auto"/>
          <w:highlight w:val="none"/>
        </w:rPr>
      </w:pPr>
    </w:p>
    <w:p w14:paraId="26E45D60">
      <w:pPr>
        <w:snapToGrid w:val="0"/>
        <w:spacing w:line="360" w:lineRule="auto"/>
        <w:ind w:right="480"/>
        <w:jc w:val="center"/>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21DF0544">
      <w:pPr>
        <w:tabs>
          <w:tab w:val="left" w:pos="432"/>
        </w:tabs>
        <w:rPr>
          <w:rFonts w:hint="eastAsia" w:ascii="宋体" w:hAnsi="宋体" w:cs="宋体"/>
          <w:color w:val="auto"/>
          <w:kern w:val="0"/>
          <w:sz w:val="36"/>
          <w:szCs w:val="36"/>
          <w:highlight w:val="none"/>
        </w:rPr>
      </w:pPr>
    </w:p>
    <w:p w14:paraId="03D9CFEF">
      <w:pPr>
        <w:spacing w:line="360" w:lineRule="auto"/>
        <w:ind w:right="420" w:firstLine="3614" w:firstLineChars="100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60AA936">
      <w:pPr>
        <w:spacing w:line="360"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20A6EF4">
      <w:pPr>
        <w:numPr>
          <w:ilvl w:val="255"/>
          <w:numId w:val="0"/>
        </w:num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响应函……………………………………………………………………………（页码）</w:t>
      </w:r>
    </w:p>
    <w:p w14:paraId="154F8DE4">
      <w:pPr>
        <w:numPr>
          <w:ilvl w:val="255"/>
          <w:numId w:val="0"/>
        </w:num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2）授权委托书或法定代表人（单位负责人、自然人本人）身份证明</w:t>
      </w:r>
      <w:r>
        <w:rPr>
          <w:rFonts w:hint="eastAsia" w:ascii="宋体" w:hAnsi="宋体" w:cs="宋体"/>
          <w:color w:val="auto"/>
          <w:sz w:val="24"/>
          <w:highlight w:val="none"/>
        </w:rPr>
        <w:t>……………（页码）</w:t>
      </w:r>
    </w:p>
    <w:p w14:paraId="28031210">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）分包意向协议………………………………………………………………………（页码）</w:t>
      </w:r>
    </w:p>
    <w:p w14:paraId="18D8A61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）符合性审查资料……………………………………………………………………（页码）</w:t>
      </w:r>
    </w:p>
    <w:p w14:paraId="4A677AC5">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）评审标准相应的商务技术资料……………………………………………………（页码）（</w:t>
      </w:r>
      <w:r>
        <w:rPr>
          <w:rFonts w:ascii="宋体" w:hAnsi="宋体" w:cs="宋体"/>
          <w:color w:val="auto"/>
          <w:sz w:val="24"/>
          <w:highlight w:val="none"/>
        </w:rPr>
        <w:t>6</w:t>
      </w:r>
      <w:r>
        <w:rPr>
          <w:rFonts w:hint="eastAsia" w:ascii="宋体" w:hAnsi="宋体" w:cs="宋体"/>
          <w:color w:val="auto"/>
          <w:sz w:val="24"/>
          <w:highlight w:val="none"/>
        </w:rPr>
        <w:t>）商务技术偏离表……………………………………………………………………（页码）</w:t>
      </w:r>
    </w:p>
    <w:p w14:paraId="7EDDB1ED">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19FFD38D">
      <w:pPr>
        <w:snapToGrid w:val="0"/>
        <w:spacing w:line="360" w:lineRule="auto"/>
        <w:jc w:val="center"/>
        <w:rPr>
          <w:rFonts w:hint="eastAsia" w:ascii="宋体" w:hAnsi="宋体" w:cs="宋体"/>
          <w:b/>
          <w:color w:val="auto"/>
          <w:kern w:val="0"/>
          <w:sz w:val="24"/>
          <w:szCs w:val="32"/>
          <w:highlight w:val="none"/>
          <w:lang w:val="zh-CN"/>
        </w:rPr>
        <w:sectPr>
          <w:pgSz w:w="11906" w:h="16838"/>
          <w:pgMar w:top="1440" w:right="1080" w:bottom="1440" w:left="1080" w:header="851" w:footer="992" w:gutter="0"/>
          <w:cols w:space="720" w:num="1"/>
          <w:titlePg/>
          <w:docGrid w:linePitch="312" w:charSpace="0"/>
        </w:sectPr>
      </w:pPr>
    </w:p>
    <w:p w14:paraId="066384D8">
      <w:pPr>
        <w:snapToGri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一、响应函</w:t>
      </w:r>
    </w:p>
    <w:p w14:paraId="32EC03E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浙江省杭州第十一中学</w:t>
      </w:r>
      <w:r>
        <w:rPr>
          <w:rFonts w:hint="eastAsia" w:ascii="宋体" w:hAnsi="宋体" w:cs="宋体"/>
          <w:color w:val="auto"/>
          <w:sz w:val="24"/>
          <w:highlight w:val="none"/>
        </w:rPr>
        <w:t>、浙江中通通信有限公司：</w:t>
      </w:r>
    </w:p>
    <w:p w14:paraId="235F4A1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学生宿舍改造二期</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330100261010240000003-0603</w:t>
      </w:r>
      <w:r>
        <w:rPr>
          <w:rFonts w:hint="eastAsia" w:ascii="宋体" w:hAnsi="宋体" w:cs="宋体"/>
          <w:color w:val="auto"/>
          <w:sz w:val="24"/>
          <w:highlight w:val="none"/>
        </w:rPr>
        <w:t>】采购的有关活动，并对此项目提交响应文件及报价。为此：</w:t>
      </w:r>
    </w:p>
    <w:p w14:paraId="19A9B6D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1、我方承诺响应文件有效期从提交响应文件的截止之日起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本响应文件在响应文件有效期满之前均具有约束力。</w:t>
      </w:r>
    </w:p>
    <w:p w14:paraId="1ED7F3D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2、我方的响应文件包括以下内容：</w:t>
      </w:r>
    </w:p>
    <w:p w14:paraId="5DB2D04E">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2.1资格文件：</w:t>
      </w:r>
    </w:p>
    <w:p w14:paraId="2FEE1F92">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2.1.1承诺函；</w:t>
      </w:r>
    </w:p>
    <w:p w14:paraId="5D3DF8B5">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2D7B1B56">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66D47514">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7F9C5B00">
      <w:pPr>
        <w:snapToGrid w:val="0"/>
        <w:spacing w:line="360" w:lineRule="auto"/>
        <w:ind w:left="210" w:leftChars="1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C5C0DE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2.2.1响应函；</w:t>
      </w:r>
      <w:r>
        <w:rPr>
          <w:rFonts w:hint="eastAsia" w:ascii="宋体" w:hAnsi="宋体" w:cs="宋体"/>
          <w:color w:val="auto"/>
          <w:sz w:val="24"/>
          <w:highlight w:val="none"/>
          <w:lang w:val="zh-CN"/>
        </w:rPr>
        <w:t xml:space="preserve"> </w:t>
      </w:r>
    </w:p>
    <w:p w14:paraId="628F31E9">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2A7A984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C31A7F3">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804F748">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评审标准相应的商务技术资料；</w:t>
      </w:r>
    </w:p>
    <w:p w14:paraId="518F7579">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2.2.6商务技术偏离表；</w:t>
      </w:r>
    </w:p>
    <w:p w14:paraId="079A8784">
      <w:pPr>
        <w:snapToGrid w:val="0"/>
        <w:spacing w:line="360" w:lineRule="auto"/>
        <w:ind w:left="420" w:leftChars="2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4E4D7D49">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0DCC4B6A">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2.3.1报价单；</w:t>
      </w:r>
    </w:p>
    <w:p w14:paraId="7175D894">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2.3.2已标价工程量清单；</w:t>
      </w:r>
    </w:p>
    <w:p w14:paraId="51029303">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2.3.3中小企业声明函（如果有）。</w:t>
      </w:r>
    </w:p>
    <w:p w14:paraId="6ACEADA2">
      <w:pPr>
        <w:pStyle w:val="80"/>
        <w:ind w:firstLine="480"/>
        <w:rPr>
          <w:rFonts w:hint="eastAsia"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3、我方承诺除商务技术偏离表列出的偏离外，我方响应采购文件的全部要求。对</w:t>
      </w:r>
      <w:r>
        <w:rPr>
          <w:rFonts w:hint="eastAsia" w:ascii="宋体" w:hAnsi="宋体" w:cs="宋体"/>
          <w:color w:val="auto"/>
          <w:sz w:val="24"/>
          <w:highlight w:val="none"/>
          <w:lang w:val="en-US"/>
        </w:rPr>
        <w:t>响应</w:t>
      </w:r>
      <w:r>
        <w:rPr>
          <w:rFonts w:hint="eastAsia" w:ascii="宋体" w:hAnsi="宋体" w:cs="宋体"/>
          <w:color w:val="auto"/>
          <w:sz w:val="24"/>
          <w:highlight w:val="none"/>
        </w:rPr>
        <w:t>文件中材料的真实性、合法性负责，积极配合采购人、采购代理机构复核响应文件中的资料。</w:t>
      </w:r>
    </w:p>
    <w:p w14:paraId="15E80E00">
      <w:pPr>
        <w:snapToGrid w:val="0"/>
        <w:spacing w:line="360" w:lineRule="auto"/>
        <w:ind w:firstLine="480" w:firstLineChars="200"/>
        <w:rPr>
          <w:rFonts w:hint="eastAsia" w:ascii="宋体" w:hAnsi="宋体" w:cs="宋体"/>
          <w:color w:val="auto"/>
          <w:sz w:val="24"/>
          <w:highlight w:val="none"/>
        </w:rPr>
      </w:pPr>
    </w:p>
    <w:p w14:paraId="026DCA1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4、如我方成交，我方承诺：</w:t>
      </w:r>
    </w:p>
    <w:p w14:paraId="48EE1DF5">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4.1在收到成交通知书后，在成交通知书规定的期限内与你方签订合同； </w:t>
      </w:r>
    </w:p>
    <w:p w14:paraId="72001ECA">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9AA139D">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4.3按照采购文件要求提交履约保证金； </w:t>
      </w:r>
    </w:p>
    <w:p w14:paraId="5CBF149F">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29870682">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C116E89">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6、其他补充说明: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3CA5849">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供应商名称（电子签名）：                          </w:t>
      </w:r>
    </w:p>
    <w:p w14:paraId="04A9AC2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7C3F3B5F">
      <w:pPr>
        <w:snapToGrid w:val="0"/>
        <w:spacing w:line="360" w:lineRule="auto"/>
        <w:ind w:left="420" w:leftChars="200" w:firstLine="4200" w:firstLineChars="1750"/>
        <w:rPr>
          <w:rFonts w:hint="eastAsia" w:ascii="宋体" w:hAnsi="宋体" w:cs="宋体"/>
          <w:color w:val="auto"/>
          <w:kern w:val="0"/>
          <w:sz w:val="24"/>
          <w:highlight w:val="none"/>
          <w:u w:val="single"/>
        </w:rPr>
      </w:pPr>
    </w:p>
    <w:p w14:paraId="20D5A379">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3EED2B74">
      <w:pPr>
        <w:snapToGrid w:val="0"/>
        <w:spacing w:line="360" w:lineRule="auto"/>
        <w:jc w:val="center"/>
        <w:rPr>
          <w:rFonts w:hint="eastAsia" w:ascii="宋体" w:hAnsi="宋体" w:cs="宋体"/>
          <w:b/>
          <w:color w:val="auto"/>
          <w:kern w:val="0"/>
          <w:sz w:val="32"/>
          <w:szCs w:val="32"/>
          <w:highlight w:val="none"/>
        </w:rPr>
      </w:pPr>
    </w:p>
    <w:p w14:paraId="2BA8DA75">
      <w:pPr>
        <w:snapToGrid w:val="0"/>
        <w:spacing w:line="360" w:lineRule="auto"/>
        <w:rPr>
          <w:rFonts w:hint="eastAsia" w:ascii="宋体" w:hAnsi="宋体" w:cs="宋体"/>
          <w:color w:val="auto"/>
          <w:sz w:val="24"/>
          <w:highlight w:val="none"/>
        </w:rPr>
      </w:pPr>
    </w:p>
    <w:p w14:paraId="07D181C4">
      <w:pPr>
        <w:jc w:val="center"/>
        <w:rPr>
          <w:rFonts w:hint="eastAsia" w:ascii="宋体" w:hAnsi="宋体" w:cs="宋体"/>
          <w:b/>
          <w:color w:val="auto"/>
          <w:kern w:val="0"/>
          <w:sz w:val="32"/>
          <w:szCs w:val="32"/>
          <w:highlight w:val="none"/>
        </w:rPr>
      </w:pPr>
    </w:p>
    <w:p w14:paraId="0B6BE5B8">
      <w:pPr>
        <w:jc w:val="center"/>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45586915">
      <w:pPr>
        <w:snapToGri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二、授权委托书或法定代表人（单位负责人、自然人本人）身份证明</w:t>
      </w:r>
    </w:p>
    <w:p w14:paraId="6BC42F0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04D2F07">
      <w:pPr>
        <w:snapToGri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授权委托书（适用于非联合体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0C1219C1">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eastAsia="zh-CN"/>
        </w:rPr>
        <w:t>浙江省杭州第十一中学</w:t>
      </w:r>
      <w:r>
        <w:rPr>
          <w:rFonts w:hint="eastAsia" w:ascii="宋体" w:hAnsi="宋体" w:cs="宋体"/>
          <w:color w:val="auto"/>
          <w:sz w:val="24"/>
          <w:highlight w:val="none"/>
        </w:rPr>
        <w:t>、浙江中通通信有限公司</w:t>
      </w:r>
      <w:r>
        <w:rPr>
          <w:rFonts w:hint="eastAsia" w:ascii="宋体" w:hAnsi="宋体" w:cs="宋体"/>
          <w:color w:val="auto"/>
          <w:kern w:val="0"/>
          <w:sz w:val="24"/>
          <w:highlight w:val="none"/>
          <w:lang w:val="zh-CN"/>
        </w:rPr>
        <w:t>：</w:t>
      </w:r>
    </w:p>
    <w:p w14:paraId="2D72BE68">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学生宿舍改造二期</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330100261010240000003-0603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25FF6596">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1E9021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302C51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供应商名称(电子签名)：</w:t>
      </w:r>
    </w:p>
    <w:p w14:paraId="4C50B450">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4F2245B1">
      <w:pPr>
        <w:snapToGrid w:val="0"/>
        <w:spacing w:line="360" w:lineRule="auto"/>
        <w:rPr>
          <w:rFonts w:hint="eastAsia" w:ascii="宋体" w:hAnsi="宋体" w:cs="宋体"/>
          <w:color w:val="auto"/>
          <w:sz w:val="24"/>
          <w:highlight w:val="none"/>
        </w:rPr>
      </w:pPr>
    </w:p>
    <w:p w14:paraId="70D86EF7">
      <w:pPr>
        <w:snapToGrid w:val="0"/>
        <w:spacing w:line="360" w:lineRule="auto"/>
        <w:rPr>
          <w:rFonts w:hint="eastAsia" w:ascii="宋体" w:hAnsi="宋体" w:cs="宋体"/>
          <w:color w:val="auto"/>
          <w:sz w:val="24"/>
          <w:highlight w:val="none"/>
        </w:rPr>
      </w:pPr>
    </w:p>
    <w:p w14:paraId="3A25E780">
      <w:pPr>
        <w:snapToGrid w:val="0"/>
        <w:spacing w:line="360" w:lineRule="auto"/>
        <w:rPr>
          <w:rFonts w:hint="eastAsia" w:ascii="宋体" w:hAnsi="宋体" w:cs="宋体"/>
          <w:color w:val="auto"/>
          <w:sz w:val="24"/>
          <w:highlight w:val="none"/>
        </w:rPr>
      </w:pPr>
    </w:p>
    <w:p w14:paraId="5B2EF762">
      <w:pPr>
        <w:snapToGri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33D55B4B">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eastAsia="zh-CN"/>
        </w:rPr>
        <w:t>浙江省杭州第十一中学</w:t>
      </w:r>
      <w:r>
        <w:rPr>
          <w:rFonts w:hint="eastAsia" w:ascii="宋体" w:hAnsi="宋体" w:cs="宋体"/>
          <w:color w:val="auto"/>
          <w:sz w:val="24"/>
          <w:highlight w:val="none"/>
        </w:rPr>
        <w:t>、浙江中通通信有限公司</w:t>
      </w:r>
      <w:r>
        <w:rPr>
          <w:rFonts w:hint="eastAsia" w:ascii="宋体" w:hAnsi="宋体" w:cs="宋体"/>
          <w:color w:val="auto"/>
          <w:kern w:val="0"/>
          <w:sz w:val="24"/>
          <w:highlight w:val="none"/>
          <w:lang w:val="zh-CN"/>
        </w:rPr>
        <w:t>：</w:t>
      </w:r>
    </w:p>
    <w:p w14:paraId="1B1C2D48">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学生宿舍改造二期</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330100261010240000003-0603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2301DF4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9DE67A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43B3D80">
      <w:pPr>
        <w:jc w:val="center"/>
        <w:rPr>
          <w:rFonts w:hint="eastAsia" w:ascii="宋体" w:hAnsi="宋体" w:cs="宋体"/>
          <w:b/>
          <w:color w:val="auto"/>
          <w:kern w:val="0"/>
          <w:sz w:val="32"/>
          <w:szCs w:val="32"/>
          <w:highlight w:val="none"/>
        </w:rPr>
      </w:pPr>
    </w:p>
    <w:p w14:paraId="6FB30414">
      <w:pPr>
        <w:jc w:val="center"/>
        <w:rPr>
          <w:rFonts w:hint="eastAsia" w:ascii="宋体" w:hAnsi="宋体" w:cs="宋体"/>
          <w:b/>
          <w:color w:val="auto"/>
          <w:kern w:val="0"/>
          <w:sz w:val="32"/>
          <w:szCs w:val="32"/>
          <w:highlight w:val="none"/>
        </w:rPr>
      </w:pPr>
    </w:p>
    <w:p w14:paraId="41B07664">
      <w:pPr>
        <w:jc w:val="center"/>
        <w:rPr>
          <w:rFonts w:hint="eastAsia" w:ascii="宋体" w:hAnsi="宋体" w:cs="宋体"/>
          <w:b/>
          <w:color w:val="auto"/>
          <w:kern w:val="0"/>
          <w:sz w:val="32"/>
          <w:szCs w:val="32"/>
          <w:highlight w:val="none"/>
        </w:rPr>
      </w:pPr>
    </w:p>
    <w:p w14:paraId="29BAAF60">
      <w:pPr>
        <w:rPr>
          <w:rFonts w:hint="eastAsia" w:ascii="宋体" w:hAnsi="宋体" w:cs="宋体"/>
          <w:color w:val="auto"/>
          <w:highlight w:val="none"/>
        </w:rPr>
      </w:pPr>
    </w:p>
    <w:p w14:paraId="79E6AF91">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1EA48A3">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3F14B8A">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14:paraId="4AEBBB0F">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07404B1">
      <w:pPr>
        <w:snapToGrid w:val="0"/>
        <w:jc w:val="center"/>
        <w:rPr>
          <w:rFonts w:hint="eastAsia" w:ascii="宋体" w:hAnsi="宋体" w:cs="宋体"/>
          <w:b/>
          <w:bCs/>
          <w:color w:val="auto"/>
          <w:sz w:val="32"/>
          <w:szCs w:val="32"/>
          <w:highlight w:val="none"/>
          <w:lang w:val="zh-CN"/>
        </w:rPr>
      </w:pPr>
    </w:p>
    <w:p w14:paraId="0DE4D6C4">
      <w:pPr>
        <w:snapToGrid w:val="0"/>
        <w:jc w:val="center"/>
        <w:rPr>
          <w:rFonts w:hint="eastAsia" w:ascii="宋体" w:hAnsi="宋体" w:cs="宋体"/>
          <w:b/>
          <w:bCs/>
          <w:color w:val="auto"/>
          <w:sz w:val="32"/>
          <w:szCs w:val="32"/>
          <w:highlight w:val="none"/>
          <w:lang w:val="zh-CN"/>
        </w:rPr>
      </w:pPr>
    </w:p>
    <w:p w14:paraId="1F0FD63A">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zh-CN"/>
        </w:rPr>
        <w:t>法定代表人、单位负责人或自然人本人</w:t>
      </w:r>
      <w:r>
        <w:rPr>
          <w:rFonts w:hint="eastAsia" w:ascii="宋体" w:hAnsi="宋体" w:cs="宋体"/>
          <w:b/>
          <w:bCs/>
          <w:color w:val="auto"/>
          <w:sz w:val="32"/>
          <w:szCs w:val="32"/>
          <w:highlight w:val="none"/>
        </w:rPr>
        <w:t>的身份证明（适用于法定代表人、单位负责人或者自然人本人代表供应商参加响应）</w:t>
      </w:r>
    </w:p>
    <w:p w14:paraId="3D9A2B50">
      <w:pPr>
        <w:pStyle w:val="150"/>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71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E7C7766">
            <w:pPr>
              <w:pStyle w:val="150"/>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67FD6E00">
            <w:pPr>
              <w:pStyle w:val="150"/>
              <w:adjustRightInd w:val="0"/>
              <w:spacing w:line="360" w:lineRule="auto"/>
              <w:rPr>
                <w:rFonts w:hint="eastAsia" w:hAnsi="宋体" w:cs="宋体"/>
                <w:bCs/>
                <w:color w:val="auto"/>
                <w:sz w:val="24"/>
                <w:highlight w:val="none"/>
              </w:rPr>
            </w:pPr>
          </w:p>
        </w:tc>
      </w:tr>
    </w:tbl>
    <w:p w14:paraId="2E13452B">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45154AB">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                              </w:t>
      </w:r>
    </w:p>
    <w:p w14:paraId="2F2A057E">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A217B0A">
      <w:pPr>
        <w:jc w:val="center"/>
        <w:rPr>
          <w:rFonts w:hint="eastAsia" w:ascii="宋体" w:hAnsi="宋体" w:cs="宋体"/>
          <w:b/>
          <w:color w:val="auto"/>
          <w:kern w:val="0"/>
          <w:sz w:val="32"/>
          <w:szCs w:val="32"/>
          <w:highlight w:val="none"/>
        </w:rPr>
      </w:pPr>
    </w:p>
    <w:p w14:paraId="717A2308">
      <w:pPr>
        <w:jc w:val="center"/>
        <w:rPr>
          <w:rFonts w:hint="eastAsia" w:ascii="宋体" w:hAnsi="宋体" w:cs="宋体"/>
          <w:b/>
          <w:color w:val="auto"/>
          <w:kern w:val="0"/>
          <w:sz w:val="32"/>
          <w:szCs w:val="32"/>
          <w:highlight w:val="none"/>
        </w:rPr>
      </w:pPr>
    </w:p>
    <w:p w14:paraId="759EDDD1">
      <w:pPr>
        <w:jc w:val="center"/>
        <w:rPr>
          <w:rFonts w:hint="eastAsia" w:ascii="宋体" w:hAnsi="宋体" w:cs="宋体"/>
          <w:b/>
          <w:color w:val="auto"/>
          <w:kern w:val="0"/>
          <w:sz w:val="32"/>
          <w:szCs w:val="32"/>
          <w:highlight w:val="none"/>
        </w:rPr>
      </w:pPr>
    </w:p>
    <w:p w14:paraId="6AB09B20">
      <w:pPr>
        <w:jc w:val="center"/>
        <w:rPr>
          <w:rFonts w:hint="eastAsia" w:ascii="宋体" w:hAnsi="宋体" w:cs="宋体"/>
          <w:b/>
          <w:color w:val="auto"/>
          <w:kern w:val="0"/>
          <w:sz w:val="32"/>
          <w:szCs w:val="32"/>
          <w:highlight w:val="none"/>
        </w:rPr>
      </w:pPr>
    </w:p>
    <w:p w14:paraId="143C12BD">
      <w:pPr>
        <w:jc w:val="center"/>
        <w:rPr>
          <w:rFonts w:hint="eastAsia" w:ascii="宋体" w:hAnsi="宋体" w:cs="宋体"/>
          <w:b/>
          <w:color w:val="auto"/>
          <w:kern w:val="0"/>
          <w:sz w:val="32"/>
          <w:szCs w:val="32"/>
          <w:highlight w:val="none"/>
        </w:rPr>
      </w:pPr>
    </w:p>
    <w:p w14:paraId="5FA796A7">
      <w:pPr>
        <w:jc w:val="center"/>
        <w:rPr>
          <w:rFonts w:hint="eastAsia" w:ascii="宋体" w:hAnsi="宋体" w:cs="宋体"/>
          <w:b/>
          <w:color w:val="auto"/>
          <w:kern w:val="0"/>
          <w:sz w:val="32"/>
          <w:szCs w:val="32"/>
          <w:highlight w:val="none"/>
        </w:rPr>
      </w:pPr>
    </w:p>
    <w:p w14:paraId="3B4B7523">
      <w:pPr>
        <w:jc w:val="center"/>
        <w:rPr>
          <w:rFonts w:hint="eastAsia" w:ascii="宋体" w:hAnsi="宋体" w:cs="宋体"/>
          <w:b/>
          <w:color w:val="auto"/>
          <w:kern w:val="0"/>
          <w:sz w:val="32"/>
          <w:szCs w:val="32"/>
          <w:highlight w:val="none"/>
        </w:rPr>
      </w:pPr>
    </w:p>
    <w:p w14:paraId="58D98BD7">
      <w:pPr>
        <w:jc w:val="center"/>
        <w:rPr>
          <w:rFonts w:hint="eastAsia" w:ascii="宋体" w:hAnsi="宋体" w:cs="宋体"/>
          <w:b/>
          <w:color w:val="auto"/>
          <w:kern w:val="0"/>
          <w:sz w:val="32"/>
          <w:szCs w:val="32"/>
          <w:highlight w:val="none"/>
        </w:rPr>
      </w:pPr>
    </w:p>
    <w:p w14:paraId="2CD6A5ED">
      <w:pPr>
        <w:jc w:val="center"/>
        <w:rPr>
          <w:rFonts w:hint="eastAsia" w:ascii="宋体" w:hAnsi="宋体" w:cs="宋体"/>
          <w:b/>
          <w:color w:val="auto"/>
          <w:kern w:val="0"/>
          <w:sz w:val="32"/>
          <w:szCs w:val="32"/>
          <w:highlight w:val="none"/>
        </w:rPr>
      </w:pPr>
    </w:p>
    <w:p w14:paraId="41A84160">
      <w:pPr>
        <w:jc w:val="center"/>
        <w:rPr>
          <w:rFonts w:hint="eastAsia" w:ascii="宋体" w:hAnsi="宋体" w:cs="宋体"/>
          <w:b/>
          <w:color w:val="auto"/>
          <w:kern w:val="0"/>
          <w:sz w:val="32"/>
          <w:szCs w:val="32"/>
          <w:highlight w:val="none"/>
        </w:rPr>
      </w:pPr>
    </w:p>
    <w:p w14:paraId="6EE0D644">
      <w:pPr>
        <w:snapToGrid w:val="0"/>
        <w:spacing w:line="360" w:lineRule="auto"/>
        <w:ind w:right="480"/>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4288D91A">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三、分包意向协议</w:t>
      </w:r>
    </w:p>
    <w:p w14:paraId="16FD9197">
      <w:pPr>
        <w:widowControl/>
        <w:spacing w:line="360" w:lineRule="auto"/>
        <w:ind w:firstLine="120" w:firstLineChars="50"/>
        <w:jc w:val="left"/>
        <w:rPr>
          <w:rFonts w:hint="eastAsia" w:ascii="宋体" w:hAnsi="宋体" w:cs="宋体"/>
          <w:color w:val="auto"/>
          <w:sz w:val="24"/>
          <w:highlight w:val="none"/>
        </w:rPr>
      </w:pPr>
      <w:bookmarkStart w:id="1023" w:name="_Hlk101169080"/>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；采购人不同意分包或者供应商成交后不以分包方式履行合同的，则不需要提供。</w:t>
      </w:r>
      <w:r>
        <w:rPr>
          <w:rFonts w:hint="eastAsia" w:ascii="宋体" w:hAnsi="宋体" w:cs="宋体"/>
          <w:color w:val="auto"/>
          <w:sz w:val="24"/>
          <w:highlight w:val="none"/>
        </w:rPr>
        <w:t>]</w:t>
      </w:r>
    </w:p>
    <w:bookmarkEnd w:id="1023"/>
    <w:p w14:paraId="18C70ADA">
      <w:pPr>
        <w:snapToGrid w:val="0"/>
        <w:spacing w:line="360" w:lineRule="auto"/>
        <w:rPr>
          <w:rFonts w:hint="eastAsia" w:ascii="宋体" w:hAnsi="宋体" w:cs="宋体"/>
          <w:color w:val="auto"/>
          <w:kern w:val="0"/>
          <w:sz w:val="24"/>
          <w:highlight w:val="none"/>
        </w:rPr>
      </w:pPr>
    </w:p>
    <w:p w14:paraId="26F7FB21">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四、符合性审查资料</w:t>
      </w:r>
    </w:p>
    <w:p w14:paraId="1269E1BB">
      <w:pPr>
        <w:jc w:val="center"/>
        <w:rPr>
          <w:rFonts w:hint="eastAsia"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B81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3057404">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3406FF5">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A13CDD1">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44CBA429">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响应文件中的</w:t>
            </w:r>
          </w:p>
          <w:p w14:paraId="536597E7">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2895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2818F1">
            <w:pPr>
              <w:rPr>
                <w:rFonts w:hint="eastAsia"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7651976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响应文件按照采购文件要求签署、盖章。</w:t>
            </w:r>
          </w:p>
        </w:tc>
        <w:tc>
          <w:tcPr>
            <w:tcW w:w="2551" w:type="dxa"/>
            <w:vAlign w:val="center"/>
          </w:tcPr>
          <w:p w14:paraId="332A8A63">
            <w:pPr>
              <w:rPr>
                <w:rFonts w:hint="eastAsia" w:ascii="宋体" w:hAnsi="宋体" w:cs="宋体"/>
                <w:color w:val="auto"/>
                <w:sz w:val="24"/>
                <w:highlight w:val="none"/>
              </w:rPr>
            </w:pPr>
            <w:r>
              <w:rPr>
                <w:rFonts w:hint="eastAsia" w:ascii="宋体" w:hAnsi="宋体" w:cs="宋体"/>
                <w:color w:val="auto"/>
                <w:sz w:val="24"/>
                <w:highlight w:val="none"/>
              </w:rPr>
              <w:t>需要使用电子签名或者签字盖章的响应文件的组成部分</w:t>
            </w:r>
          </w:p>
        </w:tc>
        <w:tc>
          <w:tcPr>
            <w:tcW w:w="1418" w:type="dxa"/>
            <w:vAlign w:val="center"/>
          </w:tcPr>
          <w:p w14:paraId="020BB988">
            <w:pPr>
              <w:rPr>
                <w:rFonts w:hint="eastAsia" w:ascii="宋体" w:hAnsi="宋体" w:cs="宋体"/>
                <w:color w:val="auto"/>
                <w:sz w:val="24"/>
                <w:highlight w:val="none"/>
              </w:rPr>
            </w:pPr>
            <w:r>
              <w:rPr>
                <w:rFonts w:hint="eastAsia" w:ascii="宋体" w:hAnsi="宋体" w:cs="宋体"/>
                <w:color w:val="auto"/>
                <w:sz w:val="24"/>
                <w:highlight w:val="none"/>
              </w:rPr>
              <w:t>见响应文件</w:t>
            </w:r>
          </w:p>
          <w:p w14:paraId="16D9476A">
            <w:pPr>
              <w:rPr>
                <w:rFonts w:hint="eastAsia"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02C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485D9E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1E065E9F">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7568C776">
            <w:pPr>
              <w:rPr>
                <w:rFonts w:hint="eastAsia" w:ascii="宋体" w:hAnsi="宋体" w:cs="宋体"/>
                <w:color w:val="auto"/>
                <w:sz w:val="24"/>
                <w:highlight w:val="none"/>
              </w:rPr>
            </w:pPr>
            <w:r>
              <w:rPr>
                <w:rFonts w:hint="eastAsia" w:ascii="宋体" w:hAnsi="宋体" w:cs="宋体"/>
                <w:color w:val="auto"/>
                <w:sz w:val="24"/>
                <w:highlight w:val="none"/>
              </w:rPr>
              <w:t>节能产品认证证书（本项目拟采购的产品不属于政府强制采购的节能产品品目清单范围的，无需提供）</w:t>
            </w:r>
          </w:p>
        </w:tc>
        <w:tc>
          <w:tcPr>
            <w:tcW w:w="1418" w:type="dxa"/>
            <w:vAlign w:val="center"/>
          </w:tcPr>
          <w:p w14:paraId="4FB8E191">
            <w:pPr>
              <w:rPr>
                <w:rFonts w:hint="eastAsia" w:ascii="宋体" w:hAnsi="宋体" w:cs="宋体"/>
                <w:color w:val="auto"/>
                <w:sz w:val="24"/>
                <w:highlight w:val="none"/>
              </w:rPr>
            </w:pPr>
            <w:r>
              <w:rPr>
                <w:rFonts w:hint="eastAsia" w:ascii="宋体" w:hAnsi="宋体" w:cs="宋体"/>
                <w:color w:val="auto"/>
                <w:sz w:val="24"/>
                <w:highlight w:val="none"/>
              </w:rPr>
              <w:t>见响应文件</w:t>
            </w:r>
          </w:p>
          <w:p w14:paraId="02B26081">
            <w:pPr>
              <w:pStyle w:val="3"/>
              <w:jc w:val="both"/>
              <w:rPr>
                <w:rFonts w:hint="eastAsia" w:ascii="宋体" w:hAnsi="宋体" w:eastAsia="宋体" w:cs="宋体"/>
                <w:color w:val="auto"/>
                <w:highlight w:val="none"/>
                <w:lang w:val="en-US"/>
              </w:rPr>
            </w:pPr>
            <w:r>
              <w:rPr>
                <w:rFonts w:hint="eastAsia" w:ascii="宋体" w:hAnsi="宋体" w:eastAsia="宋体" w:cs="宋体"/>
                <w:b w:val="0"/>
                <w:bCs w:val="0"/>
                <w:color w:val="auto"/>
                <w:sz w:val="24"/>
                <w:szCs w:val="24"/>
                <w:highlight w:val="none"/>
                <w:lang w:val="en-US"/>
              </w:rPr>
              <w:t>第</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页</w:t>
            </w:r>
          </w:p>
        </w:tc>
      </w:tr>
      <w:tr w14:paraId="77C6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683BBA7">
            <w:pPr>
              <w:rPr>
                <w:rFonts w:hint="eastAsia"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26C2B2BD">
            <w:pPr>
              <w:spacing w:line="360" w:lineRule="auto"/>
              <w:rPr>
                <w:rFonts w:hint="eastAsia" w:ascii="宋体" w:hAnsi="宋体" w:cs="宋体"/>
                <w:color w:val="auto"/>
                <w:sz w:val="24"/>
                <w:highlight w:val="none"/>
              </w:rPr>
            </w:pPr>
            <w:r>
              <w:rPr>
                <w:rFonts w:hint="eastAsia" w:ascii="宋体" w:hAnsi="宋体" w:cs="宋体"/>
                <w:color w:val="auto"/>
                <w:sz w:val="24"/>
                <w:highlight w:val="none"/>
              </w:rPr>
              <w:t>响应文件中承诺的响应文件有效期不少于采购文件中载明的响应文件有效期。</w:t>
            </w:r>
          </w:p>
        </w:tc>
        <w:tc>
          <w:tcPr>
            <w:tcW w:w="2551" w:type="dxa"/>
            <w:vAlign w:val="center"/>
          </w:tcPr>
          <w:p w14:paraId="164FB190">
            <w:pPr>
              <w:rPr>
                <w:rFonts w:hint="eastAsia" w:ascii="宋体" w:hAnsi="宋体" w:cs="宋体"/>
                <w:color w:val="auto"/>
                <w:sz w:val="24"/>
                <w:highlight w:val="none"/>
              </w:rPr>
            </w:pPr>
            <w:r>
              <w:rPr>
                <w:rFonts w:hint="eastAsia" w:ascii="宋体" w:hAnsi="宋体" w:cs="宋体"/>
                <w:color w:val="auto"/>
                <w:sz w:val="24"/>
                <w:highlight w:val="none"/>
              </w:rPr>
              <w:t>响应函</w:t>
            </w:r>
          </w:p>
        </w:tc>
        <w:tc>
          <w:tcPr>
            <w:tcW w:w="1418" w:type="dxa"/>
            <w:vAlign w:val="center"/>
          </w:tcPr>
          <w:p w14:paraId="0A5B9DEF">
            <w:pPr>
              <w:rPr>
                <w:rFonts w:hint="eastAsia"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7CA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D9F824">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991" w:type="dxa"/>
          </w:tcPr>
          <w:p w14:paraId="43112C5C">
            <w:pPr>
              <w:spacing w:line="360" w:lineRule="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其他实质性要求1：</w:t>
            </w:r>
          </w:p>
          <w:p w14:paraId="7D7288B3">
            <w:pPr>
              <w:spacing w:line="360" w:lineRule="auto"/>
              <w:jc w:val="left"/>
              <w:rPr>
                <w:rFonts w:hint="eastAsia" w:ascii="宋体" w:hAnsi="宋体" w:cs="宋体"/>
                <w:snapToGrid w:val="0"/>
                <w:color w:val="auto"/>
                <w:sz w:val="24"/>
                <w:highlight w:val="none"/>
              </w:rPr>
            </w:pPr>
            <w:r>
              <w:rPr>
                <w:rFonts w:hint="eastAsia" w:ascii="宋体" w:hAnsi="宋体"/>
                <w:color w:val="auto"/>
                <w:sz w:val="24"/>
                <w:highlight w:val="none"/>
                <w:u w:val="single"/>
              </w:rPr>
              <w:t>▲①项目经理：拟派项目经理具备</w:t>
            </w:r>
            <w:r>
              <w:rPr>
                <w:rFonts w:hint="eastAsia" w:ascii="宋体" w:hAnsi="宋体"/>
                <w:color w:val="auto"/>
                <w:sz w:val="24"/>
                <w:highlight w:val="none"/>
                <w:u w:val="single"/>
                <w:lang w:eastAsia="zh-CN"/>
              </w:rPr>
              <w:t>建筑工程</w:t>
            </w:r>
            <w:r>
              <w:rPr>
                <w:rFonts w:hint="eastAsia" w:ascii="宋体" w:hAnsi="宋体"/>
                <w:color w:val="auto"/>
                <w:sz w:val="24"/>
                <w:highlight w:val="none"/>
                <w:u w:val="single"/>
              </w:rPr>
              <w:t>二级</w:t>
            </w:r>
            <w:r>
              <w:rPr>
                <w:rFonts w:hint="eastAsia" w:ascii="宋体" w:hAnsi="宋体"/>
                <w:color w:val="auto"/>
                <w:sz w:val="24"/>
                <w:highlight w:val="none"/>
                <w:u w:val="single"/>
                <w:lang w:val="en-US" w:eastAsia="zh-CN"/>
              </w:rPr>
              <w:t>及以上</w:t>
            </w:r>
            <w:r>
              <w:rPr>
                <w:rFonts w:hint="eastAsia" w:ascii="宋体" w:hAnsi="宋体"/>
                <w:color w:val="auto"/>
                <w:sz w:val="24"/>
                <w:highlight w:val="none"/>
                <w:u w:val="single"/>
              </w:rPr>
              <w:t>建造师资格，且无在建、在投工程；【说明：响应文件中提供拟派项目经理</w:t>
            </w:r>
            <w:r>
              <w:rPr>
                <w:rFonts w:hint="eastAsia" w:ascii="宋体" w:hAnsi="宋体"/>
                <w:color w:val="auto"/>
                <w:sz w:val="24"/>
                <w:highlight w:val="none"/>
                <w:u w:val="single"/>
                <w:lang w:eastAsia="zh-CN"/>
              </w:rPr>
              <w:t>建筑工程</w:t>
            </w:r>
            <w:r>
              <w:rPr>
                <w:rFonts w:hint="eastAsia" w:ascii="宋体" w:hAnsi="宋体"/>
                <w:color w:val="auto"/>
                <w:sz w:val="24"/>
                <w:highlight w:val="none"/>
                <w:u w:val="single"/>
              </w:rPr>
              <w:t>建造师注册证书、《项目经理无在建、在投工程声明函》。】</w:t>
            </w:r>
          </w:p>
        </w:tc>
        <w:tc>
          <w:tcPr>
            <w:tcW w:w="2551" w:type="dxa"/>
            <w:vMerge w:val="restart"/>
            <w:vAlign w:val="center"/>
          </w:tcPr>
          <w:p w14:paraId="04DF9081">
            <w:pPr>
              <w:rPr>
                <w:rFonts w:hint="eastAsia" w:ascii="宋体" w:hAnsi="宋体" w:cs="宋体"/>
                <w:color w:val="auto"/>
                <w:sz w:val="24"/>
                <w:highlight w:val="none"/>
              </w:rPr>
            </w:pPr>
            <w:r>
              <w:rPr>
                <w:rFonts w:hint="eastAsia" w:ascii="宋体" w:hAnsi="宋体" w:cs="宋体"/>
                <w:color w:val="auto"/>
                <w:kern w:val="0"/>
                <w:sz w:val="24"/>
                <w:highlight w:val="none"/>
              </w:rPr>
              <w:t>采购文件其它实质性要求相应的材料（“▲” 系指实质性要求条款，采购文件无其它实质性要求的，无需提供）</w:t>
            </w:r>
          </w:p>
        </w:tc>
        <w:tc>
          <w:tcPr>
            <w:tcW w:w="1418" w:type="dxa"/>
            <w:vAlign w:val="center"/>
          </w:tcPr>
          <w:p w14:paraId="0FB7587E">
            <w:pPr>
              <w:rPr>
                <w:rFonts w:hint="eastAsia"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D95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76F7F8">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4991" w:type="dxa"/>
          </w:tcPr>
          <w:p w14:paraId="4752DCB4">
            <w:pPr>
              <w:spacing w:line="360" w:lineRule="auto"/>
              <w:rPr>
                <w:rFonts w:hint="eastAsia" w:ascii="宋体" w:hAnsi="宋体" w:cs="宋体"/>
                <w:snapToGrid w:val="0"/>
                <w:color w:val="auto"/>
                <w:sz w:val="24"/>
                <w:highlight w:val="none"/>
              </w:rPr>
            </w:pPr>
            <w:r>
              <w:rPr>
                <w:rFonts w:hint="eastAsia" w:ascii="宋体" w:hAnsi="宋体" w:cs="宋体"/>
                <w:snapToGrid w:val="0"/>
                <w:color w:val="auto"/>
                <w:sz w:val="24"/>
                <w:highlight w:val="none"/>
              </w:rPr>
              <w:t>其他实质性要求2：</w:t>
            </w:r>
          </w:p>
          <w:p w14:paraId="66008842">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 5 \* GB3 \* MERGEFORMAT </w:instrText>
            </w:r>
            <w:r>
              <w:rPr>
                <w:rFonts w:hint="eastAsia" w:ascii="宋体" w:hAnsi="宋体"/>
                <w:color w:val="auto"/>
                <w:sz w:val="24"/>
                <w:highlight w:val="none"/>
                <w:u w:val="single"/>
              </w:rPr>
              <w:fldChar w:fldCharType="separate"/>
            </w:r>
            <w:r>
              <w:rPr>
                <w:color w:val="auto"/>
                <w:highlight w:val="none"/>
              </w:rPr>
              <w:t>⑤</w:t>
            </w:r>
            <w:r>
              <w:rPr>
                <w:rFonts w:hint="eastAsia" w:ascii="宋体" w:hAnsi="宋体"/>
                <w:color w:val="auto"/>
                <w:sz w:val="24"/>
                <w:highlight w:val="none"/>
                <w:u w:val="single"/>
              </w:rPr>
              <w:fldChar w:fldCharType="end"/>
            </w:r>
            <w:r>
              <w:rPr>
                <w:rFonts w:hint="eastAsia" w:ascii="宋体" w:hAnsi="宋体"/>
                <w:color w:val="auto"/>
                <w:sz w:val="24"/>
                <w:highlight w:val="none"/>
                <w:u w:val="single"/>
              </w:rPr>
              <w:t>拟派项目经理具有“三类人员”B类证书，拟派施工现场专职安全生产管理人员【符合中华人民共和国住房和城乡建设部《建筑施工企业安全生产管理机构设置及专职安全生产管理人员配备办法》的规定】具有“三类人员”C类证书；【说明：响应文件中提供项目经理的B类证书，安全生产管理人员的C类证书。】。</w:t>
            </w:r>
          </w:p>
          <w:p w14:paraId="52E379FF">
            <w:pPr>
              <w:spacing w:line="360" w:lineRule="auto"/>
              <w:rPr>
                <w:rFonts w:hint="eastAsia" w:ascii="宋体" w:hAnsi="宋体" w:cs="宋体"/>
                <w:snapToGrid w:val="0"/>
                <w:color w:val="auto"/>
                <w:sz w:val="24"/>
                <w:highlight w:val="none"/>
              </w:rPr>
            </w:pPr>
          </w:p>
        </w:tc>
        <w:tc>
          <w:tcPr>
            <w:tcW w:w="2551" w:type="dxa"/>
            <w:vMerge w:val="continue"/>
            <w:vAlign w:val="center"/>
          </w:tcPr>
          <w:p w14:paraId="25301D77">
            <w:pPr>
              <w:rPr>
                <w:rFonts w:hint="eastAsia" w:ascii="宋体" w:hAnsi="宋体" w:cs="宋体"/>
                <w:color w:val="auto"/>
                <w:kern w:val="0"/>
                <w:sz w:val="24"/>
                <w:highlight w:val="none"/>
              </w:rPr>
            </w:pPr>
          </w:p>
        </w:tc>
        <w:tc>
          <w:tcPr>
            <w:tcW w:w="1418" w:type="dxa"/>
            <w:vAlign w:val="center"/>
          </w:tcPr>
          <w:p w14:paraId="41E732D3">
            <w:pPr>
              <w:rPr>
                <w:rFonts w:hint="eastAsia"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AA6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0F1E8A9">
            <w:pPr>
              <w:jc w:val="center"/>
              <w:rPr>
                <w:color w:val="auto"/>
                <w:highlight w:val="none"/>
              </w:rPr>
            </w:pPr>
            <w:r>
              <w:rPr>
                <w:rFonts w:hint="eastAsia" w:ascii="宋体" w:hAnsi="宋体" w:cs="宋体"/>
                <w:color w:val="auto"/>
                <w:kern w:val="0"/>
                <w:sz w:val="24"/>
                <w:highlight w:val="none"/>
              </w:rPr>
              <w:t>……</w:t>
            </w:r>
          </w:p>
        </w:tc>
        <w:tc>
          <w:tcPr>
            <w:tcW w:w="4991" w:type="dxa"/>
          </w:tcPr>
          <w:p w14:paraId="6B7775C1">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14:paraId="60ED6F90">
            <w:pPr>
              <w:rPr>
                <w:rFonts w:hint="eastAsia" w:ascii="宋体" w:hAnsi="宋体" w:cs="宋体"/>
                <w:color w:val="auto"/>
                <w:kern w:val="0"/>
                <w:sz w:val="24"/>
                <w:highlight w:val="none"/>
              </w:rPr>
            </w:pPr>
          </w:p>
        </w:tc>
        <w:tc>
          <w:tcPr>
            <w:tcW w:w="1418" w:type="dxa"/>
            <w:vAlign w:val="center"/>
          </w:tcPr>
          <w:p w14:paraId="0FDDCA4C">
            <w:pPr>
              <w:rPr>
                <w:rFonts w:hint="eastAsia"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6F327627">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7DEBB219">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2、采购文件中实质性要求必须明确响应。</w:t>
      </w:r>
    </w:p>
    <w:p w14:paraId="561C53B4">
      <w:pPr>
        <w:pStyle w:val="82"/>
        <w:rPr>
          <w:rFonts w:hint="eastAsia"/>
          <w:color w:val="auto"/>
          <w:highlight w:val="none"/>
        </w:rPr>
      </w:pPr>
    </w:p>
    <w:p w14:paraId="17C40C84">
      <w:pPr>
        <w:jc w:val="center"/>
        <w:rPr>
          <w:rFonts w:hint="eastAsia" w:ascii="宋体" w:hAnsi="宋体" w:cs="宋体"/>
          <w:b/>
          <w:color w:val="auto"/>
          <w:kern w:val="0"/>
          <w:sz w:val="32"/>
          <w:szCs w:val="32"/>
          <w:highlight w:val="none"/>
        </w:rPr>
      </w:pPr>
    </w:p>
    <w:p w14:paraId="5720DB8D">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2938186">
      <w:pPr>
        <w:jc w:val="center"/>
        <w:rPr>
          <w:rFonts w:hint="eastAsia" w:ascii="宋体" w:hAnsi="宋体" w:cs="宋体"/>
          <w:b/>
          <w:color w:val="auto"/>
          <w:kern w:val="0"/>
          <w:sz w:val="32"/>
          <w:szCs w:val="32"/>
          <w:highlight w:val="none"/>
        </w:rPr>
      </w:pPr>
    </w:p>
    <w:p w14:paraId="0FDCA83B">
      <w:pPr>
        <w:jc w:val="center"/>
        <w:rPr>
          <w:rFonts w:hint="eastAsia" w:ascii="宋体" w:hAnsi="宋体" w:cs="宋体"/>
          <w:b/>
          <w:color w:val="auto"/>
          <w:kern w:val="0"/>
          <w:sz w:val="32"/>
          <w:szCs w:val="32"/>
          <w:highlight w:val="none"/>
        </w:rPr>
      </w:pPr>
    </w:p>
    <w:p w14:paraId="1F2E9BE7">
      <w:pPr>
        <w:jc w:val="center"/>
        <w:rPr>
          <w:rFonts w:hint="eastAsia" w:ascii="宋体" w:hAnsi="宋体" w:cs="宋体"/>
          <w:b/>
          <w:color w:val="auto"/>
          <w:kern w:val="0"/>
          <w:sz w:val="32"/>
          <w:szCs w:val="32"/>
          <w:highlight w:val="none"/>
        </w:rPr>
      </w:pPr>
    </w:p>
    <w:p w14:paraId="5A1FB6CC">
      <w:pPr>
        <w:jc w:val="center"/>
        <w:rPr>
          <w:rFonts w:hint="eastAsia" w:ascii="宋体" w:hAnsi="宋体" w:cs="宋体"/>
          <w:b/>
          <w:color w:val="auto"/>
          <w:kern w:val="0"/>
          <w:sz w:val="32"/>
          <w:szCs w:val="32"/>
          <w:highlight w:val="none"/>
        </w:rPr>
      </w:pPr>
    </w:p>
    <w:p w14:paraId="0DB48DB3">
      <w:pPr>
        <w:jc w:val="center"/>
        <w:rPr>
          <w:rFonts w:hint="eastAsia" w:ascii="宋体" w:hAnsi="宋体" w:cs="宋体"/>
          <w:b/>
          <w:color w:val="auto"/>
          <w:kern w:val="0"/>
          <w:sz w:val="32"/>
          <w:szCs w:val="32"/>
          <w:highlight w:val="none"/>
        </w:rPr>
      </w:pPr>
    </w:p>
    <w:p w14:paraId="62ACBA7B">
      <w:pPr>
        <w:jc w:val="center"/>
        <w:rPr>
          <w:rFonts w:hint="eastAsia" w:ascii="宋体" w:hAnsi="宋体" w:cs="宋体"/>
          <w:b/>
          <w:color w:val="auto"/>
          <w:kern w:val="0"/>
          <w:sz w:val="32"/>
          <w:szCs w:val="32"/>
          <w:highlight w:val="none"/>
        </w:rPr>
      </w:pPr>
    </w:p>
    <w:p w14:paraId="177AF234">
      <w:pPr>
        <w:jc w:val="center"/>
        <w:rPr>
          <w:rFonts w:hint="eastAsia" w:ascii="宋体" w:hAnsi="宋体" w:cs="宋体"/>
          <w:b/>
          <w:color w:val="auto"/>
          <w:kern w:val="0"/>
          <w:sz w:val="32"/>
          <w:szCs w:val="32"/>
          <w:highlight w:val="none"/>
        </w:rPr>
      </w:pPr>
    </w:p>
    <w:p w14:paraId="62AA6F7C">
      <w:pPr>
        <w:jc w:val="center"/>
        <w:rPr>
          <w:rFonts w:hint="eastAsia" w:ascii="宋体" w:hAnsi="宋体" w:cs="宋体"/>
          <w:b/>
          <w:color w:val="auto"/>
          <w:kern w:val="0"/>
          <w:sz w:val="32"/>
          <w:szCs w:val="32"/>
          <w:highlight w:val="none"/>
        </w:rPr>
      </w:pPr>
    </w:p>
    <w:p w14:paraId="3F83C389">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五、评审标准相应的商务技术资料</w:t>
      </w:r>
    </w:p>
    <w:p w14:paraId="3CF1304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（按采购文件第四部分评审办法前附表中“响应文件中评审标准相应的商务技术资料目录”提供资料。）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0CC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BD678B4">
            <w:pPr>
              <w:snapToGrid w:val="0"/>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3DE1417F">
            <w:pPr>
              <w:snapToGrid w:val="0"/>
              <w:spacing w:line="360" w:lineRule="auto"/>
              <w:jc w:val="center"/>
              <w:rPr>
                <w:rFonts w:hint="eastAsia"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响应文件中评标标准相应的商务技术资料目录*</w:t>
            </w:r>
          </w:p>
        </w:tc>
        <w:tc>
          <w:tcPr>
            <w:tcW w:w="3046" w:type="dxa"/>
          </w:tcPr>
          <w:p w14:paraId="059A7025">
            <w:pPr>
              <w:snapToGrid w:val="0"/>
              <w:spacing w:line="24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响应文件中的页码位置</w:t>
            </w:r>
          </w:p>
        </w:tc>
      </w:tr>
      <w:tr w14:paraId="4B77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FF0EAD0">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786CFE55">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XXX（预先填写）</w:t>
            </w:r>
          </w:p>
        </w:tc>
        <w:tc>
          <w:tcPr>
            <w:tcW w:w="3046" w:type="dxa"/>
          </w:tcPr>
          <w:p w14:paraId="0865FBBE">
            <w:pPr>
              <w:jc w:val="center"/>
              <w:rPr>
                <w:rFonts w:hint="eastAsia"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4AD1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CECCFF3">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63F26907">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65B423E2">
            <w:pPr>
              <w:jc w:val="center"/>
              <w:rPr>
                <w:rFonts w:hint="eastAsia"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56A1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0A81910">
            <w:pPr>
              <w:snapToGrid w:val="0"/>
              <w:spacing w:line="360" w:lineRule="auto"/>
              <w:jc w:val="center"/>
              <w:rPr>
                <w:rFonts w:hint="eastAsia"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2BD676D2">
            <w:pPr>
              <w:snapToGrid w:val="0"/>
              <w:spacing w:line="360" w:lineRule="auto"/>
              <w:jc w:val="center"/>
              <w:rPr>
                <w:rFonts w:hint="eastAsia" w:ascii="宋体" w:hAnsi="宋体" w:cs="宋体"/>
                <w:bCs/>
                <w:color w:val="auto"/>
                <w:sz w:val="24"/>
                <w:highlight w:val="none"/>
              </w:rPr>
            </w:pPr>
          </w:p>
        </w:tc>
        <w:tc>
          <w:tcPr>
            <w:tcW w:w="3046" w:type="dxa"/>
          </w:tcPr>
          <w:p w14:paraId="5D99215E">
            <w:pPr>
              <w:jc w:val="center"/>
              <w:rPr>
                <w:rFonts w:hint="eastAsia"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1D133753">
      <w:pPr>
        <w:jc w:val="center"/>
        <w:rPr>
          <w:rFonts w:hint="eastAsia" w:ascii="宋体" w:hAnsi="宋体" w:cs="宋体"/>
          <w:b/>
          <w:color w:val="auto"/>
          <w:kern w:val="0"/>
          <w:sz w:val="32"/>
          <w:szCs w:val="32"/>
          <w:highlight w:val="none"/>
        </w:rPr>
      </w:pPr>
    </w:p>
    <w:p w14:paraId="053E3C4E">
      <w:pPr>
        <w:jc w:val="center"/>
        <w:rPr>
          <w:rFonts w:hint="eastAsia" w:ascii="宋体" w:hAnsi="宋体" w:cs="宋体"/>
          <w:b/>
          <w:color w:val="auto"/>
          <w:kern w:val="0"/>
          <w:sz w:val="32"/>
          <w:szCs w:val="32"/>
          <w:highlight w:val="none"/>
        </w:rPr>
      </w:pPr>
    </w:p>
    <w:p w14:paraId="3F9C24F3">
      <w:pPr>
        <w:jc w:val="center"/>
        <w:rPr>
          <w:rFonts w:hint="eastAsia" w:ascii="宋体" w:hAnsi="宋体" w:cs="宋体"/>
          <w:b/>
          <w:color w:val="auto"/>
          <w:kern w:val="0"/>
          <w:sz w:val="32"/>
          <w:szCs w:val="32"/>
          <w:highlight w:val="none"/>
        </w:rPr>
      </w:pPr>
    </w:p>
    <w:p w14:paraId="644242FC">
      <w:pPr>
        <w:jc w:val="center"/>
        <w:rPr>
          <w:rFonts w:hint="eastAsia" w:ascii="宋体" w:hAnsi="宋体" w:cs="宋体"/>
          <w:b/>
          <w:color w:val="auto"/>
          <w:kern w:val="0"/>
          <w:sz w:val="32"/>
          <w:szCs w:val="32"/>
          <w:highlight w:val="none"/>
        </w:rPr>
      </w:pPr>
    </w:p>
    <w:p w14:paraId="5D10AD0A">
      <w:pPr>
        <w:jc w:val="center"/>
        <w:rPr>
          <w:rFonts w:hint="eastAsia" w:ascii="宋体" w:hAnsi="宋体" w:cs="宋体"/>
          <w:b/>
          <w:color w:val="auto"/>
          <w:kern w:val="0"/>
          <w:sz w:val="32"/>
          <w:szCs w:val="32"/>
          <w:highlight w:val="none"/>
        </w:rPr>
      </w:pPr>
    </w:p>
    <w:p w14:paraId="63CB3D42">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A4E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6FA0B02">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41851322">
            <w:pPr>
              <w:jc w:val="center"/>
              <w:rPr>
                <w:rFonts w:hint="eastAsia" w:ascii="宋体" w:hAnsi="宋体" w:cs="宋体"/>
                <w:b/>
                <w:bCs/>
                <w:color w:val="auto"/>
                <w:sz w:val="24"/>
                <w:highlight w:val="none"/>
              </w:rPr>
            </w:pPr>
            <w:r>
              <w:rPr>
                <w:rFonts w:hint="eastAsia" w:ascii="宋体" w:hAnsi="宋体" w:cs="宋体"/>
                <w:b/>
                <w:bCs/>
                <w:color w:val="auto"/>
                <w:sz w:val="24"/>
                <w:highlight w:val="none"/>
              </w:rPr>
              <w:t>采购文件章节及具体内容</w:t>
            </w:r>
          </w:p>
        </w:tc>
        <w:tc>
          <w:tcPr>
            <w:tcW w:w="3546" w:type="dxa"/>
          </w:tcPr>
          <w:p w14:paraId="293BDD2A">
            <w:pPr>
              <w:jc w:val="center"/>
              <w:rPr>
                <w:rFonts w:hint="eastAsia" w:ascii="宋体" w:hAnsi="宋体" w:cs="宋体"/>
                <w:b/>
                <w:bCs/>
                <w:color w:val="auto"/>
                <w:sz w:val="24"/>
                <w:highlight w:val="none"/>
              </w:rPr>
            </w:pPr>
            <w:r>
              <w:rPr>
                <w:rFonts w:hint="eastAsia" w:ascii="宋体" w:hAnsi="宋体" w:cs="宋体"/>
                <w:b/>
                <w:bCs/>
                <w:color w:val="auto"/>
                <w:sz w:val="24"/>
                <w:highlight w:val="none"/>
              </w:rPr>
              <w:t>响应文件章节及具体内容</w:t>
            </w:r>
          </w:p>
        </w:tc>
        <w:tc>
          <w:tcPr>
            <w:tcW w:w="1276" w:type="dxa"/>
          </w:tcPr>
          <w:p w14:paraId="78A0579D">
            <w:pPr>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r>
      <w:tr w14:paraId="3CDF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4365C74">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1485AD01">
            <w:pPr>
              <w:jc w:val="center"/>
              <w:rPr>
                <w:rFonts w:hint="eastAsia" w:ascii="宋体" w:hAnsi="宋体" w:cs="宋体"/>
                <w:b/>
                <w:color w:val="auto"/>
                <w:kern w:val="0"/>
                <w:sz w:val="32"/>
                <w:szCs w:val="32"/>
                <w:highlight w:val="none"/>
              </w:rPr>
            </w:pPr>
          </w:p>
        </w:tc>
        <w:tc>
          <w:tcPr>
            <w:tcW w:w="3546" w:type="dxa"/>
          </w:tcPr>
          <w:p w14:paraId="674AB130">
            <w:pPr>
              <w:jc w:val="center"/>
              <w:rPr>
                <w:rFonts w:hint="eastAsia" w:ascii="宋体" w:hAnsi="宋体" w:cs="宋体"/>
                <w:b/>
                <w:color w:val="auto"/>
                <w:kern w:val="0"/>
                <w:sz w:val="32"/>
                <w:szCs w:val="32"/>
                <w:highlight w:val="none"/>
              </w:rPr>
            </w:pPr>
          </w:p>
        </w:tc>
        <w:tc>
          <w:tcPr>
            <w:tcW w:w="1276" w:type="dxa"/>
          </w:tcPr>
          <w:p w14:paraId="377C76A0">
            <w:pPr>
              <w:jc w:val="center"/>
              <w:rPr>
                <w:rFonts w:hint="eastAsia" w:ascii="宋体" w:hAnsi="宋体" w:cs="宋体"/>
                <w:b/>
                <w:color w:val="auto"/>
                <w:kern w:val="0"/>
                <w:sz w:val="32"/>
                <w:szCs w:val="32"/>
                <w:highlight w:val="none"/>
              </w:rPr>
            </w:pPr>
          </w:p>
        </w:tc>
      </w:tr>
      <w:tr w14:paraId="4768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00CD56">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5ED24F1B">
            <w:pPr>
              <w:jc w:val="center"/>
              <w:rPr>
                <w:rFonts w:hint="eastAsia" w:ascii="宋体" w:hAnsi="宋体" w:cs="宋体"/>
                <w:b/>
                <w:color w:val="auto"/>
                <w:kern w:val="0"/>
                <w:sz w:val="32"/>
                <w:szCs w:val="32"/>
                <w:highlight w:val="none"/>
              </w:rPr>
            </w:pPr>
          </w:p>
        </w:tc>
        <w:tc>
          <w:tcPr>
            <w:tcW w:w="3546" w:type="dxa"/>
          </w:tcPr>
          <w:p w14:paraId="4531AA1B">
            <w:pPr>
              <w:jc w:val="center"/>
              <w:rPr>
                <w:rFonts w:hint="eastAsia" w:ascii="宋体" w:hAnsi="宋体" w:cs="宋体"/>
                <w:b/>
                <w:color w:val="auto"/>
                <w:kern w:val="0"/>
                <w:sz w:val="32"/>
                <w:szCs w:val="32"/>
                <w:highlight w:val="none"/>
              </w:rPr>
            </w:pPr>
          </w:p>
        </w:tc>
        <w:tc>
          <w:tcPr>
            <w:tcW w:w="1276" w:type="dxa"/>
          </w:tcPr>
          <w:p w14:paraId="1D57ABD9">
            <w:pPr>
              <w:jc w:val="center"/>
              <w:rPr>
                <w:rFonts w:hint="eastAsia" w:ascii="宋体" w:hAnsi="宋体" w:cs="宋体"/>
                <w:b/>
                <w:color w:val="auto"/>
                <w:kern w:val="0"/>
                <w:sz w:val="32"/>
                <w:szCs w:val="32"/>
                <w:highlight w:val="none"/>
              </w:rPr>
            </w:pPr>
          </w:p>
        </w:tc>
      </w:tr>
      <w:tr w14:paraId="0F61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8ADE617">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1260BD33">
            <w:pPr>
              <w:jc w:val="center"/>
              <w:rPr>
                <w:rFonts w:hint="eastAsia" w:ascii="宋体" w:hAnsi="宋体" w:cs="宋体"/>
                <w:b/>
                <w:color w:val="auto"/>
                <w:kern w:val="0"/>
                <w:sz w:val="32"/>
                <w:szCs w:val="32"/>
                <w:highlight w:val="none"/>
              </w:rPr>
            </w:pPr>
          </w:p>
        </w:tc>
        <w:tc>
          <w:tcPr>
            <w:tcW w:w="3546" w:type="dxa"/>
          </w:tcPr>
          <w:p w14:paraId="244713E3">
            <w:pPr>
              <w:jc w:val="center"/>
              <w:rPr>
                <w:rFonts w:hint="eastAsia" w:ascii="宋体" w:hAnsi="宋体" w:cs="宋体"/>
                <w:b/>
                <w:color w:val="auto"/>
                <w:kern w:val="0"/>
                <w:sz w:val="32"/>
                <w:szCs w:val="32"/>
                <w:highlight w:val="none"/>
              </w:rPr>
            </w:pPr>
          </w:p>
        </w:tc>
        <w:tc>
          <w:tcPr>
            <w:tcW w:w="1276" w:type="dxa"/>
          </w:tcPr>
          <w:p w14:paraId="55D2B472">
            <w:pPr>
              <w:jc w:val="center"/>
              <w:rPr>
                <w:rFonts w:hint="eastAsia" w:ascii="宋体" w:hAnsi="宋体" w:cs="宋体"/>
                <w:b/>
                <w:color w:val="auto"/>
                <w:kern w:val="0"/>
                <w:sz w:val="32"/>
                <w:szCs w:val="32"/>
                <w:highlight w:val="none"/>
              </w:rPr>
            </w:pPr>
          </w:p>
        </w:tc>
      </w:tr>
    </w:tbl>
    <w:p w14:paraId="234AFBB8">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供应商保证：除商务技术偏离表列出的偏离外，供应商响应采购文件的全部要求</w:t>
      </w:r>
    </w:p>
    <w:p w14:paraId="0EA78881">
      <w:pPr>
        <w:jc w:val="center"/>
        <w:rPr>
          <w:rFonts w:hint="eastAsia" w:ascii="宋体" w:hAnsi="宋体" w:cs="宋体"/>
          <w:b/>
          <w:color w:val="auto"/>
          <w:kern w:val="0"/>
          <w:sz w:val="32"/>
          <w:szCs w:val="32"/>
          <w:highlight w:val="none"/>
        </w:rPr>
      </w:pPr>
    </w:p>
    <w:p w14:paraId="4C2C7B5A">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61851844">
      <w:pPr>
        <w:pStyle w:val="82"/>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2.本表格所反映的偏离情况与“符合性审查资料”、“评标标准相应的商务技术资料”不一致的，以“符合性审查资料”、“评标标准相应的商务技术资料”为准。</w:t>
      </w:r>
    </w:p>
    <w:p w14:paraId="4A00CA1C">
      <w:pPr>
        <w:pStyle w:val="82"/>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3.供应商须保证：除商务技术偏离表列出的偏离外，供应商响应招标文件的全部非实质性要求。</w:t>
      </w:r>
    </w:p>
    <w:p w14:paraId="1B56731C">
      <w:pPr>
        <w:spacing w:line="360" w:lineRule="auto"/>
        <w:ind w:right="420"/>
        <w:rPr>
          <w:rFonts w:hint="eastAsia" w:ascii="宋体" w:hAnsi="宋体" w:cs="宋体"/>
          <w:color w:val="auto"/>
          <w:sz w:val="24"/>
          <w:highlight w:val="none"/>
        </w:rPr>
      </w:pPr>
    </w:p>
    <w:p w14:paraId="5E8AB1F7">
      <w:pPr>
        <w:ind w:firstLine="1911" w:firstLineChars="595"/>
        <w:rPr>
          <w:rFonts w:hint="eastAsia" w:ascii="宋体" w:hAnsi="宋体" w:cs="宋体"/>
          <w:b/>
          <w:bCs/>
          <w:color w:val="auto"/>
          <w:sz w:val="32"/>
          <w:szCs w:val="32"/>
          <w:highlight w:val="none"/>
        </w:rPr>
        <w:sectPr>
          <w:footerReference r:id="rId12" w:type="first"/>
          <w:footerReference r:id="rId11" w:type="default"/>
          <w:pgSz w:w="11906" w:h="16838"/>
          <w:pgMar w:top="1440" w:right="1080" w:bottom="1440" w:left="1080" w:header="851" w:footer="992" w:gutter="0"/>
          <w:cols w:space="720" w:num="1"/>
          <w:titlePg/>
          <w:docGrid w:linePitch="312" w:charSpace="0"/>
        </w:sectPr>
      </w:pPr>
    </w:p>
    <w:p w14:paraId="09DA44CC">
      <w:pPr>
        <w:snapToGrid w:val="0"/>
        <w:jc w:val="center"/>
        <w:rPr>
          <w:rFonts w:hint="eastAsia" w:ascii="宋体" w:hAnsi="宋体" w:cs="宋体"/>
          <w:b/>
          <w:color w:val="auto"/>
          <w:kern w:val="0"/>
          <w:sz w:val="32"/>
          <w:szCs w:val="32"/>
          <w:highlight w:val="none"/>
        </w:rPr>
      </w:pPr>
      <w:r>
        <w:rPr>
          <w:rFonts w:hint="eastAsia" w:ascii="宋体" w:hAnsi="宋体" w:cs="宋体"/>
          <w:b/>
          <w:bCs/>
          <w:color w:val="auto"/>
          <w:sz w:val="32"/>
          <w:szCs w:val="32"/>
          <w:highlight w:val="none"/>
        </w:rPr>
        <w:t>七</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158E0773">
      <w:pPr>
        <w:snapToGrid w:val="0"/>
        <w:spacing w:line="360" w:lineRule="auto"/>
        <w:rPr>
          <w:rFonts w:hint="eastAsia" w:ascii="宋体" w:hAnsi="宋体" w:cs="宋体"/>
          <w:color w:val="auto"/>
          <w:sz w:val="24"/>
          <w:highlight w:val="none"/>
        </w:rPr>
      </w:pPr>
    </w:p>
    <w:p w14:paraId="04C0893E">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eastAsia="zh-CN"/>
        </w:rPr>
        <w:t>浙江省杭州第十一中学</w:t>
      </w:r>
      <w:r>
        <w:rPr>
          <w:rFonts w:hint="eastAsia" w:ascii="宋体" w:hAnsi="宋体" w:cs="宋体"/>
          <w:color w:val="auto"/>
          <w:sz w:val="24"/>
          <w:highlight w:val="none"/>
        </w:rPr>
        <w:t xml:space="preserve">    、浙江中通通信有限公司</w:t>
      </w:r>
      <w:r>
        <w:rPr>
          <w:rFonts w:hint="eastAsia" w:ascii="宋体" w:hAnsi="宋体" w:cs="宋体"/>
          <w:color w:val="auto"/>
          <w:kern w:val="0"/>
          <w:sz w:val="24"/>
          <w:highlight w:val="none"/>
          <w:lang w:val="zh-CN"/>
        </w:rPr>
        <w:t>：</w:t>
      </w:r>
    </w:p>
    <w:p w14:paraId="695DC76B">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4DB8410B">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30A40F6D">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20F08691">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6672478">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7DEEE77B">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14:paraId="51335C5C">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3A6B06DF">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36F35D7F">
      <w:pPr>
        <w:autoSpaceDE w:val="0"/>
        <w:autoSpaceDN w:val="0"/>
        <w:spacing w:line="360" w:lineRule="auto"/>
        <w:ind w:left="2"/>
        <w:jc w:val="left"/>
        <w:rPr>
          <w:rFonts w:hint="eastAsia" w:ascii="宋体" w:hAnsi="宋体" w:cs="宋体"/>
          <w:color w:val="auto"/>
          <w:kern w:val="0"/>
          <w:sz w:val="24"/>
          <w:highlight w:val="none"/>
          <w:lang w:val="zh-CN"/>
        </w:rPr>
      </w:pPr>
    </w:p>
    <w:p w14:paraId="3156ABBA">
      <w:pPr>
        <w:autoSpaceDE w:val="0"/>
        <w:autoSpaceDN w:val="0"/>
        <w:spacing w:line="360" w:lineRule="auto"/>
        <w:ind w:left="2"/>
        <w:jc w:val="left"/>
        <w:rPr>
          <w:rFonts w:hint="eastAsia" w:ascii="宋体" w:hAnsi="宋体" w:cs="宋体"/>
          <w:color w:val="auto"/>
          <w:kern w:val="0"/>
          <w:sz w:val="24"/>
          <w:highlight w:val="none"/>
          <w:lang w:val="zh-CN"/>
        </w:rPr>
      </w:pPr>
    </w:p>
    <w:p w14:paraId="6506C932">
      <w:pPr>
        <w:autoSpaceDE w:val="0"/>
        <w:autoSpaceDN w:val="0"/>
        <w:spacing w:line="360" w:lineRule="auto"/>
        <w:ind w:left="2"/>
        <w:jc w:val="left"/>
        <w:rPr>
          <w:rFonts w:hint="eastAsia" w:ascii="宋体" w:hAnsi="宋体" w:cs="宋体"/>
          <w:color w:val="auto"/>
          <w:kern w:val="0"/>
          <w:sz w:val="24"/>
          <w:highlight w:val="none"/>
          <w:lang w:val="zh-CN"/>
        </w:rPr>
      </w:pPr>
    </w:p>
    <w:p w14:paraId="50618012">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供应商名称（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477B0483">
      <w:pPr>
        <w:spacing w:line="360" w:lineRule="auto"/>
        <w:ind w:left="4620" w:leftChars="2200"/>
        <w:rPr>
          <w:rFonts w:hint="eastAsia"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5568E47D">
      <w:pPr>
        <w:spacing w:line="360" w:lineRule="auto"/>
        <w:jc w:val="center"/>
        <w:rPr>
          <w:rFonts w:hint="eastAsia" w:ascii="宋体" w:hAnsi="宋体" w:cs="宋体"/>
          <w:b/>
          <w:bCs/>
          <w:color w:val="auto"/>
          <w:sz w:val="24"/>
          <w:highlight w:val="none"/>
        </w:rPr>
      </w:pPr>
    </w:p>
    <w:p w14:paraId="34127384">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42E65C34">
      <w:pPr>
        <w:spacing w:line="360" w:lineRule="auto"/>
        <w:jc w:val="center"/>
        <w:rPr>
          <w:rFonts w:hint="eastAsia" w:ascii="宋体" w:hAnsi="宋体" w:cs="宋体"/>
          <w:b/>
          <w:bCs/>
          <w:color w:val="auto"/>
          <w:sz w:val="24"/>
          <w:highlight w:val="none"/>
        </w:rPr>
        <w:sectPr>
          <w:pgSz w:w="11906" w:h="16838"/>
          <w:pgMar w:top="1440" w:right="1080" w:bottom="1440" w:left="1080" w:header="851" w:footer="992" w:gutter="0"/>
          <w:cols w:space="720" w:num="1"/>
          <w:titlePg/>
          <w:docGrid w:linePitch="312" w:charSpace="0"/>
        </w:sectPr>
      </w:pPr>
    </w:p>
    <w:p w14:paraId="1A6C1B26">
      <w:pPr>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05A35A1">
      <w:pPr>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FC83D80">
      <w:pPr>
        <w:spacing w:line="360" w:lineRule="auto"/>
        <w:jc w:val="center"/>
        <w:rPr>
          <w:rFonts w:hint="eastAsia" w:ascii="宋体" w:hAnsi="宋体" w:cs="宋体"/>
          <w:b/>
          <w:color w:val="auto"/>
          <w:kern w:val="0"/>
          <w:sz w:val="36"/>
          <w:szCs w:val="36"/>
          <w:highlight w:val="none"/>
        </w:rPr>
      </w:pPr>
    </w:p>
    <w:p w14:paraId="1FEC3370">
      <w:pPr>
        <w:numPr>
          <w:ilvl w:val="0"/>
          <w:numId w:val="3"/>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报价单…………………………………………………………………………（页码）</w:t>
      </w:r>
    </w:p>
    <w:p w14:paraId="437E24A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（2）已标价工程量清单……………………………………………………………（页码）</w:t>
      </w:r>
    </w:p>
    <w:p w14:paraId="59511A1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（3）中小企业声明函………………………………………………………………（页码）</w:t>
      </w:r>
    </w:p>
    <w:p w14:paraId="1763EFFB">
      <w:pPr>
        <w:pStyle w:val="80"/>
        <w:rPr>
          <w:rFonts w:hint="eastAsia"/>
          <w:color w:val="auto"/>
          <w:highlight w:val="none"/>
        </w:rPr>
      </w:pPr>
    </w:p>
    <w:p w14:paraId="6FFA260E">
      <w:pPr>
        <w:snapToGrid w:val="0"/>
        <w:spacing w:line="360" w:lineRule="auto"/>
        <w:ind w:right="480"/>
        <w:jc w:val="center"/>
        <w:rPr>
          <w:rFonts w:hint="eastAsia" w:ascii="宋体" w:hAnsi="宋体" w:cs="宋体"/>
          <w:b/>
          <w:color w:val="auto"/>
          <w:kern w:val="0"/>
          <w:sz w:val="32"/>
          <w:szCs w:val="32"/>
          <w:highlight w:val="none"/>
        </w:rPr>
      </w:pPr>
    </w:p>
    <w:p w14:paraId="6A92D7ED">
      <w:pPr>
        <w:snapToGrid w:val="0"/>
        <w:spacing w:line="360" w:lineRule="auto"/>
        <w:ind w:right="480"/>
        <w:jc w:val="center"/>
        <w:rPr>
          <w:rFonts w:hint="eastAsia" w:ascii="宋体" w:hAnsi="宋体" w:cs="宋体"/>
          <w:b/>
          <w:color w:val="auto"/>
          <w:kern w:val="0"/>
          <w:sz w:val="32"/>
          <w:szCs w:val="32"/>
          <w:highlight w:val="none"/>
        </w:rPr>
      </w:pPr>
    </w:p>
    <w:p w14:paraId="1E728E38">
      <w:pPr>
        <w:snapToGrid w:val="0"/>
        <w:spacing w:line="360" w:lineRule="auto"/>
        <w:ind w:right="480"/>
        <w:jc w:val="center"/>
        <w:rPr>
          <w:rFonts w:hint="eastAsia" w:ascii="宋体" w:hAnsi="宋体" w:cs="宋体"/>
          <w:b/>
          <w:color w:val="auto"/>
          <w:kern w:val="0"/>
          <w:sz w:val="32"/>
          <w:szCs w:val="32"/>
          <w:highlight w:val="none"/>
        </w:rPr>
      </w:pPr>
    </w:p>
    <w:p w14:paraId="2BC6BC22">
      <w:pPr>
        <w:snapToGrid w:val="0"/>
        <w:spacing w:line="360" w:lineRule="auto"/>
        <w:ind w:right="480"/>
        <w:jc w:val="center"/>
        <w:rPr>
          <w:rFonts w:hint="eastAsia" w:ascii="宋体" w:hAnsi="宋体" w:cs="宋体"/>
          <w:b/>
          <w:color w:val="auto"/>
          <w:kern w:val="0"/>
          <w:sz w:val="32"/>
          <w:szCs w:val="32"/>
          <w:highlight w:val="none"/>
        </w:rPr>
      </w:pPr>
    </w:p>
    <w:p w14:paraId="022C2A44">
      <w:pPr>
        <w:snapToGrid w:val="0"/>
        <w:spacing w:line="360" w:lineRule="auto"/>
        <w:ind w:right="480"/>
        <w:jc w:val="center"/>
        <w:rPr>
          <w:rFonts w:hint="eastAsia" w:ascii="宋体" w:hAnsi="宋体" w:cs="宋体"/>
          <w:b/>
          <w:color w:val="auto"/>
          <w:kern w:val="0"/>
          <w:sz w:val="32"/>
          <w:szCs w:val="32"/>
          <w:highlight w:val="none"/>
        </w:rPr>
      </w:pPr>
    </w:p>
    <w:p w14:paraId="735E11DF">
      <w:pPr>
        <w:snapToGrid w:val="0"/>
        <w:spacing w:line="360" w:lineRule="auto"/>
        <w:ind w:right="480"/>
        <w:jc w:val="center"/>
        <w:rPr>
          <w:rFonts w:hint="eastAsia" w:ascii="宋体" w:hAnsi="宋体" w:cs="宋体"/>
          <w:b/>
          <w:color w:val="auto"/>
          <w:kern w:val="0"/>
          <w:sz w:val="32"/>
          <w:szCs w:val="32"/>
          <w:highlight w:val="none"/>
        </w:rPr>
      </w:pPr>
    </w:p>
    <w:p w14:paraId="7AE0876E">
      <w:pPr>
        <w:snapToGrid w:val="0"/>
        <w:spacing w:line="360" w:lineRule="auto"/>
        <w:ind w:right="480"/>
        <w:jc w:val="center"/>
        <w:rPr>
          <w:rFonts w:hint="eastAsia" w:ascii="宋体" w:hAnsi="宋体" w:cs="宋体"/>
          <w:b/>
          <w:color w:val="auto"/>
          <w:kern w:val="0"/>
          <w:sz w:val="32"/>
          <w:szCs w:val="32"/>
          <w:highlight w:val="none"/>
        </w:rPr>
      </w:pPr>
    </w:p>
    <w:p w14:paraId="12B87BA1">
      <w:pPr>
        <w:snapToGrid w:val="0"/>
        <w:spacing w:line="360" w:lineRule="auto"/>
        <w:ind w:right="480"/>
        <w:jc w:val="center"/>
        <w:rPr>
          <w:rFonts w:hint="eastAsia" w:ascii="宋体" w:hAnsi="宋体" w:cs="宋体"/>
          <w:b/>
          <w:color w:val="auto"/>
          <w:kern w:val="0"/>
          <w:sz w:val="32"/>
          <w:szCs w:val="32"/>
          <w:highlight w:val="none"/>
        </w:rPr>
      </w:pPr>
    </w:p>
    <w:p w14:paraId="4A6B7BEC">
      <w:pPr>
        <w:snapToGrid w:val="0"/>
        <w:spacing w:line="360" w:lineRule="auto"/>
        <w:ind w:right="480"/>
        <w:jc w:val="center"/>
        <w:rPr>
          <w:rFonts w:hint="eastAsia" w:ascii="宋体" w:hAnsi="宋体" w:cs="宋体"/>
          <w:b/>
          <w:color w:val="auto"/>
          <w:kern w:val="0"/>
          <w:sz w:val="32"/>
          <w:szCs w:val="32"/>
          <w:highlight w:val="none"/>
        </w:rPr>
      </w:pPr>
    </w:p>
    <w:p w14:paraId="187DDB90">
      <w:pPr>
        <w:snapToGrid w:val="0"/>
        <w:spacing w:line="360" w:lineRule="auto"/>
        <w:ind w:right="480"/>
        <w:jc w:val="center"/>
        <w:rPr>
          <w:rFonts w:hint="eastAsia" w:ascii="宋体" w:hAnsi="宋体" w:cs="宋体"/>
          <w:b/>
          <w:color w:val="auto"/>
          <w:kern w:val="0"/>
          <w:sz w:val="32"/>
          <w:szCs w:val="32"/>
          <w:highlight w:val="none"/>
        </w:rPr>
      </w:pPr>
    </w:p>
    <w:p w14:paraId="2F5CDA16">
      <w:pPr>
        <w:snapToGrid w:val="0"/>
        <w:spacing w:line="360" w:lineRule="auto"/>
        <w:ind w:right="480"/>
        <w:jc w:val="center"/>
        <w:rPr>
          <w:rFonts w:hint="eastAsia" w:ascii="宋体" w:hAnsi="宋体" w:cs="宋体"/>
          <w:b/>
          <w:color w:val="auto"/>
          <w:kern w:val="0"/>
          <w:sz w:val="32"/>
          <w:szCs w:val="32"/>
          <w:highlight w:val="none"/>
        </w:rPr>
      </w:pPr>
    </w:p>
    <w:p w14:paraId="18274F5E">
      <w:pPr>
        <w:snapToGrid w:val="0"/>
        <w:spacing w:line="360" w:lineRule="auto"/>
        <w:ind w:right="480"/>
        <w:jc w:val="center"/>
        <w:rPr>
          <w:rFonts w:hint="eastAsia" w:ascii="宋体" w:hAnsi="宋体" w:cs="宋体"/>
          <w:b/>
          <w:color w:val="auto"/>
          <w:kern w:val="0"/>
          <w:sz w:val="32"/>
          <w:szCs w:val="32"/>
          <w:highlight w:val="none"/>
        </w:rPr>
      </w:pPr>
    </w:p>
    <w:p w14:paraId="371C86AA">
      <w:pPr>
        <w:snapToGrid w:val="0"/>
        <w:spacing w:line="360" w:lineRule="auto"/>
        <w:ind w:right="480"/>
        <w:jc w:val="center"/>
        <w:rPr>
          <w:rFonts w:hint="eastAsia" w:ascii="宋体" w:hAnsi="宋体" w:cs="宋体"/>
          <w:b/>
          <w:color w:val="auto"/>
          <w:kern w:val="0"/>
          <w:sz w:val="32"/>
          <w:szCs w:val="32"/>
          <w:highlight w:val="none"/>
        </w:rPr>
      </w:pPr>
    </w:p>
    <w:p w14:paraId="5C670677">
      <w:pPr>
        <w:snapToGrid w:val="0"/>
        <w:spacing w:line="360" w:lineRule="auto"/>
        <w:ind w:right="480"/>
        <w:jc w:val="center"/>
        <w:rPr>
          <w:rFonts w:hint="eastAsia" w:ascii="宋体" w:hAnsi="宋体" w:cs="宋体"/>
          <w:b/>
          <w:color w:val="auto"/>
          <w:kern w:val="0"/>
          <w:sz w:val="32"/>
          <w:szCs w:val="32"/>
          <w:highlight w:val="none"/>
        </w:rPr>
      </w:pPr>
    </w:p>
    <w:p w14:paraId="776FF3D8">
      <w:pPr>
        <w:snapToGrid w:val="0"/>
        <w:spacing w:line="360" w:lineRule="auto"/>
        <w:ind w:right="480"/>
        <w:jc w:val="center"/>
        <w:rPr>
          <w:rFonts w:hint="eastAsia" w:ascii="宋体" w:hAnsi="宋体" w:cs="宋体"/>
          <w:b/>
          <w:color w:val="auto"/>
          <w:kern w:val="0"/>
          <w:sz w:val="32"/>
          <w:szCs w:val="32"/>
          <w:highlight w:val="none"/>
        </w:rPr>
      </w:pPr>
    </w:p>
    <w:p w14:paraId="1CEAA5E6">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footerReference r:id="rId15" w:type="first"/>
          <w:headerReference r:id="rId13" w:type="default"/>
          <w:footerReference r:id="rId14" w:type="default"/>
          <w:pgSz w:w="11906" w:h="16838"/>
          <w:pgMar w:top="1440" w:right="1080" w:bottom="1440" w:left="1080" w:header="851" w:footer="992" w:gutter="0"/>
          <w:cols w:space="720" w:num="1"/>
          <w:titlePg/>
          <w:docGrid w:linePitch="312" w:charSpace="0"/>
        </w:sectPr>
      </w:pPr>
    </w:p>
    <w:p w14:paraId="70EB28EA">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一、报价单</w:t>
      </w:r>
    </w:p>
    <w:p w14:paraId="088D9A56">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eastAsia="zh-CN"/>
        </w:rPr>
        <w:t>浙江省杭州第十一中学</w:t>
      </w:r>
      <w:r>
        <w:rPr>
          <w:rFonts w:hint="eastAsia" w:ascii="宋体" w:hAnsi="宋体" w:cs="宋体"/>
          <w:color w:val="auto"/>
          <w:sz w:val="24"/>
          <w:highlight w:val="none"/>
        </w:rPr>
        <w:t>、浙江中通通信有限公司</w:t>
      </w:r>
      <w:r>
        <w:rPr>
          <w:rFonts w:hint="eastAsia" w:ascii="宋体" w:hAnsi="宋体" w:cs="宋体"/>
          <w:color w:val="auto"/>
          <w:kern w:val="0"/>
          <w:sz w:val="24"/>
          <w:highlight w:val="none"/>
          <w:lang w:val="zh-CN"/>
        </w:rPr>
        <w:t>：</w:t>
      </w:r>
    </w:p>
    <w:p w14:paraId="3B669C80">
      <w:pPr>
        <w:snapToGrid w:val="0"/>
        <w:spacing w:line="360" w:lineRule="auto"/>
        <w:ind w:firstLine="482"/>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按你方采购文件要求，我们，本响应文件签字方，谨此向你方发出要约如下：如你方接受本投标，我方承诺按照如下报价单的价格完成</w:t>
      </w:r>
      <w:r>
        <w:rPr>
          <w:rFonts w:hint="eastAsia" w:ascii="宋体" w:hAnsi="宋体" w:cs="宋体"/>
          <w:color w:val="auto"/>
          <w:sz w:val="24"/>
          <w:highlight w:val="none"/>
          <w:lang w:eastAsia="zh-CN"/>
        </w:rPr>
        <w:t>学生宿舍改造二期</w:t>
      </w: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【项目编号：</w:t>
      </w:r>
      <w:r>
        <w:rPr>
          <w:rFonts w:hint="eastAsia" w:ascii="宋体" w:hAnsi="宋体" w:cs="宋体"/>
          <w:color w:val="auto"/>
          <w:sz w:val="24"/>
          <w:highlight w:val="none"/>
          <w:lang w:eastAsia="zh-CN"/>
        </w:rPr>
        <w:t>330100261010240000003-0603</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6A8EAA5F">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报价单(单位均为人民币元)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14:paraId="73F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14:paraId="7E2AF079">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项目名称</w:t>
            </w:r>
          </w:p>
        </w:tc>
        <w:tc>
          <w:tcPr>
            <w:tcW w:w="1843" w:type="dxa"/>
          </w:tcPr>
          <w:p w14:paraId="50585CB9">
            <w:pPr>
              <w:spacing w:line="360" w:lineRule="auto"/>
              <w:jc w:val="center"/>
              <w:rPr>
                <w:rFonts w:hint="eastAsia" w:ascii="宋体" w:hAnsi="宋体" w:cs="宋体"/>
                <w:b/>
                <w:color w:val="auto"/>
                <w:sz w:val="24"/>
                <w:highlight w:val="none"/>
              </w:rPr>
            </w:pPr>
          </w:p>
          <w:p w14:paraId="68EA0E54">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施工范围</w:t>
            </w:r>
          </w:p>
        </w:tc>
        <w:tc>
          <w:tcPr>
            <w:tcW w:w="3118" w:type="dxa"/>
            <w:vAlign w:val="center"/>
          </w:tcPr>
          <w:p w14:paraId="7634A6A5">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施工工期</w:t>
            </w:r>
          </w:p>
        </w:tc>
        <w:tc>
          <w:tcPr>
            <w:tcW w:w="2552" w:type="dxa"/>
            <w:vAlign w:val="center"/>
          </w:tcPr>
          <w:p w14:paraId="5CEA0AFD">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项目经理</w:t>
            </w:r>
          </w:p>
        </w:tc>
        <w:tc>
          <w:tcPr>
            <w:tcW w:w="1984" w:type="dxa"/>
            <w:vAlign w:val="center"/>
          </w:tcPr>
          <w:p w14:paraId="19B48047">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执业证书信息</w:t>
            </w:r>
          </w:p>
        </w:tc>
        <w:tc>
          <w:tcPr>
            <w:tcW w:w="3119" w:type="dxa"/>
            <w:vAlign w:val="center"/>
          </w:tcPr>
          <w:p w14:paraId="3CA9DAA4">
            <w:pPr>
              <w:spacing w:line="360" w:lineRule="auto"/>
              <w:jc w:val="center"/>
              <w:rPr>
                <w:rFonts w:hint="eastAsia" w:ascii="宋体" w:hAnsi="宋体" w:cs="宋体"/>
                <w:b/>
                <w:color w:val="auto"/>
                <w:sz w:val="24"/>
                <w:highlight w:val="none"/>
              </w:rPr>
            </w:pPr>
          </w:p>
          <w:p w14:paraId="5B359DEB">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备注（如果有）</w:t>
            </w:r>
          </w:p>
          <w:p w14:paraId="32F82021">
            <w:pPr>
              <w:spacing w:line="360" w:lineRule="auto"/>
              <w:jc w:val="center"/>
              <w:rPr>
                <w:rFonts w:hint="eastAsia" w:ascii="宋体" w:hAnsi="宋体" w:cs="宋体"/>
                <w:b/>
                <w:color w:val="auto"/>
                <w:sz w:val="24"/>
                <w:highlight w:val="none"/>
              </w:rPr>
            </w:pPr>
          </w:p>
        </w:tc>
      </w:tr>
      <w:tr w14:paraId="7DA1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14:paraId="29FFACA3">
            <w:pPr>
              <w:snapToGrid w:val="0"/>
              <w:spacing w:line="360" w:lineRule="auto"/>
              <w:jc w:val="center"/>
              <w:rPr>
                <w:rFonts w:hint="eastAsia" w:ascii="宋体" w:hAnsi="宋体" w:cs="宋体"/>
                <w:color w:val="auto"/>
                <w:sz w:val="24"/>
                <w:highlight w:val="none"/>
              </w:rPr>
            </w:pPr>
          </w:p>
        </w:tc>
        <w:tc>
          <w:tcPr>
            <w:tcW w:w="1843" w:type="dxa"/>
            <w:vAlign w:val="center"/>
          </w:tcPr>
          <w:p w14:paraId="508EAEAC">
            <w:pPr>
              <w:snapToGrid w:val="0"/>
              <w:spacing w:line="360" w:lineRule="auto"/>
              <w:jc w:val="center"/>
              <w:rPr>
                <w:rFonts w:hint="eastAsia" w:ascii="宋体" w:hAnsi="宋体" w:cs="宋体"/>
                <w:color w:val="auto"/>
                <w:sz w:val="24"/>
                <w:highlight w:val="none"/>
              </w:rPr>
            </w:pPr>
          </w:p>
        </w:tc>
        <w:tc>
          <w:tcPr>
            <w:tcW w:w="3118" w:type="dxa"/>
            <w:vAlign w:val="center"/>
          </w:tcPr>
          <w:p w14:paraId="0CCFE4F0">
            <w:pPr>
              <w:snapToGrid w:val="0"/>
              <w:spacing w:line="360" w:lineRule="auto"/>
              <w:jc w:val="center"/>
              <w:rPr>
                <w:rFonts w:hint="eastAsia" w:ascii="宋体" w:hAnsi="宋体" w:cs="宋体"/>
                <w:color w:val="auto"/>
                <w:sz w:val="24"/>
                <w:highlight w:val="none"/>
              </w:rPr>
            </w:pPr>
          </w:p>
        </w:tc>
        <w:tc>
          <w:tcPr>
            <w:tcW w:w="2552" w:type="dxa"/>
            <w:vAlign w:val="center"/>
          </w:tcPr>
          <w:p w14:paraId="1E8E869C">
            <w:pPr>
              <w:spacing w:line="360" w:lineRule="auto"/>
              <w:jc w:val="center"/>
              <w:rPr>
                <w:rFonts w:hint="eastAsia" w:ascii="宋体" w:hAnsi="宋体" w:cs="宋体"/>
                <w:color w:val="auto"/>
                <w:sz w:val="24"/>
                <w:highlight w:val="none"/>
              </w:rPr>
            </w:pPr>
          </w:p>
        </w:tc>
        <w:tc>
          <w:tcPr>
            <w:tcW w:w="1984" w:type="dxa"/>
            <w:vAlign w:val="center"/>
          </w:tcPr>
          <w:p w14:paraId="5CCEC3B8">
            <w:pPr>
              <w:spacing w:line="360" w:lineRule="auto"/>
              <w:jc w:val="center"/>
              <w:rPr>
                <w:rFonts w:hint="eastAsia" w:ascii="宋体" w:hAnsi="宋体" w:cs="宋体"/>
                <w:color w:val="auto"/>
                <w:sz w:val="24"/>
                <w:highlight w:val="none"/>
              </w:rPr>
            </w:pPr>
          </w:p>
        </w:tc>
        <w:tc>
          <w:tcPr>
            <w:tcW w:w="3119" w:type="dxa"/>
            <w:vAlign w:val="center"/>
          </w:tcPr>
          <w:p w14:paraId="03375AC4">
            <w:pPr>
              <w:spacing w:line="360" w:lineRule="auto"/>
              <w:jc w:val="center"/>
              <w:rPr>
                <w:rFonts w:hint="eastAsia" w:ascii="宋体" w:hAnsi="宋体" w:cs="宋体"/>
                <w:color w:val="auto"/>
                <w:sz w:val="24"/>
                <w:highlight w:val="none"/>
              </w:rPr>
            </w:pPr>
          </w:p>
        </w:tc>
      </w:tr>
      <w:tr w14:paraId="2F03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14:paraId="40794A9A">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磋商报价（小写）</w:t>
            </w:r>
          </w:p>
        </w:tc>
        <w:tc>
          <w:tcPr>
            <w:tcW w:w="7655" w:type="dxa"/>
            <w:gridSpan w:val="3"/>
            <w:vAlign w:val="center"/>
          </w:tcPr>
          <w:p w14:paraId="082FDB7A">
            <w:pPr>
              <w:spacing w:line="360" w:lineRule="auto"/>
              <w:jc w:val="center"/>
              <w:rPr>
                <w:rFonts w:hint="eastAsia" w:ascii="宋体" w:hAnsi="宋体" w:cs="宋体"/>
                <w:color w:val="auto"/>
                <w:sz w:val="24"/>
                <w:highlight w:val="none"/>
              </w:rPr>
            </w:pPr>
          </w:p>
        </w:tc>
      </w:tr>
      <w:tr w14:paraId="4B9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14:paraId="36A59DA2">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磋商报价（大写）</w:t>
            </w:r>
          </w:p>
        </w:tc>
        <w:tc>
          <w:tcPr>
            <w:tcW w:w="7655" w:type="dxa"/>
            <w:gridSpan w:val="3"/>
            <w:vAlign w:val="center"/>
          </w:tcPr>
          <w:p w14:paraId="0A9D3229">
            <w:pPr>
              <w:spacing w:line="360" w:lineRule="auto"/>
              <w:jc w:val="center"/>
              <w:rPr>
                <w:rFonts w:hint="eastAsia" w:ascii="宋体" w:hAnsi="宋体" w:cs="宋体"/>
                <w:color w:val="auto"/>
                <w:sz w:val="24"/>
                <w:highlight w:val="none"/>
              </w:rPr>
            </w:pPr>
          </w:p>
        </w:tc>
      </w:tr>
    </w:tbl>
    <w:p w14:paraId="7025B37D">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7163BAF8">
      <w:pPr>
        <w:spacing w:line="360" w:lineRule="auto"/>
        <w:ind w:left="-2" w:leftChars="-1"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响应文件含有采购人不能接受的附加条件，响应文件无效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1A089FF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采购内容未包含在《报价单》名称栏中，供应商不能作出合理解释的，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响应文件含有采购人不能接受的附加条件的，响应文件无效。</w:t>
      </w:r>
    </w:p>
    <w:p w14:paraId="57EDF23D">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3、特别提示：采购代理机构将对项目名称和项目编号，成交供应商名称、地址和成交金额、施工范围、施工工期、项目经理、执业证书信息、品牌（如果有）、规格型号、数量、单价等予以公示。</w:t>
      </w:r>
    </w:p>
    <w:p w14:paraId="5E7305BF">
      <w:pPr>
        <w:spacing w:line="360" w:lineRule="auto"/>
        <w:ind w:firstLine="482" w:firstLineChars="200"/>
        <w:rPr>
          <w:rFonts w:hint="eastAsia" w:ascii="宋体" w:hAnsi="宋体" w:cs="宋体"/>
          <w:b/>
          <w:color w:val="auto"/>
          <w:kern w:val="0"/>
          <w:sz w:val="24"/>
          <w:highlight w:val="none"/>
        </w:rPr>
      </w:pPr>
    </w:p>
    <w:p w14:paraId="7DB04653">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6E86EB77">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40" w:right="1080" w:bottom="1440" w:left="1080" w:header="851" w:footer="992" w:gutter="0"/>
          <w:cols w:space="720" w:num="1"/>
          <w:titlePg/>
          <w:docGrid w:linePitch="312" w:charSpace="0"/>
        </w:sectPr>
      </w:pPr>
    </w:p>
    <w:p w14:paraId="4904243F">
      <w:pPr>
        <w:pStyle w:val="694"/>
        <w:keepNext w:val="0"/>
        <w:tabs>
          <w:tab w:val="clear" w:pos="720"/>
        </w:tabs>
        <w:snapToGrid w:val="0"/>
        <w:spacing w:before="120" w:after="120"/>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二、已标价工程量清单</w:t>
      </w:r>
    </w:p>
    <w:p w14:paraId="3EEF7401">
      <w:pPr>
        <w:ind w:right="420"/>
        <w:rPr>
          <w:rFonts w:hint="eastAsia" w:ascii="宋体" w:hAnsi="宋体" w:cs="宋体"/>
          <w:color w:val="auto"/>
          <w:sz w:val="24"/>
          <w:highlight w:val="none"/>
        </w:rPr>
      </w:pPr>
      <w:r>
        <w:rPr>
          <w:rFonts w:hint="eastAsia" w:ascii="宋体" w:hAnsi="宋体" w:cs="宋体"/>
          <w:color w:val="auto"/>
          <w:sz w:val="24"/>
          <w:highlight w:val="none"/>
        </w:rPr>
        <w:t xml:space="preserve">注：按采购文件工程量清单编制 </w:t>
      </w:r>
    </w:p>
    <w:p w14:paraId="03423285">
      <w:pPr>
        <w:pStyle w:val="62"/>
        <w:ind w:firstLine="480"/>
        <w:rPr>
          <w:rFonts w:hint="eastAsia" w:cs="宋体"/>
          <w:color w:val="auto"/>
          <w:sz w:val="24"/>
          <w:highlight w:val="none"/>
        </w:rPr>
      </w:pPr>
    </w:p>
    <w:p w14:paraId="1D98B7DD">
      <w:pPr>
        <w:pStyle w:val="62"/>
        <w:ind w:firstLine="480"/>
        <w:rPr>
          <w:rFonts w:hint="eastAsia" w:cs="宋体"/>
          <w:color w:val="auto"/>
          <w:sz w:val="24"/>
          <w:highlight w:val="none"/>
        </w:rPr>
        <w:sectPr>
          <w:footerReference r:id="rId19" w:type="first"/>
          <w:headerReference r:id="rId16" w:type="default"/>
          <w:footerReference r:id="rId17" w:type="default"/>
          <w:footerReference r:id="rId18" w:type="even"/>
          <w:pgSz w:w="11906" w:h="16838"/>
          <w:pgMar w:top="1440" w:right="1080" w:bottom="1440" w:left="1080" w:header="851" w:footer="992" w:gutter="0"/>
          <w:cols w:space="720" w:num="1"/>
          <w:titlePg/>
          <w:docGrid w:linePitch="312" w:charSpace="0"/>
        </w:sectPr>
      </w:pPr>
    </w:p>
    <w:p w14:paraId="06D25ED3">
      <w:pPr>
        <w:pStyle w:val="694"/>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三、</w:t>
      </w:r>
      <w:r>
        <w:rPr>
          <w:rFonts w:hint="eastAsia" w:ascii="宋体" w:hAnsi="宋体" w:eastAsia="宋体" w:cs="宋体"/>
          <w:color w:val="auto"/>
          <w:sz w:val="32"/>
          <w:szCs w:val="32"/>
          <w:highlight w:val="none"/>
        </w:rPr>
        <w:t>中小企业声明函</w:t>
      </w:r>
      <w:bookmarkStart w:id="1024" w:name="_Hlk101259491"/>
      <w:r>
        <w:rPr>
          <w:rFonts w:hint="eastAsia" w:ascii="宋体" w:hAnsi="宋体" w:eastAsia="宋体" w:cs="宋体"/>
          <w:color w:val="auto"/>
          <w:sz w:val="32"/>
          <w:szCs w:val="32"/>
          <w:highlight w:val="none"/>
        </w:rPr>
        <w:t>（如果有）</w:t>
      </w:r>
      <w:bookmarkEnd w:id="1024"/>
    </w:p>
    <w:p w14:paraId="4F8C7E59">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5BD7F0ED">
      <w:pPr>
        <w:pStyle w:val="2"/>
        <w:keepNext w:val="0"/>
        <w:keepLines w:val="0"/>
        <w:pageBreakBefore/>
        <w:widowControl/>
        <w:spacing w:before="100" w:beforeAutospacing="1" w:after="100" w:afterAutospacing="1" w:line="360" w:lineRule="auto"/>
        <w:ind w:left="1290" w:firstLine="3092" w:firstLineChars="700"/>
        <w:rPr>
          <w:rFonts w:hint="eastAsia" w:ascii="宋体" w:hAnsi="宋体" w:cs="宋体"/>
          <w:color w:val="auto"/>
          <w:highlight w:val="none"/>
        </w:rPr>
      </w:pPr>
      <w:bookmarkStart w:id="1025" w:name="_Toc465665161"/>
      <w:r>
        <w:rPr>
          <w:rFonts w:hint="eastAsia" w:ascii="宋体" w:hAnsi="宋体" w:cs="宋体"/>
          <w:color w:val="auto"/>
          <w:highlight w:val="none"/>
        </w:rPr>
        <w:t>附件</w:t>
      </w:r>
      <w:bookmarkEnd w:id="1025"/>
    </w:p>
    <w:p w14:paraId="064290B6">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2B65D13">
      <w:pPr>
        <w:spacing w:line="360" w:lineRule="auto"/>
        <w:jc w:val="center"/>
        <w:rPr>
          <w:rFonts w:hint="eastAsia" w:ascii="宋体" w:hAnsi="宋体" w:cs="宋体"/>
          <w:b/>
          <w:color w:val="auto"/>
          <w:spacing w:val="6"/>
          <w:sz w:val="32"/>
          <w:szCs w:val="32"/>
          <w:highlight w:val="none"/>
        </w:rPr>
      </w:pPr>
      <w:bookmarkStart w:id="1026" w:name="OLE_LINK14"/>
      <w:bookmarkStart w:id="1027" w:name="OLE_LINK13"/>
      <w:r>
        <w:rPr>
          <w:rFonts w:hint="eastAsia" w:ascii="宋体" w:hAnsi="宋体" w:cs="宋体"/>
          <w:b/>
          <w:color w:val="auto"/>
          <w:spacing w:val="6"/>
          <w:sz w:val="32"/>
          <w:szCs w:val="32"/>
          <w:highlight w:val="none"/>
        </w:rPr>
        <w:t>残疾人福利性单位声明函</w:t>
      </w:r>
    </w:p>
    <w:bookmarkEnd w:id="1026"/>
    <w:bookmarkEnd w:id="1027"/>
    <w:p w14:paraId="691D7C44">
      <w:pPr>
        <w:spacing w:line="360" w:lineRule="auto"/>
        <w:rPr>
          <w:rFonts w:hint="eastAsia" w:ascii="宋体" w:hAnsi="宋体" w:cs="宋体"/>
          <w:b/>
          <w:color w:val="auto"/>
          <w:spacing w:val="6"/>
          <w:sz w:val="30"/>
          <w:szCs w:val="30"/>
          <w:highlight w:val="none"/>
        </w:rPr>
      </w:pPr>
    </w:p>
    <w:p w14:paraId="2B3518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04E0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91D47BA">
      <w:pPr>
        <w:spacing w:line="360" w:lineRule="auto"/>
        <w:ind w:firstLine="480" w:firstLineChars="200"/>
        <w:rPr>
          <w:rFonts w:hint="eastAsia" w:ascii="宋体" w:hAnsi="宋体" w:cs="宋体"/>
          <w:color w:val="auto"/>
          <w:sz w:val="24"/>
          <w:highlight w:val="none"/>
        </w:rPr>
      </w:pPr>
    </w:p>
    <w:p w14:paraId="2355AA66">
      <w:pPr>
        <w:spacing w:line="360" w:lineRule="auto"/>
        <w:ind w:firstLine="480" w:firstLineChars="200"/>
        <w:rPr>
          <w:rFonts w:hint="eastAsia" w:ascii="宋体" w:hAnsi="宋体" w:cs="宋体"/>
          <w:color w:val="auto"/>
          <w:sz w:val="24"/>
          <w:highlight w:val="none"/>
        </w:rPr>
      </w:pPr>
    </w:p>
    <w:p w14:paraId="2876E040">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供应商名称（电子签名）</w:t>
      </w:r>
      <w:r>
        <w:rPr>
          <w:rFonts w:hint="eastAsia" w:ascii="宋体" w:hAnsi="宋体" w:cs="宋体"/>
          <w:color w:val="auto"/>
          <w:sz w:val="24"/>
          <w:highlight w:val="none"/>
        </w:rPr>
        <w:t>：</w:t>
      </w:r>
    </w:p>
    <w:p w14:paraId="7385BEE1">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6CF8B073">
      <w:pPr>
        <w:spacing w:line="360" w:lineRule="auto"/>
        <w:ind w:firstLine="480" w:firstLineChars="200"/>
        <w:rPr>
          <w:rFonts w:hint="eastAsia" w:ascii="宋体" w:hAnsi="宋体" w:cs="宋体"/>
          <w:color w:val="auto"/>
          <w:sz w:val="24"/>
          <w:highlight w:val="none"/>
        </w:rPr>
      </w:pPr>
    </w:p>
    <w:p w14:paraId="1B962F94">
      <w:pPr>
        <w:spacing w:line="360" w:lineRule="auto"/>
        <w:ind w:firstLine="420" w:firstLineChars="200"/>
        <w:rPr>
          <w:rFonts w:hint="eastAsia" w:ascii="宋体" w:hAnsi="宋体" w:cs="宋体"/>
          <w:color w:val="auto"/>
          <w:highlight w:val="none"/>
        </w:rPr>
      </w:pPr>
    </w:p>
    <w:p w14:paraId="6BAC07B8">
      <w:pPr>
        <w:spacing w:line="360" w:lineRule="auto"/>
        <w:ind w:firstLine="420" w:firstLineChars="200"/>
        <w:rPr>
          <w:rFonts w:hint="eastAsia" w:ascii="宋体" w:hAnsi="宋体" w:cs="宋体"/>
          <w:color w:val="auto"/>
          <w:highlight w:val="none"/>
        </w:rPr>
      </w:pPr>
    </w:p>
    <w:p w14:paraId="41B11E92">
      <w:pPr>
        <w:spacing w:line="360" w:lineRule="auto"/>
        <w:ind w:firstLine="420" w:firstLineChars="200"/>
        <w:rPr>
          <w:rFonts w:hint="eastAsia" w:ascii="宋体" w:hAnsi="宋体" w:cs="宋体"/>
          <w:color w:val="auto"/>
          <w:highlight w:val="none"/>
        </w:rPr>
      </w:pPr>
    </w:p>
    <w:p w14:paraId="42EEA347">
      <w:pPr>
        <w:spacing w:line="360" w:lineRule="auto"/>
        <w:ind w:firstLine="420" w:firstLineChars="200"/>
        <w:rPr>
          <w:rFonts w:hint="eastAsia" w:ascii="宋体" w:hAnsi="宋体" w:cs="宋体"/>
          <w:color w:val="auto"/>
          <w:highlight w:val="none"/>
        </w:rPr>
      </w:pPr>
    </w:p>
    <w:p w14:paraId="57FAA545">
      <w:pPr>
        <w:spacing w:line="360" w:lineRule="auto"/>
        <w:rPr>
          <w:rFonts w:hint="eastAsia" w:ascii="宋体" w:hAnsi="宋体" w:cs="宋体"/>
          <w:b/>
          <w:color w:val="auto"/>
          <w:sz w:val="24"/>
          <w:highlight w:val="none"/>
        </w:rPr>
      </w:pPr>
    </w:p>
    <w:p w14:paraId="45A33709">
      <w:pPr>
        <w:spacing w:line="360" w:lineRule="auto"/>
        <w:rPr>
          <w:rFonts w:hint="eastAsia" w:ascii="宋体" w:hAnsi="宋体" w:cs="宋体"/>
          <w:b/>
          <w:color w:val="auto"/>
          <w:sz w:val="24"/>
          <w:highlight w:val="none"/>
        </w:rPr>
      </w:pPr>
    </w:p>
    <w:p w14:paraId="21832E7C">
      <w:pPr>
        <w:spacing w:line="360" w:lineRule="auto"/>
        <w:rPr>
          <w:rFonts w:hint="eastAsia" w:ascii="宋体" w:hAnsi="宋体" w:cs="宋体"/>
          <w:b/>
          <w:color w:val="auto"/>
          <w:sz w:val="24"/>
          <w:highlight w:val="none"/>
        </w:rPr>
      </w:pPr>
    </w:p>
    <w:p w14:paraId="409B1933">
      <w:pPr>
        <w:spacing w:line="360" w:lineRule="auto"/>
        <w:rPr>
          <w:rFonts w:hint="eastAsia" w:ascii="宋体" w:hAnsi="宋体" w:cs="宋体"/>
          <w:b/>
          <w:color w:val="auto"/>
          <w:sz w:val="24"/>
          <w:highlight w:val="none"/>
        </w:rPr>
      </w:pPr>
    </w:p>
    <w:p w14:paraId="19227E50">
      <w:pPr>
        <w:spacing w:line="360" w:lineRule="auto"/>
        <w:rPr>
          <w:rFonts w:hint="eastAsia" w:ascii="宋体" w:hAnsi="宋体" w:cs="宋体"/>
          <w:b/>
          <w:color w:val="auto"/>
          <w:sz w:val="24"/>
          <w:highlight w:val="none"/>
        </w:rPr>
      </w:pPr>
    </w:p>
    <w:p w14:paraId="5B549329">
      <w:pPr>
        <w:spacing w:line="360" w:lineRule="auto"/>
        <w:rPr>
          <w:rFonts w:hint="eastAsia" w:ascii="宋体" w:hAnsi="宋体" w:cs="宋体"/>
          <w:b/>
          <w:color w:val="auto"/>
          <w:sz w:val="24"/>
          <w:highlight w:val="none"/>
        </w:rPr>
      </w:pPr>
    </w:p>
    <w:p w14:paraId="569E6C67">
      <w:pPr>
        <w:spacing w:line="360" w:lineRule="auto"/>
        <w:rPr>
          <w:rFonts w:hint="eastAsia" w:ascii="宋体" w:hAnsi="宋体" w:cs="宋体"/>
          <w:b/>
          <w:color w:val="auto"/>
          <w:sz w:val="24"/>
          <w:highlight w:val="none"/>
        </w:rPr>
      </w:pPr>
    </w:p>
    <w:p w14:paraId="16B18376">
      <w:pPr>
        <w:spacing w:line="360" w:lineRule="auto"/>
        <w:rPr>
          <w:rFonts w:hint="eastAsia" w:ascii="宋体" w:hAnsi="宋体" w:cs="宋体"/>
          <w:b/>
          <w:color w:val="auto"/>
          <w:sz w:val="24"/>
          <w:highlight w:val="none"/>
        </w:rPr>
      </w:pPr>
    </w:p>
    <w:p w14:paraId="330D09C1">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63BFA52">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5FEE107">
      <w:pPr>
        <w:snapToGrid w:val="0"/>
        <w:spacing w:before="240"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6E0B76B9">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48D6855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8C6A82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82D0369">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61E88B9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13F0AE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A91EF7F">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2B9DC21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E2BB5D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DEC9A07">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8DDE7F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4418DE60">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0917D515">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2562FB0">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F70617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dotted"/>
        </w:rPr>
        <w:t xml:space="preserve">                                                       </w:t>
      </w:r>
    </w:p>
    <w:p w14:paraId="45579C59">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D15C9E3">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7EEF536">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0541FA1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4F2476FC">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4F57C96">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18B9549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18EE22D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02BBFFC8">
      <w:pPr>
        <w:spacing w:line="360" w:lineRule="auto"/>
        <w:jc w:val="center"/>
        <w:rPr>
          <w:rFonts w:hint="eastAsia" w:ascii="宋体" w:hAnsi="宋体" w:cs="宋体"/>
          <w:b/>
          <w:bCs/>
          <w:color w:val="auto"/>
          <w:sz w:val="24"/>
          <w:highlight w:val="none"/>
        </w:rPr>
      </w:pPr>
    </w:p>
    <w:p w14:paraId="0150556E">
      <w:pPr>
        <w:spacing w:line="360" w:lineRule="auto"/>
        <w:rPr>
          <w:rFonts w:hint="eastAsia" w:ascii="宋体" w:hAnsi="宋体" w:cs="宋体"/>
          <w:b/>
          <w:color w:val="auto"/>
          <w:sz w:val="24"/>
          <w:highlight w:val="none"/>
        </w:rPr>
      </w:pPr>
    </w:p>
    <w:p w14:paraId="01EA122B">
      <w:pPr>
        <w:spacing w:line="360" w:lineRule="auto"/>
        <w:rPr>
          <w:rFonts w:hint="eastAsia" w:ascii="宋体" w:hAnsi="宋体" w:cs="宋体"/>
          <w:b/>
          <w:color w:val="auto"/>
          <w:sz w:val="24"/>
          <w:highlight w:val="none"/>
        </w:rPr>
      </w:pPr>
    </w:p>
    <w:p w14:paraId="0BC79E63">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0413E71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A95E11B">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2E9919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45828572">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B464D5E">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312D8A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50E5FC6">
      <w:pPr>
        <w:widowControl/>
        <w:spacing w:line="360" w:lineRule="auto"/>
        <w:ind w:firstLine="600" w:firstLineChars="200"/>
        <w:jc w:val="left"/>
        <w:rPr>
          <w:rFonts w:hint="eastAsia" w:ascii="宋体" w:hAnsi="宋体" w:cs="宋体"/>
          <w:color w:val="auto"/>
          <w:sz w:val="30"/>
          <w:szCs w:val="30"/>
          <w:highlight w:val="none"/>
        </w:rPr>
      </w:pPr>
    </w:p>
    <w:p w14:paraId="237D185B">
      <w:pPr>
        <w:spacing w:line="360" w:lineRule="auto"/>
        <w:jc w:val="center"/>
        <w:rPr>
          <w:rFonts w:hint="eastAsia" w:ascii="宋体" w:hAnsi="宋体" w:cs="宋体"/>
          <w:b/>
          <w:color w:val="auto"/>
          <w:spacing w:val="6"/>
          <w:sz w:val="32"/>
          <w:szCs w:val="32"/>
          <w:highlight w:val="none"/>
        </w:rPr>
      </w:pPr>
    </w:p>
    <w:p w14:paraId="111C2457">
      <w:pPr>
        <w:spacing w:line="360" w:lineRule="auto"/>
        <w:jc w:val="center"/>
        <w:rPr>
          <w:rFonts w:hint="eastAsia" w:ascii="宋体" w:hAnsi="宋体" w:cs="宋体"/>
          <w:b/>
          <w:color w:val="auto"/>
          <w:spacing w:val="6"/>
          <w:sz w:val="32"/>
          <w:szCs w:val="32"/>
          <w:highlight w:val="none"/>
        </w:rPr>
      </w:pPr>
    </w:p>
    <w:p w14:paraId="7FAAE9CE">
      <w:pPr>
        <w:spacing w:line="360" w:lineRule="auto"/>
        <w:jc w:val="center"/>
        <w:rPr>
          <w:rFonts w:hint="eastAsia" w:ascii="宋体" w:hAnsi="宋体" w:cs="宋体"/>
          <w:b/>
          <w:color w:val="auto"/>
          <w:spacing w:val="6"/>
          <w:sz w:val="32"/>
          <w:szCs w:val="32"/>
          <w:highlight w:val="none"/>
        </w:rPr>
      </w:pPr>
    </w:p>
    <w:p w14:paraId="5AD8799F">
      <w:pPr>
        <w:spacing w:line="360" w:lineRule="auto"/>
        <w:jc w:val="center"/>
        <w:rPr>
          <w:rFonts w:hint="eastAsia" w:ascii="宋体" w:hAnsi="宋体" w:cs="宋体"/>
          <w:b/>
          <w:color w:val="auto"/>
          <w:spacing w:val="6"/>
          <w:sz w:val="32"/>
          <w:szCs w:val="32"/>
          <w:highlight w:val="none"/>
        </w:rPr>
      </w:pPr>
    </w:p>
    <w:p w14:paraId="3DBEB748">
      <w:pPr>
        <w:spacing w:line="360" w:lineRule="auto"/>
        <w:jc w:val="center"/>
        <w:rPr>
          <w:rFonts w:hint="eastAsia" w:ascii="宋体" w:hAnsi="宋体" w:cs="宋体"/>
          <w:b/>
          <w:color w:val="auto"/>
          <w:spacing w:val="6"/>
          <w:sz w:val="32"/>
          <w:szCs w:val="32"/>
          <w:highlight w:val="none"/>
        </w:rPr>
      </w:pPr>
    </w:p>
    <w:p w14:paraId="588A1BEC">
      <w:pPr>
        <w:spacing w:line="360" w:lineRule="auto"/>
        <w:jc w:val="center"/>
        <w:rPr>
          <w:rFonts w:hint="eastAsia" w:ascii="宋体" w:hAnsi="宋体" w:cs="宋体"/>
          <w:b/>
          <w:color w:val="auto"/>
          <w:spacing w:val="6"/>
          <w:sz w:val="32"/>
          <w:szCs w:val="32"/>
          <w:highlight w:val="none"/>
        </w:rPr>
      </w:pPr>
    </w:p>
    <w:p w14:paraId="455E139C">
      <w:pPr>
        <w:spacing w:line="360" w:lineRule="auto"/>
        <w:jc w:val="center"/>
        <w:rPr>
          <w:rFonts w:hint="eastAsia" w:ascii="宋体" w:hAnsi="宋体" w:cs="宋体"/>
          <w:b/>
          <w:color w:val="auto"/>
          <w:spacing w:val="6"/>
          <w:sz w:val="32"/>
          <w:szCs w:val="32"/>
          <w:highlight w:val="none"/>
        </w:rPr>
      </w:pPr>
    </w:p>
    <w:p w14:paraId="45233092">
      <w:pPr>
        <w:spacing w:line="360" w:lineRule="auto"/>
        <w:jc w:val="center"/>
        <w:rPr>
          <w:rFonts w:hint="eastAsia" w:ascii="宋体" w:hAnsi="宋体" w:cs="宋体"/>
          <w:b/>
          <w:color w:val="auto"/>
          <w:spacing w:val="6"/>
          <w:sz w:val="32"/>
          <w:szCs w:val="32"/>
          <w:highlight w:val="none"/>
        </w:rPr>
      </w:pPr>
    </w:p>
    <w:p w14:paraId="720B3644">
      <w:pPr>
        <w:spacing w:line="360" w:lineRule="auto"/>
        <w:jc w:val="center"/>
        <w:rPr>
          <w:rFonts w:hint="eastAsia" w:ascii="宋体" w:hAnsi="宋体" w:cs="宋体"/>
          <w:b/>
          <w:color w:val="auto"/>
          <w:spacing w:val="6"/>
          <w:sz w:val="32"/>
          <w:szCs w:val="32"/>
          <w:highlight w:val="none"/>
        </w:rPr>
      </w:pPr>
    </w:p>
    <w:p w14:paraId="332DB7C1">
      <w:pPr>
        <w:spacing w:line="360" w:lineRule="auto"/>
        <w:jc w:val="center"/>
        <w:rPr>
          <w:rFonts w:hint="eastAsia" w:ascii="宋体" w:hAnsi="宋体" w:cs="宋体"/>
          <w:b/>
          <w:color w:val="auto"/>
          <w:spacing w:val="6"/>
          <w:sz w:val="32"/>
          <w:szCs w:val="32"/>
          <w:highlight w:val="none"/>
        </w:rPr>
      </w:pPr>
    </w:p>
    <w:p w14:paraId="7BEF3410">
      <w:pPr>
        <w:spacing w:line="360" w:lineRule="auto"/>
        <w:jc w:val="center"/>
        <w:rPr>
          <w:rFonts w:hint="eastAsia" w:ascii="宋体" w:hAnsi="宋体" w:cs="宋体"/>
          <w:b/>
          <w:color w:val="auto"/>
          <w:spacing w:val="6"/>
          <w:sz w:val="32"/>
          <w:szCs w:val="32"/>
          <w:highlight w:val="none"/>
        </w:rPr>
      </w:pPr>
    </w:p>
    <w:p w14:paraId="22AD388F">
      <w:pPr>
        <w:spacing w:line="360" w:lineRule="auto"/>
        <w:jc w:val="center"/>
        <w:rPr>
          <w:rFonts w:hint="eastAsia" w:ascii="宋体" w:hAnsi="宋体" w:cs="宋体"/>
          <w:b/>
          <w:color w:val="auto"/>
          <w:spacing w:val="6"/>
          <w:sz w:val="32"/>
          <w:szCs w:val="32"/>
          <w:highlight w:val="none"/>
        </w:rPr>
      </w:pPr>
    </w:p>
    <w:p w14:paraId="6A5F8B68">
      <w:pPr>
        <w:spacing w:line="360" w:lineRule="auto"/>
        <w:jc w:val="left"/>
        <w:rPr>
          <w:rFonts w:hint="eastAsia" w:ascii="宋体" w:hAnsi="宋体" w:cs="宋体"/>
          <w:b/>
          <w:color w:val="auto"/>
          <w:spacing w:val="6"/>
          <w:sz w:val="32"/>
          <w:szCs w:val="32"/>
          <w:highlight w:val="none"/>
        </w:rPr>
      </w:pPr>
    </w:p>
    <w:p w14:paraId="6E73FD3B">
      <w:pPr>
        <w:spacing w:line="360" w:lineRule="auto"/>
        <w:jc w:val="left"/>
        <w:rPr>
          <w:rFonts w:hint="eastAsia" w:ascii="宋体" w:hAnsi="宋体" w:cs="宋体"/>
          <w:b/>
          <w:color w:val="auto"/>
          <w:spacing w:val="6"/>
          <w:sz w:val="32"/>
          <w:szCs w:val="32"/>
          <w:highlight w:val="none"/>
        </w:rPr>
      </w:pPr>
    </w:p>
    <w:p w14:paraId="72C6A236">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4949F378">
      <w:pPr>
        <w:spacing w:line="360" w:lineRule="auto"/>
        <w:jc w:val="center"/>
        <w:rPr>
          <w:rFonts w:hint="eastAsia" w:ascii="宋体" w:hAnsi="宋体" w:cs="宋体"/>
          <w:b/>
          <w:color w:val="auto"/>
          <w:sz w:val="24"/>
          <w:highlight w:val="none"/>
        </w:rPr>
      </w:pPr>
    </w:p>
    <w:p w14:paraId="350E1431">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8296E38">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6876530D">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E5D0B8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2908399">
      <w:pPr>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D1575F3">
      <w:pPr>
        <w:tabs>
          <w:tab w:val="left" w:pos="6510"/>
        </w:tabs>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B5ABE60">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3462D35">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46413D45">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FD852F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8F296F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D96F433">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33231A46">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64B3CFC9">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137427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FFE818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1BC5398">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30DF9422">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C42B2C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5D0246C">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D1237A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EEEA5D0">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45BFEB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847B0B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0153F89D">
      <w:pPr>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D754A1F">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7A94BBF">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4CBC47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783D55A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40B1578">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84392E9">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367A0D9">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992AB7A">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AC950E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58313868">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734DD81A">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0C6853FC">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96AABD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2C4E060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484B297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0682A708">
      <w:pPr>
        <w:spacing w:line="360" w:lineRule="auto"/>
        <w:rPr>
          <w:rFonts w:hint="eastAsia" w:ascii="宋体" w:hAnsi="宋体" w:cs="宋体"/>
          <w:b/>
          <w:color w:val="auto"/>
          <w:sz w:val="24"/>
          <w:highlight w:val="none"/>
        </w:rPr>
      </w:pPr>
    </w:p>
    <w:p w14:paraId="5D4E877D">
      <w:pPr>
        <w:spacing w:line="360" w:lineRule="auto"/>
        <w:rPr>
          <w:rFonts w:hint="eastAsia" w:ascii="宋体" w:hAnsi="宋体" w:cs="宋体"/>
          <w:b/>
          <w:color w:val="auto"/>
          <w:sz w:val="24"/>
          <w:highlight w:val="none"/>
        </w:rPr>
      </w:pPr>
    </w:p>
    <w:p w14:paraId="28B0BF5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14:paraId="1FA97341">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2B747C0">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0C486100">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FBE051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47D5C66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6F2A2E9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04A65BE">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12E12DA">
      <w:pPr>
        <w:spacing w:line="360" w:lineRule="auto"/>
        <w:rPr>
          <w:rFonts w:hint="eastAsia" w:ascii="宋体" w:hAnsi="宋体" w:cs="宋体"/>
          <w:b/>
          <w:color w:val="auto"/>
          <w:sz w:val="24"/>
          <w:highlight w:val="none"/>
        </w:rPr>
      </w:pPr>
    </w:p>
    <w:p w14:paraId="5F95ED17">
      <w:pPr>
        <w:autoSpaceDE w:val="0"/>
        <w:autoSpaceDN w:val="0"/>
        <w:jc w:val="center"/>
        <w:rPr>
          <w:rFonts w:hint="eastAsia" w:ascii="宋体" w:hAnsi="宋体" w:cs="宋体"/>
          <w:b/>
          <w:color w:val="auto"/>
          <w:spacing w:val="6"/>
          <w:sz w:val="32"/>
          <w:szCs w:val="32"/>
          <w:highlight w:val="none"/>
        </w:rPr>
      </w:pPr>
    </w:p>
    <w:p w14:paraId="15B57888">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6DDDAAEE">
      <w:pPr>
        <w:spacing w:line="360" w:lineRule="auto"/>
        <w:rPr>
          <w:rFonts w:hint="eastAsia" w:ascii="宋体" w:hAnsi="宋体" w:cs="宋体"/>
          <w:color w:val="auto"/>
          <w:sz w:val="24"/>
          <w:highlight w:val="none"/>
          <w:u w:val="single"/>
        </w:rPr>
      </w:pPr>
    </w:p>
    <w:p w14:paraId="6BF36F22">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lang w:eastAsia="zh-CN"/>
        </w:rPr>
        <w:t>浙江省杭州第十一中学</w:t>
      </w:r>
      <w:r>
        <w:rPr>
          <w:rFonts w:hint="eastAsia" w:ascii="宋体" w:hAnsi="宋体" w:cs="宋体"/>
          <w:color w:val="auto"/>
          <w:sz w:val="24"/>
          <w:highlight w:val="none"/>
          <w:u w:val="single"/>
        </w:rPr>
        <w:t>、浙江中通通信有限公司</w:t>
      </w:r>
    </w:p>
    <w:p w14:paraId="74FB63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(供应商全称)是中华人民共和国依法登记注册的合法企业，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学生宿舍改造二期</w:t>
      </w:r>
      <w:r>
        <w:rPr>
          <w:rFonts w:hint="eastAsia" w:ascii="宋体" w:hAnsi="宋体" w:cs="宋体"/>
          <w:color w:val="auto"/>
          <w:sz w:val="24"/>
          <w:highlight w:val="none"/>
        </w:rPr>
        <w:t xml:space="preserve"> 项目【项目编号：</w:t>
      </w:r>
      <w:r>
        <w:rPr>
          <w:rFonts w:hint="eastAsia" w:ascii="宋体" w:hAnsi="宋体" w:cs="宋体"/>
          <w:color w:val="auto"/>
          <w:sz w:val="24"/>
          <w:highlight w:val="none"/>
          <w:lang w:eastAsia="zh-CN"/>
        </w:rPr>
        <w:t>330100261010240000003-0603</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B1806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特此说明。</w:t>
      </w:r>
    </w:p>
    <w:p w14:paraId="13CA618F">
      <w:pPr>
        <w:spacing w:line="360" w:lineRule="auto"/>
        <w:ind w:firstLine="494"/>
        <w:rPr>
          <w:rFonts w:hint="eastAsia" w:ascii="宋体" w:hAnsi="宋体" w:cs="宋体"/>
          <w:color w:val="auto"/>
          <w:sz w:val="24"/>
          <w:highlight w:val="none"/>
        </w:rPr>
      </w:pPr>
    </w:p>
    <w:p w14:paraId="560D7880">
      <w:pPr>
        <w:spacing w:line="360" w:lineRule="auto"/>
        <w:ind w:firstLine="494"/>
        <w:rPr>
          <w:rFonts w:hint="eastAsia" w:ascii="宋体" w:hAnsi="宋体" w:cs="宋体"/>
          <w:color w:val="auto"/>
          <w:sz w:val="24"/>
          <w:highlight w:val="none"/>
        </w:rPr>
      </w:pPr>
    </w:p>
    <w:p w14:paraId="5DD4A043">
      <w:pPr>
        <w:spacing w:line="360" w:lineRule="auto"/>
        <w:ind w:firstLine="494"/>
        <w:rPr>
          <w:rFonts w:hint="eastAsia" w:ascii="宋体" w:hAnsi="宋体" w:cs="宋体"/>
          <w:color w:val="auto"/>
          <w:sz w:val="24"/>
          <w:highlight w:val="none"/>
        </w:rPr>
      </w:pPr>
    </w:p>
    <w:p w14:paraId="41151B68">
      <w:pPr>
        <w:spacing w:line="360" w:lineRule="auto"/>
        <w:ind w:firstLine="494"/>
        <w:rPr>
          <w:rFonts w:hint="eastAsia" w:ascii="宋体" w:hAnsi="宋体" w:cs="宋体"/>
          <w:color w:val="auto"/>
          <w:sz w:val="24"/>
          <w:highlight w:val="none"/>
        </w:rPr>
      </w:pPr>
    </w:p>
    <w:p w14:paraId="61C9424A">
      <w:pPr>
        <w:spacing w:line="360" w:lineRule="auto"/>
        <w:ind w:right="480" w:firstLine="4080" w:firstLineChars="1700"/>
        <w:rPr>
          <w:rFonts w:hint="eastAsia" w:ascii="宋体" w:hAnsi="宋体" w:cs="宋体"/>
          <w:color w:val="auto"/>
          <w:sz w:val="24"/>
          <w:highlight w:val="none"/>
        </w:rPr>
      </w:pPr>
      <w:r>
        <w:rPr>
          <w:rFonts w:hint="eastAsia" w:ascii="宋体" w:hAnsi="宋体" w:cs="宋体"/>
          <w:color w:val="auto"/>
          <w:sz w:val="24"/>
          <w:highlight w:val="none"/>
        </w:rPr>
        <w:t>供应商（法定名称章）：</w:t>
      </w:r>
    </w:p>
    <w:p w14:paraId="0101051A">
      <w:pPr>
        <w:ind w:right="1440" w:firstLine="494"/>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1F2D5F5C">
      <w:pPr>
        <w:rPr>
          <w:rFonts w:hint="eastAsia" w:ascii="宋体" w:hAnsi="宋体" w:cs="宋体"/>
          <w:color w:val="auto"/>
          <w:sz w:val="24"/>
          <w:highlight w:val="none"/>
        </w:rPr>
      </w:pPr>
      <w:r>
        <w:rPr>
          <w:rFonts w:hint="eastAsia" w:ascii="宋体" w:hAnsi="宋体" w:cs="宋体"/>
          <w:b/>
          <w:bCs/>
          <w:color w:val="auto"/>
          <w:sz w:val="24"/>
          <w:highlight w:val="none"/>
        </w:rPr>
        <w:t>附：</w:t>
      </w:r>
    </w:p>
    <w:p w14:paraId="2AB006A5">
      <w:pPr>
        <w:spacing w:line="360" w:lineRule="auto"/>
        <w:rPr>
          <w:rFonts w:hint="eastAsia"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w:t>供应商</w:t>
      </w:r>
      <w:r>
        <w:rPr>
          <w:rFonts w:hint="eastAsia" w:ascii="宋体" w:hAnsi="宋体" w:cs="宋体"/>
          <w:color w:val="auto"/>
          <w:sz w:val="24"/>
          <w:highlight w:val="none"/>
        </w:rPr>
        <w:t>法定名称章（印模）                供应商“XX专用章”（印模）</w:t>
      </w:r>
    </w:p>
    <w:p w14:paraId="3DFBAC17">
      <w:pPr>
        <w:autoSpaceDE w:val="0"/>
        <w:autoSpaceDN w:val="0"/>
        <w:jc w:val="center"/>
        <w:rPr>
          <w:rFonts w:hint="eastAsia" w:ascii="宋体" w:hAnsi="宋体" w:cs="宋体"/>
          <w:b/>
          <w:color w:val="auto"/>
          <w:spacing w:val="6"/>
          <w:sz w:val="32"/>
          <w:szCs w:val="32"/>
          <w:highlight w:val="none"/>
        </w:rPr>
      </w:pPr>
    </w:p>
    <w:p w14:paraId="7B05BCC4">
      <w:pPr>
        <w:autoSpaceDE w:val="0"/>
        <w:autoSpaceDN w:val="0"/>
        <w:jc w:val="center"/>
        <w:rPr>
          <w:rFonts w:hint="eastAsia" w:ascii="宋体" w:hAnsi="宋体" w:cs="宋体"/>
          <w:b/>
          <w:color w:val="auto"/>
          <w:spacing w:val="6"/>
          <w:sz w:val="32"/>
          <w:szCs w:val="32"/>
          <w:highlight w:val="none"/>
        </w:rPr>
      </w:pPr>
    </w:p>
    <w:p w14:paraId="26279B99">
      <w:pPr>
        <w:autoSpaceDE w:val="0"/>
        <w:autoSpaceDN w:val="0"/>
        <w:jc w:val="center"/>
        <w:rPr>
          <w:rFonts w:hint="eastAsia" w:ascii="宋体" w:hAnsi="宋体" w:cs="宋体"/>
          <w:b/>
          <w:color w:val="auto"/>
          <w:spacing w:val="6"/>
          <w:sz w:val="32"/>
          <w:szCs w:val="32"/>
          <w:highlight w:val="none"/>
        </w:rPr>
      </w:pPr>
    </w:p>
    <w:p w14:paraId="588901BD">
      <w:pPr>
        <w:autoSpaceDE w:val="0"/>
        <w:autoSpaceDN w:val="0"/>
        <w:jc w:val="center"/>
        <w:rPr>
          <w:rFonts w:hint="eastAsia" w:ascii="宋体" w:hAnsi="宋体" w:cs="宋体"/>
          <w:b/>
          <w:color w:val="auto"/>
          <w:spacing w:val="6"/>
          <w:sz w:val="32"/>
          <w:szCs w:val="32"/>
          <w:highlight w:val="none"/>
        </w:rPr>
      </w:pPr>
    </w:p>
    <w:p w14:paraId="1B14A29A">
      <w:pPr>
        <w:autoSpaceDE w:val="0"/>
        <w:autoSpaceDN w:val="0"/>
        <w:jc w:val="center"/>
        <w:rPr>
          <w:rFonts w:hint="eastAsia" w:ascii="宋体" w:hAnsi="宋体" w:cs="宋体"/>
          <w:b/>
          <w:color w:val="auto"/>
          <w:spacing w:val="6"/>
          <w:sz w:val="32"/>
          <w:szCs w:val="32"/>
          <w:highlight w:val="none"/>
        </w:rPr>
      </w:pPr>
    </w:p>
    <w:p w14:paraId="01AEB9DA">
      <w:pPr>
        <w:autoSpaceDE w:val="0"/>
        <w:autoSpaceDN w:val="0"/>
        <w:jc w:val="center"/>
        <w:rPr>
          <w:rFonts w:hint="eastAsia" w:ascii="宋体" w:hAnsi="宋体" w:cs="宋体"/>
          <w:b/>
          <w:color w:val="auto"/>
          <w:spacing w:val="6"/>
          <w:sz w:val="32"/>
          <w:szCs w:val="32"/>
          <w:highlight w:val="none"/>
        </w:rPr>
      </w:pPr>
    </w:p>
    <w:p w14:paraId="271C93BF">
      <w:pPr>
        <w:autoSpaceDE w:val="0"/>
        <w:autoSpaceDN w:val="0"/>
        <w:jc w:val="center"/>
        <w:rPr>
          <w:rFonts w:hint="eastAsia" w:ascii="宋体" w:hAnsi="宋体" w:cs="宋体"/>
          <w:b/>
          <w:color w:val="auto"/>
          <w:spacing w:val="6"/>
          <w:sz w:val="32"/>
          <w:szCs w:val="32"/>
          <w:highlight w:val="none"/>
        </w:rPr>
      </w:pPr>
    </w:p>
    <w:p w14:paraId="0E5CDF08">
      <w:pPr>
        <w:autoSpaceDE w:val="0"/>
        <w:autoSpaceDN w:val="0"/>
        <w:jc w:val="center"/>
        <w:rPr>
          <w:rFonts w:hint="eastAsia" w:ascii="宋体" w:hAnsi="宋体" w:cs="宋体"/>
          <w:b/>
          <w:color w:val="auto"/>
          <w:spacing w:val="6"/>
          <w:sz w:val="32"/>
          <w:szCs w:val="32"/>
          <w:highlight w:val="none"/>
        </w:rPr>
      </w:pPr>
    </w:p>
    <w:p w14:paraId="1BE4FBD1">
      <w:pPr>
        <w:autoSpaceDE w:val="0"/>
        <w:autoSpaceDN w:val="0"/>
        <w:jc w:val="center"/>
        <w:rPr>
          <w:rFonts w:hint="eastAsia" w:ascii="宋体" w:hAnsi="宋体" w:cs="宋体"/>
          <w:b/>
          <w:color w:val="auto"/>
          <w:spacing w:val="6"/>
          <w:sz w:val="32"/>
          <w:szCs w:val="32"/>
          <w:highlight w:val="none"/>
        </w:rPr>
      </w:pPr>
    </w:p>
    <w:p w14:paraId="3A9D4676">
      <w:pPr>
        <w:autoSpaceDE w:val="0"/>
        <w:autoSpaceDN w:val="0"/>
        <w:jc w:val="center"/>
        <w:rPr>
          <w:rFonts w:hint="eastAsia" w:ascii="宋体" w:hAnsi="宋体" w:cs="宋体"/>
          <w:b/>
          <w:color w:val="auto"/>
          <w:spacing w:val="6"/>
          <w:sz w:val="32"/>
          <w:szCs w:val="32"/>
          <w:highlight w:val="none"/>
        </w:rPr>
      </w:pPr>
    </w:p>
    <w:p w14:paraId="3EA4E5EC">
      <w:pPr>
        <w:autoSpaceDE w:val="0"/>
        <w:autoSpaceDN w:val="0"/>
        <w:jc w:val="center"/>
        <w:rPr>
          <w:rFonts w:hint="eastAsia" w:ascii="宋体" w:hAnsi="宋体" w:cs="宋体"/>
          <w:b/>
          <w:color w:val="auto"/>
          <w:spacing w:val="6"/>
          <w:sz w:val="32"/>
          <w:szCs w:val="32"/>
          <w:highlight w:val="none"/>
        </w:rPr>
      </w:pPr>
    </w:p>
    <w:p w14:paraId="57156C65">
      <w:pPr>
        <w:autoSpaceDE w:val="0"/>
        <w:autoSpaceDN w:val="0"/>
        <w:jc w:val="center"/>
        <w:rPr>
          <w:rFonts w:hint="eastAsia" w:ascii="宋体" w:hAnsi="宋体" w:cs="宋体"/>
          <w:b/>
          <w:color w:val="auto"/>
          <w:spacing w:val="6"/>
          <w:sz w:val="32"/>
          <w:szCs w:val="32"/>
          <w:highlight w:val="none"/>
        </w:rPr>
      </w:pPr>
    </w:p>
    <w:p w14:paraId="6BEC3A7A">
      <w:pPr>
        <w:autoSpaceDE w:val="0"/>
        <w:autoSpaceDN w:val="0"/>
        <w:jc w:val="center"/>
        <w:rPr>
          <w:rFonts w:hint="eastAsia" w:ascii="宋体" w:hAnsi="宋体" w:cs="宋体"/>
          <w:b/>
          <w:color w:val="auto"/>
          <w:spacing w:val="6"/>
          <w:sz w:val="32"/>
          <w:szCs w:val="32"/>
          <w:highlight w:val="none"/>
        </w:rPr>
      </w:pPr>
    </w:p>
    <w:p w14:paraId="608C47B7">
      <w:pPr>
        <w:autoSpaceDE w:val="0"/>
        <w:autoSpaceDN w:val="0"/>
        <w:jc w:val="center"/>
        <w:rPr>
          <w:rFonts w:hint="eastAsia" w:ascii="宋体" w:hAnsi="宋体" w:cs="宋体"/>
          <w:b/>
          <w:color w:val="auto"/>
          <w:spacing w:val="6"/>
          <w:sz w:val="32"/>
          <w:szCs w:val="32"/>
          <w:highlight w:val="none"/>
        </w:rPr>
      </w:pPr>
    </w:p>
    <w:p w14:paraId="00A818D1">
      <w:pPr>
        <w:autoSpaceDE w:val="0"/>
        <w:autoSpaceDN w:val="0"/>
        <w:jc w:val="center"/>
        <w:rPr>
          <w:rFonts w:hint="eastAsia" w:ascii="宋体" w:hAnsi="宋体" w:cs="宋体"/>
          <w:b/>
          <w:color w:val="auto"/>
          <w:spacing w:val="6"/>
          <w:sz w:val="32"/>
          <w:szCs w:val="32"/>
          <w:highlight w:val="none"/>
        </w:rPr>
      </w:pPr>
    </w:p>
    <w:p w14:paraId="4BCCBB87">
      <w:pPr>
        <w:autoSpaceDE w:val="0"/>
        <w:autoSpaceDN w:val="0"/>
        <w:jc w:val="center"/>
        <w:rPr>
          <w:rFonts w:hint="eastAsia" w:ascii="宋体" w:hAnsi="宋体" w:cs="宋体"/>
          <w:b/>
          <w:color w:val="auto"/>
          <w:spacing w:val="6"/>
          <w:sz w:val="32"/>
          <w:szCs w:val="32"/>
          <w:highlight w:val="none"/>
        </w:rPr>
      </w:pPr>
    </w:p>
    <w:p w14:paraId="08430D54">
      <w:pPr>
        <w:autoSpaceDE w:val="0"/>
        <w:autoSpaceDN w:val="0"/>
        <w:jc w:val="center"/>
        <w:rPr>
          <w:rFonts w:hint="eastAsia" w:ascii="宋体" w:hAnsi="宋体" w:cs="宋体"/>
          <w:b/>
          <w:color w:val="auto"/>
          <w:spacing w:val="6"/>
          <w:sz w:val="32"/>
          <w:szCs w:val="32"/>
          <w:highlight w:val="none"/>
        </w:rPr>
      </w:pPr>
    </w:p>
    <w:p w14:paraId="0F6301F2">
      <w:pPr>
        <w:autoSpaceDE w:val="0"/>
        <w:autoSpaceDN w:val="0"/>
        <w:jc w:val="center"/>
        <w:rPr>
          <w:rFonts w:hint="eastAsia"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644E5DC1">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（以联合体形式参与的，提供联合协议；本项目不接受联合体或者供应商不以联合体形式参与的，则不需要提供）</w:t>
      </w:r>
    </w:p>
    <w:p w14:paraId="2D6FA1D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组成一个联合体，以一个供应商的身份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学生宿舍改造二期</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330100261010240000003-0603</w:t>
      </w:r>
      <w:r>
        <w:rPr>
          <w:rFonts w:hint="eastAsia" w:ascii="宋体" w:hAnsi="宋体" w:cs="宋体"/>
          <w:color w:val="auto"/>
          <w:sz w:val="24"/>
          <w:highlight w:val="none"/>
        </w:rPr>
        <w:t>】</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 xml:space="preserve">。 </w:t>
      </w:r>
    </w:p>
    <w:p w14:paraId="2EA057B9">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58522AE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授权代表根据采购文件规定及</w:t>
      </w:r>
      <w:r>
        <w:rPr>
          <w:rFonts w:hint="eastAsia" w:ascii="宋体" w:hAnsi="宋体" w:cs="宋体"/>
          <w:color w:val="auto"/>
          <w:kern w:val="0"/>
          <w:sz w:val="24"/>
          <w:highlight w:val="none"/>
        </w:rPr>
        <w:t>响应内容</w:t>
      </w:r>
      <w:r>
        <w:rPr>
          <w:rFonts w:hint="eastAsia" w:ascii="宋体" w:hAnsi="宋体" w:cs="宋体"/>
          <w:color w:val="auto"/>
          <w:kern w:val="0"/>
          <w:sz w:val="24"/>
          <w:highlight w:val="none"/>
          <w:lang w:val="zh-CN"/>
        </w:rPr>
        <w:t>而对采购人、采购代理机构所作的任何合法承诺，包括书面澄清及相应等均对联合投标各方产生约束力。</w:t>
      </w:r>
    </w:p>
    <w:p w14:paraId="6344997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中，分工如下：</w:t>
      </w:r>
    </w:p>
    <w:p w14:paraId="59C030E3">
      <w:pPr>
        <w:snapToGrid w:val="0"/>
        <w:spacing w:line="360" w:lineRule="auto"/>
        <w:ind w:firstLine="576"/>
        <w:rPr>
          <w:rFonts w:hint="eastAsia" w:ascii="宋体" w:hAnsi="宋体" w:cs="宋体"/>
          <w:color w:val="auto"/>
          <w:kern w:val="0"/>
          <w:sz w:val="24"/>
          <w:highlight w:val="none"/>
          <w:lang w:val="zh-CN"/>
        </w:rPr>
      </w:pPr>
      <w:bookmarkStart w:id="102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D20595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D0F6500">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1028"/>
    <w:p w14:paraId="72A26C0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5C17C0EE">
      <w:pPr>
        <w:snapToGrid w:val="0"/>
        <w:spacing w:line="360" w:lineRule="auto"/>
        <w:ind w:firstLine="576"/>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提供的全部工程由小微企业承建，其合同份额占到合同总金额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w:t>
      </w:r>
      <w:r>
        <w:rPr>
          <w:rFonts w:hint="eastAsia" w:ascii="宋体" w:hAnsi="宋体" w:cs="宋体"/>
          <w:b/>
          <w:color w:val="auto"/>
          <w:kern w:val="0"/>
          <w:sz w:val="24"/>
          <w:highlight w:val="none"/>
        </w:rPr>
        <w:t>磋商</w:t>
      </w:r>
      <w:r>
        <w:rPr>
          <w:rFonts w:hint="eastAsia" w:ascii="宋体" w:hAnsi="宋体" w:cs="宋体"/>
          <w:b/>
          <w:color w:val="auto"/>
          <w:kern w:val="0"/>
          <w:sz w:val="24"/>
          <w:highlight w:val="none"/>
          <w:lang w:val="zh-CN"/>
        </w:rPr>
        <w:t>的，联合协议约定小微企业的合同份额占到合同总金额30%以上的，对联合体报价给予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65149B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4785065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五、如果成交，</w:t>
      </w:r>
      <w:r>
        <w:rPr>
          <w:rFonts w:hint="eastAsia" w:ascii="宋体" w:hAnsi="宋体" w:cs="宋体"/>
          <w:color w:val="auto"/>
          <w:sz w:val="24"/>
          <w:highlight w:val="none"/>
        </w:rPr>
        <w:t>联合体各成员方共同与采购人签订合同，并就采购合同约定的事项对采购人承担连带责任。</w:t>
      </w:r>
    </w:p>
    <w:p w14:paraId="5550CE7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的其他事宜：</w:t>
      </w:r>
    </w:p>
    <w:p w14:paraId="180D47B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50849F2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AD98D8F">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7184EE3">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A972D2F">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4AD524A">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383AE881">
      <w:pPr>
        <w:autoSpaceDE w:val="0"/>
        <w:autoSpaceDN w:val="0"/>
        <w:jc w:val="center"/>
        <w:rPr>
          <w:rFonts w:hint="eastAsia"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46F66E03">
      <w:pPr>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76E73810">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cs="宋体"/>
          <w:color w:val="auto"/>
          <w:sz w:val="24"/>
          <w:highlight w:val="none"/>
        </w:rPr>
        <w:t>）</w:t>
      </w:r>
    </w:p>
    <w:p w14:paraId="1F5EA8E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学生宿舍改造二期</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330100261010240000003-0603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的成交供应商，将依法采取分包方式履行合同。</w:t>
      </w: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D81D5AC">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48EEECB8">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0FC2264">
      <w:pPr>
        <w:tabs>
          <w:tab w:val="left" w:pos="432"/>
        </w:tabs>
        <w:ind w:left="664" w:leftChars="316" w:firstLine="228" w:firstLineChars="95"/>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33C01E1C">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6C4FF275">
      <w:pPr>
        <w:snapToGrid w:val="0"/>
        <w:spacing w:line="360" w:lineRule="auto"/>
        <w:ind w:firstLine="576"/>
        <w:rPr>
          <w:rFonts w:hint="eastAsia"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……）提供的工程全部由小微企业承建，</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2156DFC">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rPr>
        <w:t>2、</w:t>
      </w:r>
      <w:bookmarkStart w:id="102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要求合同分包形式参加的项目或采购包，供应商按采购文件第一部分竞争性磋商公告申请人的资格要求中规定的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1029"/>
    </w:p>
    <w:p w14:paraId="1B29439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9122EE1">
      <w:pPr>
        <w:snapToGrid w:val="0"/>
        <w:spacing w:line="360" w:lineRule="auto"/>
        <w:ind w:firstLine="576"/>
        <w:rPr>
          <w:rFonts w:hint="eastAsia" w:ascii="宋体" w:hAnsi="宋体" w:cs="宋体"/>
          <w:color w:val="auto"/>
          <w:highlight w:val="none"/>
          <w:u w:val="single"/>
        </w:rPr>
      </w:pPr>
      <w:r>
        <w:rPr>
          <w:rFonts w:hint="eastAsia" w:ascii="宋体" w:hAnsi="宋体" w:cs="宋体"/>
          <w:color w:val="auto"/>
          <w:highlight w:val="none"/>
          <w:u w:val="single"/>
        </w:rPr>
        <w:t xml:space="preserve">                                                                                  </w:t>
      </w:r>
    </w:p>
    <w:p w14:paraId="699D245C">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C88C738">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64F9B77">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270C0231">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2BCE31A">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6112FE">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E227D1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C263EC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42A378">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w:t>
      </w:r>
    </w:p>
    <w:p w14:paraId="71860A42">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p>
    <w:p w14:paraId="3E4473BF">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14:paraId="63194445">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B5CFBC2">
      <w:pPr>
        <w:autoSpaceDE w:val="0"/>
        <w:autoSpaceDN w:val="0"/>
        <w:jc w:val="center"/>
        <w:rPr>
          <w:rFonts w:hint="eastAsia" w:ascii="宋体" w:hAnsi="宋体" w:cs="宋体"/>
          <w:b/>
          <w:color w:val="auto"/>
          <w:spacing w:val="6"/>
          <w:sz w:val="32"/>
          <w:szCs w:val="32"/>
          <w:highlight w:val="none"/>
        </w:rPr>
      </w:pPr>
    </w:p>
    <w:p w14:paraId="19332283">
      <w:pPr>
        <w:autoSpaceDE w:val="0"/>
        <w:autoSpaceDN w:val="0"/>
        <w:jc w:val="center"/>
        <w:rPr>
          <w:rFonts w:hint="eastAsia"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59BFB7AE">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7</w:t>
      </w:r>
      <w:r>
        <w:rPr>
          <w:rFonts w:hint="eastAsia" w:ascii="宋体" w:hAnsi="宋体" w:cs="宋体"/>
          <w:b/>
          <w:color w:val="auto"/>
          <w:spacing w:val="6"/>
          <w:sz w:val="32"/>
          <w:szCs w:val="32"/>
          <w:highlight w:val="none"/>
        </w:rPr>
        <w:t>：</w:t>
      </w:r>
      <w:r>
        <w:rPr>
          <w:rFonts w:hint="eastAsia" w:ascii="宋体" w:hAnsi="宋体" w:cs="宋体"/>
          <w:b/>
          <w:color w:val="auto"/>
          <w:sz w:val="32"/>
          <w:szCs w:val="32"/>
          <w:highlight w:val="none"/>
        </w:rPr>
        <w:t>中小企业声明函</w:t>
      </w:r>
    </w:p>
    <w:p w14:paraId="2AF681FA">
      <w:pPr>
        <w:spacing w:line="360" w:lineRule="auto"/>
        <w:jc w:val="center"/>
        <w:rPr>
          <w:rFonts w:hint="eastAsia" w:ascii="宋体" w:hAnsi="宋体" w:cs="宋体"/>
          <w:color w:val="auto"/>
          <w:sz w:val="24"/>
          <w:highlight w:val="none"/>
          <w:u w:val="single"/>
        </w:rPr>
      </w:pPr>
    </w:p>
    <w:p w14:paraId="4DE51FA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中小企业声明函（工程）</w:t>
      </w:r>
    </w:p>
    <w:p w14:paraId="69FBF640">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浙江省杭州第十一中学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学生宿舍改造二期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222D20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0CDF91F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7F042A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p>
    <w:p w14:paraId="573A8DF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C648D4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88D9DA3">
      <w:pPr>
        <w:spacing w:line="360" w:lineRule="auto"/>
        <w:ind w:firstLine="480" w:firstLineChars="200"/>
        <w:rPr>
          <w:rFonts w:hint="eastAsia" w:ascii="宋体" w:hAnsi="宋体" w:cs="宋体"/>
          <w:color w:val="auto"/>
          <w:sz w:val="24"/>
          <w:highlight w:val="none"/>
        </w:rPr>
      </w:pPr>
    </w:p>
    <w:p w14:paraId="2BE547F7">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160688BA">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3B811AD">
      <w:pPr>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从业人员、营业收入、资产总额填报上一年度数据，无上一年度数据的新成立企业可不填报。</w:t>
      </w:r>
    </w:p>
    <w:p w14:paraId="178AE5FA">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46A57047">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采购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3D12012">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8C828EF">
      <w:pPr>
        <w:spacing w:line="360" w:lineRule="auto"/>
        <w:jc w:val="center"/>
        <w:rPr>
          <w:rFonts w:hint="eastAsia" w:ascii="宋体" w:hAnsi="宋体" w:cs="宋体"/>
          <w:b/>
          <w:color w:val="auto"/>
          <w:sz w:val="32"/>
          <w:szCs w:val="32"/>
          <w:highlight w:val="none"/>
        </w:rPr>
      </w:pPr>
    </w:p>
    <w:p w14:paraId="51D71CDC">
      <w:pPr>
        <w:spacing w:line="360" w:lineRule="auto"/>
        <w:rPr>
          <w:rFonts w:hint="eastAsia" w:ascii="宋体" w:hAnsi="宋体" w:cs="宋体"/>
          <w:bCs/>
          <w:color w:val="auto"/>
          <w:sz w:val="24"/>
          <w:highlight w:val="none"/>
        </w:rPr>
        <w:sectPr>
          <w:pgSz w:w="11906" w:h="16838"/>
          <w:pgMar w:top="1440" w:right="1080" w:bottom="1440" w:left="1080" w:header="851" w:footer="992" w:gutter="0"/>
          <w:cols w:space="720" w:num="1"/>
          <w:titlePg/>
          <w:docGrid w:linePitch="312" w:charSpace="0"/>
        </w:sectPr>
      </w:pPr>
    </w:p>
    <w:p w14:paraId="447AFB10">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附件8：工程量清单（另附）</w:t>
      </w:r>
    </w:p>
    <w:p w14:paraId="3CFE782B">
      <w:pPr>
        <w:spacing w:line="360" w:lineRule="auto"/>
        <w:rPr>
          <w:rFonts w:hint="eastAsia" w:ascii="宋体" w:hAnsi="宋体" w:cs="宋体"/>
          <w:b/>
          <w:color w:val="auto"/>
          <w:spacing w:val="6"/>
          <w:sz w:val="32"/>
          <w:szCs w:val="32"/>
          <w:highlight w:val="none"/>
        </w:rPr>
      </w:pPr>
    </w:p>
    <w:p w14:paraId="0954DDEB">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附件9：图纸（另附）</w:t>
      </w:r>
    </w:p>
    <w:p w14:paraId="17D2411D">
      <w:pPr>
        <w:pStyle w:val="25"/>
        <w:rPr>
          <w:rFonts w:hint="eastAsia"/>
          <w:color w:val="auto"/>
          <w:highlight w:val="none"/>
        </w:rPr>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00000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1FF"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B" w:csb1="00000000"/>
  </w:font>
  <w:font w:name=".PingFang SC">
    <w:altName w:val="微软雅黑"/>
    <w:panose1 w:val="00000000000000000000"/>
    <w:charset w:val="00"/>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A44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AFF7">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A244">
    <w:pPr>
      <w:pStyle w:val="40"/>
      <w:framePr w:wrap="around" w:vAnchor="text" w:hAnchor="margin" w:xAlign="right" w:y="1"/>
      <w:rPr>
        <w:rStyle w:val="73"/>
      </w:rPr>
    </w:pPr>
    <w:r>
      <w:fldChar w:fldCharType="begin"/>
    </w:r>
    <w:r>
      <w:rPr>
        <w:rStyle w:val="73"/>
      </w:rPr>
      <w:instrText xml:space="preserve">PAGE  </w:instrText>
    </w:r>
    <w:r>
      <w:fldChar w:fldCharType="end"/>
    </w:r>
  </w:p>
  <w:p w14:paraId="44C608CF">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0FB7">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1030" w:name="_Toc164085800"/>
    <w:bookmarkStart w:id="1031" w:name="_Toc36110187"/>
    <w:bookmarkStart w:id="1032" w:name="_Toc91899912"/>
    <w:bookmarkStart w:id="1033" w:name="_Toc131845147"/>
    <w:r>
      <w:rPr>
        <w:rFonts w:hint="eastAsia" w:ascii="仿宋_GB2312" w:eastAsia="仿宋_GB2312"/>
        <w:kern w:val="0"/>
        <w:szCs w:val="21"/>
      </w:rPr>
      <w:t xml:space="preserve"> 页</w:t>
    </w:r>
    <w:bookmarkEnd w:id="1030"/>
    <w:bookmarkEnd w:id="1031"/>
    <w:bookmarkEnd w:id="1032"/>
    <w:bookmarkEnd w:id="103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5752">
    <w:pPr>
      <w:pStyle w:val="40"/>
      <w:framePr w:wrap="around" w:vAnchor="text" w:hAnchor="margin" w:xAlign="right" w:y="1"/>
      <w:rPr>
        <w:rStyle w:val="73"/>
      </w:rPr>
    </w:pPr>
    <w:r>
      <w:fldChar w:fldCharType="begin"/>
    </w:r>
    <w:r>
      <w:rPr>
        <w:rStyle w:val="73"/>
      </w:rPr>
      <w:instrText xml:space="preserve">PAGE  </w:instrText>
    </w:r>
    <w:r>
      <w:fldChar w:fldCharType="end"/>
    </w:r>
  </w:p>
  <w:p w14:paraId="0E25ACCC">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D13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DBC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2C0EE83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A1D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7D1655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CE19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27F635F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CC9B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2FC4A89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058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21512D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13B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705042B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EA8D">
    <w:pPr>
      <w:pStyle w:val="41"/>
      <w:pBdr>
        <w:bottom w:val="single" w:color="auto" w:sz="6" w:space="0"/>
      </w:pBdr>
      <w:jc w:val="right"/>
      <w:rPr>
        <w:rFonts w:ascii="仿宋_GB2312" w:eastAsia="仿宋_GB2312"/>
        <w:i/>
        <w:u w:val="single"/>
      </w:rPr>
    </w:pPr>
    <w:r>
      <w:rPr>
        <w:lang w:val="zh-CN"/>
      </w:rPr>
      <w:t>杭州市政府采购</w:t>
    </w:r>
    <w:r>
      <w:rPr>
        <w:rFonts w:hint="eastAsia"/>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7D51">
    <w:pPr>
      <w:pStyle w:val="41"/>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9400">
    <w:pPr>
      <w:pStyle w:val="41"/>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A2EA4">
    <w:pPr>
      <w:pStyle w:val="41"/>
      <w:pBdr>
        <w:bottom w:val="single" w:color="auto" w:sz="6" w:space="0"/>
      </w:pBdr>
      <w:tabs>
        <w:tab w:val="center" w:pos="4535"/>
        <w:tab w:val="right" w:pos="9070"/>
        <w:tab w:val="clear" w:pos="4153"/>
        <w:tab w:val="clear" w:pos="8306"/>
      </w:tabs>
      <w:jc w:val="right"/>
      <w:rPr>
        <w:rFonts w:ascii="仿宋_GB2312" w:eastAsia="仿宋_GB2312"/>
        <w:b/>
        <w:i/>
        <w:u w:val="single"/>
      </w:rPr>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D8EE">
    <w:pPr>
      <w:pStyle w:val="41"/>
      <w:pBdr>
        <w:bottom w:val="single" w:color="auto" w:sz="6" w:space="0"/>
      </w:pBdr>
      <w:tabs>
        <w:tab w:val="center" w:pos="4535"/>
        <w:tab w:val="right" w:pos="9070"/>
        <w:tab w:val="clear" w:pos="4153"/>
        <w:tab w:val="clear" w:pos="8306"/>
      </w:tabs>
      <w:jc w:val="right"/>
      <w:rPr>
        <w:rFonts w:ascii="仿宋_GB2312"/>
        <w:b/>
        <w:i/>
        <w:iCs/>
        <w:u w:val="single"/>
      </w:rPr>
    </w:pPr>
    <w:r>
      <w:rPr>
        <w:lang w:val="zh-CN"/>
      </w:rPr>
      <w:t>杭州市政府采购</w:t>
    </w:r>
    <w:r>
      <w:rPr>
        <w:rFonts w:hint="eastAsia"/>
        <w:lang w:val="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30BAFDEF"/>
    <w:multiLevelType w:val="singleLevel"/>
    <w:tmpl w:val="30BAFDEF"/>
    <w:lvl w:ilvl="0" w:tentative="0">
      <w:start w:val="5"/>
      <w:numFmt w:val="decimal"/>
      <w:suff w:val="nothing"/>
      <w:lvlText w:val="（%1）"/>
      <w:lvlJc w:val="left"/>
    </w:lvl>
  </w:abstractNum>
  <w:abstractNum w:abstractNumId="2">
    <w:nsid w:val="7D437654"/>
    <w:multiLevelType w:val="singleLevel"/>
    <w:tmpl w:val="7D437654"/>
    <w:lvl w:ilvl="0" w:tentative="0">
      <w:start w:val="10"/>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7D6"/>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4AF"/>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23"/>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4E9"/>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58C"/>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3E6"/>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916"/>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6D0"/>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0FC"/>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483505"/>
    <w:rsid w:val="01675739"/>
    <w:rsid w:val="016A4929"/>
    <w:rsid w:val="01761E20"/>
    <w:rsid w:val="019F7441"/>
    <w:rsid w:val="01B37585"/>
    <w:rsid w:val="01B645B5"/>
    <w:rsid w:val="01BD35AB"/>
    <w:rsid w:val="01C65DA5"/>
    <w:rsid w:val="01D55165"/>
    <w:rsid w:val="01DF6BF8"/>
    <w:rsid w:val="01E32035"/>
    <w:rsid w:val="01E70DB5"/>
    <w:rsid w:val="01EC2C57"/>
    <w:rsid w:val="0213289B"/>
    <w:rsid w:val="024366BA"/>
    <w:rsid w:val="024B6E08"/>
    <w:rsid w:val="02510197"/>
    <w:rsid w:val="025F0711"/>
    <w:rsid w:val="026B2E25"/>
    <w:rsid w:val="02755FB4"/>
    <w:rsid w:val="02824D4D"/>
    <w:rsid w:val="02A66735"/>
    <w:rsid w:val="02DC4B10"/>
    <w:rsid w:val="02DD76CE"/>
    <w:rsid w:val="02E5725D"/>
    <w:rsid w:val="02F36323"/>
    <w:rsid w:val="02F5619C"/>
    <w:rsid w:val="02FA0F90"/>
    <w:rsid w:val="03123DCA"/>
    <w:rsid w:val="0326446A"/>
    <w:rsid w:val="032B09E8"/>
    <w:rsid w:val="032D5555"/>
    <w:rsid w:val="036634D2"/>
    <w:rsid w:val="03774EE7"/>
    <w:rsid w:val="03824AAC"/>
    <w:rsid w:val="03B66504"/>
    <w:rsid w:val="03DD35E4"/>
    <w:rsid w:val="03F040A4"/>
    <w:rsid w:val="04076900"/>
    <w:rsid w:val="0414147C"/>
    <w:rsid w:val="041A5A3B"/>
    <w:rsid w:val="042311BA"/>
    <w:rsid w:val="042B157A"/>
    <w:rsid w:val="043B4C5B"/>
    <w:rsid w:val="043C2EF0"/>
    <w:rsid w:val="048F763B"/>
    <w:rsid w:val="04910D1F"/>
    <w:rsid w:val="049F330E"/>
    <w:rsid w:val="04AA775C"/>
    <w:rsid w:val="04AC7907"/>
    <w:rsid w:val="04AF1889"/>
    <w:rsid w:val="04C64E6C"/>
    <w:rsid w:val="04F66F48"/>
    <w:rsid w:val="04F75026"/>
    <w:rsid w:val="05251E14"/>
    <w:rsid w:val="054B35C3"/>
    <w:rsid w:val="05A16594"/>
    <w:rsid w:val="05A7762D"/>
    <w:rsid w:val="05AB7FC5"/>
    <w:rsid w:val="05E25CD6"/>
    <w:rsid w:val="05FB0AA5"/>
    <w:rsid w:val="060E5941"/>
    <w:rsid w:val="06110FAF"/>
    <w:rsid w:val="061E21DC"/>
    <w:rsid w:val="06493CA7"/>
    <w:rsid w:val="0653265B"/>
    <w:rsid w:val="065A6178"/>
    <w:rsid w:val="066F1CF3"/>
    <w:rsid w:val="06930BB8"/>
    <w:rsid w:val="06D62901"/>
    <w:rsid w:val="07245D42"/>
    <w:rsid w:val="07245E7A"/>
    <w:rsid w:val="07264C62"/>
    <w:rsid w:val="07506C6F"/>
    <w:rsid w:val="0779354C"/>
    <w:rsid w:val="077A3CEC"/>
    <w:rsid w:val="07852DBD"/>
    <w:rsid w:val="07853B29"/>
    <w:rsid w:val="07886409"/>
    <w:rsid w:val="07A46B95"/>
    <w:rsid w:val="07F7358F"/>
    <w:rsid w:val="08061376"/>
    <w:rsid w:val="08452D77"/>
    <w:rsid w:val="084A7B62"/>
    <w:rsid w:val="086401F8"/>
    <w:rsid w:val="08661343"/>
    <w:rsid w:val="08751CAA"/>
    <w:rsid w:val="087E4C40"/>
    <w:rsid w:val="08923AEE"/>
    <w:rsid w:val="089A4FBE"/>
    <w:rsid w:val="08A871D0"/>
    <w:rsid w:val="08D66AD6"/>
    <w:rsid w:val="08DA33A3"/>
    <w:rsid w:val="08E80F13"/>
    <w:rsid w:val="09335624"/>
    <w:rsid w:val="093F2701"/>
    <w:rsid w:val="0944690F"/>
    <w:rsid w:val="09535675"/>
    <w:rsid w:val="095F057D"/>
    <w:rsid w:val="09606B8F"/>
    <w:rsid w:val="09642282"/>
    <w:rsid w:val="09733572"/>
    <w:rsid w:val="09772C16"/>
    <w:rsid w:val="098353B5"/>
    <w:rsid w:val="09A92330"/>
    <w:rsid w:val="09B06B87"/>
    <w:rsid w:val="09C13146"/>
    <w:rsid w:val="09C474A0"/>
    <w:rsid w:val="09E04166"/>
    <w:rsid w:val="09F00295"/>
    <w:rsid w:val="0A1C0718"/>
    <w:rsid w:val="0A3E7710"/>
    <w:rsid w:val="0A5B7E63"/>
    <w:rsid w:val="0A703465"/>
    <w:rsid w:val="0A8A06EA"/>
    <w:rsid w:val="0AA374A5"/>
    <w:rsid w:val="0AAB7649"/>
    <w:rsid w:val="0AB37C41"/>
    <w:rsid w:val="0ABC5606"/>
    <w:rsid w:val="0ACA0AE6"/>
    <w:rsid w:val="0AFF2E86"/>
    <w:rsid w:val="0B045A39"/>
    <w:rsid w:val="0B30404E"/>
    <w:rsid w:val="0B32455D"/>
    <w:rsid w:val="0B473F7A"/>
    <w:rsid w:val="0B48482D"/>
    <w:rsid w:val="0B4C6C14"/>
    <w:rsid w:val="0B547599"/>
    <w:rsid w:val="0B631A88"/>
    <w:rsid w:val="0B683D45"/>
    <w:rsid w:val="0B6D4294"/>
    <w:rsid w:val="0B7F3F11"/>
    <w:rsid w:val="0B884417"/>
    <w:rsid w:val="0BF56037"/>
    <w:rsid w:val="0BF6188C"/>
    <w:rsid w:val="0BF73C91"/>
    <w:rsid w:val="0C170175"/>
    <w:rsid w:val="0C2C4EA9"/>
    <w:rsid w:val="0C571A41"/>
    <w:rsid w:val="0C594818"/>
    <w:rsid w:val="0C5C1171"/>
    <w:rsid w:val="0C5E1CBC"/>
    <w:rsid w:val="0C615B50"/>
    <w:rsid w:val="0C8445DA"/>
    <w:rsid w:val="0C87121B"/>
    <w:rsid w:val="0CC007F7"/>
    <w:rsid w:val="0CC617AC"/>
    <w:rsid w:val="0CE618DF"/>
    <w:rsid w:val="0CFE707A"/>
    <w:rsid w:val="0D063BDA"/>
    <w:rsid w:val="0D08375F"/>
    <w:rsid w:val="0D184CFB"/>
    <w:rsid w:val="0D4A7419"/>
    <w:rsid w:val="0D6671EC"/>
    <w:rsid w:val="0D827401"/>
    <w:rsid w:val="0D84094E"/>
    <w:rsid w:val="0D8713A0"/>
    <w:rsid w:val="0D8A00E9"/>
    <w:rsid w:val="0D8D589E"/>
    <w:rsid w:val="0D954E07"/>
    <w:rsid w:val="0DA01C73"/>
    <w:rsid w:val="0DB066B9"/>
    <w:rsid w:val="0DD63300"/>
    <w:rsid w:val="0DF50604"/>
    <w:rsid w:val="0DF702FE"/>
    <w:rsid w:val="0DFC36AD"/>
    <w:rsid w:val="0E060E51"/>
    <w:rsid w:val="0E2008DB"/>
    <w:rsid w:val="0E2624D8"/>
    <w:rsid w:val="0E5604B2"/>
    <w:rsid w:val="0E644A75"/>
    <w:rsid w:val="0E6D5D79"/>
    <w:rsid w:val="0E9D0089"/>
    <w:rsid w:val="0EA10D2A"/>
    <w:rsid w:val="0EB803EE"/>
    <w:rsid w:val="0ED307D9"/>
    <w:rsid w:val="0EF32D02"/>
    <w:rsid w:val="0EF94D4B"/>
    <w:rsid w:val="0F1E7653"/>
    <w:rsid w:val="0F386966"/>
    <w:rsid w:val="0F4958DC"/>
    <w:rsid w:val="0F515DF7"/>
    <w:rsid w:val="0F596BA8"/>
    <w:rsid w:val="0F6248D2"/>
    <w:rsid w:val="0F693536"/>
    <w:rsid w:val="0F7B0511"/>
    <w:rsid w:val="0F7B76D9"/>
    <w:rsid w:val="0F816ACD"/>
    <w:rsid w:val="0F9832DB"/>
    <w:rsid w:val="0FA43FFC"/>
    <w:rsid w:val="0FBD3E53"/>
    <w:rsid w:val="0FBF3FD2"/>
    <w:rsid w:val="0FBF7FF3"/>
    <w:rsid w:val="0FC10F8D"/>
    <w:rsid w:val="0FF7237E"/>
    <w:rsid w:val="0FF77AA0"/>
    <w:rsid w:val="100B5E29"/>
    <w:rsid w:val="10196798"/>
    <w:rsid w:val="1021389E"/>
    <w:rsid w:val="10480E2B"/>
    <w:rsid w:val="105060D5"/>
    <w:rsid w:val="10646583"/>
    <w:rsid w:val="107D4B15"/>
    <w:rsid w:val="108A3C80"/>
    <w:rsid w:val="10C26171"/>
    <w:rsid w:val="10F33360"/>
    <w:rsid w:val="10FC16EA"/>
    <w:rsid w:val="110F1949"/>
    <w:rsid w:val="110F1D40"/>
    <w:rsid w:val="111331E7"/>
    <w:rsid w:val="11266F33"/>
    <w:rsid w:val="118963A1"/>
    <w:rsid w:val="118B7221"/>
    <w:rsid w:val="1196499E"/>
    <w:rsid w:val="11A71B81"/>
    <w:rsid w:val="11B00A36"/>
    <w:rsid w:val="11BD13A5"/>
    <w:rsid w:val="11C6522A"/>
    <w:rsid w:val="11E104CC"/>
    <w:rsid w:val="11E20309"/>
    <w:rsid w:val="11EF4E02"/>
    <w:rsid w:val="12255233"/>
    <w:rsid w:val="12437C74"/>
    <w:rsid w:val="12530213"/>
    <w:rsid w:val="127723A9"/>
    <w:rsid w:val="12862074"/>
    <w:rsid w:val="12883966"/>
    <w:rsid w:val="12957C2C"/>
    <w:rsid w:val="129E45B4"/>
    <w:rsid w:val="12D81596"/>
    <w:rsid w:val="12E56E05"/>
    <w:rsid w:val="13051255"/>
    <w:rsid w:val="13072A44"/>
    <w:rsid w:val="133B07D3"/>
    <w:rsid w:val="135F4BE2"/>
    <w:rsid w:val="139B1A0A"/>
    <w:rsid w:val="139D25C7"/>
    <w:rsid w:val="13BF3CE4"/>
    <w:rsid w:val="13EE5846"/>
    <w:rsid w:val="141008D8"/>
    <w:rsid w:val="14125FE6"/>
    <w:rsid w:val="14357918"/>
    <w:rsid w:val="143B50A9"/>
    <w:rsid w:val="145025E8"/>
    <w:rsid w:val="146B16A8"/>
    <w:rsid w:val="146D271E"/>
    <w:rsid w:val="14982588"/>
    <w:rsid w:val="149A5AD9"/>
    <w:rsid w:val="14A7619D"/>
    <w:rsid w:val="14EB3E95"/>
    <w:rsid w:val="150536C3"/>
    <w:rsid w:val="150C1963"/>
    <w:rsid w:val="151447A0"/>
    <w:rsid w:val="152B4878"/>
    <w:rsid w:val="153951E6"/>
    <w:rsid w:val="154047C7"/>
    <w:rsid w:val="15455939"/>
    <w:rsid w:val="154A6454"/>
    <w:rsid w:val="155838BF"/>
    <w:rsid w:val="15762120"/>
    <w:rsid w:val="15C40F54"/>
    <w:rsid w:val="15D77F1B"/>
    <w:rsid w:val="15F014F9"/>
    <w:rsid w:val="16227A86"/>
    <w:rsid w:val="16590D93"/>
    <w:rsid w:val="16A8729C"/>
    <w:rsid w:val="16B33777"/>
    <w:rsid w:val="16B72F6A"/>
    <w:rsid w:val="16BC70A7"/>
    <w:rsid w:val="16C6339E"/>
    <w:rsid w:val="16DA00DD"/>
    <w:rsid w:val="16FB6BF7"/>
    <w:rsid w:val="17035AAC"/>
    <w:rsid w:val="172F215D"/>
    <w:rsid w:val="172F2D79"/>
    <w:rsid w:val="174F2A9F"/>
    <w:rsid w:val="17557BEF"/>
    <w:rsid w:val="176C53FF"/>
    <w:rsid w:val="177F1207"/>
    <w:rsid w:val="17D349C1"/>
    <w:rsid w:val="17E01949"/>
    <w:rsid w:val="182B350C"/>
    <w:rsid w:val="1830729E"/>
    <w:rsid w:val="18616F2E"/>
    <w:rsid w:val="18695DE3"/>
    <w:rsid w:val="186C7681"/>
    <w:rsid w:val="1870062C"/>
    <w:rsid w:val="18722EE9"/>
    <w:rsid w:val="187C3D68"/>
    <w:rsid w:val="18817102"/>
    <w:rsid w:val="18830A15"/>
    <w:rsid w:val="18852B28"/>
    <w:rsid w:val="188B5321"/>
    <w:rsid w:val="191F46F3"/>
    <w:rsid w:val="19487729"/>
    <w:rsid w:val="196C4CD9"/>
    <w:rsid w:val="19932372"/>
    <w:rsid w:val="19A20DD5"/>
    <w:rsid w:val="19AE03F1"/>
    <w:rsid w:val="19B13FAC"/>
    <w:rsid w:val="19B7492C"/>
    <w:rsid w:val="19B94B48"/>
    <w:rsid w:val="19EF51BA"/>
    <w:rsid w:val="1A071A03"/>
    <w:rsid w:val="1A1324AA"/>
    <w:rsid w:val="1A1F16AE"/>
    <w:rsid w:val="1A3B5C77"/>
    <w:rsid w:val="1A7B3BAB"/>
    <w:rsid w:val="1A984BAD"/>
    <w:rsid w:val="1AB8220E"/>
    <w:rsid w:val="1AE4166C"/>
    <w:rsid w:val="1AF06CFB"/>
    <w:rsid w:val="1AF11B8D"/>
    <w:rsid w:val="1B11359C"/>
    <w:rsid w:val="1B167682"/>
    <w:rsid w:val="1B28788F"/>
    <w:rsid w:val="1B2A271F"/>
    <w:rsid w:val="1B4072CF"/>
    <w:rsid w:val="1B530544"/>
    <w:rsid w:val="1B650AE3"/>
    <w:rsid w:val="1B713184"/>
    <w:rsid w:val="1B803B6F"/>
    <w:rsid w:val="1BA209CF"/>
    <w:rsid w:val="1BB13D28"/>
    <w:rsid w:val="1BB4777D"/>
    <w:rsid w:val="1BD75AB8"/>
    <w:rsid w:val="1BEC2FB3"/>
    <w:rsid w:val="1C0459C2"/>
    <w:rsid w:val="1C0A168B"/>
    <w:rsid w:val="1C1B3B4A"/>
    <w:rsid w:val="1C3F453D"/>
    <w:rsid w:val="1C525A3A"/>
    <w:rsid w:val="1C556DAA"/>
    <w:rsid w:val="1C746B04"/>
    <w:rsid w:val="1C7725CD"/>
    <w:rsid w:val="1C88086E"/>
    <w:rsid w:val="1CC23D13"/>
    <w:rsid w:val="1CEE6F01"/>
    <w:rsid w:val="1D1C1676"/>
    <w:rsid w:val="1D210A3A"/>
    <w:rsid w:val="1D266CE1"/>
    <w:rsid w:val="1D3963AF"/>
    <w:rsid w:val="1D3D0FE5"/>
    <w:rsid w:val="1D6A673C"/>
    <w:rsid w:val="1D87616A"/>
    <w:rsid w:val="1D9247AE"/>
    <w:rsid w:val="1DB567EC"/>
    <w:rsid w:val="1DF51A98"/>
    <w:rsid w:val="1E122A78"/>
    <w:rsid w:val="1E256365"/>
    <w:rsid w:val="1E3D060F"/>
    <w:rsid w:val="1E3F7D2E"/>
    <w:rsid w:val="1E4134E4"/>
    <w:rsid w:val="1E450758"/>
    <w:rsid w:val="1E5062B3"/>
    <w:rsid w:val="1E523514"/>
    <w:rsid w:val="1E714A66"/>
    <w:rsid w:val="1E802593"/>
    <w:rsid w:val="1E8B6156"/>
    <w:rsid w:val="1EA703CC"/>
    <w:rsid w:val="1EB7330C"/>
    <w:rsid w:val="1EB8717C"/>
    <w:rsid w:val="1F0A0FF3"/>
    <w:rsid w:val="1F5771FF"/>
    <w:rsid w:val="1F5F3A9B"/>
    <w:rsid w:val="1F646BF6"/>
    <w:rsid w:val="1F705CA9"/>
    <w:rsid w:val="1F904124"/>
    <w:rsid w:val="1FA53BA4"/>
    <w:rsid w:val="1FB72576"/>
    <w:rsid w:val="1FCD30FB"/>
    <w:rsid w:val="1FE868A9"/>
    <w:rsid w:val="20034907"/>
    <w:rsid w:val="20173E4B"/>
    <w:rsid w:val="20256A93"/>
    <w:rsid w:val="202645B9"/>
    <w:rsid w:val="204E48BC"/>
    <w:rsid w:val="208921B3"/>
    <w:rsid w:val="208E4512"/>
    <w:rsid w:val="20973DEB"/>
    <w:rsid w:val="20AB30E2"/>
    <w:rsid w:val="20B26522"/>
    <w:rsid w:val="20B44310"/>
    <w:rsid w:val="210E7527"/>
    <w:rsid w:val="211116EB"/>
    <w:rsid w:val="216133FC"/>
    <w:rsid w:val="21C67E02"/>
    <w:rsid w:val="21CD5401"/>
    <w:rsid w:val="21D56769"/>
    <w:rsid w:val="21E06B66"/>
    <w:rsid w:val="21E52EF3"/>
    <w:rsid w:val="21FB5D7B"/>
    <w:rsid w:val="22015E94"/>
    <w:rsid w:val="2208041A"/>
    <w:rsid w:val="220B1C3D"/>
    <w:rsid w:val="221026C4"/>
    <w:rsid w:val="221C2118"/>
    <w:rsid w:val="221D1D20"/>
    <w:rsid w:val="22334A87"/>
    <w:rsid w:val="226C7774"/>
    <w:rsid w:val="22BE6801"/>
    <w:rsid w:val="22F83FEB"/>
    <w:rsid w:val="233500BF"/>
    <w:rsid w:val="23377FF7"/>
    <w:rsid w:val="233B65CE"/>
    <w:rsid w:val="234F5BD5"/>
    <w:rsid w:val="236B425F"/>
    <w:rsid w:val="23836192"/>
    <w:rsid w:val="23901F29"/>
    <w:rsid w:val="239C0061"/>
    <w:rsid w:val="23B908A4"/>
    <w:rsid w:val="23E159F4"/>
    <w:rsid w:val="23E95BEF"/>
    <w:rsid w:val="23FD0064"/>
    <w:rsid w:val="23FE282D"/>
    <w:rsid w:val="242E4F59"/>
    <w:rsid w:val="245375B0"/>
    <w:rsid w:val="24642C0A"/>
    <w:rsid w:val="24833D88"/>
    <w:rsid w:val="24B22173"/>
    <w:rsid w:val="24B95AD9"/>
    <w:rsid w:val="24BE24DA"/>
    <w:rsid w:val="24C34ACD"/>
    <w:rsid w:val="24CF5825"/>
    <w:rsid w:val="24D663E6"/>
    <w:rsid w:val="24D77F2B"/>
    <w:rsid w:val="258B00E2"/>
    <w:rsid w:val="25A917A6"/>
    <w:rsid w:val="25B82157"/>
    <w:rsid w:val="25BE27CC"/>
    <w:rsid w:val="25DF5936"/>
    <w:rsid w:val="25F74A5C"/>
    <w:rsid w:val="26081B3A"/>
    <w:rsid w:val="2628662C"/>
    <w:rsid w:val="262D45DE"/>
    <w:rsid w:val="262F57E2"/>
    <w:rsid w:val="266320C3"/>
    <w:rsid w:val="26871DC8"/>
    <w:rsid w:val="269F0C21"/>
    <w:rsid w:val="26A53EF9"/>
    <w:rsid w:val="26A94201"/>
    <w:rsid w:val="26AC274F"/>
    <w:rsid w:val="26F251F5"/>
    <w:rsid w:val="2702368A"/>
    <w:rsid w:val="27044A29"/>
    <w:rsid w:val="270A69E3"/>
    <w:rsid w:val="271D34C8"/>
    <w:rsid w:val="273601D5"/>
    <w:rsid w:val="27532138"/>
    <w:rsid w:val="276142BF"/>
    <w:rsid w:val="27783712"/>
    <w:rsid w:val="27907362"/>
    <w:rsid w:val="27912C60"/>
    <w:rsid w:val="27A504B9"/>
    <w:rsid w:val="28333E1D"/>
    <w:rsid w:val="283B1F3C"/>
    <w:rsid w:val="28454BD6"/>
    <w:rsid w:val="28455253"/>
    <w:rsid w:val="284E28FF"/>
    <w:rsid w:val="28551971"/>
    <w:rsid w:val="285B1C53"/>
    <w:rsid w:val="289F7086"/>
    <w:rsid w:val="28C32028"/>
    <w:rsid w:val="28CC490F"/>
    <w:rsid w:val="28DE40AA"/>
    <w:rsid w:val="292A511A"/>
    <w:rsid w:val="29345E77"/>
    <w:rsid w:val="294C65AD"/>
    <w:rsid w:val="2951272C"/>
    <w:rsid w:val="29806583"/>
    <w:rsid w:val="298B3C4C"/>
    <w:rsid w:val="29B844D4"/>
    <w:rsid w:val="29F26D24"/>
    <w:rsid w:val="2A117E8B"/>
    <w:rsid w:val="2A15033F"/>
    <w:rsid w:val="2A1662C1"/>
    <w:rsid w:val="2A1C7367"/>
    <w:rsid w:val="2A2815FA"/>
    <w:rsid w:val="2A5E4860"/>
    <w:rsid w:val="2A5E7E2D"/>
    <w:rsid w:val="2A663566"/>
    <w:rsid w:val="2A6D6092"/>
    <w:rsid w:val="2A7D76B4"/>
    <w:rsid w:val="2A8039A1"/>
    <w:rsid w:val="2A806267"/>
    <w:rsid w:val="2A9036A3"/>
    <w:rsid w:val="2B1B2F6C"/>
    <w:rsid w:val="2B20576A"/>
    <w:rsid w:val="2B3E6C5B"/>
    <w:rsid w:val="2B437463"/>
    <w:rsid w:val="2B7807EE"/>
    <w:rsid w:val="2BA50BF7"/>
    <w:rsid w:val="2BBF00EC"/>
    <w:rsid w:val="2BC37CFD"/>
    <w:rsid w:val="2BD5237F"/>
    <w:rsid w:val="2BE536CE"/>
    <w:rsid w:val="2BE758D9"/>
    <w:rsid w:val="2C09049E"/>
    <w:rsid w:val="2C0A653C"/>
    <w:rsid w:val="2C1520B2"/>
    <w:rsid w:val="2C1874AC"/>
    <w:rsid w:val="2C191F85"/>
    <w:rsid w:val="2C3342E6"/>
    <w:rsid w:val="2C3806EC"/>
    <w:rsid w:val="2C622CBA"/>
    <w:rsid w:val="2C721EB8"/>
    <w:rsid w:val="2C770676"/>
    <w:rsid w:val="2CAD2187"/>
    <w:rsid w:val="2CE82D6F"/>
    <w:rsid w:val="2D343236"/>
    <w:rsid w:val="2D39592C"/>
    <w:rsid w:val="2D7C1CBC"/>
    <w:rsid w:val="2DD15014"/>
    <w:rsid w:val="2DF72DE4"/>
    <w:rsid w:val="2E0220AF"/>
    <w:rsid w:val="2E4B082A"/>
    <w:rsid w:val="2E4D0C9D"/>
    <w:rsid w:val="2E5D4E86"/>
    <w:rsid w:val="2E5D790B"/>
    <w:rsid w:val="2E9A3C18"/>
    <w:rsid w:val="2EB3155B"/>
    <w:rsid w:val="2EBB0FEE"/>
    <w:rsid w:val="2EC63002"/>
    <w:rsid w:val="2F0A6B38"/>
    <w:rsid w:val="2F5563C2"/>
    <w:rsid w:val="2F5B44D5"/>
    <w:rsid w:val="2F697F3B"/>
    <w:rsid w:val="2F7964B4"/>
    <w:rsid w:val="2F7E7F6E"/>
    <w:rsid w:val="2F8119E7"/>
    <w:rsid w:val="2F8F18E7"/>
    <w:rsid w:val="2F946CCB"/>
    <w:rsid w:val="2FD25781"/>
    <w:rsid w:val="2FDC745C"/>
    <w:rsid w:val="2FFB2B49"/>
    <w:rsid w:val="2FFD7934"/>
    <w:rsid w:val="30071D11"/>
    <w:rsid w:val="30234671"/>
    <w:rsid w:val="303D5733"/>
    <w:rsid w:val="30733ACD"/>
    <w:rsid w:val="308C3862"/>
    <w:rsid w:val="309379D8"/>
    <w:rsid w:val="309C7EC7"/>
    <w:rsid w:val="30A270F7"/>
    <w:rsid w:val="30AA14F8"/>
    <w:rsid w:val="30B362CA"/>
    <w:rsid w:val="30DF1478"/>
    <w:rsid w:val="30E91417"/>
    <w:rsid w:val="30EC586F"/>
    <w:rsid w:val="311D6E24"/>
    <w:rsid w:val="3138414C"/>
    <w:rsid w:val="316842DD"/>
    <w:rsid w:val="319C6071"/>
    <w:rsid w:val="31A11ECE"/>
    <w:rsid w:val="31AC537E"/>
    <w:rsid w:val="31E3679B"/>
    <w:rsid w:val="31E732FD"/>
    <w:rsid w:val="31EB11BF"/>
    <w:rsid w:val="324B37A0"/>
    <w:rsid w:val="325154C6"/>
    <w:rsid w:val="32517576"/>
    <w:rsid w:val="329326DF"/>
    <w:rsid w:val="32943604"/>
    <w:rsid w:val="3296737C"/>
    <w:rsid w:val="32A24AAE"/>
    <w:rsid w:val="32BE5C2C"/>
    <w:rsid w:val="32D51026"/>
    <w:rsid w:val="32D63C1D"/>
    <w:rsid w:val="32E62D19"/>
    <w:rsid w:val="32FB6478"/>
    <w:rsid w:val="32FE3175"/>
    <w:rsid w:val="330F5320"/>
    <w:rsid w:val="332410BB"/>
    <w:rsid w:val="33263B3F"/>
    <w:rsid w:val="335A1F1F"/>
    <w:rsid w:val="336963EB"/>
    <w:rsid w:val="337D6B81"/>
    <w:rsid w:val="33816EEB"/>
    <w:rsid w:val="339733AC"/>
    <w:rsid w:val="33CA5530"/>
    <w:rsid w:val="33EB55CD"/>
    <w:rsid w:val="33EC4C02"/>
    <w:rsid w:val="33FB4393"/>
    <w:rsid w:val="340D2360"/>
    <w:rsid w:val="3410665D"/>
    <w:rsid w:val="34211214"/>
    <w:rsid w:val="342E63AB"/>
    <w:rsid w:val="348558FB"/>
    <w:rsid w:val="348C0A37"/>
    <w:rsid w:val="34950E68"/>
    <w:rsid w:val="34986E94"/>
    <w:rsid w:val="34AF62C9"/>
    <w:rsid w:val="34BB756E"/>
    <w:rsid w:val="34C54D6F"/>
    <w:rsid w:val="34CB4388"/>
    <w:rsid w:val="34D0301A"/>
    <w:rsid w:val="34E76663"/>
    <w:rsid w:val="34FA6E12"/>
    <w:rsid w:val="351849C1"/>
    <w:rsid w:val="354D7158"/>
    <w:rsid w:val="354F2247"/>
    <w:rsid w:val="35670D6E"/>
    <w:rsid w:val="358D5588"/>
    <w:rsid w:val="35CF58BD"/>
    <w:rsid w:val="35E85C5E"/>
    <w:rsid w:val="36015455"/>
    <w:rsid w:val="361800A0"/>
    <w:rsid w:val="363A3B40"/>
    <w:rsid w:val="365302AE"/>
    <w:rsid w:val="365F7944"/>
    <w:rsid w:val="36607A0A"/>
    <w:rsid w:val="366E227C"/>
    <w:rsid w:val="366F2E0D"/>
    <w:rsid w:val="366F50DC"/>
    <w:rsid w:val="367B6A5C"/>
    <w:rsid w:val="36A74ADA"/>
    <w:rsid w:val="36AB4220"/>
    <w:rsid w:val="36AD60D5"/>
    <w:rsid w:val="36B224F9"/>
    <w:rsid w:val="36B23ECE"/>
    <w:rsid w:val="36E032BC"/>
    <w:rsid w:val="36E3469B"/>
    <w:rsid w:val="36EC0CC9"/>
    <w:rsid w:val="371D1E1A"/>
    <w:rsid w:val="373F410B"/>
    <w:rsid w:val="374A4272"/>
    <w:rsid w:val="37C077B1"/>
    <w:rsid w:val="37EE7094"/>
    <w:rsid w:val="38033706"/>
    <w:rsid w:val="38237904"/>
    <w:rsid w:val="38296C89"/>
    <w:rsid w:val="383002EB"/>
    <w:rsid w:val="38586797"/>
    <w:rsid w:val="387F42EB"/>
    <w:rsid w:val="38975BFC"/>
    <w:rsid w:val="38BC0149"/>
    <w:rsid w:val="38C00A02"/>
    <w:rsid w:val="38C43013"/>
    <w:rsid w:val="38D87D1C"/>
    <w:rsid w:val="395C1CA2"/>
    <w:rsid w:val="39636459"/>
    <w:rsid w:val="396B7F6C"/>
    <w:rsid w:val="39745A19"/>
    <w:rsid w:val="3986639D"/>
    <w:rsid w:val="39A9086A"/>
    <w:rsid w:val="39AA35E8"/>
    <w:rsid w:val="39B417A9"/>
    <w:rsid w:val="39CF66AA"/>
    <w:rsid w:val="39FC5695"/>
    <w:rsid w:val="3A006D8E"/>
    <w:rsid w:val="3A080B60"/>
    <w:rsid w:val="3A204F94"/>
    <w:rsid w:val="3A3651E5"/>
    <w:rsid w:val="3A744481"/>
    <w:rsid w:val="3A8C7BEF"/>
    <w:rsid w:val="3A906246"/>
    <w:rsid w:val="3A916DA7"/>
    <w:rsid w:val="3A9E536B"/>
    <w:rsid w:val="3AE96BE3"/>
    <w:rsid w:val="3B166EA8"/>
    <w:rsid w:val="3B2349B7"/>
    <w:rsid w:val="3B616CFF"/>
    <w:rsid w:val="3B6259F6"/>
    <w:rsid w:val="3B976654"/>
    <w:rsid w:val="3BC01EFC"/>
    <w:rsid w:val="3BCA786A"/>
    <w:rsid w:val="3BD31E2F"/>
    <w:rsid w:val="3BF15831"/>
    <w:rsid w:val="3C105946"/>
    <w:rsid w:val="3C471448"/>
    <w:rsid w:val="3C574020"/>
    <w:rsid w:val="3C5F759A"/>
    <w:rsid w:val="3C6B7ACC"/>
    <w:rsid w:val="3C6C525A"/>
    <w:rsid w:val="3C91052B"/>
    <w:rsid w:val="3C940DD1"/>
    <w:rsid w:val="3CCE23CB"/>
    <w:rsid w:val="3CD17D17"/>
    <w:rsid w:val="3CD967E3"/>
    <w:rsid w:val="3CF74540"/>
    <w:rsid w:val="3D346110"/>
    <w:rsid w:val="3D3C7F39"/>
    <w:rsid w:val="3D440F09"/>
    <w:rsid w:val="3D4504A0"/>
    <w:rsid w:val="3D673163"/>
    <w:rsid w:val="3D8734BB"/>
    <w:rsid w:val="3D8F3346"/>
    <w:rsid w:val="3D9A11D4"/>
    <w:rsid w:val="3DA16D89"/>
    <w:rsid w:val="3DA364BE"/>
    <w:rsid w:val="3DE041CB"/>
    <w:rsid w:val="3E0D48F6"/>
    <w:rsid w:val="3E1868B4"/>
    <w:rsid w:val="3E377251"/>
    <w:rsid w:val="3E42664B"/>
    <w:rsid w:val="3E522CF1"/>
    <w:rsid w:val="3E5A7334"/>
    <w:rsid w:val="3E7B5D6B"/>
    <w:rsid w:val="3E843E66"/>
    <w:rsid w:val="3E8F51FE"/>
    <w:rsid w:val="3E926F87"/>
    <w:rsid w:val="3E9A59DE"/>
    <w:rsid w:val="3E9C622E"/>
    <w:rsid w:val="3EAF4836"/>
    <w:rsid w:val="3EBC63BD"/>
    <w:rsid w:val="3EC33DFA"/>
    <w:rsid w:val="3EF9316D"/>
    <w:rsid w:val="3F060E16"/>
    <w:rsid w:val="3F1D1096"/>
    <w:rsid w:val="3F23643C"/>
    <w:rsid w:val="3F2F0234"/>
    <w:rsid w:val="3F340649"/>
    <w:rsid w:val="3F6363FE"/>
    <w:rsid w:val="3F756B8F"/>
    <w:rsid w:val="3F81285C"/>
    <w:rsid w:val="3F95482B"/>
    <w:rsid w:val="3F964EFB"/>
    <w:rsid w:val="4019356B"/>
    <w:rsid w:val="40592157"/>
    <w:rsid w:val="406E1CAE"/>
    <w:rsid w:val="409D105B"/>
    <w:rsid w:val="40A0133A"/>
    <w:rsid w:val="40C31A53"/>
    <w:rsid w:val="40DB38F6"/>
    <w:rsid w:val="40E83499"/>
    <w:rsid w:val="40FF545D"/>
    <w:rsid w:val="410067C8"/>
    <w:rsid w:val="41067DC3"/>
    <w:rsid w:val="414D59F2"/>
    <w:rsid w:val="415935B0"/>
    <w:rsid w:val="416176D3"/>
    <w:rsid w:val="417E7959"/>
    <w:rsid w:val="418F0D2A"/>
    <w:rsid w:val="419B675D"/>
    <w:rsid w:val="41A970CC"/>
    <w:rsid w:val="41D01505"/>
    <w:rsid w:val="41DB1DE2"/>
    <w:rsid w:val="42474939"/>
    <w:rsid w:val="424C3C57"/>
    <w:rsid w:val="42613FF3"/>
    <w:rsid w:val="42655F99"/>
    <w:rsid w:val="42660D96"/>
    <w:rsid w:val="428667D2"/>
    <w:rsid w:val="42CD1CE0"/>
    <w:rsid w:val="42E1381E"/>
    <w:rsid w:val="42ED6459"/>
    <w:rsid w:val="42F5544C"/>
    <w:rsid w:val="42FE58DD"/>
    <w:rsid w:val="43174B3D"/>
    <w:rsid w:val="43244531"/>
    <w:rsid w:val="434B790E"/>
    <w:rsid w:val="4360274F"/>
    <w:rsid w:val="437B23A2"/>
    <w:rsid w:val="437B3883"/>
    <w:rsid w:val="43977AB6"/>
    <w:rsid w:val="43A26FE5"/>
    <w:rsid w:val="43A3342B"/>
    <w:rsid w:val="43C77C27"/>
    <w:rsid w:val="43CC2BFE"/>
    <w:rsid w:val="43DE09EE"/>
    <w:rsid w:val="44002FAD"/>
    <w:rsid w:val="441C37AA"/>
    <w:rsid w:val="444E3F5B"/>
    <w:rsid w:val="449101DD"/>
    <w:rsid w:val="4496320C"/>
    <w:rsid w:val="44A678F3"/>
    <w:rsid w:val="44A91191"/>
    <w:rsid w:val="44AB0037"/>
    <w:rsid w:val="44DE1391"/>
    <w:rsid w:val="450217D3"/>
    <w:rsid w:val="451B225C"/>
    <w:rsid w:val="451D6913"/>
    <w:rsid w:val="452410C9"/>
    <w:rsid w:val="45317DFB"/>
    <w:rsid w:val="45544B15"/>
    <w:rsid w:val="456D3CE4"/>
    <w:rsid w:val="457269B9"/>
    <w:rsid w:val="4579042C"/>
    <w:rsid w:val="457F0571"/>
    <w:rsid w:val="45851176"/>
    <w:rsid w:val="45AC718B"/>
    <w:rsid w:val="45BF1803"/>
    <w:rsid w:val="45C55BC2"/>
    <w:rsid w:val="45C63B94"/>
    <w:rsid w:val="45EE1561"/>
    <w:rsid w:val="460129E9"/>
    <w:rsid w:val="460E7DA5"/>
    <w:rsid w:val="46422483"/>
    <w:rsid w:val="4659254A"/>
    <w:rsid w:val="465B0637"/>
    <w:rsid w:val="465E3F0D"/>
    <w:rsid w:val="46671304"/>
    <w:rsid w:val="466A16E6"/>
    <w:rsid w:val="466C691A"/>
    <w:rsid w:val="46893F2B"/>
    <w:rsid w:val="469043B7"/>
    <w:rsid w:val="4698326B"/>
    <w:rsid w:val="46B7509B"/>
    <w:rsid w:val="46C444E6"/>
    <w:rsid w:val="46C4686E"/>
    <w:rsid w:val="46FA3F26"/>
    <w:rsid w:val="46FF778E"/>
    <w:rsid w:val="470E6E59"/>
    <w:rsid w:val="476A10AC"/>
    <w:rsid w:val="477B778F"/>
    <w:rsid w:val="478203EC"/>
    <w:rsid w:val="479A532E"/>
    <w:rsid w:val="47B025FA"/>
    <w:rsid w:val="4809698F"/>
    <w:rsid w:val="4811697D"/>
    <w:rsid w:val="4839282C"/>
    <w:rsid w:val="48757D08"/>
    <w:rsid w:val="487A3E25"/>
    <w:rsid w:val="488B5503"/>
    <w:rsid w:val="48937E21"/>
    <w:rsid w:val="489A0361"/>
    <w:rsid w:val="48A8102D"/>
    <w:rsid w:val="48B94FF3"/>
    <w:rsid w:val="48DF5182"/>
    <w:rsid w:val="48E37AAB"/>
    <w:rsid w:val="48FD4B4C"/>
    <w:rsid w:val="490A68E0"/>
    <w:rsid w:val="491055FE"/>
    <w:rsid w:val="49107A31"/>
    <w:rsid w:val="49267254"/>
    <w:rsid w:val="495F5B3E"/>
    <w:rsid w:val="496F77D7"/>
    <w:rsid w:val="497654FD"/>
    <w:rsid w:val="49B04D70"/>
    <w:rsid w:val="49B64211"/>
    <w:rsid w:val="49D00F6E"/>
    <w:rsid w:val="49D41AAC"/>
    <w:rsid w:val="49F6167F"/>
    <w:rsid w:val="4A064FA0"/>
    <w:rsid w:val="4A16615C"/>
    <w:rsid w:val="4A397F4A"/>
    <w:rsid w:val="4A4424D7"/>
    <w:rsid w:val="4A541B9F"/>
    <w:rsid w:val="4A8C507B"/>
    <w:rsid w:val="4A8F7F71"/>
    <w:rsid w:val="4AB82D0F"/>
    <w:rsid w:val="4AC565F9"/>
    <w:rsid w:val="4AEB7664"/>
    <w:rsid w:val="4AFD7C19"/>
    <w:rsid w:val="4B0567D1"/>
    <w:rsid w:val="4B236AAE"/>
    <w:rsid w:val="4B2477C4"/>
    <w:rsid w:val="4B2F799D"/>
    <w:rsid w:val="4B3113E2"/>
    <w:rsid w:val="4B402530"/>
    <w:rsid w:val="4B4E2A92"/>
    <w:rsid w:val="4B577B99"/>
    <w:rsid w:val="4B707271"/>
    <w:rsid w:val="4B9739F7"/>
    <w:rsid w:val="4BA15E9C"/>
    <w:rsid w:val="4BE64A79"/>
    <w:rsid w:val="4BEE2503"/>
    <w:rsid w:val="4BF727EA"/>
    <w:rsid w:val="4C043151"/>
    <w:rsid w:val="4C245A30"/>
    <w:rsid w:val="4C4C6346"/>
    <w:rsid w:val="4C4F68B8"/>
    <w:rsid w:val="4C5506BA"/>
    <w:rsid w:val="4C5D11DF"/>
    <w:rsid w:val="4C632109"/>
    <w:rsid w:val="4C8C1137"/>
    <w:rsid w:val="4C9D306C"/>
    <w:rsid w:val="4CA0550F"/>
    <w:rsid w:val="4CB6685F"/>
    <w:rsid w:val="4CC367FE"/>
    <w:rsid w:val="4CD55219"/>
    <w:rsid w:val="4CE30FB8"/>
    <w:rsid w:val="4D077F3C"/>
    <w:rsid w:val="4D123355"/>
    <w:rsid w:val="4D2A3B31"/>
    <w:rsid w:val="4D312C52"/>
    <w:rsid w:val="4D5123C6"/>
    <w:rsid w:val="4D6B3488"/>
    <w:rsid w:val="4D905305"/>
    <w:rsid w:val="4D964A72"/>
    <w:rsid w:val="4D9C1254"/>
    <w:rsid w:val="4D9E5B15"/>
    <w:rsid w:val="4DA16EA9"/>
    <w:rsid w:val="4DBA61BD"/>
    <w:rsid w:val="4DBF37D4"/>
    <w:rsid w:val="4E0D453F"/>
    <w:rsid w:val="4E4B32B9"/>
    <w:rsid w:val="4E557EA6"/>
    <w:rsid w:val="4E793892"/>
    <w:rsid w:val="4E800872"/>
    <w:rsid w:val="4EA56E6D"/>
    <w:rsid w:val="4EC569ED"/>
    <w:rsid w:val="4EC72940"/>
    <w:rsid w:val="4ED50EA1"/>
    <w:rsid w:val="4EEC050C"/>
    <w:rsid w:val="4F104EC3"/>
    <w:rsid w:val="4F3E697A"/>
    <w:rsid w:val="4F47354A"/>
    <w:rsid w:val="4F911C54"/>
    <w:rsid w:val="4FB12B89"/>
    <w:rsid w:val="4FC43323"/>
    <w:rsid w:val="4FC96B8B"/>
    <w:rsid w:val="4FD572DE"/>
    <w:rsid w:val="4FE625E0"/>
    <w:rsid w:val="5021480F"/>
    <w:rsid w:val="504C0DC2"/>
    <w:rsid w:val="505A77E4"/>
    <w:rsid w:val="505C301C"/>
    <w:rsid w:val="505E72D4"/>
    <w:rsid w:val="50792360"/>
    <w:rsid w:val="50962ECB"/>
    <w:rsid w:val="50A2369A"/>
    <w:rsid w:val="50A42E38"/>
    <w:rsid w:val="50A4577F"/>
    <w:rsid w:val="50B73D1F"/>
    <w:rsid w:val="50BD5BC9"/>
    <w:rsid w:val="50C01938"/>
    <w:rsid w:val="50C11EEE"/>
    <w:rsid w:val="50E61077"/>
    <w:rsid w:val="50E97CFC"/>
    <w:rsid w:val="50F244D3"/>
    <w:rsid w:val="50FA4028"/>
    <w:rsid w:val="50FC674E"/>
    <w:rsid w:val="510D65B7"/>
    <w:rsid w:val="511157AB"/>
    <w:rsid w:val="5138719B"/>
    <w:rsid w:val="5142540C"/>
    <w:rsid w:val="515D57DD"/>
    <w:rsid w:val="517448D5"/>
    <w:rsid w:val="517B7E09"/>
    <w:rsid w:val="518832C8"/>
    <w:rsid w:val="519D3C50"/>
    <w:rsid w:val="51A0432A"/>
    <w:rsid w:val="51A86090"/>
    <w:rsid w:val="51B7396D"/>
    <w:rsid w:val="51C63383"/>
    <w:rsid w:val="51EE6435"/>
    <w:rsid w:val="522E4CC3"/>
    <w:rsid w:val="5244374D"/>
    <w:rsid w:val="5244713B"/>
    <w:rsid w:val="524644C3"/>
    <w:rsid w:val="52546BE0"/>
    <w:rsid w:val="52615633"/>
    <w:rsid w:val="526F4DE4"/>
    <w:rsid w:val="52977FD4"/>
    <w:rsid w:val="52A25790"/>
    <w:rsid w:val="52A62351"/>
    <w:rsid w:val="52A96B6F"/>
    <w:rsid w:val="52B45975"/>
    <w:rsid w:val="52D10231"/>
    <w:rsid w:val="52D94AA4"/>
    <w:rsid w:val="52EA3A62"/>
    <w:rsid w:val="52EB0BC7"/>
    <w:rsid w:val="52F50BB8"/>
    <w:rsid w:val="53097272"/>
    <w:rsid w:val="53163E96"/>
    <w:rsid w:val="534C1537"/>
    <w:rsid w:val="53544462"/>
    <w:rsid w:val="53654E1D"/>
    <w:rsid w:val="536C7F5A"/>
    <w:rsid w:val="5391176E"/>
    <w:rsid w:val="5397158E"/>
    <w:rsid w:val="53D63625"/>
    <w:rsid w:val="53DB6E8D"/>
    <w:rsid w:val="53E325D5"/>
    <w:rsid w:val="54013861"/>
    <w:rsid w:val="541A1764"/>
    <w:rsid w:val="54276FD5"/>
    <w:rsid w:val="54487265"/>
    <w:rsid w:val="544D6070"/>
    <w:rsid w:val="54605E1E"/>
    <w:rsid w:val="54882B71"/>
    <w:rsid w:val="54B3506A"/>
    <w:rsid w:val="54B90F7D"/>
    <w:rsid w:val="54C811C0"/>
    <w:rsid w:val="54CA0D16"/>
    <w:rsid w:val="54DD4057"/>
    <w:rsid w:val="54E7490F"/>
    <w:rsid w:val="550764A4"/>
    <w:rsid w:val="550B2BF6"/>
    <w:rsid w:val="550F6DEF"/>
    <w:rsid w:val="55214EB5"/>
    <w:rsid w:val="552526A7"/>
    <w:rsid w:val="55296A33"/>
    <w:rsid w:val="55364EFD"/>
    <w:rsid w:val="553A7055"/>
    <w:rsid w:val="554615BE"/>
    <w:rsid w:val="555D4828"/>
    <w:rsid w:val="557A4C8B"/>
    <w:rsid w:val="557E3F74"/>
    <w:rsid w:val="558931E1"/>
    <w:rsid w:val="559002B6"/>
    <w:rsid w:val="55923347"/>
    <w:rsid w:val="55925180"/>
    <w:rsid w:val="55983B1B"/>
    <w:rsid w:val="55A408D2"/>
    <w:rsid w:val="55A8376B"/>
    <w:rsid w:val="55DC29B6"/>
    <w:rsid w:val="55DD4241"/>
    <w:rsid w:val="55E738C7"/>
    <w:rsid w:val="56446F6C"/>
    <w:rsid w:val="566B6D1E"/>
    <w:rsid w:val="56811F6E"/>
    <w:rsid w:val="56971BEE"/>
    <w:rsid w:val="56A03F78"/>
    <w:rsid w:val="56A30136"/>
    <w:rsid w:val="56BC0420"/>
    <w:rsid w:val="57032A2C"/>
    <w:rsid w:val="570F5219"/>
    <w:rsid w:val="571903F8"/>
    <w:rsid w:val="572E78E5"/>
    <w:rsid w:val="575D12B5"/>
    <w:rsid w:val="57610A87"/>
    <w:rsid w:val="577B1140"/>
    <w:rsid w:val="577B7F21"/>
    <w:rsid w:val="577F181B"/>
    <w:rsid w:val="578372D9"/>
    <w:rsid w:val="57921984"/>
    <w:rsid w:val="579737F0"/>
    <w:rsid w:val="57AB7B30"/>
    <w:rsid w:val="57AF5251"/>
    <w:rsid w:val="57B26373"/>
    <w:rsid w:val="57B63F04"/>
    <w:rsid w:val="57CD20C2"/>
    <w:rsid w:val="57D675AB"/>
    <w:rsid w:val="57D95FDD"/>
    <w:rsid w:val="58096564"/>
    <w:rsid w:val="582708F3"/>
    <w:rsid w:val="588B70D4"/>
    <w:rsid w:val="58917D2F"/>
    <w:rsid w:val="5894085C"/>
    <w:rsid w:val="58A601B5"/>
    <w:rsid w:val="58AE4F0C"/>
    <w:rsid w:val="58B85899"/>
    <w:rsid w:val="58C44394"/>
    <w:rsid w:val="58E363A9"/>
    <w:rsid w:val="591E264C"/>
    <w:rsid w:val="595E1678"/>
    <w:rsid w:val="596D5BD4"/>
    <w:rsid w:val="597E3DD8"/>
    <w:rsid w:val="598853C1"/>
    <w:rsid w:val="59C7413C"/>
    <w:rsid w:val="59F80043"/>
    <w:rsid w:val="5A09252F"/>
    <w:rsid w:val="5A0B2778"/>
    <w:rsid w:val="5A2055FA"/>
    <w:rsid w:val="5A2A7C7B"/>
    <w:rsid w:val="5A3E2560"/>
    <w:rsid w:val="5A5654C0"/>
    <w:rsid w:val="5A5D3B6E"/>
    <w:rsid w:val="5A637A76"/>
    <w:rsid w:val="5A6D33BA"/>
    <w:rsid w:val="5A792B1F"/>
    <w:rsid w:val="5A7E2423"/>
    <w:rsid w:val="5A8262B5"/>
    <w:rsid w:val="5A874767"/>
    <w:rsid w:val="5AA85BE2"/>
    <w:rsid w:val="5AAD6F28"/>
    <w:rsid w:val="5AAE0E58"/>
    <w:rsid w:val="5ABE2749"/>
    <w:rsid w:val="5AD63A24"/>
    <w:rsid w:val="5AE51A4D"/>
    <w:rsid w:val="5B2E1A1D"/>
    <w:rsid w:val="5B843A1C"/>
    <w:rsid w:val="5B873E3F"/>
    <w:rsid w:val="5C02690E"/>
    <w:rsid w:val="5C0F3B78"/>
    <w:rsid w:val="5C196DA7"/>
    <w:rsid w:val="5C2A048C"/>
    <w:rsid w:val="5C4760EB"/>
    <w:rsid w:val="5C4D2220"/>
    <w:rsid w:val="5C653798"/>
    <w:rsid w:val="5C7D0C3D"/>
    <w:rsid w:val="5C80234E"/>
    <w:rsid w:val="5C8A680C"/>
    <w:rsid w:val="5CB85FBE"/>
    <w:rsid w:val="5D0525FA"/>
    <w:rsid w:val="5D0C4701"/>
    <w:rsid w:val="5D0F0395"/>
    <w:rsid w:val="5D221076"/>
    <w:rsid w:val="5D397964"/>
    <w:rsid w:val="5D5977A1"/>
    <w:rsid w:val="5D5A391C"/>
    <w:rsid w:val="5D5F10C0"/>
    <w:rsid w:val="5D790E2F"/>
    <w:rsid w:val="5D891B7B"/>
    <w:rsid w:val="5DAA35BC"/>
    <w:rsid w:val="5DAB143A"/>
    <w:rsid w:val="5DAD38EE"/>
    <w:rsid w:val="5DBA088F"/>
    <w:rsid w:val="5E003A5E"/>
    <w:rsid w:val="5E006862"/>
    <w:rsid w:val="5E0207B9"/>
    <w:rsid w:val="5E1834A1"/>
    <w:rsid w:val="5E261785"/>
    <w:rsid w:val="5E341674"/>
    <w:rsid w:val="5E4A7017"/>
    <w:rsid w:val="5E552BBA"/>
    <w:rsid w:val="5E611C10"/>
    <w:rsid w:val="5E7A0F3F"/>
    <w:rsid w:val="5E9B0A71"/>
    <w:rsid w:val="5ED6097D"/>
    <w:rsid w:val="5EFC7377"/>
    <w:rsid w:val="5F06174D"/>
    <w:rsid w:val="5F3A3602"/>
    <w:rsid w:val="5F45733B"/>
    <w:rsid w:val="5F49020A"/>
    <w:rsid w:val="5F4D6E91"/>
    <w:rsid w:val="5F6277C6"/>
    <w:rsid w:val="5F6D0B1D"/>
    <w:rsid w:val="5F8D0B82"/>
    <w:rsid w:val="5F942D12"/>
    <w:rsid w:val="5F944E8A"/>
    <w:rsid w:val="5FBC2584"/>
    <w:rsid w:val="5FC44C79"/>
    <w:rsid w:val="5FCC5339"/>
    <w:rsid w:val="5FE34A5B"/>
    <w:rsid w:val="5FEF1CF6"/>
    <w:rsid w:val="5FF2728A"/>
    <w:rsid w:val="5FFC6A35"/>
    <w:rsid w:val="5FFE1E36"/>
    <w:rsid w:val="601410A2"/>
    <w:rsid w:val="60232584"/>
    <w:rsid w:val="60275934"/>
    <w:rsid w:val="603D64BE"/>
    <w:rsid w:val="607330CE"/>
    <w:rsid w:val="60825176"/>
    <w:rsid w:val="60901D96"/>
    <w:rsid w:val="609F2AC4"/>
    <w:rsid w:val="60AF76D8"/>
    <w:rsid w:val="60F32409"/>
    <w:rsid w:val="60FA2EE8"/>
    <w:rsid w:val="61054A27"/>
    <w:rsid w:val="610A52BC"/>
    <w:rsid w:val="610D059B"/>
    <w:rsid w:val="611D2366"/>
    <w:rsid w:val="61293E55"/>
    <w:rsid w:val="61421856"/>
    <w:rsid w:val="615227C4"/>
    <w:rsid w:val="61592C7A"/>
    <w:rsid w:val="61654E3F"/>
    <w:rsid w:val="6182292A"/>
    <w:rsid w:val="6186668A"/>
    <w:rsid w:val="619F7F92"/>
    <w:rsid w:val="61B01959"/>
    <w:rsid w:val="61B75247"/>
    <w:rsid w:val="61C07A1F"/>
    <w:rsid w:val="61F94C26"/>
    <w:rsid w:val="62000E56"/>
    <w:rsid w:val="621041A6"/>
    <w:rsid w:val="62166063"/>
    <w:rsid w:val="623970D7"/>
    <w:rsid w:val="624F3E49"/>
    <w:rsid w:val="62632286"/>
    <w:rsid w:val="62735365"/>
    <w:rsid w:val="627604AD"/>
    <w:rsid w:val="62885958"/>
    <w:rsid w:val="62A504E9"/>
    <w:rsid w:val="62C0797A"/>
    <w:rsid w:val="62D11B87"/>
    <w:rsid w:val="62F40B65"/>
    <w:rsid w:val="62FC2CFE"/>
    <w:rsid w:val="63024505"/>
    <w:rsid w:val="63027F93"/>
    <w:rsid w:val="635600A5"/>
    <w:rsid w:val="635B1DB5"/>
    <w:rsid w:val="63711FED"/>
    <w:rsid w:val="63844E4C"/>
    <w:rsid w:val="63880DDC"/>
    <w:rsid w:val="638D750D"/>
    <w:rsid w:val="639F3A33"/>
    <w:rsid w:val="63AC6CC0"/>
    <w:rsid w:val="63BF5E84"/>
    <w:rsid w:val="63F23480"/>
    <w:rsid w:val="6401140E"/>
    <w:rsid w:val="64055776"/>
    <w:rsid w:val="640F6F57"/>
    <w:rsid w:val="641F5B67"/>
    <w:rsid w:val="64200620"/>
    <w:rsid w:val="64240056"/>
    <w:rsid w:val="642F4DB7"/>
    <w:rsid w:val="643E143A"/>
    <w:rsid w:val="64491666"/>
    <w:rsid w:val="6454481E"/>
    <w:rsid w:val="646F7295"/>
    <w:rsid w:val="648B6EEF"/>
    <w:rsid w:val="64B12D3D"/>
    <w:rsid w:val="64C158BF"/>
    <w:rsid w:val="64CE2EAA"/>
    <w:rsid w:val="653C3090"/>
    <w:rsid w:val="657D677E"/>
    <w:rsid w:val="65854376"/>
    <w:rsid w:val="658767BE"/>
    <w:rsid w:val="65892531"/>
    <w:rsid w:val="65A87D10"/>
    <w:rsid w:val="661277F3"/>
    <w:rsid w:val="66195831"/>
    <w:rsid w:val="662E75B1"/>
    <w:rsid w:val="66342C2E"/>
    <w:rsid w:val="663E784C"/>
    <w:rsid w:val="668B6A45"/>
    <w:rsid w:val="66967370"/>
    <w:rsid w:val="66A23AB0"/>
    <w:rsid w:val="66B52B5D"/>
    <w:rsid w:val="66C57C55"/>
    <w:rsid w:val="67112C4A"/>
    <w:rsid w:val="672F3F24"/>
    <w:rsid w:val="673E055F"/>
    <w:rsid w:val="674943E2"/>
    <w:rsid w:val="67551CE3"/>
    <w:rsid w:val="6760797E"/>
    <w:rsid w:val="676236F6"/>
    <w:rsid w:val="67A22552"/>
    <w:rsid w:val="67B22DCC"/>
    <w:rsid w:val="67B87D91"/>
    <w:rsid w:val="67BE71AA"/>
    <w:rsid w:val="67CE48E7"/>
    <w:rsid w:val="67CF7323"/>
    <w:rsid w:val="67D90273"/>
    <w:rsid w:val="67DE5875"/>
    <w:rsid w:val="67E55852"/>
    <w:rsid w:val="67EB1AB4"/>
    <w:rsid w:val="67FA1285"/>
    <w:rsid w:val="68091DC3"/>
    <w:rsid w:val="68551F4F"/>
    <w:rsid w:val="687C10C9"/>
    <w:rsid w:val="68840C16"/>
    <w:rsid w:val="68876EFB"/>
    <w:rsid w:val="68884654"/>
    <w:rsid w:val="689F444F"/>
    <w:rsid w:val="68B96DBB"/>
    <w:rsid w:val="68CA2805"/>
    <w:rsid w:val="68E1689C"/>
    <w:rsid w:val="68E937A3"/>
    <w:rsid w:val="68FB149A"/>
    <w:rsid w:val="693E15D3"/>
    <w:rsid w:val="695D23C7"/>
    <w:rsid w:val="69627681"/>
    <w:rsid w:val="6977531D"/>
    <w:rsid w:val="69794D27"/>
    <w:rsid w:val="69996F17"/>
    <w:rsid w:val="699F653B"/>
    <w:rsid w:val="69CC2BFF"/>
    <w:rsid w:val="69FD55B8"/>
    <w:rsid w:val="6A0B1C62"/>
    <w:rsid w:val="6A2406C8"/>
    <w:rsid w:val="6A372FC7"/>
    <w:rsid w:val="6A3B7666"/>
    <w:rsid w:val="6A9A1ADF"/>
    <w:rsid w:val="6ADE0BD1"/>
    <w:rsid w:val="6AE81378"/>
    <w:rsid w:val="6AE96859"/>
    <w:rsid w:val="6B147746"/>
    <w:rsid w:val="6B24787C"/>
    <w:rsid w:val="6B340F05"/>
    <w:rsid w:val="6B573233"/>
    <w:rsid w:val="6B5B6274"/>
    <w:rsid w:val="6B8C6F93"/>
    <w:rsid w:val="6B935D53"/>
    <w:rsid w:val="6BA0659B"/>
    <w:rsid w:val="6BF54B38"/>
    <w:rsid w:val="6C1316F7"/>
    <w:rsid w:val="6C196F71"/>
    <w:rsid w:val="6C1D7BEB"/>
    <w:rsid w:val="6C226FCB"/>
    <w:rsid w:val="6C256AA0"/>
    <w:rsid w:val="6C29113A"/>
    <w:rsid w:val="6C31226F"/>
    <w:rsid w:val="6C517EC7"/>
    <w:rsid w:val="6C552F0B"/>
    <w:rsid w:val="6C5D1DE1"/>
    <w:rsid w:val="6C733CAF"/>
    <w:rsid w:val="6C7D7890"/>
    <w:rsid w:val="6C8C67B7"/>
    <w:rsid w:val="6C9D744C"/>
    <w:rsid w:val="6CAF1BF9"/>
    <w:rsid w:val="6CB56076"/>
    <w:rsid w:val="6CC10EBE"/>
    <w:rsid w:val="6D01750D"/>
    <w:rsid w:val="6D0D4043"/>
    <w:rsid w:val="6D167928"/>
    <w:rsid w:val="6D26299B"/>
    <w:rsid w:val="6D284A9A"/>
    <w:rsid w:val="6D3A7601"/>
    <w:rsid w:val="6D4772EC"/>
    <w:rsid w:val="6D9078AF"/>
    <w:rsid w:val="6DA00AD4"/>
    <w:rsid w:val="6DAA3FEF"/>
    <w:rsid w:val="6DB37F40"/>
    <w:rsid w:val="6DC0172B"/>
    <w:rsid w:val="6DCB690C"/>
    <w:rsid w:val="6DD10C8D"/>
    <w:rsid w:val="6DD41A5B"/>
    <w:rsid w:val="6DE44E65"/>
    <w:rsid w:val="6DE62912"/>
    <w:rsid w:val="6DF43C2E"/>
    <w:rsid w:val="6DF51CA3"/>
    <w:rsid w:val="6E557B10"/>
    <w:rsid w:val="6E8335BD"/>
    <w:rsid w:val="6E8E12EF"/>
    <w:rsid w:val="6E972936"/>
    <w:rsid w:val="6ED446C5"/>
    <w:rsid w:val="6EEE586F"/>
    <w:rsid w:val="6F2A7D94"/>
    <w:rsid w:val="6F7915DC"/>
    <w:rsid w:val="6F8331F1"/>
    <w:rsid w:val="6FAE1A09"/>
    <w:rsid w:val="6FD75BF8"/>
    <w:rsid w:val="70147FC1"/>
    <w:rsid w:val="70223A22"/>
    <w:rsid w:val="705300B8"/>
    <w:rsid w:val="70751679"/>
    <w:rsid w:val="7075303A"/>
    <w:rsid w:val="707723D0"/>
    <w:rsid w:val="70981F36"/>
    <w:rsid w:val="70C17291"/>
    <w:rsid w:val="70C60851"/>
    <w:rsid w:val="70F5661B"/>
    <w:rsid w:val="71285068"/>
    <w:rsid w:val="71360107"/>
    <w:rsid w:val="713B688E"/>
    <w:rsid w:val="714464DD"/>
    <w:rsid w:val="7148279F"/>
    <w:rsid w:val="71641E18"/>
    <w:rsid w:val="717A163C"/>
    <w:rsid w:val="71AC3EEB"/>
    <w:rsid w:val="71D43752"/>
    <w:rsid w:val="71D7083C"/>
    <w:rsid w:val="71DE7E1D"/>
    <w:rsid w:val="71F1796A"/>
    <w:rsid w:val="71FB63D5"/>
    <w:rsid w:val="72154626"/>
    <w:rsid w:val="72262B5D"/>
    <w:rsid w:val="72283FF7"/>
    <w:rsid w:val="722E7212"/>
    <w:rsid w:val="723A0474"/>
    <w:rsid w:val="724E2402"/>
    <w:rsid w:val="725923E4"/>
    <w:rsid w:val="72864BF7"/>
    <w:rsid w:val="729023FC"/>
    <w:rsid w:val="729B4DB3"/>
    <w:rsid w:val="72DC25AE"/>
    <w:rsid w:val="72EC6569"/>
    <w:rsid w:val="72F316A6"/>
    <w:rsid w:val="730E028E"/>
    <w:rsid w:val="73736CD4"/>
    <w:rsid w:val="73764470"/>
    <w:rsid w:val="73890C87"/>
    <w:rsid w:val="738B5D82"/>
    <w:rsid w:val="73C0646E"/>
    <w:rsid w:val="740B4C99"/>
    <w:rsid w:val="740C091F"/>
    <w:rsid w:val="742222F5"/>
    <w:rsid w:val="74476126"/>
    <w:rsid w:val="746A3BEA"/>
    <w:rsid w:val="74706664"/>
    <w:rsid w:val="747F3682"/>
    <w:rsid w:val="74835B1D"/>
    <w:rsid w:val="748E5B2A"/>
    <w:rsid w:val="749C4185"/>
    <w:rsid w:val="74AD630E"/>
    <w:rsid w:val="74C95F08"/>
    <w:rsid w:val="74E92D60"/>
    <w:rsid w:val="75067759"/>
    <w:rsid w:val="752E6DCD"/>
    <w:rsid w:val="7551380D"/>
    <w:rsid w:val="755A3C5E"/>
    <w:rsid w:val="755C158A"/>
    <w:rsid w:val="755D394A"/>
    <w:rsid w:val="75600BE5"/>
    <w:rsid w:val="7564475C"/>
    <w:rsid w:val="7583797F"/>
    <w:rsid w:val="75C33A20"/>
    <w:rsid w:val="75D20F1D"/>
    <w:rsid w:val="75DA2C18"/>
    <w:rsid w:val="75F54412"/>
    <w:rsid w:val="76053BCA"/>
    <w:rsid w:val="761D08E0"/>
    <w:rsid w:val="765D347C"/>
    <w:rsid w:val="76655649"/>
    <w:rsid w:val="76826699"/>
    <w:rsid w:val="76887AF0"/>
    <w:rsid w:val="76C87133"/>
    <w:rsid w:val="76CD08D5"/>
    <w:rsid w:val="76DB4B92"/>
    <w:rsid w:val="77052AA4"/>
    <w:rsid w:val="77136511"/>
    <w:rsid w:val="77256FC2"/>
    <w:rsid w:val="77340A39"/>
    <w:rsid w:val="77351FD0"/>
    <w:rsid w:val="77472422"/>
    <w:rsid w:val="774C5829"/>
    <w:rsid w:val="777F31F2"/>
    <w:rsid w:val="77A04307"/>
    <w:rsid w:val="77D1700D"/>
    <w:rsid w:val="77EC04CC"/>
    <w:rsid w:val="781C32C2"/>
    <w:rsid w:val="78393FFF"/>
    <w:rsid w:val="783A0506"/>
    <w:rsid w:val="785B79E4"/>
    <w:rsid w:val="78775729"/>
    <w:rsid w:val="788173BD"/>
    <w:rsid w:val="78A42DB0"/>
    <w:rsid w:val="78A656AB"/>
    <w:rsid w:val="78AA049C"/>
    <w:rsid w:val="78B2245C"/>
    <w:rsid w:val="78E172CC"/>
    <w:rsid w:val="78EA1D1F"/>
    <w:rsid w:val="79036DC3"/>
    <w:rsid w:val="7904172F"/>
    <w:rsid w:val="790F7E27"/>
    <w:rsid w:val="792A231A"/>
    <w:rsid w:val="79316829"/>
    <w:rsid w:val="79370055"/>
    <w:rsid w:val="793A4371"/>
    <w:rsid w:val="793D48A8"/>
    <w:rsid w:val="79780B57"/>
    <w:rsid w:val="797E66A9"/>
    <w:rsid w:val="798518A4"/>
    <w:rsid w:val="799D05BD"/>
    <w:rsid w:val="79A97383"/>
    <w:rsid w:val="79B55907"/>
    <w:rsid w:val="79B7342D"/>
    <w:rsid w:val="79E27E8B"/>
    <w:rsid w:val="79EF5AEE"/>
    <w:rsid w:val="79F850CE"/>
    <w:rsid w:val="79FD443C"/>
    <w:rsid w:val="79FEE5E2"/>
    <w:rsid w:val="7A02561C"/>
    <w:rsid w:val="7A1D1975"/>
    <w:rsid w:val="7A394DCB"/>
    <w:rsid w:val="7A3E5150"/>
    <w:rsid w:val="7A4670D6"/>
    <w:rsid w:val="7A4A38F6"/>
    <w:rsid w:val="7A534B63"/>
    <w:rsid w:val="7A615382"/>
    <w:rsid w:val="7A67303B"/>
    <w:rsid w:val="7A747570"/>
    <w:rsid w:val="7AAB1D04"/>
    <w:rsid w:val="7ABA4368"/>
    <w:rsid w:val="7AC322A6"/>
    <w:rsid w:val="7AD05746"/>
    <w:rsid w:val="7AD206B8"/>
    <w:rsid w:val="7B257FFD"/>
    <w:rsid w:val="7B343476"/>
    <w:rsid w:val="7B42141C"/>
    <w:rsid w:val="7B51087D"/>
    <w:rsid w:val="7B5A2978"/>
    <w:rsid w:val="7B5A7E4C"/>
    <w:rsid w:val="7B667AF9"/>
    <w:rsid w:val="7B7468F8"/>
    <w:rsid w:val="7BEE0103"/>
    <w:rsid w:val="7C0A0FE4"/>
    <w:rsid w:val="7C15268D"/>
    <w:rsid w:val="7C254906"/>
    <w:rsid w:val="7C590818"/>
    <w:rsid w:val="7C7C10F6"/>
    <w:rsid w:val="7C853BEA"/>
    <w:rsid w:val="7C881368"/>
    <w:rsid w:val="7CD564F7"/>
    <w:rsid w:val="7CE00EED"/>
    <w:rsid w:val="7CE27788"/>
    <w:rsid w:val="7CE958B4"/>
    <w:rsid w:val="7CF65CAB"/>
    <w:rsid w:val="7D0C32F1"/>
    <w:rsid w:val="7D0F408D"/>
    <w:rsid w:val="7D2F59D0"/>
    <w:rsid w:val="7D31799A"/>
    <w:rsid w:val="7D491C6C"/>
    <w:rsid w:val="7D5429C0"/>
    <w:rsid w:val="7D562F5D"/>
    <w:rsid w:val="7D6E6D43"/>
    <w:rsid w:val="7D8555F0"/>
    <w:rsid w:val="7DB57A34"/>
    <w:rsid w:val="7DE60973"/>
    <w:rsid w:val="7DEF0916"/>
    <w:rsid w:val="7E1E5218"/>
    <w:rsid w:val="7E2B43EA"/>
    <w:rsid w:val="7E3340F9"/>
    <w:rsid w:val="7E424E13"/>
    <w:rsid w:val="7E551467"/>
    <w:rsid w:val="7E6C679B"/>
    <w:rsid w:val="7E9A4E1F"/>
    <w:rsid w:val="7EA0521F"/>
    <w:rsid w:val="7EA7723A"/>
    <w:rsid w:val="7EDC56E4"/>
    <w:rsid w:val="7EF56FBB"/>
    <w:rsid w:val="7F0768EB"/>
    <w:rsid w:val="7F143BEC"/>
    <w:rsid w:val="7F2D4191"/>
    <w:rsid w:val="7F362021"/>
    <w:rsid w:val="7F477001"/>
    <w:rsid w:val="7F587460"/>
    <w:rsid w:val="7F715AF2"/>
    <w:rsid w:val="7F7B47F9"/>
    <w:rsid w:val="7F886E69"/>
    <w:rsid w:val="7F98785D"/>
    <w:rsid w:val="7FBF3552"/>
    <w:rsid w:val="AEFB2051"/>
    <w:rsid w:val="BB7FA927"/>
    <w:rsid w:val="EFF72F48"/>
    <w:rsid w:val="F5FFD31F"/>
    <w:rsid w:val="F7E57758"/>
    <w:rsid w:val="F7FD985E"/>
    <w:rsid w:val="FBDE7B37"/>
    <w:rsid w:val="FEF398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toa heading"/>
    <w:basedOn w:val="1"/>
    <w:next w:val="1"/>
    <w:semiHidden/>
    <w:qFormat/>
    <w:uiPriority w:val="0"/>
    <w:pPr>
      <w:spacing w:before="120"/>
    </w:pPr>
    <w:rPr>
      <w:rFonts w:ascii="Arial" w:hAnsi="Arial" w:cs="Arial"/>
      <w:sz w:val="24"/>
    </w:rPr>
  </w:style>
  <w:style w:type="paragraph" w:styleId="20">
    <w:name w:val="annotation text"/>
    <w:basedOn w:val="1"/>
    <w:link w:val="345"/>
    <w:qFormat/>
    <w:uiPriority w:val="99"/>
    <w:pPr>
      <w:jc w:val="left"/>
    </w:pPr>
  </w:style>
  <w:style w:type="paragraph" w:styleId="21">
    <w:name w:val="Salutation"/>
    <w:basedOn w:val="1"/>
    <w:next w:val="1"/>
    <w:link w:val="299"/>
    <w:qFormat/>
    <w:uiPriority w:val="0"/>
    <w:rPr>
      <w:rFonts w:ascii="仿宋_GB2312" w:eastAsia="仿宋_GB2312"/>
      <w:sz w:val="28"/>
      <w:szCs w:val="20"/>
    </w:rPr>
  </w:style>
  <w:style w:type="paragraph" w:styleId="22">
    <w:name w:val="Body Text 3"/>
    <w:basedOn w:val="1"/>
    <w:link w:val="331"/>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1"/>
    <w:link w:val="26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4"/>
    <w:qFormat/>
    <w:uiPriority w:val="99"/>
    <w:pPr>
      <w:tabs>
        <w:tab w:val="center" w:pos="4153"/>
        <w:tab w:val="right" w:pos="8306"/>
      </w:tabs>
      <w:snapToGrid w:val="0"/>
      <w:jc w:val="left"/>
    </w:pPr>
    <w:rPr>
      <w:sz w:val="18"/>
      <w:szCs w:val="18"/>
    </w:rPr>
  </w:style>
  <w:style w:type="paragraph" w:styleId="41">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1"/>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7"/>
    <w:qFormat/>
    <w:uiPriority w:val="0"/>
    <w:rPr>
      <w:b/>
      <w:bCs/>
    </w:rPr>
  </w:style>
  <w:style w:type="paragraph" w:styleId="61">
    <w:name w:val="Body Text First Indent"/>
    <w:basedOn w:val="24"/>
    <w:next w:val="51"/>
    <w:link w:val="322"/>
    <w:qFormat/>
    <w:uiPriority w:val="0"/>
    <w:pPr>
      <w:ind w:firstLine="420"/>
    </w:pPr>
    <w:rPr>
      <w:rFonts w:hAnsi="Calibri" w:cs="Times New Roman"/>
      <w:snapToGrid/>
      <w:szCs w:val="20"/>
    </w:rPr>
  </w:style>
  <w:style w:type="paragraph" w:styleId="62">
    <w:name w:val="Body Text First Indent 2"/>
    <w:basedOn w:val="25"/>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文本首行缩进 2 字符"/>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8"/>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6"/>
    <w:qFormat/>
    <w:uiPriority w:val="0"/>
    <w:rPr>
      <w:rFonts w:ascii="宋体"/>
      <w:kern w:val="2"/>
      <w:sz w:val="24"/>
      <w:szCs w:val="21"/>
      <w:lang w:val="zh-CN"/>
    </w:rPr>
  </w:style>
  <w:style w:type="character" w:customStyle="1" w:styleId="183">
    <w:name w:val="标题 9 字符"/>
    <w:link w:val="11"/>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0"/>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6"/>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列出段落1"/>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字符1"/>
    <w:link w:val="25"/>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字符1"/>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字符"/>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字符"/>
    <w:link w:val="7"/>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字符"/>
    <w:link w:val="21"/>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字符"/>
    <w:link w:val="57"/>
    <w:qFormat/>
    <w:uiPriority w:val="0"/>
    <w:rPr>
      <w:rFonts w:ascii="黑体" w:hAnsi="Courier New" w:eastAsia="黑体"/>
    </w:rPr>
  </w:style>
  <w:style w:type="character" w:customStyle="1" w:styleId="303">
    <w:name w:val="正文文本 2 字符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6"/>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字符"/>
    <w:link w:val="9"/>
    <w:qFormat/>
    <w:uiPriority w:val="0"/>
    <w:rPr>
      <w:b/>
      <w:bCs/>
      <w:kern w:val="2"/>
      <w:sz w:val="24"/>
      <w:szCs w:val="24"/>
    </w:rPr>
  </w:style>
  <w:style w:type="character" w:customStyle="1" w:styleId="309">
    <w:name w:val="正文文本缩进 2 字符"/>
    <w:link w:val="37"/>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字符"/>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文本首行缩进 字符"/>
    <w:link w:val="61"/>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字符1"/>
    <w:link w:val="6"/>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字符"/>
    <w:link w:val="22"/>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字符1"/>
    <w:link w:val="20"/>
    <w:qFormat/>
    <w:uiPriority w:val="99"/>
    <w:rPr>
      <w:kern w:val="2"/>
      <w:sz w:val="21"/>
      <w:szCs w:val="24"/>
    </w:rPr>
  </w:style>
  <w:style w:type="character" w:customStyle="1" w:styleId="346">
    <w:name w:val="签名 字符"/>
    <w:link w:val="42"/>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10"/>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字符"/>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字符2"/>
    <w:link w:val="40"/>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字符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无间隔2"/>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7"/>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7"/>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1">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8"/>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8"/>
    <w:qFormat/>
    <w:uiPriority w:val="0"/>
    <w:rPr>
      <w:kern w:val="2"/>
      <w:sz w:val="21"/>
      <w:szCs w:val="24"/>
      <w:lang w:val="zh-CN"/>
    </w:rPr>
  </w:style>
  <w:style w:type="character" w:customStyle="1" w:styleId="934">
    <w:name w:val="无间隔 字符"/>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样式 标题 2 + Times New Roman 四号 非加粗 段前: 5 磅 段后: 0 磅 行距: 固定值 20..."/>
    <w:basedOn w:val="3"/>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6">
    <w:name w:val="p16"/>
    <w:basedOn w:val="1"/>
    <w:qFormat/>
    <w:uiPriority w:val="0"/>
    <w:pPr>
      <w:widowControl/>
      <w:spacing w:before="100" w:after="100"/>
      <w:jc w:val="left"/>
    </w:pPr>
    <w:rPr>
      <w:rFonts w:ascii="宋体" w:hAnsi="宋体" w:cs="宋体"/>
      <w:color w:val="000000"/>
      <w:kern w:val="0"/>
      <w:sz w:val="24"/>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8">
    <w:name w:val="V0-表左缩进"/>
    <w:basedOn w:val="969"/>
    <w:qFormat/>
    <w:uiPriority w:val="0"/>
    <w:pPr>
      <w:ind w:firstLine="422" w:firstLineChars="200"/>
      <w:jc w:val="left"/>
    </w:pPr>
    <w:rPr>
      <w:bCs/>
    </w:rPr>
  </w:style>
  <w:style w:type="paragraph" w:customStyle="1" w:styleId="969">
    <w:name w:val="V0-表"/>
    <w:basedOn w:val="1"/>
    <w:autoRedefine/>
    <w:qFormat/>
    <w:uiPriority w:val="0"/>
    <w:pPr>
      <w:jc w:val="center"/>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105</Pages>
  <Words>23006</Words>
  <Characters>24256</Characters>
  <Lines>493</Lines>
  <Paragraphs>138</Paragraphs>
  <TotalTime>8</TotalTime>
  <ScaleCrop>false</ScaleCrop>
  <LinksUpToDate>false</LinksUpToDate>
  <CharactersWithSpaces>24719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2022-05-07T23:35:00Z</dcterms:created>
  <dc:creator>玥</dc:creator>
  <cp:lastModifiedBy>ZJZT-G</cp:lastModifiedBy>
  <cp:lastPrinted>2021-12-28T03:06:00Z</cp:lastPrinted>
  <dcterms:modified xsi:type="dcterms:W3CDTF">2026-06-03T05:53:09Z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4A46E0FCE2EA011A02E7BA67BE254928_43</vt:lpwstr>
  </property>
  <property fmtid="{D5CDD505-2E9C-101B-9397-08002B2CF9AE}" pid="5" name="commondata">
    <vt:lpwstr>eyJoZGlkIjoiNGNlMmFkMDQ1NDY0ZmRiM2Q0NjY4NTFjN2IwMTllYjMifQ==</vt:lpwstr>
  </property>
  <property fmtid="{D5CDD505-2E9C-101B-9397-08002B2CF9AE}" pid="6" name="KSOTemplateDocerSaveRecord">
    <vt:lpwstr>eyJoZGlkIjoiZWVlOTlkNzZhZDAwZmRmNDEwNjQxMDcwNzI3M2UwZTciLCJ1c2VySWQiOiIzNTcyMzkxNDQifQ==</vt:lpwstr>
  </property>
</Properties>
</file>