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color w:val="auto"/>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color w:val="auto"/>
          <w:sz w:val="32"/>
          <w:szCs w:val="3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color w:val="auto"/>
          <w:sz w:val="72"/>
          <w:highlight w:val="none"/>
        </w:rPr>
      </w:pPr>
      <w:r>
        <w:rPr>
          <w:rFonts w:hint="eastAsia" w:ascii="宋体" w:hAnsi="宋体" w:eastAsia="宋体" w:cs="宋体"/>
          <w:b/>
          <w:color w:val="auto"/>
          <w:sz w:val="72"/>
          <w:highlight w:val="none"/>
          <w:lang w:val="en-US" w:eastAsia="zh-CN"/>
        </w:rPr>
        <w:t>招 标 文 件</w:t>
      </w:r>
      <w:r>
        <w:rPr>
          <w:rFonts w:hint="eastAsia" w:ascii="宋体" w:hAnsi="宋体" w:eastAsia="宋体" w:cs="宋体"/>
          <w:b/>
          <w:color w:val="auto"/>
          <w:sz w:val="72"/>
          <w:highlight w:val="none"/>
        </w:rPr>
        <w:br w:type="textWrapping"/>
      </w:r>
    </w:p>
    <w:p w14:paraId="0FC817B9">
      <w:pPr>
        <w:pStyle w:val="10"/>
        <w:rPr>
          <w:rFonts w:hint="eastAsia"/>
          <w:color w:val="auto"/>
          <w:highlight w:val="none"/>
        </w:rPr>
      </w:pPr>
    </w:p>
    <w:p w14:paraId="669A44E3">
      <w:pPr>
        <w:rPr>
          <w:rFonts w:hint="eastAsia"/>
          <w:color w:val="auto"/>
          <w:highlight w:val="none"/>
        </w:rPr>
      </w:pPr>
    </w:p>
    <w:p w14:paraId="1420CE17">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eastAsia" w:ascii="宋体" w:hAnsi="宋体" w:eastAsia="宋体" w:cs="宋体"/>
          <w:b/>
          <w:bCs/>
          <w:color w:val="auto"/>
          <w:sz w:val="24"/>
          <w:highlight w:val="none"/>
          <w:lang w:val="en-US" w:eastAsia="zh-CN"/>
        </w:rPr>
      </w:pPr>
    </w:p>
    <w:p w14:paraId="2EF687CD">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eastAsia" w:ascii="宋体" w:hAnsi="宋体" w:eastAsia="宋体" w:cs="宋体"/>
          <w:b/>
          <w:bCs/>
          <w:color w:val="auto"/>
          <w:sz w:val="24"/>
          <w:highlight w:val="none"/>
          <w:lang w:val="en-US" w:eastAsia="zh-CN"/>
        </w:rPr>
      </w:pPr>
    </w:p>
    <w:p w14:paraId="795120B3">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项目编号：PSXZC2026-0</w:t>
      </w:r>
      <w:r>
        <w:rPr>
          <w:rFonts w:hint="eastAsia" w:cs="宋体"/>
          <w:b/>
          <w:bCs/>
          <w:color w:val="auto"/>
          <w:sz w:val="24"/>
          <w:highlight w:val="none"/>
          <w:lang w:val="en-US" w:eastAsia="zh-CN"/>
        </w:rPr>
        <w:t>23</w:t>
      </w:r>
      <w:r>
        <w:rPr>
          <w:rFonts w:hint="eastAsia" w:ascii="宋体" w:hAnsi="宋体" w:eastAsia="宋体" w:cs="宋体"/>
          <w:b/>
          <w:bCs/>
          <w:color w:val="auto"/>
          <w:sz w:val="24"/>
          <w:highlight w:val="none"/>
          <w:lang w:val="en-US" w:eastAsia="zh-CN"/>
        </w:rPr>
        <w:t>号</w:t>
      </w:r>
    </w:p>
    <w:p w14:paraId="34CF95B5">
      <w:pPr>
        <w:keepNext w:val="0"/>
        <w:keepLines w:val="0"/>
        <w:pageBreakBefore w:val="0"/>
        <w:widowControl w:val="0"/>
        <w:kinsoku/>
        <w:wordWrap/>
        <w:overflowPunct/>
        <w:topLinePunct w:val="0"/>
        <w:autoSpaceDE/>
        <w:autoSpaceDN/>
        <w:bidi w:val="0"/>
        <w:adjustRightInd w:val="0"/>
        <w:snapToGrid w:val="0"/>
        <w:spacing w:line="600" w:lineRule="auto"/>
        <w:ind w:left="1455" w:leftChars="104" w:right="-413" w:rightChars="-172" w:hanging="1205" w:hangingChars="5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项目名称:</w:t>
      </w:r>
      <w:r>
        <w:rPr>
          <w:rFonts w:hint="eastAsia" w:cs="宋体"/>
          <w:b/>
          <w:bCs/>
          <w:color w:val="auto"/>
          <w:sz w:val="24"/>
          <w:highlight w:val="none"/>
          <w:lang w:eastAsia="zh-CN"/>
        </w:rPr>
        <w:t>皮山县人民医院放射类检查设备维修维保及技术服务采购项目</w:t>
      </w:r>
    </w:p>
    <w:p w14:paraId="5C77FE04">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采 购 人（盖章）：</w:t>
      </w:r>
      <w:r>
        <w:rPr>
          <w:rFonts w:hint="eastAsia" w:cs="宋体"/>
          <w:b/>
          <w:bCs/>
          <w:color w:val="auto"/>
          <w:sz w:val="24"/>
          <w:highlight w:val="none"/>
          <w:lang w:eastAsia="zh-CN"/>
        </w:rPr>
        <w:t>皮山县人民医院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8255" b="9525"/>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C1la/P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采购代理机构（盖章）：</w:t>
      </w:r>
      <w:r>
        <w:rPr>
          <w:rFonts w:hint="eastAsia" w:cs="宋体"/>
          <w:b/>
          <w:bCs/>
          <w:sz w:val="24"/>
          <w:highlight w:val="none"/>
          <w:lang w:eastAsia="zh-CN"/>
        </w:rPr>
        <w:t>新疆宏力源工程项目管理有限公司</w:t>
      </w:r>
    </w:p>
    <w:p w14:paraId="5A77C73E">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项目联系人：</w:t>
      </w:r>
      <w:r>
        <w:rPr>
          <w:rFonts w:hint="eastAsia" w:cs="宋体"/>
          <w:b/>
          <w:bCs/>
          <w:sz w:val="24"/>
          <w:highlight w:val="none"/>
          <w:lang w:eastAsia="zh-CN"/>
        </w:rPr>
        <w:t>李曌、穆嘉文、石龙彦</w:t>
      </w:r>
    </w:p>
    <w:p w14:paraId="46A6F629">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413" w:rightChars="-172" w:hanging="1874" w:hangingChars="778"/>
        <w:textAlignment w:val="auto"/>
        <w:rPr>
          <w:rFonts w:hint="eastAsia"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联系方式：</w:t>
      </w:r>
      <w:r>
        <w:rPr>
          <w:rFonts w:hint="eastAsia" w:cs="宋体"/>
          <w:b/>
          <w:color w:val="000000"/>
          <w:sz w:val="24"/>
          <w:highlight w:val="none"/>
          <w:lang w:eastAsia="zh-CN"/>
        </w:rPr>
        <w:t>17783394603、0991-3193331</w:t>
      </w:r>
    </w:p>
    <w:p w14:paraId="4CF7A4EF">
      <w:pPr>
        <w:keepNext w:val="0"/>
        <w:keepLines w:val="0"/>
        <w:pageBreakBefore w:val="0"/>
        <w:widowControl w:val="0"/>
        <w:kinsoku/>
        <w:wordWrap/>
        <w:overflowPunct/>
        <w:topLinePunct w:val="0"/>
        <w:autoSpaceDE/>
        <w:autoSpaceDN/>
        <w:bidi w:val="0"/>
        <w:adjustRightInd w:val="0"/>
        <w:snapToGrid w:val="0"/>
        <w:spacing w:line="600" w:lineRule="auto"/>
        <w:ind w:left="2124" w:leftChars="104" w:right="-814" w:rightChars="-339" w:hanging="1874" w:hangingChars="778"/>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详细地址：</w:t>
      </w:r>
      <w:r>
        <w:rPr>
          <w:rFonts w:hint="eastAsia" w:cs="宋体"/>
          <w:b/>
          <w:bCs/>
          <w:color w:val="000000"/>
          <w:sz w:val="24"/>
          <w:highlight w:val="none"/>
          <w:lang w:eastAsia="zh-CN"/>
        </w:rPr>
        <w:t>新疆乌鲁木齐高新区（新市区）四平路266号科创花苑B3办公1501室</w:t>
      </w:r>
    </w:p>
    <w:p w14:paraId="0A835D3F">
      <w:pPr>
        <w:pStyle w:val="41"/>
        <w:rPr>
          <w:rFonts w:hint="eastAsia" w:ascii="黑体" w:hAnsi="黑体" w:eastAsia="黑体"/>
          <w:color w:val="auto"/>
          <w:sz w:val="72"/>
          <w:szCs w:val="72"/>
          <w:highlight w:val="none"/>
        </w:rPr>
        <w:sectPr>
          <w:headerReference r:id="rId5" w:type="default"/>
          <w:pgSz w:w="11906" w:h="16838"/>
          <w:pgMar w:top="1440" w:right="1800" w:bottom="1440" w:left="1800" w:header="851" w:footer="87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6E0FD2">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7FD7999F">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bookmarkStart w:id="1" w:name="_Toc155185859"/>
      <w:bookmarkStart w:id="2" w:name="_Toc10815"/>
      <w:bookmarkStart w:id="3" w:name="_Hlk130458318"/>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TOC \o "1-2" \h \u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_Toc11922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_Toc11922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1FDE347">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_Toc32500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_Toc32500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01687B1">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_Toc1168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一、投标人须知前附表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E8B1BD8">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_Toc27559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_Toc27559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4746736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_Toc32401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_Toc32401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7B3BC53">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_Toc7544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452B597">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_Toc26947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一、资格审查程序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_Toc26947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A9AA85D">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_Toc15886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二、资格审查要求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_Toc15886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44</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2F4AC75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_Toc28158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_Toc28158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790DA00">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_Toc17592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zh-CN" w:eastAsia="zh-CN"/>
        </w:rPr>
        <w:t>一、评标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lang w:val="zh-CN" w:eastAsia="zh-CN"/>
        </w:rPr>
        <w:t>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1A72A385">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_Toc27095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val="zh-CN" w:eastAsia="zh-CN"/>
        </w:rPr>
        <w:t>、评标程序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_Toc27095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AE775DF">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_Toc5253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zh-CN" w:eastAsia="zh-CN"/>
        </w:rPr>
        <w:t>三、评标</w:t>
      </w:r>
      <w:r>
        <w:rPr>
          <w:rFonts w:hint="eastAsia" w:ascii="宋体" w:hAnsi="宋体" w:eastAsia="宋体" w:cs="宋体"/>
          <w:color w:val="auto"/>
          <w:sz w:val="24"/>
          <w:szCs w:val="24"/>
          <w:highlight w:val="none"/>
          <w:lang w:val="en-US" w:eastAsia="zh-CN"/>
        </w:rPr>
        <w:t>其他要求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DB5213B">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_Toc17549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eastAsia="zh-CN"/>
        </w:rPr>
        <w:t>、评标标准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06CF536">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_Toc1640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6A9A025B">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_Toc20007 </w:instrText>
      </w:r>
      <w:r>
        <w:rPr>
          <w:rFonts w:hint="eastAsia" w:ascii="宋体" w:hAnsi="宋体" w:eastAsia="宋体" w:cs="宋体"/>
          <w:caps w:val="0"/>
          <w:smallCaps w:val="0"/>
          <w:color w:val="auto"/>
          <w:spacing w:val="0"/>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_Toc20007 \h </w:instrText>
      </w:r>
      <w:r>
        <w:rPr>
          <w:color w:val="auto"/>
          <w:sz w:val="24"/>
          <w:szCs w:val="24"/>
          <w:highlight w:val="none"/>
        </w:rPr>
        <w:fldChar w:fldCharType="separate"/>
      </w:r>
      <w:r>
        <w:rPr>
          <w:color w:val="auto"/>
          <w:sz w:val="24"/>
          <w:szCs w:val="24"/>
          <w:highlight w:val="none"/>
        </w:rPr>
        <w:t>68</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388F318D">
      <w:pPr>
        <w:pStyle w:val="25"/>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_Toc20344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rPr>
        <w:t>投标文件</w:t>
      </w:r>
      <w:r>
        <w:rPr>
          <w:rFonts w:hint="eastAsia" w:ascii="宋体" w:hAnsi="宋体" w:eastAsia="宋体" w:cs="宋体"/>
          <w:caps w:val="0"/>
          <w:smallCaps w:val="0"/>
          <w:color w:val="auto"/>
          <w:spacing w:val="0"/>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begin"/>
      </w:r>
      <w:r>
        <w:rPr>
          <w:rFonts w:hint="eastAsia" w:ascii="宋体" w:hAnsi="宋体" w:eastAsia="宋体" w:cs="宋体"/>
          <w:caps w:val="0"/>
          <w:smallCaps w:val="0"/>
          <w:color w:val="auto"/>
          <w:spacing w:val="0"/>
          <w:sz w:val="24"/>
          <w:szCs w:val="24"/>
          <w:highlight w:val="none"/>
        </w:rPr>
        <w:instrText xml:space="preserve"> HYPERLINK \l _Toc17637 </w:instrText>
      </w:r>
      <w:r>
        <w:rPr>
          <w:rFonts w:hint="eastAsia" w:ascii="宋体" w:hAnsi="宋体" w:eastAsia="宋体" w:cs="宋体"/>
          <w:caps w:val="0"/>
          <w:smallCaps w:val="0"/>
          <w:color w:val="auto"/>
          <w:spacing w:val="0"/>
          <w:sz w:val="24"/>
          <w:szCs w:val="24"/>
          <w:highlight w:val="none"/>
        </w:rPr>
        <w:fldChar w:fldCharType="separate"/>
      </w:r>
      <w:r>
        <w:rPr>
          <w:rFonts w:hint="eastAsia"/>
          <w:color w:val="auto"/>
          <w:sz w:val="24"/>
          <w:szCs w:val="24"/>
          <w:highlight w:val="none"/>
        </w:rPr>
        <w:t>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_Toc17637 \h </w:instrText>
      </w:r>
      <w:r>
        <w:rPr>
          <w:color w:val="auto"/>
          <w:sz w:val="24"/>
          <w:szCs w:val="24"/>
          <w:highlight w:val="none"/>
        </w:rPr>
        <w:fldChar w:fldCharType="separate"/>
      </w:r>
      <w:r>
        <w:rPr>
          <w:color w:val="auto"/>
          <w:sz w:val="24"/>
          <w:szCs w:val="24"/>
          <w:highlight w:val="none"/>
        </w:rPr>
        <w:t>69</w:t>
      </w:r>
      <w:r>
        <w:rPr>
          <w:color w:val="auto"/>
          <w:sz w:val="24"/>
          <w:szCs w:val="24"/>
          <w:highlight w:val="none"/>
        </w:rPr>
        <w:fldChar w:fldCharType="end"/>
      </w:r>
      <w:r>
        <w:rPr>
          <w:rFonts w:hint="eastAsia" w:ascii="宋体" w:hAnsi="宋体" w:eastAsia="宋体" w:cs="宋体"/>
          <w:caps w:val="0"/>
          <w:smallCaps w:val="0"/>
          <w:color w:val="auto"/>
          <w:spacing w:val="0"/>
          <w:sz w:val="24"/>
          <w:szCs w:val="24"/>
          <w:highlight w:val="none"/>
        </w:rPr>
        <w:fldChar w:fldCharType="end"/>
      </w:r>
    </w:p>
    <w:p w14:paraId="73F75779">
      <w:pPr>
        <w:pStyle w:val="29"/>
        <w:keepNext w:val="0"/>
        <w:keepLines w:val="0"/>
        <w:pageBreakBefore w:val="0"/>
        <w:widowControl w:val="0"/>
        <w:tabs>
          <w:tab w:val="right" w:leader="dot" w:pos="8306"/>
        </w:tabs>
        <w:kinsoku/>
        <w:wordWrap/>
        <w:overflowPunct/>
        <w:topLinePunct w:val="0"/>
        <w:autoSpaceDE/>
        <w:autoSpaceDN/>
        <w:bidi w:val="0"/>
        <w:adjustRightInd/>
        <w:snapToGrid/>
        <w:spacing w:line="400" w:lineRule="exact"/>
        <w:jc w:val="both"/>
        <w:textAlignment w:val="auto"/>
        <w:rPr>
          <w:color w:val="auto"/>
          <w:sz w:val="24"/>
          <w:szCs w:val="24"/>
          <w:highlight w:val="none"/>
        </w:rPr>
      </w:pPr>
    </w:p>
    <w:p w14:paraId="0374DAF0">
      <w:pPr>
        <w:keepNext w:val="0"/>
        <w:keepLines w:val="0"/>
        <w:pageBreakBefore w:val="0"/>
        <w:widowControl w:val="0"/>
        <w:kinsoku/>
        <w:wordWrap/>
        <w:overflowPunct/>
        <w:topLinePunct w:val="0"/>
        <w:autoSpaceDE/>
        <w:autoSpaceDN/>
        <w:bidi w:val="0"/>
        <w:adjustRightInd/>
        <w:snapToGrid/>
        <w:spacing w:before="0" w:after="0" w:line="400" w:lineRule="exact"/>
        <w:textAlignment w:val="auto"/>
        <w:rPr>
          <w:color w:val="auto"/>
          <w:highlight w:val="none"/>
        </w:rPr>
      </w:pPr>
      <w:r>
        <w:rPr>
          <w:rFonts w:hint="eastAsia" w:ascii="宋体" w:hAnsi="宋体" w:eastAsia="宋体" w:cs="宋体"/>
          <w:caps w:val="0"/>
          <w:smallCaps w:val="0"/>
          <w:color w:val="auto"/>
          <w:spacing w:val="0"/>
          <w:sz w:val="24"/>
          <w:szCs w:val="24"/>
          <w:highlight w:val="none"/>
        </w:rPr>
        <w:fldChar w:fldCharType="end"/>
      </w:r>
    </w:p>
    <w:p w14:paraId="70197432">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4" w:name="_Toc11922"/>
      <w:r>
        <w:rPr>
          <w:rFonts w:hint="eastAsia" w:ascii="宋体" w:hAnsi="宋体" w:eastAsia="宋体" w:cs="宋体"/>
          <w:b/>
          <w:bCs/>
          <w:color w:val="auto"/>
          <w:kern w:val="44"/>
          <w:sz w:val="36"/>
          <w:szCs w:val="36"/>
          <w:highlight w:val="none"/>
          <w:lang w:val="en-US" w:eastAsia="zh-CN" w:bidi="ar-SA"/>
        </w:rPr>
        <w:t xml:space="preserve">第一章 </w:t>
      </w:r>
      <w:bookmarkEnd w:id="1"/>
      <w:r>
        <w:rPr>
          <w:rFonts w:hint="eastAsia" w:ascii="宋体" w:hAnsi="宋体" w:eastAsia="宋体" w:cs="宋体"/>
          <w:color w:val="auto"/>
          <w:sz w:val="36"/>
          <w:szCs w:val="36"/>
          <w:highlight w:val="none"/>
          <w:lang w:val="en-US" w:eastAsia="zh-CN"/>
        </w:rPr>
        <w:t>招标公告</w:t>
      </w:r>
      <w:bookmarkEnd w:id="2"/>
      <w:bookmarkEnd w:id="4"/>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5"/>
      </w:tblGrid>
      <w:tr w14:paraId="7612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73D0F96B">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5" w:name="_Toc27552"/>
            <w:bookmarkStart w:id="6" w:name="_Toc10915"/>
            <w:bookmarkStart w:id="7" w:name="_Toc9180"/>
            <w:bookmarkStart w:id="8" w:name="_Toc27128"/>
            <w:bookmarkStart w:id="9" w:name="_Toc1899"/>
            <w:bookmarkStart w:id="10" w:name="_Toc28359089"/>
            <w:bookmarkStart w:id="11" w:name="_Toc35393629"/>
            <w:bookmarkStart w:id="12" w:name="_Toc155185860"/>
            <w:bookmarkStart w:id="13" w:name="_Toc109899410"/>
            <w:bookmarkStart w:id="14" w:name="_Toc35393798"/>
            <w:bookmarkStart w:id="15" w:name="_Toc109900248"/>
            <w:bookmarkStart w:id="16" w:name="_Toc140132745"/>
            <w:bookmarkStart w:id="17" w:name="_Toc44583628"/>
            <w:bookmarkStart w:id="18" w:name="_Toc109899829"/>
            <w:bookmarkStart w:id="19" w:name="_Toc28359012"/>
            <w:r>
              <w:rPr>
                <w:rFonts w:hint="eastAsia"/>
                <w:color w:val="auto"/>
                <w:sz w:val="24"/>
                <w:szCs w:val="24"/>
                <w:highlight w:val="none"/>
                <w:lang w:val="en-US" w:eastAsia="zh-CN"/>
              </w:rPr>
              <w:t>项目概况：</w:t>
            </w:r>
            <w:bookmarkEnd w:id="5"/>
            <w:bookmarkEnd w:id="6"/>
            <w:bookmarkEnd w:id="7"/>
            <w:bookmarkEnd w:id="8"/>
            <w:bookmarkEnd w:id="9"/>
          </w:p>
          <w:p w14:paraId="42E3A809">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皮山县人民医院放射类检查设备维修维保及技术服务采购项目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新疆政府采购云平台https://www.zcygov.cn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ascii="宋体" w:hAnsi="宋体" w:eastAsia="宋体" w:cstheme="minorBidi"/>
                <w:iCs/>
                <w:color w:val="auto"/>
                <w:kern w:val="2"/>
                <w:sz w:val="24"/>
                <w:szCs w:val="24"/>
                <w:highlight w:val="none"/>
                <w:u w:val="single"/>
                <w:shd w:val="clear" w:color="auto" w:fill="FFFFFF" w:themeFill="background1"/>
                <w:lang w:val="en-US" w:eastAsia="zh-CN" w:bidi="ar-SA"/>
              </w:rPr>
              <w:t>2026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年</w:t>
            </w:r>
            <w:r>
              <w:rPr>
                <w:rFonts w:hint="eastAsia" w:cstheme="minorBidi"/>
                <w:iCs/>
                <w:color w:val="auto"/>
                <w:kern w:val="2"/>
                <w:sz w:val="24"/>
                <w:szCs w:val="24"/>
                <w:highlight w:val="none"/>
                <w:u w:val="single"/>
                <w:shd w:val="clear" w:color="auto" w:fill="FFFFFF" w:themeFill="background1"/>
                <w:lang w:val="en-US" w:eastAsia="zh-CN" w:bidi="ar-SA"/>
              </w:rPr>
              <w:t>6</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月</w:t>
            </w:r>
            <w:r>
              <w:rPr>
                <w:rFonts w:hint="eastAsia" w:cstheme="minorBidi"/>
                <w:iCs/>
                <w:color w:val="auto"/>
                <w:kern w:val="2"/>
                <w:sz w:val="24"/>
                <w:szCs w:val="24"/>
                <w:highlight w:val="none"/>
                <w:u w:val="single"/>
                <w:shd w:val="clear" w:color="auto" w:fill="FFFFFF" w:themeFill="background1"/>
                <w:lang w:val="en-US" w:eastAsia="zh-CN" w:bidi="ar-SA"/>
              </w:rPr>
              <w:t>1</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日</w:t>
            </w:r>
            <w:r>
              <w:rPr>
                <w:rFonts w:hint="eastAsia" w:cstheme="minorBidi"/>
                <w:iCs/>
                <w:color w:val="auto"/>
                <w:kern w:val="2"/>
                <w:sz w:val="24"/>
                <w:szCs w:val="24"/>
                <w:highlight w:val="none"/>
                <w:u w:val="single"/>
                <w:shd w:val="clear" w:color="auto" w:fill="FFFFFF" w:themeFill="background1"/>
                <w:lang w:val="en-US" w:eastAsia="zh-CN" w:bidi="ar-SA"/>
              </w:rPr>
              <w:t>11时00</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分</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0" w:name="_Toc25986"/>
      <w:bookmarkStart w:id="21" w:name="_Toc6854"/>
      <w:bookmarkStart w:id="22" w:name="_Toc21391"/>
      <w:bookmarkStart w:id="23" w:name="_Toc4038"/>
      <w:r>
        <w:rPr>
          <w:rFonts w:hint="eastAsia" w:ascii="宋体" w:hAnsi="宋体" w:eastAsia="宋体" w:cs="宋体"/>
          <w:b/>
          <w:bCs/>
          <w:color w:val="auto"/>
          <w:kern w:val="2"/>
          <w:sz w:val="24"/>
          <w:szCs w:val="24"/>
          <w:highlight w:val="none"/>
          <w:lang w:val="hr-HR" w:eastAsia="zh-CN" w:bidi="ar-SA"/>
        </w:rPr>
        <w:t>一、项目基本情况</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839F306">
      <w:pPr>
        <w:pStyle w:val="42"/>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1.项目编号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hr-HR"/>
        </w:rPr>
        <w:t>：PSXZC2026-023号</w:t>
      </w:r>
    </w:p>
    <w:p w14:paraId="055043BE">
      <w:pPr>
        <w:pStyle w:val="42"/>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hr-HR"/>
        </w:rPr>
        <w:t>.项目名称：</w:t>
      </w:r>
      <w:r>
        <w:rPr>
          <w:rFonts w:hint="eastAsia" w:cs="宋体"/>
          <w:color w:val="auto"/>
          <w:sz w:val="24"/>
          <w:szCs w:val="24"/>
          <w:highlight w:val="none"/>
          <w:lang w:val="hr-HR" w:eastAsia="zh-CN"/>
        </w:rPr>
        <w:t>皮山县人民医院放射类检查设备维修维保及技术服务采购项目</w:t>
      </w:r>
    </w:p>
    <w:p w14:paraId="3CE35A7E">
      <w:pPr>
        <w:pStyle w:val="42"/>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.采购方式：公开招标</w:t>
      </w:r>
    </w:p>
    <w:p w14:paraId="78A90596">
      <w:pPr>
        <w:pStyle w:val="42"/>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hr-HR"/>
        </w:rPr>
        <w:t>预算金额：</w:t>
      </w:r>
      <w:r>
        <w:rPr>
          <w:rFonts w:hint="eastAsia" w:ascii="宋体" w:hAnsi="宋体" w:eastAsia="宋体" w:cs="宋体"/>
          <w:color w:val="auto"/>
          <w:sz w:val="24"/>
          <w:szCs w:val="24"/>
          <w:highlight w:val="none"/>
          <w:u w:val="single"/>
          <w:lang w:val="hr-HR"/>
        </w:rPr>
        <w:t>380</w:t>
      </w:r>
      <w:r>
        <w:rPr>
          <w:rFonts w:hint="eastAsia" w:ascii="宋体" w:hAnsi="宋体" w:eastAsia="宋体" w:cs="宋体"/>
          <w:color w:val="auto"/>
          <w:sz w:val="24"/>
          <w:szCs w:val="24"/>
          <w:highlight w:val="none"/>
          <w:lang w:val="hr-HR"/>
        </w:rPr>
        <w:t>万元</w:t>
      </w:r>
    </w:p>
    <w:p w14:paraId="7851BE2C">
      <w:pPr>
        <w:pStyle w:val="42"/>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hr-HR"/>
        </w:rPr>
        <w:t>：</w:t>
      </w:r>
      <w:r>
        <w:rPr>
          <w:rFonts w:hint="eastAsia" w:cs="宋体"/>
          <w:color w:val="auto"/>
          <w:sz w:val="24"/>
          <w:szCs w:val="24"/>
          <w:highlight w:val="none"/>
          <w:u w:val="single"/>
          <w:lang w:val="en-US" w:eastAsia="zh-CN"/>
        </w:rPr>
        <w:t>260</w:t>
      </w:r>
      <w:r>
        <w:rPr>
          <w:rFonts w:hint="eastAsia" w:ascii="宋体" w:hAnsi="宋体" w:eastAsia="宋体" w:cs="宋体"/>
          <w:color w:val="auto"/>
          <w:sz w:val="24"/>
          <w:szCs w:val="24"/>
          <w:highlight w:val="none"/>
          <w:lang w:val="hr-HR"/>
        </w:rPr>
        <w:t>万元</w:t>
      </w:r>
      <w:r>
        <w:rPr>
          <w:rFonts w:hint="eastAsia" w:cs="宋体"/>
          <w:color w:val="auto"/>
          <w:sz w:val="24"/>
          <w:szCs w:val="24"/>
          <w:highlight w:val="none"/>
          <w:lang w:val="hr-HR" w:eastAsia="zh-CN"/>
        </w:rPr>
        <w:t>，</w:t>
      </w:r>
      <w:r>
        <w:rPr>
          <w:rFonts w:hint="eastAsia" w:cs="宋体"/>
          <w:color w:val="auto"/>
          <w:sz w:val="24"/>
          <w:szCs w:val="24"/>
          <w:highlight w:val="none"/>
          <w:u w:val="single"/>
          <w:lang w:val="en-US" w:eastAsia="zh-CN"/>
        </w:rPr>
        <w:t>120</w:t>
      </w:r>
      <w:r>
        <w:rPr>
          <w:rFonts w:hint="eastAsia" w:ascii="宋体" w:hAnsi="宋体" w:eastAsia="宋体" w:cs="宋体"/>
          <w:color w:val="auto"/>
          <w:sz w:val="24"/>
          <w:szCs w:val="24"/>
          <w:highlight w:val="none"/>
          <w:lang w:val="hr-HR"/>
        </w:rPr>
        <w:t>万元</w:t>
      </w:r>
    </w:p>
    <w:p w14:paraId="242750DC">
      <w:pPr>
        <w:pStyle w:val="42"/>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hr-HR"/>
        </w:rPr>
        <w:t>.采购需求：</w:t>
      </w:r>
    </w:p>
    <w:p w14:paraId="5AF7E5FF">
      <w:pPr>
        <w:pStyle w:val="42"/>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标项一</w:t>
      </w:r>
    </w:p>
    <w:p w14:paraId="2D8462ED">
      <w:pPr>
        <w:pStyle w:val="4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hr-HR"/>
        </w:rPr>
        <w:t>标项名称:</w:t>
      </w:r>
      <w:r>
        <w:rPr>
          <w:rFonts w:hint="eastAsia" w:ascii="宋体" w:hAnsi="宋体" w:eastAsia="宋体" w:cs="宋体"/>
          <w:color w:val="auto"/>
          <w:sz w:val="24"/>
          <w:szCs w:val="24"/>
          <w:highlight w:val="none"/>
          <w:u w:val="single"/>
          <w:lang w:val="hr-HR"/>
        </w:rPr>
        <w:t>皮山县人民医院放射类检查设备维修维保及技术服务采购项目</w:t>
      </w:r>
      <w:r>
        <w:rPr>
          <w:rFonts w:hint="eastAsia" w:cs="宋体"/>
          <w:color w:val="auto"/>
          <w:sz w:val="24"/>
          <w:szCs w:val="24"/>
          <w:highlight w:val="none"/>
          <w:u w:val="single"/>
          <w:lang w:val="en-US" w:eastAsia="zh-CN"/>
        </w:rPr>
        <w:t>包一</w:t>
      </w:r>
    </w:p>
    <w:p w14:paraId="3CB45D11">
      <w:pPr>
        <w:pStyle w:val="42"/>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rPr>
        <w:t>数量:</w:t>
      </w:r>
      <w:r>
        <w:rPr>
          <w:rFonts w:hint="eastAsia" w:cs="宋体"/>
          <w:color w:val="auto"/>
          <w:sz w:val="24"/>
          <w:szCs w:val="24"/>
          <w:highlight w:val="none"/>
          <w:lang w:val="en-US" w:eastAsia="zh-CN"/>
        </w:rPr>
        <w:t>1</w:t>
      </w:r>
    </w:p>
    <w:p w14:paraId="05948920">
      <w:pPr>
        <w:pStyle w:val="42"/>
        <w:spacing w:line="360" w:lineRule="auto"/>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hr-HR"/>
        </w:rPr>
        <w:t>预算金额（元）:</w:t>
      </w:r>
      <w:r>
        <w:rPr>
          <w:rFonts w:hint="eastAsia" w:cs="宋体"/>
          <w:color w:val="auto"/>
          <w:sz w:val="24"/>
          <w:szCs w:val="24"/>
          <w:highlight w:val="none"/>
          <w:lang w:val="en-US" w:eastAsia="zh-CN"/>
        </w:rPr>
        <w:t>2600000</w:t>
      </w:r>
    </w:p>
    <w:p w14:paraId="6FC375F3">
      <w:pPr>
        <w:pStyle w:val="42"/>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rPr>
        <w:t xml:space="preserve">单位： </w:t>
      </w:r>
      <w:r>
        <w:rPr>
          <w:rFonts w:hint="eastAsia" w:cs="宋体"/>
          <w:color w:val="auto"/>
          <w:sz w:val="24"/>
          <w:szCs w:val="24"/>
          <w:highlight w:val="none"/>
          <w:lang w:val="en-US" w:eastAsia="zh-CN"/>
        </w:rPr>
        <w:t>项</w:t>
      </w:r>
    </w:p>
    <w:p w14:paraId="2B920F2B">
      <w:pPr>
        <w:pStyle w:val="42"/>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简要规格描述或项目基本概况介绍、用途：对采购放射科DR、CT设备维保服务（包括：16排螺旋CT1台、64指螺旋CT1台、数字化X射线摄影系统2台）（具体内容详见招标文件）</w:t>
      </w:r>
    </w:p>
    <w:p w14:paraId="116BC24D">
      <w:pPr>
        <w:pStyle w:val="42"/>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备注：</w:t>
      </w:r>
    </w:p>
    <w:p w14:paraId="583760B7">
      <w:pPr>
        <w:pStyle w:val="42"/>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rPr>
        <w:t>标项</w:t>
      </w:r>
      <w:r>
        <w:rPr>
          <w:rFonts w:hint="eastAsia" w:cs="宋体"/>
          <w:color w:val="auto"/>
          <w:sz w:val="24"/>
          <w:szCs w:val="24"/>
          <w:highlight w:val="none"/>
          <w:lang w:val="en-US" w:eastAsia="zh-CN"/>
        </w:rPr>
        <w:t>二</w:t>
      </w:r>
    </w:p>
    <w:p w14:paraId="0ED52569">
      <w:pPr>
        <w:pStyle w:val="42"/>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hr-HR"/>
        </w:rPr>
        <w:t>标项名称:</w:t>
      </w:r>
      <w:r>
        <w:rPr>
          <w:rFonts w:hint="eastAsia" w:ascii="宋体" w:hAnsi="宋体" w:eastAsia="宋体" w:cs="宋体"/>
          <w:color w:val="auto"/>
          <w:sz w:val="24"/>
          <w:szCs w:val="24"/>
          <w:highlight w:val="none"/>
          <w:u w:val="single"/>
          <w:lang w:val="hr-HR"/>
        </w:rPr>
        <w:t>皮山县人民医院放射类检查设备维修维保及技术服务采购项目</w:t>
      </w:r>
      <w:r>
        <w:rPr>
          <w:rFonts w:hint="eastAsia" w:cs="宋体"/>
          <w:color w:val="auto"/>
          <w:sz w:val="24"/>
          <w:szCs w:val="24"/>
          <w:highlight w:val="none"/>
          <w:u w:val="single"/>
          <w:lang w:val="en-US" w:eastAsia="zh-CN"/>
        </w:rPr>
        <w:t>包二</w:t>
      </w:r>
    </w:p>
    <w:p w14:paraId="5B05ED70">
      <w:pPr>
        <w:pStyle w:val="42"/>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rPr>
        <w:t>数量:</w:t>
      </w:r>
      <w:r>
        <w:rPr>
          <w:rFonts w:hint="eastAsia" w:cs="宋体"/>
          <w:color w:val="auto"/>
          <w:sz w:val="24"/>
          <w:szCs w:val="24"/>
          <w:highlight w:val="none"/>
          <w:lang w:val="en-US" w:eastAsia="zh-CN"/>
        </w:rPr>
        <w:t>1</w:t>
      </w:r>
    </w:p>
    <w:p w14:paraId="31E8003D">
      <w:pPr>
        <w:pStyle w:val="42"/>
        <w:spacing w:line="360" w:lineRule="auto"/>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hr-HR"/>
        </w:rPr>
        <w:t>预算金额（元）:</w:t>
      </w:r>
      <w:r>
        <w:rPr>
          <w:rFonts w:hint="eastAsia" w:cs="宋体"/>
          <w:color w:val="auto"/>
          <w:sz w:val="24"/>
          <w:szCs w:val="24"/>
          <w:highlight w:val="none"/>
          <w:lang w:val="en-US" w:eastAsia="zh-CN"/>
        </w:rPr>
        <w:t>1200000</w:t>
      </w:r>
    </w:p>
    <w:p w14:paraId="0D487F60">
      <w:pPr>
        <w:pStyle w:val="42"/>
        <w:spacing w:line="360" w:lineRule="auto"/>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rPr>
        <w:t xml:space="preserve">单位： </w:t>
      </w:r>
      <w:r>
        <w:rPr>
          <w:rFonts w:hint="eastAsia" w:cs="宋体"/>
          <w:color w:val="auto"/>
          <w:sz w:val="24"/>
          <w:szCs w:val="24"/>
          <w:highlight w:val="none"/>
          <w:lang w:val="en-US" w:eastAsia="zh-CN"/>
        </w:rPr>
        <w:t>项</w:t>
      </w:r>
    </w:p>
    <w:p w14:paraId="39E60EE5">
      <w:pPr>
        <w:pStyle w:val="42"/>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简要规格描述或项目基本概况介绍、用途：</w:t>
      </w:r>
      <w:r>
        <w:rPr>
          <w:rFonts w:hint="eastAsia" w:ascii="宋体" w:hAnsi="宋体" w:eastAsia="宋体" w:cs="宋体"/>
          <w:color w:val="auto"/>
          <w:sz w:val="24"/>
          <w:szCs w:val="24"/>
          <w:highlight w:val="none"/>
          <w:lang w:val="hr-HR" w:eastAsia="zh-CN"/>
        </w:rPr>
        <w:t xml:space="preserve">采购放射科核磁设备维保服务（包括：1.5T核磁1台、） </w:t>
      </w:r>
      <w:r>
        <w:rPr>
          <w:rFonts w:hint="eastAsia" w:ascii="宋体" w:hAnsi="宋体" w:eastAsia="宋体" w:cs="宋体"/>
          <w:color w:val="auto"/>
          <w:sz w:val="24"/>
          <w:szCs w:val="24"/>
          <w:highlight w:val="none"/>
          <w:lang w:val="hr-HR"/>
        </w:rPr>
        <w:t>（具体内容详见招标文件）</w:t>
      </w:r>
    </w:p>
    <w:p w14:paraId="1FCB242F">
      <w:pPr>
        <w:pStyle w:val="42"/>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备注：</w:t>
      </w:r>
    </w:p>
    <w:p w14:paraId="56FBF6DA">
      <w:pPr>
        <w:pStyle w:val="42"/>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履行期</w:t>
      </w:r>
      <w:r>
        <w:rPr>
          <w:rFonts w:hint="eastAsia" w:ascii="宋体" w:hAnsi="宋体" w:eastAsia="宋体" w:cs="宋体"/>
          <w:color w:val="auto"/>
          <w:sz w:val="24"/>
          <w:szCs w:val="24"/>
          <w:highlight w:val="none"/>
          <w:lang w:val="en-US" w:eastAsia="zh-CN"/>
        </w:rPr>
        <w:t>限：</w:t>
      </w:r>
      <w:r>
        <w:rPr>
          <w:rFonts w:hint="eastAsia" w:ascii="宋体" w:hAnsi="宋体" w:eastAsia="宋体" w:cs="宋体"/>
          <w:sz w:val="24"/>
          <w:lang w:eastAsia="zh-CN"/>
        </w:rPr>
        <w:t>标项</w:t>
      </w:r>
      <w:r>
        <w:rPr>
          <w:rFonts w:hint="eastAsia" w:ascii="宋体" w:hAnsi="宋体" w:eastAsia="宋体" w:cs="宋体"/>
          <w:sz w:val="24"/>
          <w:lang w:val="en-US" w:eastAsia="zh-CN"/>
        </w:rPr>
        <w:t>1、2，</w:t>
      </w:r>
      <w:r>
        <w:rPr>
          <w:rFonts w:hint="eastAsia" w:ascii="宋体" w:hAnsi="宋体" w:eastAsia="宋体" w:cs="宋体"/>
          <w:color w:val="000000" w:themeColor="text1"/>
          <w:sz w:val="24"/>
          <w:lang w:val="en-US" w:eastAsia="zh-CN"/>
          <w14:textFill>
            <w14:solidFill>
              <w14:schemeClr w14:val="tx1"/>
            </w14:solidFill>
          </w14:textFill>
        </w:rPr>
        <w:t>两年</w:t>
      </w:r>
      <w:r>
        <w:rPr>
          <w:rFonts w:hint="eastAsia" w:ascii="宋体" w:hAnsi="宋体" w:eastAsia="宋体" w:cs="宋体"/>
          <w:color w:val="000000" w:themeColor="text1"/>
          <w:sz w:val="24"/>
          <w14:textFill>
            <w14:solidFill>
              <w14:schemeClr w14:val="tx1"/>
            </w14:solidFill>
          </w14:textFill>
        </w:rPr>
        <w:t>具体以与业主签订合同为准</w:t>
      </w:r>
    </w:p>
    <w:p w14:paraId="4B098642">
      <w:pPr>
        <w:pStyle w:val="42"/>
        <w:spacing w:line="360" w:lineRule="auto"/>
        <w:rPr>
          <w:rFonts w:hint="eastAsia" w:ascii="宋体" w:hAnsi="宋体" w:eastAsia="宋体" w:cs="宋体"/>
          <w:color w:val="auto"/>
          <w:sz w:val="24"/>
          <w:szCs w:val="24"/>
          <w:highlight w:val="none"/>
          <w:lang w:val="en-US" w:eastAsia="zh-CN"/>
        </w:rPr>
      </w:pPr>
      <w:bookmarkStart w:id="24" w:name="_Toc35393630"/>
      <w:bookmarkStart w:id="25" w:name="_Toc35393799"/>
      <w:bookmarkStart w:id="26" w:name="_Toc28359013"/>
      <w:bookmarkStart w:id="27" w:name="_Toc28359090"/>
      <w:bookmarkStart w:id="28" w:name="_Toc44583629"/>
      <w:r>
        <w:rPr>
          <w:rFonts w:hint="eastAsia" w:ascii="宋体" w:hAnsi="宋体" w:eastAsia="宋体" w:cs="宋体"/>
          <w:color w:val="auto"/>
          <w:sz w:val="24"/>
          <w:szCs w:val="24"/>
          <w:highlight w:val="none"/>
          <w:lang w:val="en-US" w:eastAsia="zh-CN"/>
        </w:rPr>
        <w:t>8.</w:t>
      </w:r>
      <w:bookmarkStart w:id="29" w:name="_Hlk162011358"/>
      <w:r>
        <w:rPr>
          <w:rFonts w:hint="eastAsia" w:ascii="宋体" w:hAnsi="宋体" w:eastAsia="宋体" w:cs="宋体"/>
          <w:color w:val="auto"/>
          <w:sz w:val="24"/>
          <w:szCs w:val="24"/>
          <w:highlight w:val="none"/>
          <w:lang w:val="en-US" w:eastAsia="zh-CN"/>
        </w:rPr>
        <w:t>本项目是否接受联合体投标：□是</w:t>
      </w:r>
      <w:bookmarkEnd w:id="29"/>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0" w:name="_Toc155185861"/>
      <w:bookmarkStart w:id="31" w:name="_Toc15695"/>
      <w:bookmarkStart w:id="32" w:name="_Toc17974"/>
      <w:bookmarkStart w:id="33" w:name="_Toc109900249"/>
      <w:bookmarkStart w:id="34" w:name="_Toc109899830"/>
      <w:bookmarkStart w:id="35" w:name="_Toc109899411"/>
      <w:bookmarkStart w:id="36" w:name="_Toc140132746"/>
      <w:bookmarkStart w:id="37" w:name="_Toc14552"/>
      <w:bookmarkStart w:id="38" w:name="_Toc17328"/>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4"/>
      <w:bookmarkEnd w:id="25"/>
      <w:bookmarkEnd w:id="26"/>
      <w:bookmarkEnd w:id="27"/>
      <w:bookmarkEnd w:id="28"/>
      <w:bookmarkEnd w:id="30"/>
      <w:bookmarkEnd w:id="31"/>
      <w:bookmarkEnd w:id="32"/>
      <w:bookmarkEnd w:id="33"/>
      <w:bookmarkEnd w:id="34"/>
      <w:bookmarkEnd w:id="35"/>
      <w:bookmarkEnd w:id="36"/>
      <w:bookmarkEnd w:id="37"/>
      <w:bookmarkEnd w:id="38"/>
    </w:p>
    <w:p w14:paraId="4A6A8664">
      <w:pPr>
        <w:spacing w:line="360" w:lineRule="auto"/>
        <w:ind w:firstLine="480" w:firstLineChars="200"/>
        <w:rPr>
          <w:rFonts w:hint="eastAsia" w:ascii="宋体" w:hAnsi="宋体" w:eastAsia="宋体" w:cs="宋体"/>
          <w:color w:val="auto"/>
          <w:sz w:val="24"/>
          <w:szCs w:val="24"/>
          <w:highlight w:val="none"/>
          <w:lang w:val="en-US" w:eastAsia="zh-CN"/>
        </w:rPr>
      </w:pPr>
      <w:bookmarkStart w:id="39" w:name="_Hlk89807755"/>
      <w:bookmarkStart w:id="40" w:name="_Toc28359014"/>
      <w:bookmarkStart w:id="41" w:name="_Toc35393800"/>
      <w:bookmarkStart w:id="42" w:name="_Toc44583630"/>
      <w:bookmarkStart w:id="43" w:name="_Toc28359091"/>
      <w:bookmarkStart w:id="44" w:name="_Toc35393631"/>
      <w:r>
        <w:rPr>
          <w:rFonts w:hint="eastAsia" w:ascii="宋体" w:hAnsi="宋体" w:eastAsia="宋体" w:cs="宋体"/>
          <w:color w:val="auto"/>
          <w:sz w:val="24"/>
          <w:szCs w:val="24"/>
          <w:highlight w:val="none"/>
          <w:lang w:val="en-US" w:eastAsia="zh-CN"/>
        </w:rPr>
        <w:t>1.满足《中华人民共和国政府采购法》第二十二条规定；</w:t>
      </w:r>
    </w:p>
    <w:p w14:paraId="3632724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cs="宋体"/>
          <w:color w:val="auto"/>
          <w:sz w:val="24"/>
          <w:szCs w:val="24"/>
          <w:highlight w:val="none"/>
          <w:u w:val="single"/>
          <w:lang w:val="en-US" w:eastAsia="zh-CN"/>
        </w:rPr>
        <w:t>本项目专门面向小微企业。</w:t>
      </w:r>
    </w:p>
    <w:p w14:paraId="16D55E8F">
      <w:pPr>
        <w:spacing w:line="360" w:lineRule="auto"/>
        <w:ind w:firstLine="480" w:firstLineChars="2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3.本项目的特定资格要求：有效的《医疗器械经营许可证》或《医疗器械生产许可证》或具有第</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类医疗器械备案凭证</w:t>
      </w:r>
      <w:r>
        <w:rPr>
          <w:rFonts w:hint="eastAsia" w:cs="宋体"/>
          <w:color w:val="auto"/>
          <w:sz w:val="24"/>
          <w:szCs w:val="24"/>
          <w:highlight w:val="none"/>
          <w:lang w:val="en-US" w:eastAsia="zh-CN"/>
        </w:rPr>
        <w:t>。</w:t>
      </w:r>
    </w:p>
    <w:p w14:paraId="69D2AB0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 其他资格要求：</w:t>
      </w:r>
    </w:p>
    <w:p w14:paraId="6152FD41">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投标人须是在“信用中国”（www.creditchina.gov.cn）和中国政府采购网（www.ccgp.gov.cn）网站上未被列入失信被执行人、重大税收违法案件当事人名单以及政府采购严重违法失信行为记录名单；查询时间（须自招标公告发布之日起至首次提交投标文件截止时间内）。</w:t>
      </w:r>
    </w:p>
    <w:p w14:paraId="1F555688">
      <w:pPr>
        <w:spacing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（2）本项目不接受联合体。              </w:t>
      </w:r>
    </w:p>
    <w:bookmarkEnd w:id="39"/>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45" w:name="_Toc13473"/>
      <w:bookmarkStart w:id="46" w:name="_Toc140132747"/>
      <w:bookmarkStart w:id="47" w:name="_Toc16687"/>
      <w:bookmarkStart w:id="48" w:name="_Toc109899412"/>
      <w:bookmarkStart w:id="49" w:name="_Toc10741"/>
      <w:bookmarkStart w:id="50" w:name="_Toc155185862"/>
      <w:bookmarkStart w:id="51" w:name="_Toc109900250"/>
      <w:bookmarkStart w:id="52" w:name="_Toc109899831"/>
      <w:bookmarkStart w:id="53" w:name="_Toc24509"/>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hint="eastAsia" w:ascii="宋体" w:hAnsi="宋体" w:eastAsia="宋体" w:cs="宋体"/>
          <w:b/>
          <w:bCs/>
          <w:color w:val="auto"/>
          <w:kern w:val="2"/>
          <w:sz w:val="24"/>
          <w:szCs w:val="24"/>
          <w:highlight w:val="none"/>
          <w:lang w:val="hr-HR" w:eastAsia="zh-CN" w:bidi="ar-SA"/>
        </w:rPr>
        <w:t xml:space="preserve"> </w:t>
      </w:r>
    </w:p>
    <w:p w14:paraId="7F0135DE">
      <w:pPr>
        <w:pStyle w:val="42"/>
        <w:spacing w:line="360" w:lineRule="auto"/>
        <w:rPr>
          <w:rFonts w:hint="eastAsia" w:ascii="宋体" w:hAnsi="宋体" w:eastAsia="宋体" w:cs="宋体"/>
          <w:color w:val="auto"/>
          <w:sz w:val="24"/>
          <w:szCs w:val="24"/>
          <w:highlight w:val="none"/>
          <w:lang w:val="hr-HR"/>
        </w:rPr>
      </w:pPr>
      <w:bookmarkStart w:id="54" w:name="_Hlk130457234"/>
      <w:bookmarkStart w:id="55" w:name="_Toc35393632"/>
      <w:bookmarkStart w:id="56" w:name="_Toc35393801"/>
      <w:bookmarkStart w:id="57" w:name="_Toc28359015"/>
      <w:bookmarkStart w:id="58" w:name="_Hlk130457327"/>
      <w:bookmarkStart w:id="59" w:name="_Toc28359092"/>
      <w:bookmarkStart w:id="60" w:name="_Hlk130457261"/>
      <w:r>
        <w:rPr>
          <w:rFonts w:hint="eastAsia" w:ascii="宋体" w:hAnsi="宋体" w:eastAsia="宋体" w:cs="宋体"/>
          <w:color w:val="auto"/>
          <w:sz w:val="24"/>
          <w:szCs w:val="24"/>
          <w:highlight w:val="none"/>
          <w:lang w:val="hr-HR"/>
        </w:rPr>
        <w:t>1.时间：</w:t>
      </w:r>
      <w:r>
        <w:rPr>
          <w:rFonts w:hint="eastAsia" w:cs="宋体"/>
          <w:color w:val="0000FF"/>
          <w:sz w:val="24"/>
          <w:szCs w:val="24"/>
          <w:highlight w:val="none"/>
          <w:u w:val="single"/>
          <w:lang w:val="en-US" w:eastAsia="zh-CN"/>
        </w:rPr>
        <w:t>2026</w:t>
      </w:r>
      <w:r>
        <w:rPr>
          <w:rFonts w:hint="eastAsia" w:ascii="宋体" w:hAnsi="宋体" w:eastAsia="宋体" w:cs="宋体"/>
          <w:color w:val="0000FF"/>
          <w:sz w:val="24"/>
          <w:szCs w:val="24"/>
          <w:highlight w:val="none"/>
          <w:u w:val="single"/>
        </w:rPr>
        <w:t>年</w:t>
      </w:r>
      <w:r>
        <w:rPr>
          <w:rFonts w:hint="eastAsia" w:cs="宋体"/>
          <w:color w:val="0000FF"/>
          <w:sz w:val="24"/>
          <w:szCs w:val="24"/>
          <w:highlight w:val="none"/>
          <w:u w:val="single"/>
          <w:lang w:val="en-US" w:eastAsia="zh-CN"/>
        </w:rPr>
        <w:t>05</w:t>
      </w:r>
      <w:r>
        <w:rPr>
          <w:rFonts w:hint="eastAsia" w:ascii="宋体" w:hAnsi="宋体" w:eastAsia="宋体" w:cs="宋体"/>
          <w:color w:val="0000FF"/>
          <w:sz w:val="24"/>
          <w:szCs w:val="24"/>
          <w:highlight w:val="none"/>
          <w:u w:val="single"/>
        </w:rPr>
        <w:t>月</w:t>
      </w:r>
      <w:r>
        <w:rPr>
          <w:rFonts w:hint="eastAsia" w:cs="宋体"/>
          <w:color w:val="0000FF"/>
          <w:sz w:val="24"/>
          <w:szCs w:val="24"/>
          <w:highlight w:val="none"/>
          <w:u w:val="single"/>
          <w:lang w:val="en-US" w:eastAsia="zh-CN"/>
        </w:rPr>
        <w:t>10</w:t>
      </w:r>
      <w:r>
        <w:rPr>
          <w:rFonts w:hint="eastAsia" w:ascii="宋体" w:hAnsi="宋体" w:eastAsia="宋体" w:cs="宋体"/>
          <w:color w:val="0000FF"/>
          <w:sz w:val="24"/>
          <w:szCs w:val="24"/>
          <w:highlight w:val="none"/>
          <w:u w:val="single"/>
        </w:rPr>
        <w:t>日</w:t>
      </w:r>
      <w:r>
        <w:rPr>
          <w:rFonts w:hint="eastAsia" w:cs="宋体"/>
          <w:color w:val="0000FF"/>
          <w:sz w:val="24"/>
          <w:szCs w:val="24"/>
          <w:highlight w:val="none"/>
          <w:u w:val="single"/>
          <w:lang w:val="en-US" w:eastAsia="zh-CN"/>
        </w:rPr>
        <w:t>00</w:t>
      </w:r>
      <w:r>
        <w:rPr>
          <w:rFonts w:hint="eastAsia" w:ascii="宋体" w:hAnsi="宋体" w:eastAsia="宋体" w:cs="宋体"/>
          <w:color w:val="0000FF"/>
          <w:sz w:val="24"/>
          <w:szCs w:val="24"/>
          <w:highlight w:val="none"/>
          <w:u w:val="single"/>
        </w:rPr>
        <w:t xml:space="preserve">时 </w:t>
      </w:r>
      <w:r>
        <w:rPr>
          <w:rFonts w:hint="eastAsia" w:cs="宋体"/>
          <w:color w:val="0000FF"/>
          <w:sz w:val="24"/>
          <w:szCs w:val="24"/>
          <w:highlight w:val="none"/>
          <w:u w:val="single"/>
          <w:lang w:val="en-US" w:eastAsia="zh-CN"/>
        </w:rPr>
        <w:t>00</w:t>
      </w:r>
      <w:r>
        <w:rPr>
          <w:rFonts w:hint="eastAsia" w:ascii="宋体" w:hAnsi="宋体" w:eastAsia="宋体" w:cs="宋体"/>
          <w:color w:val="0000FF"/>
          <w:sz w:val="24"/>
          <w:szCs w:val="24"/>
          <w:highlight w:val="none"/>
          <w:u w:val="single"/>
        </w:rPr>
        <w:t>分</w:t>
      </w:r>
      <w:r>
        <w:rPr>
          <w:rFonts w:hint="eastAsia" w:ascii="宋体" w:hAnsi="宋体" w:eastAsia="宋体" w:cs="宋体"/>
          <w:color w:val="0000FF"/>
          <w:sz w:val="24"/>
          <w:szCs w:val="24"/>
          <w:highlight w:val="none"/>
          <w:lang w:val="hr-HR"/>
        </w:rPr>
        <w:t>至</w:t>
      </w:r>
      <w:r>
        <w:rPr>
          <w:rFonts w:hint="eastAsia" w:cs="宋体"/>
          <w:color w:val="0000FF"/>
          <w:sz w:val="24"/>
          <w:szCs w:val="24"/>
          <w:highlight w:val="none"/>
          <w:u w:val="single"/>
          <w:lang w:val="en-US" w:eastAsia="zh-CN"/>
        </w:rPr>
        <w:t>2026</w:t>
      </w:r>
      <w:r>
        <w:rPr>
          <w:rFonts w:hint="eastAsia" w:ascii="宋体" w:hAnsi="宋体" w:eastAsia="宋体" w:cs="宋体"/>
          <w:color w:val="0000FF"/>
          <w:sz w:val="24"/>
          <w:szCs w:val="24"/>
          <w:highlight w:val="none"/>
          <w:u w:val="single"/>
        </w:rPr>
        <w:t>年</w:t>
      </w:r>
      <w:r>
        <w:rPr>
          <w:rFonts w:hint="eastAsia" w:cs="宋体"/>
          <w:color w:val="0000FF"/>
          <w:sz w:val="24"/>
          <w:szCs w:val="24"/>
          <w:highlight w:val="none"/>
          <w:u w:val="single"/>
          <w:lang w:val="en-US" w:eastAsia="zh-CN"/>
        </w:rPr>
        <w:t>05</w:t>
      </w:r>
      <w:r>
        <w:rPr>
          <w:rFonts w:hint="eastAsia" w:ascii="宋体" w:hAnsi="宋体" w:eastAsia="宋体" w:cs="宋体"/>
          <w:color w:val="0000FF"/>
          <w:sz w:val="24"/>
          <w:szCs w:val="24"/>
          <w:highlight w:val="none"/>
          <w:u w:val="single"/>
        </w:rPr>
        <w:t>月</w:t>
      </w:r>
      <w:r>
        <w:rPr>
          <w:rFonts w:hint="eastAsia" w:cs="宋体"/>
          <w:color w:val="0000FF"/>
          <w:sz w:val="24"/>
          <w:szCs w:val="24"/>
          <w:highlight w:val="none"/>
          <w:u w:val="single"/>
          <w:lang w:val="en-US" w:eastAsia="zh-CN"/>
        </w:rPr>
        <w:t>31</w:t>
      </w:r>
      <w:r>
        <w:rPr>
          <w:rFonts w:hint="eastAsia" w:ascii="宋体" w:hAnsi="宋体" w:eastAsia="宋体" w:cs="宋体"/>
          <w:color w:val="0000FF"/>
          <w:sz w:val="24"/>
          <w:szCs w:val="24"/>
          <w:highlight w:val="none"/>
          <w:u w:val="single"/>
        </w:rPr>
        <w:t>日</w:t>
      </w:r>
      <w:r>
        <w:rPr>
          <w:rFonts w:hint="eastAsia" w:cs="宋体"/>
          <w:color w:val="0000FF"/>
          <w:sz w:val="24"/>
          <w:szCs w:val="24"/>
          <w:highlight w:val="none"/>
          <w:u w:val="single"/>
          <w:lang w:val="en-US" w:eastAsia="zh-CN"/>
        </w:rPr>
        <w:t>23</w:t>
      </w:r>
      <w:r>
        <w:rPr>
          <w:rFonts w:hint="eastAsia" w:ascii="宋体" w:hAnsi="宋体" w:eastAsia="宋体" w:cs="宋体"/>
          <w:color w:val="0000FF"/>
          <w:sz w:val="24"/>
          <w:szCs w:val="24"/>
          <w:highlight w:val="none"/>
          <w:u w:val="single"/>
        </w:rPr>
        <w:t xml:space="preserve">时 </w:t>
      </w:r>
      <w:r>
        <w:rPr>
          <w:rFonts w:hint="eastAsia" w:cs="宋体"/>
          <w:color w:val="0000FF"/>
          <w:sz w:val="24"/>
          <w:szCs w:val="24"/>
          <w:highlight w:val="none"/>
          <w:u w:val="single"/>
          <w:lang w:val="en-US" w:eastAsia="zh-CN"/>
        </w:rPr>
        <w:t>59</w:t>
      </w:r>
      <w:r>
        <w:rPr>
          <w:rFonts w:hint="eastAsia" w:ascii="宋体" w:hAnsi="宋体" w:eastAsia="宋体" w:cs="宋体"/>
          <w:color w:val="0000FF"/>
          <w:sz w:val="24"/>
          <w:szCs w:val="24"/>
          <w:highlight w:val="none"/>
          <w:u w:val="single"/>
        </w:rPr>
        <w:t>分</w:t>
      </w:r>
      <w:r>
        <w:rPr>
          <w:rFonts w:hint="eastAsia" w:ascii="宋体" w:hAnsi="宋体" w:eastAsia="宋体" w:cs="宋体"/>
          <w:color w:val="auto"/>
          <w:sz w:val="24"/>
          <w:szCs w:val="24"/>
          <w:highlight w:val="none"/>
          <w:lang w:val="hr-HR"/>
        </w:rPr>
        <w:t>（北京时间）。</w:t>
      </w:r>
    </w:p>
    <w:bookmarkEnd w:id="54"/>
    <w:p w14:paraId="34FD69CE">
      <w:pPr>
        <w:pStyle w:val="42"/>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hr-HR"/>
        </w:rPr>
        <w:t>：</w:t>
      </w:r>
      <w:bookmarkStart w:id="61" w:name="_Hlk89807779"/>
      <w:r>
        <w:rPr>
          <w:rFonts w:hint="eastAsia" w:cs="宋体"/>
          <w:color w:val="auto"/>
          <w:sz w:val="24"/>
          <w:szCs w:val="24"/>
          <w:highlight w:val="none"/>
          <w:lang w:val="en-US" w:eastAsia="zh-CN"/>
        </w:rPr>
        <w:t>政采云平台线上（网址：https://www.zcygov.cn/）</w:t>
      </w:r>
      <w:r>
        <w:rPr>
          <w:rFonts w:hint="eastAsia" w:ascii="宋体" w:hAnsi="宋体" w:eastAsia="宋体" w:cs="宋体"/>
          <w:color w:val="auto"/>
          <w:sz w:val="24"/>
          <w:szCs w:val="24"/>
          <w:highlight w:val="none"/>
        </w:rPr>
        <w:t>。</w:t>
      </w:r>
      <w:bookmarkEnd w:id="61"/>
    </w:p>
    <w:p w14:paraId="5DDD414F">
      <w:pPr>
        <w:pStyle w:val="42"/>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hr-HR"/>
        </w:rPr>
        <w:t>3.</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投标供应商登录政采云平台</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lang w:val="en-US"/>
        </w:rPr>
        <w:t>在线申请</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lang w:val="en-US"/>
        </w:rPr>
        <w:t>获取</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lang w:val="en-US"/>
        </w:rPr>
        <w:t>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进入</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项目采购</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应用</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在获取采购文件菜单中选择项目</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申请获取采购文件</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rPr>
        <w:t>。</w:t>
      </w:r>
    </w:p>
    <w:p w14:paraId="42A40251">
      <w:pPr>
        <w:pStyle w:val="42"/>
        <w:spacing w:line="360" w:lineRule="auto"/>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en-US" w:eastAsia="zh-CN"/>
        </w:rPr>
        <w:t>4.售价：0元。</w:t>
      </w:r>
      <w:r>
        <w:rPr>
          <w:rFonts w:hint="eastAsia" w:ascii="宋体" w:hAnsi="宋体" w:eastAsia="宋体" w:cs="宋体"/>
          <w:color w:val="auto"/>
          <w:sz w:val="24"/>
          <w:szCs w:val="24"/>
          <w:highlight w:val="none"/>
          <w:lang w:val="hr-HR"/>
        </w:rPr>
        <w:t xml:space="preserve"> </w:t>
      </w:r>
    </w:p>
    <w:bookmarkEnd w:id="55"/>
    <w:bookmarkEnd w:id="56"/>
    <w:bookmarkEnd w:id="57"/>
    <w:bookmarkEnd w:id="58"/>
    <w:bookmarkEnd w:id="59"/>
    <w:bookmarkEnd w:id="60"/>
    <w:p w14:paraId="62F5362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62" w:name="_Toc109899832"/>
      <w:bookmarkStart w:id="63" w:name="_Toc109899413"/>
      <w:bookmarkStart w:id="64" w:name="_Toc109900251"/>
      <w:bookmarkStart w:id="65" w:name="_Toc140132748"/>
      <w:bookmarkStart w:id="66" w:name="_Toc155185863"/>
      <w:bookmarkStart w:id="67" w:name="_Toc5152"/>
      <w:bookmarkStart w:id="68" w:name="_Toc30285"/>
      <w:bookmarkStart w:id="69" w:name="_Toc11313"/>
      <w:bookmarkStart w:id="70" w:name="_Toc25593"/>
      <w:bookmarkStart w:id="71" w:name="_Hlk130457395"/>
      <w:bookmarkStart w:id="72" w:name="_Toc35393634"/>
      <w:bookmarkStart w:id="73" w:name="_Toc28359094"/>
      <w:bookmarkStart w:id="74" w:name="_Toc28359017"/>
      <w:bookmarkStart w:id="75" w:name="_Toc44583633"/>
      <w:bookmarkStart w:id="76" w:name="_Toc35393803"/>
      <w:r>
        <w:rPr>
          <w:rFonts w:hint="eastAsia" w:ascii="宋体" w:hAnsi="宋体" w:eastAsia="宋体" w:cs="宋体"/>
          <w:b/>
          <w:bCs/>
          <w:color w:val="auto"/>
          <w:kern w:val="2"/>
          <w:sz w:val="24"/>
          <w:szCs w:val="24"/>
          <w:highlight w:val="none"/>
          <w:lang w:val="en-US" w:eastAsia="zh-CN" w:bidi="ar-SA"/>
        </w:rPr>
        <w:t>四、</w:t>
      </w:r>
      <w:bookmarkEnd w:id="62"/>
      <w:bookmarkEnd w:id="63"/>
      <w:bookmarkEnd w:id="64"/>
      <w:bookmarkEnd w:id="65"/>
      <w:bookmarkEnd w:id="66"/>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bCs/>
          <w:color w:val="auto"/>
          <w:kern w:val="2"/>
          <w:sz w:val="24"/>
          <w:szCs w:val="24"/>
          <w:highlight w:val="none"/>
          <w:lang w:val="hr-HR" w:eastAsia="zh-CN" w:bidi="ar-SA"/>
        </w:rPr>
        <w:t>开标时间、递交方式和</w:t>
      </w:r>
      <w:r>
        <w:rPr>
          <w:rFonts w:hint="eastAsia" w:ascii="宋体" w:hAnsi="宋体" w:eastAsia="宋体" w:cs="宋体"/>
          <w:b/>
          <w:bCs/>
          <w:color w:val="auto"/>
          <w:kern w:val="2"/>
          <w:sz w:val="24"/>
          <w:szCs w:val="24"/>
          <w:highlight w:val="none"/>
          <w:lang w:val="en-US" w:eastAsia="zh-CN" w:bidi="ar-SA"/>
        </w:rPr>
        <w:t>开标</w:t>
      </w:r>
      <w:r>
        <w:rPr>
          <w:rFonts w:hint="eastAsia" w:ascii="宋体" w:hAnsi="宋体" w:eastAsia="宋体" w:cs="宋体"/>
          <w:b/>
          <w:bCs/>
          <w:color w:val="auto"/>
          <w:kern w:val="2"/>
          <w:sz w:val="24"/>
          <w:szCs w:val="24"/>
          <w:highlight w:val="none"/>
          <w:lang w:val="hr-HR" w:eastAsia="zh-CN" w:bidi="ar-SA"/>
        </w:rPr>
        <w:t>地点</w:t>
      </w:r>
      <w:bookmarkEnd w:id="67"/>
      <w:bookmarkEnd w:id="68"/>
      <w:bookmarkEnd w:id="69"/>
      <w:bookmarkEnd w:id="70"/>
    </w:p>
    <w:p w14:paraId="2D110B47">
      <w:pPr>
        <w:pStyle w:val="4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w:t>
      </w: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rPr>
        <w:t>开标时间：</w:t>
      </w:r>
      <w:r>
        <w:rPr>
          <w:rFonts w:hint="eastAsia" w:cs="宋体"/>
          <w:color w:val="0000FF"/>
          <w:sz w:val="24"/>
          <w:szCs w:val="24"/>
          <w:highlight w:val="none"/>
          <w:u w:val="single"/>
          <w:lang w:val="en-US" w:eastAsia="zh-CN"/>
        </w:rPr>
        <w:t>2026</w:t>
      </w:r>
      <w:r>
        <w:rPr>
          <w:rFonts w:hint="eastAsia" w:ascii="宋体" w:hAnsi="宋体" w:eastAsia="宋体" w:cs="宋体"/>
          <w:color w:val="0000FF"/>
          <w:sz w:val="24"/>
          <w:szCs w:val="24"/>
          <w:highlight w:val="none"/>
          <w:u w:val="single"/>
        </w:rPr>
        <w:t>年</w:t>
      </w:r>
      <w:r>
        <w:rPr>
          <w:rFonts w:hint="eastAsia" w:cs="宋体"/>
          <w:color w:val="0000FF"/>
          <w:sz w:val="24"/>
          <w:szCs w:val="24"/>
          <w:highlight w:val="none"/>
          <w:u w:val="single"/>
          <w:lang w:val="en-US" w:eastAsia="zh-CN"/>
        </w:rPr>
        <w:t>06</w:t>
      </w:r>
      <w:r>
        <w:rPr>
          <w:rFonts w:hint="eastAsia" w:ascii="宋体" w:hAnsi="宋体" w:eastAsia="宋体" w:cs="宋体"/>
          <w:color w:val="0000FF"/>
          <w:sz w:val="24"/>
          <w:szCs w:val="24"/>
          <w:highlight w:val="none"/>
          <w:u w:val="single"/>
        </w:rPr>
        <w:t>月</w:t>
      </w:r>
      <w:r>
        <w:rPr>
          <w:rFonts w:hint="eastAsia" w:cs="宋体"/>
          <w:color w:val="0000FF"/>
          <w:sz w:val="24"/>
          <w:szCs w:val="24"/>
          <w:highlight w:val="none"/>
          <w:u w:val="single"/>
          <w:lang w:val="en-US" w:eastAsia="zh-CN"/>
        </w:rPr>
        <w:t>1</w:t>
      </w:r>
      <w:r>
        <w:rPr>
          <w:rFonts w:hint="eastAsia" w:ascii="宋体" w:hAnsi="宋体" w:eastAsia="宋体" w:cs="宋体"/>
          <w:color w:val="0000FF"/>
          <w:sz w:val="24"/>
          <w:szCs w:val="24"/>
          <w:highlight w:val="none"/>
          <w:u w:val="single"/>
        </w:rPr>
        <w:t>日</w:t>
      </w:r>
      <w:r>
        <w:rPr>
          <w:rFonts w:hint="eastAsia" w:cs="宋体"/>
          <w:color w:val="0000FF"/>
          <w:sz w:val="24"/>
          <w:szCs w:val="24"/>
          <w:highlight w:val="none"/>
          <w:u w:val="single"/>
          <w:lang w:val="en-US" w:eastAsia="zh-CN"/>
        </w:rPr>
        <w:t>11</w:t>
      </w:r>
      <w:r>
        <w:rPr>
          <w:rFonts w:hint="eastAsia" w:ascii="宋体" w:hAnsi="宋体" w:eastAsia="宋体" w:cs="宋体"/>
          <w:color w:val="0000FF"/>
          <w:sz w:val="24"/>
          <w:szCs w:val="24"/>
          <w:highlight w:val="none"/>
          <w:u w:val="single"/>
        </w:rPr>
        <w:t xml:space="preserve">时 </w:t>
      </w:r>
      <w:r>
        <w:rPr>
          <w:rFonts w:hint="eastAsia" w:cs="宋体"/>
          <w:color w:val="0000FF"/>
          <w:sz w:val="24"/>
          <w:szCs w:val="24"/>
          <w:highlight w:val="none"/>
          <w:u w:val="single"/>
          <w:lang w:val="en-US" w:eastAsia="zh-CN"/>
        </w:rPr>
        <w:t>00</w:t>
      </w:r>
      <w:r>
        <w:rPr>
          <w:rFonts w:hint="eastAsia" w:ascii="宋体" w:hAnsi="宋体" w:eastAsia="宋体" w:cs="宋体"/>
          <w:color w:val="0000FF"/>
          <w:sz w:val="24"/>
          <w:szCs w:val="24"/>
          <w:highlight w:val="none"/>
          <w:u w:val="single"/>
        </w:rPr>
        <w:t>分</w:t>
      </w:r>
      <w:r>
        <w:rPr>
          <w:rFonts w:hint="eastAsia" w:ascii="宋体" w:hAnsi="宋体" w:eastAsia="宋体" w:cs="宋体"/>
          <w:color w:val="auto"/>
          <w:sz w:val="24"/>
          <w:szCs w:val="24"/>
          <w:highlight w:val="none"/>
        </w:rPr>
        <w:t>（北京时间）。</w:t>
      </w:r>
    </w:p>
    <w:p w14:paraId="51B173F3">
      <w:pPr>
        <w:pStyle w:val="4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2.递交方式：</w:t>
      </w:r>
      <w:bookmarkStart w:id="77" w:name="_Hlk89807823"/>
      <w:r>
        <w:rPr>
          <w:rFonts w:hint="eastAsia" w:ascii="宋体" w:hAnsi="宋体" w:eastAsia="宋体" w:cs="宋体"/>
          <w:color w:val="auto"/>
          <w:sz w:val="24"/>
          <w:szCs w:val="24"/>
          <w:highlight w:val="none"/>
        </w:rPr>
        <w:t>在</w:t>
      </w:r>
      <w:r>
        <w:rPr>
          <w:rFonts w:hint="eastAsia" w:cs="宋体"/>
          <w:color w:val="auto"/>
          <w:sz w:val="24"/>
          <w:szCs w:val="24"/>
          <w:highlight w:val="none"/>
          <w:lang w:eastAsia="zh-CN"/>
        </w:rPr>
        <w:t>政采云平台线上（网址：https://www.zcygov.cn/）</w:t>
      </w:r>
      <w:r>
        <w:rPr>
          <w:rFonts w:hint="eastAsia" w:ascii="宋体" w:hAnsi="宋体" w:eastAsia="宋体" w:cs="宋体"/>
          <w:color w:val="auto"/>
          <w:sz w:val="24"/>
          <w:szCs w:val="24"/>
          <w:highlight w:val="none"/>
        </w:rPr>
        <w:t>进入“项目采购”应用，在投标文件上传菜单中选择项目进行上传。</w:t>
      </w:r>
      <w:bookmarkEnd w:id="77"/>
    </w:p>
    <w:p w14:paraId="276D3E17">
      <w:pPr>
        <w:pStyle w:val="4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w:t>
      </w:r>
      <w:r>
        <w:rPr>
          <w:rFonts w:hint="eastAsia" w:ascii="宋体" w:hAnsi="宋体" w:eastAsia="宋体" w:cs="宋体"/>
          <w:color w:val="auto"/>
          <w:sz w:val="24"/>
          <w:szCs w:val="24"/>
          <w:highlight w:val="none"/>
          <w:lang w:val="en-US"/>
        </w:rPr>
        <w:t>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US"/>
        </w:rPr>
        <w:t>登录政采云平台https</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//www.zcygov.cn/，进入项目采购</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开</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rPr>
        <w:t>评标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右边选择对应项目点击“进入项目”进入开标大厅</w:t>
      </w:r>
      <w:r>
        <w:rPr>
          <w:rFonts w:hint="eastAsia" w:ascii="宋体" w:hAnsi="宋体" w:eastAsia="宋体" w:cs="宋体"/>
          <w:color w:val="auto"/>
          <w:sz w:val="24"/>
          <w:szCs w:val="24"/>
          <w:highlight w:val="none"/>
        </w:rPr>
        <w:t>。</w:t>
      </w:r>
    </w:p>
    <w:bookmarkEnd w:id="71"/>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8" w:name="_Toc155185864"/>
      <w:bookmarkStart w:id="79" w:name="_Toc5825"/>
      <w:bookmarkStart w:id="80" w:name="_Toc22987"/>
      <w:bookmarkStart w:id="81" w:name="_Toc109900252"/>
      <w:bookmarkStart w:id="82" w:name="_Toc22506"/>
      <w:bookmarkStart w:id="83" w:name="_Toc140132749"/>
      <w:bookmarkStart w:id="84" w:name="_Toc27965"/>
      <w:bookmarkStart w:id="85" w:name="_Toc109899414"/>
      <w:bookmarkStart w:id="86" w:name="_Toc109899833"/>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72"/>
      <w:bookmarkEnd w:id="73"/>
      <w:bookmarkEnd w:id="74"/>
      <w:bookmarkEnd w:id="75"/>
      <w:bookmarkEnd w:id="76"/>
      <w:bookmarkEnd w:id="78"/>
      <w:bookmarkEnd w:id="79"/>
      <w:bookmarkEnd w:id="80"/>
      <w:bookmarkEnd w:id="81"/>
      <w:bookmarkEnd w:id="82"/>
      <w:bookmarkEnd w:id="83"/>
      <w:bookmarkEnd w:id="84"/>
      <w:bookmarkEnd w:id="85"/>
      <w:bookmarkEnd w:id="86"/>
    </w:p>
    <w:p w14:paraId="32028F42">
      <w:pPr>
        <w:pStyle w:val="4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7" w:name="_Toc35393635"/>
      <w:bookmarkStart w:id="88" w:name="_Toc155185865"/>
      <w:bookmarkStart w:id="89" w:name="_Toc109899415"/>
      <w:bookmarkStart w:id="90" w:name="_Toc109900253"/>
      <w:bookmarkStart w:id="91" w:name="_Toc140132750"/>
      <w:bookmarkStart w:id="92" w:name="_Toc44583634"/>
      <w:bookmarkStart w:id="93" w:name="_Toc35393804"/>
      <w:bookmarkStart w:id="94" w:name="_Toc10290"/>
      <w:bookmarkStart w:id="95" w:name="_Toc32450"/>
      <w:bookmarkStart w:id="96" w:name="_Toc299"/>
      <w:bookmarkStart w:id="97" w:name="_Toc19698"/>
      <w:bookmarkStart w:id="98" w:name="_Toc109899834"/>
      <w:bookmarkStart w:id="99" w:name="_Toc28359096"/>
      <w:bookmarkStart w:id="100" w:name="_Toc35393637"/>
      <w:bookmarkStart w:id="101" w:name="_Toc35393806"/>
      <w:bookmarkStart w:id="102" w:name="_Toc28359019"/>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87"/>
      <w:bookmarkEnd w:id="88"/>
      <w:bookmarkEnd w:id="89"/>
      <w:bookmarkEnd w:id="90"/>
      <w:bookmarkEnd w:id="91"/>
      <w:bookmarkEnd w:id="92"/>
      <w:bookmarkEnd w:id="93"/>
      <w:bookmarkEnd w:id="94"/>
      <w:bookmarkEnd w:id="95"/>
      <w:bookmarkEnd w:id="96"/>
      <w:bookmarkEnd w:id="97"/>
      <w:bookmarkEnd w:id="98"/>
    </w:p>
    <w:p w14:paraId="73AD0EAC">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3168A066">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167DE9A">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55A61C80">
      <w:pPr>
        <w:widowControl/>
        <w:spacing w:line="360" w:lineRule="auto"/>
        <w:ind w:firstLine="480" w:firstLineChars="200"/>
        <w:jc w:val="left"/>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26A1228">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14:paraId="3E8999CD">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4E90F4FA">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6A9B5080">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3CA7BF03">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C4EFAFF">
      <w:pPr>
        <w:pStyle w:val="8"/>
        <w:keepNext w:val="0"/>
        <w:keepLines w:val="0"/>
        <w:widowControl/>
        <w:suppressLineNumbers w:val="0"/>
        <w:wordWrap w:val="0"/>
        <w:spacing w:before="50" w:beforeAutospacing="0" w:after="50" w:afterAutospacing="0"/>
        <w:ind w:left="0" w:right="0" w:firstLine="0"/>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bookmarkEnd w:id="3"/>
    <w:bookmarkEnd w:id="99"/>
    <w:bookmarkEnd w:id="100"/>
    <w:bookmarkEnd w:id="101"/>
    <w:bookmarkEnd w:id="102"/>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103" w:name="_Toc155185866"/>
      <w:bookmarkStart w:id="104" w:name="_Toc28359095"/>
      <w:bookmarkStart w:id="105" w:name="_Toc35393636"/>
      <w:bookmarkStart w:id="106" w:name="_Toc35393805"/>
      <w:bookmarkStart w:id="107" w:name="_Toc44583635"/>
      <w:bookmarkStart w:id="108" w:name="_Toc109899835"/>
      <w:bookmarkStart w:id="109" w:name="_Toc109899416"/>
      <w:bookmarkStart w:id="110" w:name="_Toc109900254"/>
      <w:bookmarkStart w:id="111" w:name="_Toc28359018"/>
      <w:bookmarkStart w:id="112" w:name="_Toc140132751"/>
      <w:bookmarkStart w:id="113" w:name="_Toc10776"/>
      <w:bookmarkStart w:id="114" w:name="_Toc17135"/>
      <w:bookmarkStart w:id="115" w:name="_Toc22952"/>
      <w:bookmarkStart w:id="116" w:name="_Toc15605"/>
      <w:r>
        <w:rPr>
          <w:rFonts w:hint="eastAsia" w:ascii="宋体" w:hAnsi="宋体" w:eastAsia="宋体" w:cs="宋体"/>
          <w:b/>
          <w:bCs/>
          <w:color w:val="auto"/>
          <w:kern w:val="2"/>
          <w:sz w:val="24"/>
          <w:szCs w:val="24"/>
          <w:highlight w:val="none"/>
          <w:lang w:val="en-US" w:eastAsia="zh-CN" w:bidi="ar-SA"/>
        </w:rPr>
        <w:t>七、</w:t>
      </w:r>
      <w:bookmarkEnd w:id="103"/>
      <w:bookmarkEnd w:id="104"/>
      <w:bookmarkEnd w:id="105"/>
      <w:bookmarkEnd w:id="106"/>
      <w:bookmarkEnd w:id="107"/>
      <w:bookmarkEnd w:id="108"/>
      <w:bookmarkEnd w:id="109"/>
      <w:bookmarkEnd w:id="110"/>
      <w:bookmarkEnd w:id="111"/>
      <w:bookmarkEnd w:id="112"/>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113"/>
      <w:bookmarkEnd w:id="114"/>
      <w:bookmarkEnd w:id="115"/>
      <w:bookmarkEnd w:id="116"/>
    </w:p>
    <w:p w14:paraId="4CF14641">
      <w:pPr>
        <w:pStyle w:val="4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555302F6">
      <w:pPr>
        <w:pStyle w:val="4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cs="宋体"/>
          <w:color w:val="auto"/>
          <w:sz w:val="24"/>
          <w:szCs w:val="24"/>
          <w:highlight w:val="none"/>
          <w:lang w:val="en-US" w:eastAsia="zh-CN"/>
        </w:rPr>
        <w:t>皮山县人民医院</w:t>
      </w:r>
    </w:p>
    <w:p w14:paraId="035733D2">
      <w:pPr>
        <w:pStyle w:val="4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cs="宋体"/>
          <w:color w:val="auto"/>
          <w:sz w:val="24"/>
          <w:szCs w:val="24"/>
          <w:highlight w:val="none"/>
          <w:lang w:val="en-US" w:eastAsia="zh-CN"/>
        </w:rPr>
        <w:t>和田地区皮山县新城区东经三路</w:t>
      </w:r>
    </w:p>
    <w:p w14:paraId="094E1937">
      <w:pPr>
        <w:pStyle w:val="4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cs="宋体"/>
          <w:color w:val="auto"/>
          <w:sz w:val="24"/>
          <w:szCs w:val="24"/>
          <w:highlight w:val="none"/>
          <w:lang w:val="en-US" w:eastAsia="zh-CN"/>
        </w:rPr>
        <w:t>0903-6499678</w:t>
      </w:r>
    </w:p>
    <w:p w14:paraId="605766FA">
      <w:pPr>
        <w:pStyle w:val="4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cs="宋体"/>
          <w:color w:val="auto"/>
          <w:sz w:val="24"/>
          <w:szCs w:val="24"/>
          <w:highlight w:val="none"/>
          <w:lang w:val="en-US" w:eastAsia="zh-CN"/>
        </w:rPr>
        <w:t xml:space="preserve">翟海知 </w:t>
      </w:r>
    </w:p>
    <w:p w14:paraId="31406D8E">
      <w:pPr>
        <w:pStyle w:val="4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14:paraId="317B1903">
      <w:pPr>
        <w:pStyle w:val="4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cs="宋体"/>
          <w:color w:val="auto"/>
          <w:sz w:val="24"/>
          <w:szCs w:val="24"/>
          <w:highlight w:val="none"/>
          <w:lang w:val="en-US" w:eastAsia="zh-CN"/>
        </w:rPr>
        <w:t>新疆宏力源工程项目管理有限公司</w:t>
      </w:r>
    </w:p>
    <w:p w14:paraId="06B6BCE2">
      <w:pPr>
        <w:pStyle w:val="4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cs="宋体"/>
          <w:color w:val="auto"/>
          <w:sz w:val="24"/>
          <w:szCs w:val="24"/>
          <w:highlight w:val="none"/>
          <w:lang w:val="en-US" w:eastAsia="zh-CN"/>
        </w:rPr>
        <w:t>新疆乌鲁木齐高新区（新市区）四平路266号科创花苑B3办公1501室</w:t>
      </w:r>
    </w:p>
    <w:p w14:paraId="114E23BB">
      <w:pPr>
        <w:pStyle w:val="42"/>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w:t>
      </w:r>
      <w:r>
        <w:rPr>
          <w:rFonts w:hint="eastAsia" w:cs="宋体"/>
          <w:color w:val="auto"/>
          <w:sz w:val="24"/>
          <w:szCs w:val="24"/>
          <w:highlight w:val="none"/>
          <w:lang w:val="en-US" w:eastAsia="zh-CN"/>
        </w:rPr>
        <w:t>17783394603、0991-3193331</w:t>
      </w:r>
    </w:p>
    <w:p w14:paraId="3AC437B8">
      <w:pPr>
        <w:pStyle w:val="42"/>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w:t>
      </w:r>
      <w:r>
        <w:rPr>
          <w:rFonts w:hint="eastAsia" w:cs="宋体"/>
          <w:color w:val="auto"/>
          <w:sz w:val="24"/>
          <w:szCs w:val="24"/>
          <w:highlight w:val="none"/>
          <w:lang w:val="en-US" w:eastAsia="zh-CN"/>
        </w:rPr>
        <w:t>李曌、穆嘉文、石龙彦</w:t>
      </w:r>
    </w:p>
    <w:p w14:paraId="682113A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588A0E96">
      <w:pPr>
        <w:rPr>
          <w:rFonts w:hint="eastAsia" w:ascii="宋体" w:hAnsi="宋体" w:eastAsia="宋体" w:cs="宋体"/>
          <w:b/>
          <w:bCs/>
          <w:color w:val="auto"/>
          <w:kern w:val="44"/>
          <w:sz w:val="36"/>
          <w:szCs w:val="36"/>
          <w:highlight w:val="none"/>
          <w:lang w:val="en-US" w:eastAsia="zh-CN" w:bidi="ar-SA"/>
        </w:rPr>
      </w:pPr>
      <w:bookmarkStart w:id="117" w:name="_Toc32500"/>
      <w:bookmarkStart w:id="118" w:name="_Toc155185867"/>
      <w:bookmarkStart w:id="119" w:name="_Toc26793"/>
      <w:r>
        <w:rPr>
          <w:rFonts w:hint="eastAsia" w:ascii="宋体" w:hAnsi="宋体" w:eastAsia="宋体" w:cs="宋体"/>
          <w:b/>
          <w:bCs/>
          <w:color w:val="auto"/>
          <w:kern w:val="44"/>
          <w:sz w:val="36"/>
          <w:szCs w:val="36"/>
          <w:highlight w:val="none"/>
          <w:lang w:val="en-US" w:eastAsia="zh-CN" w:bidi="ar-SA"/>
        </w:rPr>
        <w:br w:type="page"/>
      </w:r>
    </w:p>
    <w:p w14:paraId="6A56ADB8">
      <w:pPr>
        <w:pStyle w:val="2"/>
        <w:keepNext/>
        <w:keepLines/>
        <w:pageBreakBefore w:val="0"/>
        <w:widowControl w:val="0"/>
        <w:numPr>
          <w:ilvl w:val="0"/>
          <w:numId w:val="0"/>
        </w:numPr>
        <w:kinsoku/>
        <w:wordWrap/>
        <w:overflowPunct/>
        <w:topLinePunct w:val="0"/>
        <w:autoSpaceDE/>
        <w:autoSpaceDN/>
        <w:bidi w:val="0"/>
        <w:adjustRightInd/>
        <w:snapToGrid/>
        <w:spacing w:before="220" w:after="22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第二章 投标人须知</w:t>
      </w:r>
      <w:bookmarkEnd w:id="117"/>
      <w:bookmarkEnd w:id="118"/>
      <w:bookmarkEnd w:id="119"/>
    </w:p>
    <w:p w14:paraId="75B79534">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20" w:name="_Toc1168"/>
      <w:bookmarkStart w:id="121" w:name="_Toc2970"/>
      <w:bookmarkStart w:id="122"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120"/>
      <w:bookmarkEnd w:id="121"/>
      <w:bookmarkEnd w:id="122"/>
    </w:p>
    <w:p w14:paraId="7F3ACB7A">
      <w:pPr>
        <w:pStyle w:val="42"/>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r>
        <w:rPr>
          <w:rFonts w:hint="eastAsia" w:ascii="宋体" w:hAnsi="宋体" w:eastAsia="宋体"/>
          <w:color w:val="auto"/>
          <w:highlight w:val="none"/>
          <w:lang w:val="en-US" w:eastAsia="zh-CN"/>
        </w:rPr>
        <w:t>。</w:t>
      </w:r>
    </w:p>
    <w:tbl>
      <w:tblPr>
        <w:tblStyle w:val="33"/>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0441C76">
            <w:pPr>
              <w:pStyle w:val="54"/>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w:t>
            </w:r>
          </w:p>
        </w:tc>
        <w:tc>
          <w:tcPr>
            <w:tcW w:w="1738" w:type="dxa"/>
            <w:shd w:val="clear" w:color="auto" w:fill="auto"/>
            <w:vAlign w:val="center"/>
          </w:tcPr>
          <w:p w14:paraId="3D9DB5F0">
            <w:pPr>
              <w:pStyle w:val="54"/>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项目名称及编号</w:t>
            </w:r>
          </w:p>
        </w:tc>
        <w:tc>
          <w:tcPr>
            <w:tcW w:w="6700" w:type="dxa"/>
            <w:shd w:val="clear" w:color="auto" w:fill="auto"/>
            <w:vAlign w:val="center"/>
          </w:tcPr>
          <w:p w14:paraId="60B609E7">
            <w:pPr>
              <w:pStyle w:val="54"/>
              <w:rPr>
                <w:rFonts w:hint="eastAsia" w:cs="宋体"/>
                <w:color w:val="auto"/>
                <w:sz w:val="24"/>
                <w:szCs w:val="24"/>
                <w:highlight w:val="none"/>
                <w:lang w:val="en-US" w:eastAsia="zh-CN"/>
              </w:rPr>
            </w:pPr>
            <w:r>
              <w:rPr>
                <w:rFonts w:hint="eastAsia" w:cs="宋体"/>
                <w:color w:val="auto"/>
                <w:sz w:val="24"/>
                <w:szCs w:val="24"/>
                <w:highlight w:val="none"/>
                <w:lang w:val="en-US" w:eastAsia="zh-CN"/>
              </w:rPr>
              <w:t>项目名称：皮山县人民医院放射类检查设备维修维保及技术服务采购项目</w:t>
            </w:r>
          </w:p>
          <w:p w14:paraId="6A0C3D8A">
            <w:pPr>
              <w:pStyle w:val="54"/>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 xml:space="preserve">项目编号：PSXZC2026-023号 </w:t>
            </w:r>
          </w:p>
        </w:tc>
      </w:tr>
      <w:tr w14:paraId="05E23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4D016C64">
            <w:pPr>
              <w:pStyle w:val="54"/>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2.2</w:t>
            </w:r>
          </w:p>
        </w:tc>
        <w:tc>
          <w:tcPr>
            <w:tcW w:w="1738" w:type="dxa"/>
            <w:shd w:val="clear" w:color="auto" w:fill="auto"/>
            <w:vAlign w:val="center"/>
          </w:tcPr>
          <w:p w14:paraId="12A0C860">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w:t>
            </w:r>
          </w:p>
        </w:tc>
        <w:tc>
          <w:tcPr>
            <w:tcW w:w="6700" w:type="dxa"/>
            <w:shd w:val="clear" w:color="auto" w:fill="auto"/>
            <w:vAlign w:val="center"/>
          </w:tcPr>
          <w:p w14:paraId="17E673ED">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w:t>
            </w:r>
            <w:r>
              <w:rPr>
                <w:rFonts w:hint="eastAsia" w:cs="宋体"/>
                <w:color w:val="auto"/>
                <w:kern w:val="2"/>
                <w:sz w:val="24"/>
                <w:szCs w:val="24"/>
                <w:highlight w:val="none"/>
                <w:lang w:val="en-US" w:eastAsia="zh-CN" w:bidi="ar-SA"/>
              </w:rPr>
              <w:t>皮山县人民医院</w:t>
            </w:r>
          </w:p>
          <w:p w14:paraId="3323DFCD">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和田地区皮山县新城区东经三路</w:t>
            </w:r>
          </w:p>
          <w:p w14:paraId="6AC076E7">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w:t>
            </w:r>
            <w:r>
              <w:rPr>
                <w:rFonts w:hint="eastAsia" w:cs="宋体"/>
                <w:color w:val="auto"/>
                <w:sz w:val="24"/>
                <w:szCs w:val="24"/>
                <w:highlight w:val="none"/>
                <w:lang w:val="en-US" w:eastAsia="zh-CN"/>
              </w:rPr>
              <w:t>翟海知</w:t>
            </w:r>
            <w:r>
              <w:rPr>
                <w:rFonts w:hint="eastAsia" w:cs="宋体"/>
                <w:color w:val="auto"/>
                <w:kern w:val="2"/>
                <w:sz w:val="24"/>
                <w:szCs w:val="24"/>
                <w:highlight w:val="none"/>
                <w:lang w:val="en-US" w:eastAsia="zh-CN" w:bidi="ar-SA"/>
              </w:rPr>
              <w:t xml:space="preserve"> </w:t>
            </w:r>
          </w:p>
          <w:p w14:paraId="35C20737">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r>
              <w:rPr>
                <w:rFonts w:hint="eastAsia" w:cs="宋体"/>
                <w:color w:val="auto"/>
                <w:sz w:val="24"/>
                <w:szCs w:val="24"/>
                <w:highlight w:val="none"/>
                <w:lang w:val="en-US" w:eastAsia="zh-CN"/>
              </w:rPr>
              <w:t>0903-6499678</w:t>
            </w:r>
          </w:p>
        </w:tc>
      </w:tr>
      <w:tr w14:paraId="22746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6B1219FC">
            <w:pPr>
              <w:pStyle w:val="54"/>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cs="宋体"/>
                <w:color w:val="auto"/>
                <w:kern w:val="2"/>
                <w:sz w:val="24"/>
                <w:szCs w:val="24"/>
                <w:highlight w:val="none"/>
                <w:lang w:val="en-US" w:eastAsia="zh-CN" w:bidi="ar-SA"/>
              </w:rPr>
              <w:t>3</w:t>
            </w:r>
          </w:p>
        </w:tc>
        <w:tc>
          <w:tcPr>
            <w:tcW w:w="1738" w:type="dxa"/>
            <w:shd w:val="clear" w:color="auto" w:fill="auto"/>
            <w:vAlign w:val="center"/>
          </w:tcPr>
          <w:p w14:paraId="3107C3B8">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采购代理机构</w:t>
            </w:r>
          </w:p>
        </w:tc>
        <w:tc>
          <w:tcPr>
            <w:tcW w:w="6700" w:type="dxa"/>
            <w:shd w:val="clear" w:color="auto" w:fill="auto"/>
            <w:vAlign w:val="center"/>
          </w:tcPr>
          <w:p w14:paraId="58FF043C">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名    称：</w:t>
            </w:r>
            <w:r>
              <w:rPr>
                <w:rFonts w:hint="eastAsia" w:cs="宋体"/>
                <w:color w:val="auto"/>
                <w:sz w:val="24"/>
                <w:szCs w:val="24"/>
                <w:highlight w:val="none"/>
                <w:lang w:val="en-US" w:eastAsia="zh-CN"/>
              </w:rPr>
              <w:t>新疆宏力源工程项目管理有限公司</w:t>
            </w:r>
          </w:p>
          <w:p w14:paraId="2891B5A4">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w:t>
            </w:r>
            <w:r>
              <w:rPr>
                <w:rFonts w:hint="eastAsia" w:cs="宋体"/>
                <w:color w:val="auto"/>
                <w:kern w:val="2"/>
                <w:sz w:val="24"/>
                <w:szCs w:val="24"/>
                <w:highlight w:val="none"/>
                <w:lang w:val="en-US" w:eastAsia="zh-CN" w:bidi="ar-SA"/>
              </w:rPr>
              <w:t>新疆乌鲁木齐高新区（新市区）四平路266号科创花苑B3办公1501室</w:t>
            </w:r>
          </w:p>
          <w:p w14:paraId="174907A9">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 系 人：</w:t>
            </w:r>
            <w:r>
              <w:rPr>
                <w:rFonts w:hint="eastAsia" w:cs="宋体"/>
                <w:color w:val="auto"/>
                <w:kern w:val="2"/>
                <w:sz w:val="24"/>
                <w:szCs w:val="24"/>
                <w:highlight w:val="none"/>
                <w:lang w:val="en-US" w:eastAsia="zh-CN" w:bidi="ar-SA"/>
              </w:rPr>
              <w:t>李曌、穆嘉文、石龙彦</w:t>
            </w:r>
          </w:p>
          <w:p w14:paraId="7F4013BA">
            <w:pPr>
              <w:pStyle w:val="54"/>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r>
              <w:rPr>
                <w:rFonts w:hint="eastAsia" w:cs="宋体"/>
                <w:color w:val="auto"/>
                <w:kern w:val="2"/>
                <w:sz w:val="24"/>
                <w:szCs w:val="24"/>
                <w:highlight w:val="none"/>
                <w:lang w:val="en-US" w:eastAsia="zh-CN" w:bidi="ar-SA"/>
              </w:rPr>
              <w:t>17783394603、0991-3193331</w:t>
            </w:r>
          </w:p>
        </w:tc>
      </w:tr>
      <w:tr w14:paraId="1B28E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131CBFCB">
            <w:pPr>
              <w:pStyle w:val="54"/>
              <w:jc w:val="center"/>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2.5</w:t>
            </w:r>
          </w:p>
        </w:tc>
        <w:tc>
          <w:tcPr>
            <w:tcW w:w="1738" w:type="dxa"/>
            <w:shd w:val="clear" w:color="auto" w:fill="auto"/>
            <w:vAlign w:val="center"/>
          </w:tcPr>
          <w:p w14:paraId="11ED18AF">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服务内容及要求</w:t>
            </w:r>
          </w:p>
        </w:tc>
        <w:tc>
          <w:tcPr>
            <w:tcW w:w="6700" w:type="dxa"/>
            <w:shd w:val="clear" w:color="auto" w:fill="auto"/>
            <w:vAlign w:val="center"/>
          </w:tcPr>
          <w:p w14:paraId="554E2267">
            <w:pPr>
              <w:pStyle w:val="54"/>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b/>
                <w:bCs/>
                <w:color w:val="auto"/>
                <w:kern w:val="2"/>
                <w:sz w:val="24"/>
                <w:szCs w:val="24"/>
                <w:highlight w:val="none"/>
                <w:lang w:val="en-US" w:eastAsia="zh-CN" w:bidi="ar-SA"/>
              </w:rPr>
              <w:t>服务内容：</w:t>
            </w:r>
            <w:r>
              <w:rPr>
                <w:rFonts w:hint="eastAsia" w:ascii="宋体" w:hAnsi="宋体" w:eastAsia="宋体" w:cs="宋体"/>
                <w:color w:val="000000" w:themeColor="text1"/>
                <w:sz w:val="24"/>
                <w:lang w:val="en-US" w:eastAsia="zh-CN"/>
                <w14:textFill>
                  <w14:solidFill>
                    <w14:schemeClr w14:val="tx1"/>
                  </w14:solidFill>
                </w14:textFill>
              </w:rPr>
              <w:t>标项一；对采购放射科DR、CT设备维保服务（包括：16排螺旋CT1台、64指螺旋CT1台、数字化X射线摄影系统2台）（具体内容详见招标文件）</w:t>
            </w:r>
          </w:p>
          <w:p w14:paraId="67664648">
            <w:pPr>
              <w:pStyle w:val="54"/>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标项</w:t>
            </w:r>
            <w:r>
              <w:rPr>
                <w:rFonts w:hint="eastAsia" w:cs="宋体"/>
                <w:color w:val="000000" w:themeColor="text1"/>
                <w:sz w:val="24"/>
                <w:lang w:val="en-US" w:eastAsia="zh-CN"/>
                <w14:textFill>
                  <w14:solidFill>
                    <w14:schemeClr w14:val="tx1"/>
                  </w14:solidFill>
                </w14:textFill>
              </w:rPr>
              <w:t>二</w:t>
            </w:r>
            <w:r>
              <w:rPr>
                <w:rFonts w:hint="eastAsia" w:ascii="宋体" w:hAnsi="宋体" w:eastAsia="宋体" w:cs="宋体"/>
                <w:color w:val="000000" w:themeColor="text1"/>
                <w:sz w:val="24"/>
                <w:lang w:val="en-US" w:eastAsia="zh-CN"/>
                <w14:textFill>
                  <w14:solidFill>
                    <w14:schemeClr w14:val="tx1"/>
                  </w14:solidFill>
                </w14:textFill>
              </w:rPr>
              <w:t>；采购放射科核磁设备维保服务（包括：1.5T核磁1台、） （具体内容详见招标文件）</w:t>
            </w:r>
          </w:p>
          <w:p w14:paraId="45AC7F51">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合同服务履行期限：</w:t>
            </w:r>
            <w:r>
              <w:rPr>
                <w:rFonts w:hint="eastAsia" w:ascii="宋体" w:hAnsi="宋体" w:eastAsia="宋体" w:cs="宋体"/>
                <w:sz w:val="24"/>
                <w:lang w:eastAsia="zh-CN"/>
              </w:rPr>
              <w:t>标项</w:t>
            </w:r>
            <w:r>
              <w:rPr>
                <w:rFonts w:hint="eastAsia" w:ascii="宋体" w:hAnsi="宋体" w:eastAsia="宋体" w:cs="宋体"/>
                <w:sz w:val="24"/>
                <w:lang w:val="en-US" w:eastAsia="zh-CN"/>
              </w:rPr>
              <w:t>1、2，</w:t>
            </w:r>
            <w:r>
              <w:rPr>
                <w:rFonts w:hint="eastAsia" w:ascii="宋体" w:hAnsi="宋体" w:eastAsia="宋体" w:cs="宋体"/>
                <w:color w:val="000000" w:themeColor="text1"/>
                <w:sz w:val="24"/>
                <w:lang w:val="en-US" w:eastAsia="zh-CN"/>
                <w14:textFill>
                  <w14:solidFill>
                    <w14:schemeClr w14:val="tx1"/>
                  </w14:solidFill>
                </w14:textFill>
              </w:rPr>
              <w:t>两年</w:t>
            </w:r>
            <w:r>
              <w:rPr>
                <w:rFonts w:hint="eastAsia" w:ascii="宋体" w:hAnsi="宋体" w:eastAsia="宋体" w:cs="宋体"/>
                <w:color w:val="000000" w:themeColor="text1"/>
                <w:sz w:val="24"/>
                <w14:textFill>
                  <w14:solidFill>
                    <w14:schemeClr w14:val="tx1"/>
                  </w14:solidFill>
                </w14:textFill>
              </w:rPr>
              <w:t>具体以与业主签订合同为准</w:t>
            </w:r>
            <w:r>
              <w:rPr>
                <w:rFonts w:hint="eastAsia" w:cs="宋体"/>
                <w:color w:val="auto"/>
                <w:kern w:val="2"/>
                <w:sz w:val="24"/>
                <w:szCs w:val="24"/>
                <w:highlight w:val="none"/>
                <w:lang w:val="en-US" w:eastAsia="zh-CN" w:bidi="ar-SA"/>
              </w:rPr>
              <w:t>。</w:t>
            </w:r>
          </w:p>
          <w:p w14:paraId="48F08306">
            <w:pPr>
              <w:pStyle w:val="54"/>
              <w:rPr>
                <w:rFonts w:hint="default" w:cs="宋体"/>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服务地点：</w:t>
            </w:r>
            <w:r>
              <w:rPr>
                <w:rFonts w:hint="eastAsia" w:cs="宋体"/>
                <w:color w:val="auto"/>
                <w:kern w:val="2"/>
                <w:sz w:val="24"/>
                <w:szCs w:val="24"/>
                <w:highlight w:val="none"/>
                <w:lang w:val="en-US" w:eastAsia="zh-CN" w:bidi="ar-SA"/>
              </w:rPr>
              <w:t>皮山县人民医院。</w:t>
            </w:r>
          </w:p>
        </w:tc>
      </w:tr>
      <w:tr w14:paraId="7A93C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5DBFE6DF">
            <w:pPr>
              <w:pStyle w:val="54"/>
              <w:jc w:val="center"/>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4.1</w:t>
            </w:r>
          </w:p>
        </w:tc>
        <w:tc>
          <w:tcPr>
            <w:tcW w:w="1738" w:type="dxa"/>
            <w:shd w:val="clear" w:color="auto" w:fill="auto"/>
            <w:vAlign w:val="center"/>
          </w:tcPr>
          <w:p w14:paraId="110664EE">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投标人资格要求</w:t>
            </w:r>
          </w:p>
        </w:tc>
        <w:tc>
          <w:tcPr>
            <w:tcW w:w="6700" w:type="dxa"/>
            <w:shd w:val="clear" w:color="auto" w:fill="auto"/>
            <w:vAlign w:val="center"/>
          </w:tcPr>
          <w:p w14:paraId="58314BFC">
            <w:pPr>
              <w:pStyle w:val="54"/>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szCs w:val="24"/>
                <w:highlight w:val="none"/>
                <w:lang w:val="en-US" w:eastAsia="zh-CN" w:bidi="ar-SA"/>
              </w:rPr>
              <w:t>满足《中华人民共和国政府采购法》第二十二条规定；</w:t>
            </w:r>
          </w:p>
          <w:p w14:paraId="6596A539">
            <w:pPr>
              <w:pStyle w:val="54"/>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（1）具有独立承担民事责任的能力；（提供合法有效的营业执照复印件/扫描件，并加盖单位公章）；</w:t>
            </w:r>
          </w:p>
          <w:p w14:paraId="3D590D16">
            <w:pPr>
              <w:pStyle w:val="54"/>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（2）具有良好的商业信誉和健全的财务会计制度；（提供2024或2025年度经审计的年度财务审计报告或财务报表，新成立不满一年的单位需提供基本开户银行出具的资信证明)</w:t>
            </w:r>
          </w:p>
          <w:p w14:paraId="694064BB">
            <w:pPr>
              <w:pStyle w:val="54"/>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（3）具有履行合同所必需的设备和专业技术能力；（提供承诺函，加盖单位公章）</w:t>
            </w:r>
          </w:p>
          <w:p w14:paraId="2A7FB549">
            <w:pPr>
              <w:pStyle w:val="54"/>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（4）有依法缴纳税收和社会保障资金的良好记录（提供本企业近一年任意3个月完税证明及缴纳社保记录）；</w:t>
            </w:r>
          </w:p>
          <w:p w14:paraId="5A50994C">
            <w:pPr>
              <w:pStyle w:val="54"/>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（5）参加政府采购活动前三年内，‌在经营活动中没有重大违法记录；（提供承诺函，加盖单位公章）</w:t>
            </w:r>
          </w:p>
          <w:p w14:paraId="3A029AB1">
            <w:pPr>
              <w:pStyle w:val="54"/>
              <w:rPr>
                <w:rFonts w:hint="eastAsia"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2.落实政府采购政策需满足的资格要求：本项目专门面</w:t>
            </w:r>
            <w:r>
              <w:rPr>
                <w:rFonts w:hint="eastAsia" w:cs="宋体"/>
                <w:color w:val="auto"/>
                <w:kern w:val="2"/>
                <w:sz w:val="24"/>
                <w:szCs w:val="24"/>
                <w:highlight w:val="none"/>
                <w:lang w:val="en-US" w:eastAsia="zh-CN" w:bidi="ar-SA"/>
              </w:rPr>
              <w:t>中小企业</w:t>
            </w:r>
          </w:p>
          <w:p w14:paraId="70632C83">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3.本项目的特定资格要求：</w:t>
            </w:r>
            <w:r>
              <w:rPr>
                <w:rFonts w:hint="eastAsia" w:ascii="宋体" w:hAnsi="宋体" w:eastAsia="宋体" w:cs="宋体"/>
                <w:color w:val="auto"/>
                <w:sz w:val="24"/>
                <w:szCs w:val="24"/>
                <w:highlight w:val="none"/>
                <w:lang w:val="en-US" w:eastAsia="zh-CN"/>
              </w:rPr>
              <w:t>有效的《医疗器械经营许可证》或《医疗器械生产许可证》或具有第</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类医疗器械备案凭证。</w:t>
            </w:r>
          </w:p>
          <w:p w14:paraId="4BA09147">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 其他资格要求：</w:t>
            </w:r>
          </w:p>
          <w:p w14:paraId="17D66799">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投标人须是在“信用中国”（www.creditchina.gov.cn）和中国政府采购网（www.ccgp.gov.cn）网站上未被列入失信被执行人、重大税收违法案件当事人名单以及政府采购严重违法失信行为记录名单；查询时间（须自招标公告发布之日起至首次提交投标文件截止时间内）。</w:t>
            </w:r>
          </w:p>
          <w:p w14:paraId="6F3E0E5E">
            <w:pPr>
              <w:pStyle w:val="54"/>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（2）本项目不接受联合体。</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88" w:hRule="atLeast"/>
        </w:trPr>
        <w:tc>
          <w:tcPr>
            <w:tcW w:w="970" w:type="dxa"/>
            <w:vAlign w:val="center"/>
          </w:tcPr>
          <w:p w14:paraId="3A136892">
            <w:pPr>
              <w:pStyle w:val="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4"/>
              <w:rPr>
                <w:rFonts w:hint="eastAsia" w:ascii="宋体" w:hAnsi="宋体" w:eastAsia="宋体" w:cs="宋体"/>
                <w:color w:val="auto"/>
                <w:sz w:val="24"/>
                <w:szCs w:val="24"/>
                <w:highlight w:val="none"/>
              </w:rPr>
            </w:pPr>
            <w:bookmarkStart w:id="123" w:name="_Hlk143529175"/>
            <w:r>
              <w:rPr>
                <w:rFonts w:hint="eastAsia" w:ascii="宋体" w:hAnsi="宋体" w:eastAsia="宋体" w:cs="宋体"/>
                <w:color w:val="auto"/>
                <w:sz w:val="24"/>
                <w:szCs w:val="24"/>
                <w:highlight w:val="none"/>
              </w:rPr>
              <w:t>现场考察</w:t>
            </w:r>
            <w:bookmarkEnd w:id="123"/>
          </w:p>
        </w:tc>
        <w:tc>
          <w:tcPr>
            <w:tcW w:w="6700" w:type="dxa"/>
            <w:vAlign w:val="center"/>
          </w:tcPr>
          <w:p w14:paraId="36549596">
            <w:pPr>
              <w:pStyle w:val="5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4"/>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4"/>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1938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24" w:hRule="atLeast"/>
        </w:trPr>
        <w:tc>
          <w:tcPr>
            <w:tcW w:w="970" w:type="dxa"/>
            <w:shd w:val="clear" w:color="auto" w:fill="auto"/>
            <w:vAlign w:val="center"/>
          </w:tcPr>
          <w:p w14:paraId="72B7B10E">
            <w:pPr>
              <w:pStyle w:val="54"/>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2021959">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632E2EEB">
            <w:pPr>
              <w:pStyle w:val="5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6646290B">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7A836479">
            <w:pPr>
              <w:pStyle w:val="54"/>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8CC81D0">
            <w:pPr>
              <w:pStyle w:val="54"/>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4"/>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700" w:type="dxa"/>
            <w:vAlign w:val="center"/>
          </w:tcPr>
          <w:p w14:paraId="54FE1DAF">
            <w:pPr>
              <w:pStyle w:val="54"/>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5C7617AF">
            <w:pPr>
              <w:pStyle w:val="54"/>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5AA3681F">
            <w:pPr>
              <w:pStyle w:val="54"/>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w:t>
            </w:r>
            <w:r>
              <w:rPr>
                <w:rFonts w:hint="eastAsia" w:cs="宋体"/>
                <w:i w:val="0"/>
                <w:iCs w:val="0"/>
                <w:color w:val="auto"/>
                <w:sz w:val="24"/>
                <w:szCs w:val="24"/>
                <w:highlight w:val="none"/>
                <w:u w:val="single"/>
                <w:lang w:val="en-US" w:eastAsia="zh-CN"/>
              </w:rPr>
              <w:t>14</w:t>
            </w:r>
            <w:r>
              <w:rPr>
                <w:rFonts w:hint="eastAsia" w:ascii="宋体" w:hAnsi="宋体" w:eastAsia="宋体" w:cs="宋体"/>
                <w:i w:val="0"/>
                <w:iCs w:val="0"/>
                <w:color w:val="auto"/>
                <w:sz w:val="24"/>
                <w:szCs w:val="24"/>
                <w:highlight w:val="none"/>
                <w:u w:val="single"/>
              </w:rPr>
              <w:t>:</w:t>
            </w:r>
            <w:r>
              <w:rPr>
                <w:rFonts w:hint="eastAsia"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4C0B58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75D26D73">
            <w:pPr>
              <w:pStyle w:val="54"/>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14.8</w:t>
            </w:r>
          </w:p>
        </w:tc>
        <w:tc>
          <w:tcPr>
            <w:tcW w:w="1738" w:type="dxa"/>
            <w:shd w:val="clear" w:color="auto" w:fill="auto"/>
            <w:vAlign w:val="center"/>
          </w:tcPr>
          <w:p w14:paraId="69105190">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采购预算(最高限价)</w:t>
            </w:r>
          </w:p>
        </w:tc>
        <w:tc>
          <w:tcPr>
            <w:tcW w:w="6700" w:type="dxa"/>
            <w:shd w:val="clear" w:color="auto" w:fill="auto"/>
            <w:vAlign w:val="center"/>
          </w:tcPr>
          <w:p w14:paraId="1797A2AF">
            <w:pPr>
              <w:pStyle w:val="54"/>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采购预算(最高限价)</w:t>
            </w:r>
            <w:r>
              <w:rPr>
                <w:rFonts w:hint="eastAsia" w:cs="宋体"/>
                <w:color w:val="auto"/>
                <w:kern w:val="2"/>
                <w:sz w:val="24"/>
                <w:szCs w:val="24"/>
                <w:highlight w:val="none"/>
                <w:lang w:val="en-US" w:eastAsia="zh-CN" w:bidi="ar-SA"/>
              </w:rPr>
              <w:t>：标项一：</w:t>
            </w:r>
            <w:r>
              <w:rPr>
                <w:rFonts w:hint="eastAsia" w:cs="宋体"/>
                <w:color w:val="auto"/>
                <w:kern w:val="2"/>
                <w:sz w:val="24"/>
                <w:szCs w:val="24"/>
                <w:highlight w:val="none"/>
                <w:u w:val="single"/>
                <w:lang w:val="en-US" w:eastAsia="zh-CN" w:bidi="ar-SA"/>
              </w:rPr>
              <w:t>2600000</w:t>
            </w:r>
            <w:r>
              <w:rPr>
                <w:rFonts w:hint="eastAsia" w:cs="宋体"/>
                <w:color w:val="auto"/>
                <w:kern w:val="2"/>
                <w:sz w:val="24"/>
                <w:szCs w:val="24"/>
                <w:highlight w:val="none"/>
                <w:lang w:val="en-US" w:eastAsia="zh-CN" w:bidi="ar-SA"/>
              </w:rPr>
              <w:t>元 ，标项一：</w:t>
            </w:r>
            <w:r>
              <w:rPr>
                <w:rFonts w:hint="eastAsia" w:cs="宋体"/>
                <w:color w:val="auto"/>
                <w:kern w:val="2"/>
                <w:sz w:val="24"/>
                <w:szCs w:val="24"/>
                <w:highlight w:val="none"/>
                <w:u w:val="single"/>
                <w:lang w:val="en-US" w:eastAsia="zh-CN" w:bidi="ar-SA"/>
              </w:rPr>
              <w:t>1200000</w:t>
            </w:r>
            <w:r>
              <w:rPr>
                <w:rFonts w:hint="eastAsia" w:cs="宋体"/>
                <w:color w:val="auto"/>
                <w:kern w:val="2"/>
                <w:sz w:val="24"/>
                <w:szCs w:val="24"/>
                <w:highlight w:val="none"/>
                <w:lang w:val="en-US" w:eastAsia="zh-CN" w:bidi="ar-SA"/>
              </w:rPr>
              <w:t>元</w:t>
            </w:r>
          </w:p>
          <w:p w14:paraId="1172CAFE">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rPr>
              <w:t>投</w:t>
            </w:r>
            <w:r>
              <w:rPr>
                <w:rFonts w:hint="eastAsia" w:ascii="宋体" w:hAnsi="宋体" w:eastAsia="宋体" w:cs="宋体"/>
                <w:b/>
                <w:bCs/>
                <w:kern w:val="0"/>
                <w:sz w:val="24"/>
                <w:szCs w:val="24"/>
              </w:rPr>
              <w:t>标报价超过最高投标限价的，其投标文件将被否决。</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B59B05">
            <w:pPr>
              <w:pStyle w:val="5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7FD06ACB">
            <w:pPr>
              <w:widowControl/>
              <w:kinsoku w:val="0"/>
              <w:autoSpaceDE w:val="0"/>
              <w:autoSpaceDN w:val="0"/>
              <w:adjustRightInd w:val="0"/>
              <w:snapToGrid w:val="0"/>
              <w:spacing w:line="240" w:lineRule="auto"/>
              <w:ind w:left="120" w:leftChars="50" w:right="0" w:firstLine="0" w:firstLineChars="0"/>
              <w:textAlignment w:val="baseline"/>
              <w:rPr>
                <w:rFonts w:hint="eastAsia" w:ascii="宋体" w:hAnsi="宋体" w:eastAsia="宋体" w:cs="宋体"/>
                <w:sz w:val="24"/>
              </w:rPr>
            </w:pPr>
            <w:r>
              <w:rPr>
                <w:rFonts w:hint="eastAsia" w:ascii="宋体" w:hAnsi="宋体" w:eastAsia="宋体" w:cs="宋体"/>
                <w:sz w:val="24"/>
              </w:rPr>
              <w:t>投标保证金的形式：转账、电汇、电子保函</w:t>
            </w:r>
          </w:p>
          <w:p w14:paraId="4F0661AD">
            <w:pPr>
              <w:widowControl/>
              <w:kinsoku w:val="0"/>
              <w:autoSpaceDE w:val="0"/>
              <w:autoSpaceDN w:val="0"/>
              <w:adjustRightInd w:val="0"/>
              <w:snapToGrid w:val="0"/>
              <w:spacing w:line="240" w:lineRule="auto"/>
              <w:ind w:left="120" w:leftChars="50" w:right="0" w:firstLine="0" w:firstLineChars="0"/>
              <w:textAlignment w:val="baseline"/>
              <w:rPr>
                <w:rFonts w:hint="eastAsia" w:ascii="宋体" w:hAnsi="宋体" w:eastAsia="宋体" w:cs="宋体"/>
                <w:sz w:val="24"/>
              </w:rPr>
            </w:pPr>
            <w:r>
              <w:rPr>
                <w:rFonts w:hint="eastAsia" w:ascii="宋体" w:hAnsi="宋体" w:eastAsia="宋体" w:cs="宋体"/>
                <w:sz w:val="24"/>
              </w:rPr>
              <w:t>投标保证金的金额：标项一：26000元 ，标项</w:t>
            </w:r>
            <w:r>
              <w:rPr>
                <w:rFonts w:hint="eastAsia" w:cs="宋体"/>
                <w:sz w:val="24"/>
                <w:lang w:val="en-US" w:eastAsia="zh-CN"/>
              </w:rPr>
              <w:t>二</w:t>
            </w:r>
            <w:r>
              <w:rPr>
                <w:rFonts w:hint="eastAsia" w:ascii="宋体" w:hAnsi="宋体" w:eastAsia="宋体" w:cs="宋体"/>
                <w:sz w:val="24"/>
              </w:rPr>
              <w:t>：12000元</w:t>
            </w:r>
          </w:p>
          <w:p w14:paraId="7FDB82CB">
            <w:pPr>
              <w:widowControl/>
              <w:kinsoku w:val="0"/>
              <w:autoSpaceDE w:val="0"/>
              <w:autoSpaceDN w:val="0"/>
              <w:adjustRightInd w:val="0"/>
              <w:snapToGrid w:val="0"/>
              <w:spacing w:line="240" w:lineRule="auto"/>
              <w:ind w:left="120" w:leftChars="50" w:right="0" w:firstLine="0" w:firstLineChars="0"/>
              <w:textAlignment w:val="baseline"/>
              <w:rPr>
                <w:rFonts w:hint="eastAsia" w:ascii="宋体" w:hAnsi="宋体" w:eastAsia="宋体" w:cs="宋体"/>
                <w:sz w:val="24"/>
              </w:rPr>
            </w:pPr>
            <w:r>
              <w:rPr>
                <w:rFonts w:hint="eastAsia" w:ascii="宋体" w:hAnsi="宋体" w:eastAsia="宋体" w:cs="宋体"/>
                <w:sz w:val="24"/>
              </w:rPr>
              <w:t>投标保证金缴纳账户：</w:t>
            </w:r>
          </w:p>
          <w:p w14:paraId="5307E165">
            <w:pPr>
              <w:widowControl/>
              <w:kinsoku w:val="0"/>
              <w:autoSpaceDE w:val="0"/>
              <w:autoSpaceDN w:val="0"/>
              <w:adjustRightInd w:val="0"/>
              <w:snapToGrid w:val="0"/>
              <w:spacing w:line="240" w:lineRule="auto"/>
              <w:ind w:left="120" w:leftChars="50" w:right="0" w:firstLine="0" w:firstLineChars="0"/>
              <w:textAlignment w:val="baseline"/>
              <w:rPr>
                <w:rFonts w:hint="eastAsia" w:ascii="宋体" w:hAnsi="宋体" w:eastAsia="宋体" w:cs="宋体"/>
                <w:sz w:val="24"/>
                <w:lang w:eastAsia="zh-CN"/>
              </w:rPr>
            </w:pPr>
            <w:r>
              <w:rPr>
                <w:rFonts w:hint="eastAsia" w:ascii="宋体" w:hAnsi="宋体" w:eastAsia="宋体" w:cs="宋体"/>
                <w:sz w:val="24"/>
              </w:rPr>
              <w:t>账户名称：皮山县人民医院</w:t>
            </w:r>
          </w:p>
          <w:p w14:paraId="7FC22862">
            <w:pPr>
              <w:widowControl/>
              <w:kinsoku w:val="0"/>
              <w:autoSpaceDE w:val="0"/>
              <w:autoSpaceDN w:val="0"/>
              <w:adjustRightInd w:val="0"/>
              <w:snapToGrid w:val="0"/>
              <w:spacing w:line="240" w:lineRule="auto"/>
              <w:ind w:left="120" w:leftChars="50" w:right="0" w:firstLine="0" w:firstLineChars="0"/>
              <w:textAlignment w:val="baseline"/>
              <w:rPr>
                <w:rFonts w:hint="eastAsia" w:ascii="宋体" w:hAnsi="宋体" w:eastAsia="宋体" w:cs="宋体"/>
                <w:sz w:val="24"/>
              </w:rPr>
            </w:pPr>
            <w:r>
              <w:rPr>
                <w:rFonts w:hint="eastAsia" w:ascii="宋体" w:hAnsi="宋体" w:eastAsia="宋体" w:cs="宋体"/>
                <w:sz w:val="24"/>
              </w:rPr>
              <w:t>账号：</w:t>
            </w:r>
            <w:r>
              <w:rPr>
                <w:rFonts w:hint="eastAsia" w:ascii="宋体" w:hAnsi="宋体" w:eastAsia="宋体" w:cs="宋体"/>
                <w:sz w:val="24"/>
                <w:lang w:val="en-US" w:eastAsia="zh-CN"/>
              </w:rPr>
              <w:t>30-581101040006952</w:t>
            </w:r>
          </w:p>
          <w:p w14:paraId="478D6D75">
            <w:pPr>
              <w:widowControl/>
              <w:kinsoku w:val="0"/>
              <w:autoSpaceDE w:val="0"/>
              <w:autoSpaceDN w:val="0"/>
              <w:adjustRightInd w:val="0"/>
              <w:snapToGrid w:val="0"/>
              <w:spacing w:line="240" w:lineRule="auto"/>
              <w:ind w:left="120" w:leftChars="50" w:right="0" w:firstLine="0" w:firstLineChars="0"/>
              <w:textAlignment w:val="baseline"/>
              <w:rPr>
                <w:rFonts w:hint="eastAsia" w:ascii="宋体" w:hAnsi="宋体" w:eastAsia="宋体" w:cs="宋体"/>
                <w:sz w:val="24"/>
              </w:rPr>
            </w:pPr>
            <w:r>
              <w:rPr>
                <w:rFonts w:hint="eastAsia" w:ascii="宋体" w:hAnsi="宋体" w:eastAsia="宋体" w:cs="宋体"/>
                <w:sz w:val="24"/>
              </w:rPr>
              <w:t>开户银行：中国农业银行皮山县支行</w:t>
            </w:r>
          </w:p>
          <w:p w14:paraId="21C04613">
            <w:pPr>
              <w:widowControl/>
              <w:kinsoku w:val="0"/>
              <w:autoSpaceDE w:val="0"/>
              <w:autoSpaceDN w:val="0"/>
              <w:adjustRightInd w:val="0"/>
              <w:snapToGrid w:val="0"/>
              <w:spacing w:line="240" w:lineRule="auto"/>
              <w:ind w:left="120" w:leftChars="50" w:right="0" w:firstLine="0" w:firstLineChars="0"/>
              <w:textAlignment w:val="baseline"/>
              <w:rPr>
                <w:rFonts w:hint="eastAsia" w:ascii="宋体" w:hAnsi="宋体" w:eastAsia="宋体" w:cs="宋体"/>
                <w:sz w:val="24"/>
              </w:rPr>
            </w:pPr>
            <w:r>
              <w:rPr>
                <w:rFonts w:hint="eastAsia" w:ascii="宋体" w:hAnsi="宋体" w:eastAsia="宋体" w:cs="宋体"/>
                <w:sz w:val="24"/>
              </w:rPr>
              <w:t>注：1.采用银行转账或电汇的方式的，由报名单位基本账户于</w:t>
            </w:r>
            <w:r>
              <w:rPr>
                <w:rFonts w:hint="eastAsia" w:ascii="宋体" w:hAnsi="宋体" w:eastAsia="宋体" w:cs="宋体"/>
                <w:sz w:val="24"/>
                <w:lang w:eastAsia="zh-CN"/>
              </w:rPr>
              <w:t>2026年</w:t>
            </w:r>
            <w:r>
              <w:rPr>
                <w:rFonts w:hint="eastAsia" w:cs="宋体"/>
                <w:sz w:val="24"/>
                <w:lang w:val="en-US" w:eastAsia="zh-CN"/>
              </w:rPr>
              <w:t>6</w:t>
            </w:r>
            <w:r>
              <w:rPr>
                <w:rFonts w:hint="eastAsia" w:ascii="宋体" w:hAnsi="宋体" w:eastAsia="宋体" w:cs="宋体"/>
                <w:sz w:val="24"/>
                <w:lang w:eastAsia="zh-CN"/>
              </w:rPr>
              <w:t>月</w:t>
            </w:r>
            <w:r>
              <w:rPr>
                <w:rFonts w:hint="eastAsia" w:cs="宋体"/>
                <w:sz w:val="24"/>
                <w:lang w:val="en-US" w:eastAsia="zh-CN"/>
              </w:rPr>
              <w:t>1</w:t>
            </w:r>
            <w:r>
              <w:rPr>
                <w:rFonts w:hint="eastAsia" w:ascii="宋体" w:hAnsi="宋体" w:eastAsia="宋体" w:cs="宋体"/>
                <w:sz w:val="24"/>
                <w:lang w:eastAsia="zh-CN"/>
              </w:rPr>
              <w:t>日</w:t>
            </w:r>
            <w:r>
              <w:rPr>
                <w:rFonts w:hint="eastAsia" w:ascii="宋体" w:hAnsi="宋体" w:eastAsia="宋体" w:cs="宋体"/>
                <w:sz w:val="24"/>
              </w:rPr>
              <w:t>11：00（北京时间）前汇至指定账户，不得以现金和其他形式缴纳，不得以分公司、办事处或其他机构的名已缴纳，报名单位在缴纳保证金时，需在进账凭证上明确资金用途、项目名称、包段名称，以便查对核实。投标保证金缴纳截止时间为递交响应文件截止时间，无须换取收据。</w:t>
            </w:r>
          </w:p>
          <w:p w14:paraId="53250336">
            <w:pPr>
              <w:widowControl/>
              <w:kinsoku w:val="0"/>
              <w:autoSpaceDE w:val="0"/>
              <w:autoSpaceDN w:val="0"/>
              <w:adjustRightInd w:val="0"/>
              <w:snapToGrid w:val="0"/>
              <w:spacing w:line="240" w:lineRule="auto"/>
              <w:ind w:left="120" w:leftChars="50" w:right="0" w:firstLine="0" w:firstLineChars="0"/>
              <w:textAlignment w:val="baseline"/>
              <w:rPr>
                <w:rFonts w:hint="eastAsia" w:ascii="宋体" w:hAnsi="宋体" w:eastAsia="宋体" w:cs="宋体"/>
                <w:sz w:val="24"/>
              </w:rPr>
            </w:pPr>
            <w:r>
              <w:rPr>
                <w:rFonts w:hint="eastAsia" w:ascii="宋体" w:hAnsi="宋体" w:eastAsia="宋体" w:cs="宋体"/>
                <w:sz w:val="24"/>
              </w:rPr>
              <w:t>2.电子保函使用方法：1、登录新疆维吾尔自治区政府采购网，首页点击“电子保函”直接进入新疆政府采购电子保函申请页，点击【立即申请】2、依次完善页面显示的投保人信息（供应商信息），确认您要投保的项目信息，在投标项目选择页面选择您需要投保的项目（可根据项目名称或项目保函进行搜索），选择投保项目后填写被保险人信息及投保内容。服务热线：400-9039583。</w:t>
            </w:r>
          </w:p>
          <w:p w14:paraId="4EA18E51">
            <w:pPr>
              <w:widowControl/>
              <w:kinsoku w:val="0"/>
              <w:autoSpaceDE w:val="0"/>
              <w:autoSpaceDN w:val="0"/>
              <w:adjustRightInd w:val="0"/>
              <w:snapToGrid w:val="0"/>
              <w:spacing w:line="240" w:lineRule="auto"/>
              <w:ind w:left="120" w:leftChars="50" w:right="0" w:firstLine="0" w:firstLineChars="0"/>
              <w:textAlignment w:val="baseline"/>
              <w:rPr>
                <w:rFonts w:hint="eastAsia" w:ascii="宋体" w:hAnsi="宋体" w:eastAsia="宋体" w:cs="宋体"/>
                <w:sz w:val="24"/>
              </w:rPr>
            </w:pPr>
            <w:r>
              <w:rPr>
                <w:rFonts w:hint="eastAsia" w:ascii="宋体" w:hAnsi="宋体" w:eastAsia="宋体" w:cs="宋体"/>
                <w:sz w:val="24"/>
              </w:rPr>
              <w:t>保函投保金额（元）：标项一：26000元 ，标项</w:t>
            </w:r>
            <w:r>
              <w:rPr>
                <w:rFonts w:hint="eastAsia" w:cs="宋体"/>
                <w:sz w:val="24"/>
                <w:lang w:val="en-US" w:eastAsia="zh-CN"/>
              </w:rPr>
              <w:t>二</w:t>
            </w:r>
            <w:r>
              <w:rPr>
                <w:rFonts w:hint="eastAsia" w:ascii="宋体" w:hAnsi="宋体" w:eastAsia="宋体" w:cs="宋体"/>
                <w:sz w:val="24"/>
              </w:rPr>
              <w:t>：12000元</w:t>
            </w:r>
          </w:p>
          <w:p w14:paraId="6DE87302">
            <w:pPr>
              <w:pStyle w:val="58"/>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b/>
                <w:sz w:val="24"/>
                <w:szCs w:val="24"/>
                <w:lang w:val="zh-CN"/>
              </w:rPr>
            </w:pPr>
            <w:r>
              <w:rPr>
                <w:rFonts w:hint="eastAsia" w:ascii="宋体" w:hAnsi="宋体" w:eastAsia="宋体" w:cs="宋体"/>
                <w:sz w:val="24"/>
              </w:rPr>
              <w:t>保函承保期限：</w:t>
            </w:r>
            <w:r>
              <w:rPr>
                <w:rFonts w:hint="eastAsia" w:ascii="宋体" w:hAnsi="宋体" w:eastAsia="宋体" w:cs="宋体"/>
                <w:sz w:val="24"/>
                <w:lang w:eastAsia="zh-CN"/>
              </w:rPr>
              <w:t>2026年</w:t>
            </w:r>
            <w:r>
              <w:rPr>
                <w:rFonts w:hint="eastAsia" w:ascii="宋体" w:hAnsi="宋体" w:cs="宋体"/>
                <w:sz w:val="24"/>
                <w:lang w:val="en-US" w:eastAsia="zh-CN"/>
              </w:rPr>
              <w:t>6</w:t>
            </w:r>
            <w:r>
              <w:rPr>
                <w:rFonts w:hint="eastAsia" w:ascii="宋体" w:hAnsi="宋体" w:eastAsia="宋体" w:cs="宋体"/>
                <w:sz w:val="24"/>
                <w:lang w:eastAsia="zh-CN"/>
              </w:rPr>
              <w:t>月</w:t>
            </w:r>
            <w:r>
              <w:rPr>
                <w:rFonts w:hint="eastAsia" w:ascii="宋体" w:hAnsi="宋体" w:cs="宋体"/>
                <w:sz w:val="24"/>
                <w:lang w:val="en-US" w:eastAsia="zh-CN"/>
              </w:rPr>
              <w:t>01</w:t>
            </w:r>
            <w:r>
              <w:rPr>
                <w:rFonts w:hint="eastAsia" w:ascii="宋体" w:hAnsi="宋体" w:eastAsia="宋体" w:cs="宋体"/>
                <w:sz w:val="24"/>
                <w:lang w:eastAsia="zh-CN"/>
              </w:rPr>
              <w:t>日</w:t>
            </w: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8</w:t>
            </w:r>
            <w:r>
              <w:rPr>
                <w:rFonts w:hint="eastAsia" w:ascii="宋体" w:hAnsi="宋体" w:eastAsia="宋体" w:cs="宋体"/>
                <w:sz w:val="24"/>
              </w:rPr>
              <w:t>月</w:t>
            </w:r>
            <w:r>
              <w:rPr>
                <w:rFonts w:hint="eastAsia" w:ascii="宋体" w:hAnsi="宋体" w:cs="宋体"/>
                <w:sz w:val="24"/>
                <w:lang w:val="en-US" w:eastAsia="zh-CN"/>
              </w:rPr>
              <w:t>30</w:t>
            </w:r>
            <w:r>
              <w:rPr>
                <w:rFonts w:hint="eastAsia" w:ascii="宋体" w:hAnsi="宋体" w:eastAsia="宋体" w:cs="宋体"/>
                <w:sz w:val="24"/>
              </w:rPr>
              <w:t>日（90日历天）</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37" w:hRule="atLeast"/>
        </w:trPr>
        <w:tc>
          <w:tcPr>
            <w:tcW w:w="970" w:type="dxa"/>
            <w:vAlign w:val="center"/>
          </w:tcPr>
          <w:p w14:paraId="0FAEE6C9">
            <w:pPr>
              <w:pStyle w:val="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4"/>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4"/>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□需要，具体要求如下： </w:t>
            </w:r>
          </w:p>
          <w:p w14:paraId="45E00831">
            <w:pPr>
              <w:pStyle w:val="5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1.样品制作的标准和要求：</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636410A9">
            <w:pPr>
              <w:pStyle w:val="5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2.是否需要随样品提交相关检测报告： </w:t>
            </w:r>
          </w:p>
          <w:p w14:paraId="4042F79A">
            <w:pPr>
              <w:pStyle w:val="54"/>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p w14:paraId="69ACDCB3">
            <w:pPr>
              <w:pStyle w:val="54"/>
              <w:keepNext w:val="0"/>
              <w:keepLines w:val="0"/>
              <w:pageBreakBefore w:val="0"/>
              <w:widowControl w:val="0"/>
              <w:kinsoku/>
              <w:wordWrap/>
              <w:overflowPunct/>
              <w:topLinePunct w:val="0"/>
              <w:autoSpaceDE/>
              <w:autoSpaceDN/>
              <w:bidi w:val="0"/>
              <w:adjustRightInd/>
              <w:snapToGrid/>
              <w:spacing w:line="24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□需要 </w:t>
            </w:r>
          </w:p>
          <w:p w14:paraId="2365C0AF">
            <w:pPr>
              <w:pStyle w:val="5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3.样品递交要求：递交时间：</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p>
          <w:p w14:paraId="0C201764">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，逾期提供的样品将不予接受。</w:t>
            </w:r>
            <w:r>
              <w:rPr>
                <w:rFonts w:hint="eastAsia" w:ascii="宋体" w:hAnsi="宋体" w:eastAsia="宋体" w:cs="宋体"/>
                <w:color w:val="auto"/>
                <w:sz w:val="24"/>
                <w:szCs w:val="24"/>
                <w:highlight w:val="none"/>
                <w:lang w:val="en-US" w:eastAsia="zh-CN"/>
              </w:rPr>
              <w:t xml:space="preserve"> </w:t>
            </w:r>
          </w:p>
          <w:p w14:paraId="20C6A605">
            <w:pPr>
              <w:pStyle w:val="5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4.未中标人样品退还：</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p>
          <w:p w14:paraId="2FA55552">
            <w:pPr>
              <w:pStyle w:val="5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5.中标人样品保管、封存及退还：</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5F60BBB0">
            <w:pPr>
              <w:pStyle w:val="5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6.其他要求（如有）：</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4"/>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4"/>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2.进行远程线上演示，投标人应提前自行准备好演示的软硬配置环境和网络环境，做好演示的各项准备工作。因投标人自身原因无法演示或者演示效果不理想的，导致的后果由投标人自行承担；</w:t>
            </w:r>
          </w:p>
          <w:p w14:paraId="34ED7966">
            <w:pPr>
              <w:pStyle w:val="54"/>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CE72DC4">
            <w:pPr>
              <w:pStyle w:val="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4"/>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4"/>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4C7DC32D">
            <w:pPr>
              <w:pStyle w:val="54"/>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23FC94CD">
            <w:pPr>
              <w:pStyle w:val="5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4"/>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4"/>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4"/>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2D57B39">
            <w:pPr>
              <w:pStyle w:val="5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4"/>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EEEE9B4">
            <w:pPr>
              <w:pStyle w:val="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4"/>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4"/>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4"/>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16D85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1B46F00E">
            <w:pPr>
              <w:pStyle w:val="54"/>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2789643E">
            <w:pPr>
              <w:pStyle w:val="54"/>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6976A72E">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446453BE">
            <w:pPr>
              <w:pStyle w:val="5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4858B73">
            <w:pPr>
              <w:pStyle w:val="5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□合同价的 </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w:t>
            </w:r>
          </w:p>
          <w:p w14:paraId="2795CC0D">
            <w:pPr>
              <w:pStyle w:val="54"/>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0CEDF721">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r>
              <w:rPr>
                <w:rFonts w:hint="eastAsia" w:ascii="宋体" w:hAnsi="宋体" w:eastAsia="宋体" w:cs="宋体"/>
                <w:color w:val="auto"/>
                <w:sz w:val="24"/>
                <w:szCs w:val="24"/>
                <w:highlight w:val="none"/>
                <w:lang w:val="en-US" w:eastAsia="zh-CN"/>
              </w:rPr>
              <w:t>投标人可自主选择以支票、汇票、本票、电汇、转账、网银、保函等非现金形式缴纳或提交保证金。</w:t>
            </w:r>
          </w:p>
          <w:p w14:paraId="700B777E">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3.保函有效期：自合同生效之日起至合同约定的中标或成交供应商主要义务履行完毕  </w:t>
            </w:r>
          </w:p>
          <w:p w14:paraId="782BC737">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4.缴纳时间：中标或成交供应商应在合同签订前3个工作日内向采购人提交履约保证金；                          </w:t>
            </w:r>
          </w:p>
          <w:p w14:paraId="221565EA">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5.退还时间：中标或成交供应商合同主要义务履行完毕后，采购人按合同约定及时退还 </w:t>
            </w:r>
            <w:r>
              <w:rPr>
                <w:rFonts w:hint="eastAsia" w:ascii="宋体" w:hAnsi="宋体" w:eastAsia="宋体" w:cs="宋体"/>
                <w:color w:val="auto"/>
                <w:sz w:val="24"/>
                <w:szCs w:val="24"/>
                <w:highlight w:val="none"/>
              </w:rPr>
              <w:t xml:space="preserve">             </w:t>
            </w:r>
          </w:p>
          <w:p w14:paraId="41B3BE7D">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32E52EF0">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1033F0D6">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257AE723">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p w14:paraId="1B6EA85A">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14:paraId="4FA5C033">
            <w:pPr>
              <w:pStyle w:val="54"/>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r>
              <w:rPr>
                <w:rFonts w:hint="eastAsia" w:cs="宋体"/>
                <w:color w:val="auto"/>
                <w:sz w:val="24"/>
                <w:szCs w:val="24"/>
                <w:highlight w:val="none"/>
                <w:lang w:val="en-US" w:eastAsia="zh-CN"/>
              </w:rPr>
              <w:t>。</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2" w:hRule="atLeast"/>
        </w:trPr>
        <w:tc>
          <w:tcPr>
            <w:tcW w:w="970" w:type="dxa"/>
            <w:vAlign w:val="center"/>
          </w:tcPr>
          <w:p w14:paraId="600814BC">
            <w:pPr>
              <w:pStyle w:val="5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4"/>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4"/>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1.可以分包履行的具体内容：_____； </w:t>
            </w:r>
          </w:p>
          <w:p w14:paraId="71BE067E">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2.允许分包的金额或者比例：_____； </w:t>
            </w:r>
          </w:p>
          <w:p w14:paraId="2F04DF99">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3.其他要求：_____。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4"/>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质疑</w:t>
            </w:r>
          </w:p>
        </w:tc>
        <w:tc>
          <w:tcPr>
            <w:tcW w:w="6700" w:type="dxa"/>
            <w:vAlign w:val="center"/>
          </w:tcPr>
          <w:p w14:paraId="4BF00E52">
            <w:pPr>
              <w:pStyle w:val="6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color w:val="auto"/>
                <w:sz w:val="24"/>
                <w:highlight w:val="none"/>
              </w:rPr>
              <w:t>纸质版盖章</w:t>
            </w:r>
            <w:r>
              <w:rPr>
                <w:rFonts w:hint="eastAsia" w:ascii="宋体" w:eastAsia="宋体" w:cs="宋体"/>
                <w:color w:val="auto"/>
                <w:sz w:val="24"/>
                <w:highlight w:val="none"/>
                <w:lang w:val="en-US" w:eastAsia="zh-CN"/>
              </w:rPr>
              <w:t>质疑</w:t>
            </w:r>
            <w:r>
              <w:rPr>
                <w:rFonts w:hint="eastAsia" w:ascii="宋体" w:eastAsia="宋体" w:cs="宋体"/>
                <w:color w:val="auto"/>
                <w:sz w:val="24"/>
                <w:highlight w:val="none"/>
              </w:rPr>
              <w:t>函</w:t>
            </w:r>
            <w:r>
              <w:rPr>
                <w:rFonts w:hint="eastAsia" w:ascii="宋体" w:eastAsia="宋体" w:cs="宋体"/>
                <w:color w:val="auto"/>
                <w:sz w:val="24"/>
                <w:highlight w:val="none"/>
                <w:lang w:val="en-US" w:eastAsia="zh-CN"/>
              </w:rPr>
              <w:t>原件</w:t>
            </w:r>
            <w:r>
              <w:rPr>
                <w:rFonts w:hint="eastAsia" w:ascii="宋体" w:eastAsia="宋体" w:cs="宋体"/>
                <w:color w:val="auto"/>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04E24026">
            <w:pPr>
              <w:pStyle w:val="6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kern w:val="2"/>
                <w:sz w:val="24"/>
                <w:szCs w:val="24"/>
                <w:highlight w:val="none"/>
                <w:lang w:val="zh-CN" w:eastAsia="zh-CN" w:bidi="ar-SA"/>
              </w:rPr>
              <w:t>新疆宏力源工程项目管理有限公司</w:t>
            </w:r>
            <w:r>
              <w:rPr>
                <w:rFonts w:hint="eastAsia" w:ascii="宋体" w:hAnsi="宋体" w:eastAsia="宋体" w:cs="宋体"/>
                <w:i w:val="0"/>
                <w:iCs w:val="0"/>
                <w:color w:val="auto"/>
                <w:kern w:val="2"/>
                <w:sz w:val="24"/>
                <w:szCs w:val="24"/>
                <w:highlight w:val="none"/>
                <w:lang w:val="zh-CN" w:eastAsia="zh-CN" w:bidi="ar-SA"/>
              </w:rPr>
              <w:t xml:space="preserve">              </w:t>
            </w:r>
          </w:p>
          <w:p w14:paraId="36D81911">
            <w:pPr>
              <w:pStyle w:val="6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17783394603</w:t>
            </w:r>
            <w:r>
              <w:rPr>
                <w:rFonts w:hint="eastAsia" w:ascii="宋体" w:hAnsi="宋体" w:eastAsia="宋体" w:cs="宋体"/>
                <w:i w:val="0"/>
                <w:iCs w:val="0"/>
                <w:color w:val="auto"/>
                <w:kern w:val="2"/>
                <w:sz w:val="24"/>
                <w:szCs w:val="24"/>
                <w:highlight w:val="none"/>
                <w:lang w:val="zh-CN" w:eastAsia="zh-CN" w:bidi="ar-SA"/>
              </w:rPr>
              <w:t xml:space="preserve">           </w:t>
            </w:r>
          </w:p>
          <w:p w14:paraId="53098161">
            <w:pPr>
              <w:pStyle w:val="6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cs="宋体"/>
                <w:i w:val="0"/>
                <w:iCs w:val="0"/>
                <w:color w:val="auto"/>
                <w:kern w:val="2"/>
                <w:sz w:val="24"/>
                <w:szCs w:val="24"/>
                <w:highlight w:val="none"/>
                <w:lang w:val="zh-CN" w:eastAsia="zh-CN" w:bidi="ar-SA"/>
              </w:rPr>
              <w:t>新疆乌鲁木齐高新区（新市区）四平路266号科创花苑B3办公1501室</w:t>
            </w:r>
          </w:p>
          <w:p w14:paraId="6A6460C1">
            <w:pPr>
              <w:pStyle w:val="62"/>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供应商提出质疑时，应提交质疑函和必要的证明材料，供应商在法定质疑期内应一次性提出针对同一采购程序环节的质疑。</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9" w:hRule="atLeast"/>
        </w:trPr>
        <w:tc>
          <w:tcPr>
            <w:tcW w:w="970" w:type="dxa"/>
            <w:vAlign w:val="center"/>
          </w:tcPr>
          <w:p w14:paraId="422A3CDD">
            <w:pPr>
              <w:pStyle w:val="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收</w:t>
            </w:r>
            <w:r>
              <w:rPr>
                <w:rFonts w:hint="eastAsia" w:ascii="宋体" w:hAnsi="宋体" w:eastAsia="宋体" w:cs="宋体"/>
                <w:color w:val="auto"/>
                <w:sz w:val="24"/>
                <w:szCs w:val="24"/>
                <w:highlight w:val="none"/>
              </w:rPr>
              <w:t>费</w:t>
            </w:r>
            <w:r>
              <w:rPr>
                <w:rFonts w:hint="eastAsia" w:ascii="宋体" w:hAnsi="宋体" w:eastAsia="宋体" w:cs="宋体"/>
                <w:color w:val="auto"/>
                <w:sz w:val="24"/>
                <w:szCs w:val="24"/>
                <w:highlight w:val="none"/>
                <w:lang w:val="en-US" w:eastAsia="zh-CN"/>
              </w:rPr>
              <w:t>对象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采购人支付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中标人支付 </w:t>
            </w:r>
          </w:p>
          <w:p w14:paraId="6B140E27">
            <w:pPr>
              <w:pStyle w:val="54"/>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代理服务费</w:t>
            </w:r>
            <w:r>
              <w:rPr>
                <w:rFonts w:hint="eastAsia" w:cs="宋体"/>
                <w:color w:val="auto"/>
                <w:sz w:val="24"/>
                <w:szCs w:val="24"/>
                <w:highlight w:val="none"/>
                <w:lang w:eastAsia="zh-CN"/>
              </w:rPr>
              <w:t>参照国家计委关于《招标代理服务收费管理暂行办法》（计价格〔2022〕1980号）和国家发改价格[2011]534号文件的取费标准，下浮40.00%计取，</w:t>
            </w:r>
            <w:r>
              <w:rPr>
                <w:rFonts w:hint="eastAsia" w:ascii="宋体" w:hAnsi="宋体" w:eastAsia="宋体" w:cs="宋体"/>
                <w:color w:val="auto"/>
                <w:sz w:val="24"/>
                <w:szCs w:val="24"/>
                <w:highlight w:val="none"/>
              </w:rPr>
              <w:t>由中标人向招标代理支付。</w:t>
            </w:r>
          </w:p>
          <w:p w14:paraId="14F7D088">
            <w:pPr>
              <w:pStyle w:val="54"/>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付款方式</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中标人于中标公示发布后7个工作日内一次性向招标代理公司支付代理服务费。</w:t>
            </w:r>
          </w:p>
          <w:p w14:paraId="1368AF2C">
            <w:pPr>
              <w:pStyle w:val="54"/>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时间：领取中标通知书前</w:t>
            </w:r>
          </w:p>
          <w:p w14:paraId="76384588">
            <w:pPr>
              <w:pStyle w:val="54"/>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方式：电汇，由中标人一次性支付或由招标代理直接在投标保证金中扣</w:t>
            </w:r>
          </w:p>
        </w:tc>
      </w:tr>
      <w:tr w14:paraId="29A915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shd w:val="clear" w:color="auto" w:fill="auto"/>
            <w:vAlign w:val="center"/>
          </w:tcPr>
          <w:p w14:paraId="7FA1EFB0">
            <w:pPr>
              <w:pStyle w:val="54"/>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738" w:type="dxa"/>
            <w:shd w:val="clear" w:color="auto" w:fill="auto"/>
            <w:vAlign w:val="center"/>
          </w:tcPr>
          <w:p w14:paraId="3DC8B9BB">
            <w:pPr>
              <w:pStyle w:val="54"/>
              <w:jc w:val="center"/>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支持本国产品政策</w:t>
            </w:r>
          </w:p>
        </w:tc>
        <w:tc>
          <w:tcPr>
            <w:tcW w:w="6700" w:type="dxa"/>
            <w:shd w:val="clear" w:color="auto" w:fill="auto"/>
            <w:vAlign w:val="center"/>
          </w:tcPr>
          <w:p w14:paraId="7671BCB4">
            <w:pPr>
              <w:pStyle w:val="75"/>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14:paraId="6F1BF374">
            <w:pPr>
              <w:pStyle w:val="5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p>
        </w:tc>
        <w:tc>
          <w:tcPr>
            <w:tcW w:w="1738" w:type="dxa"/>
            <w:vAlign w:val="center"/>
          </w:tcPr>
          <w:p w14:paraId="5D860FC6">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14:paraId="06648806">
            <w:pPr>
              <w:pStyle w:val="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6"/>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736B9D94">
            <w:pPr>
              <w:pStyle w:val="75"/>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3A14D5AD">
            <w:pPr>
              <w:pStyle w:val="75"/>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CF7AA8F">
            <w:pPr>
              <w:pStyle w:val="75"/>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529022C4">
            <w:pPr>
              <w:pStyle w:val="75"/>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1B996B16">
            <w:pPr>
              <w:pStyle w:val="75"/>
              <w:widowControl w:val="0"/>
              <w:spacing w:before="0" w:beforeAutospacing="0" w:after="0" w:afterAutospacing="0" w:line="24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7" w:hRule="atLeast"/>
        </w:trPr>
        <w:tc>
          <w:tcPr>
            <w:tcW w:w="970" w:type="dxa"/>
            <w:vAlign w:val="center"/>
          </w:tcPr>
          <w:p w14:paraId="3AAFC5B3">
            <w:pPr>
              <w:pStyle w:val="54"/>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4"/>
              <w:rPr>
                <w:rFonts w:hint="eastAsia" w:ascii="宋体" w:hAnsi="宋体" w:eastAsia="宋体" w:cs="宋体"/>
                <w:color w:val="auto"/>
                <w:sz w:val="24"/>
                <w:szCs w:val="24"/>
                <w:highlight w:val="none"/>
                <w:lang w:val="en-US" w:eastAsia="zh-CN"/>
              </w:rPr>
            </w:pPr>
            <w:r>
              <w:rPr>
                <w:rStyle w:val="36"/>
                <w:rFonts w:hint="eastAsia" w:ascii="宋体" w:hAnsi="宋体" w:eastAsia="宋体" w:cs="宋体"/>
                <w:b w:val="0"/>
                <w:color w:val="auto"/>
                <w:sz w:val="24"/>
                <w:szCs w:val="24"/>
                <w:highlight w:val="none"/>
                <w:lang w:val="en-US" w:eastAsia="zh-CN"/>
              </w:rPr>
              <w:t>参照后附</w:t>
            </w:r>
            <w:r>
              <w:rPr>
                <w:rStyle w:val="36"/>
                <w:rFonts w:hint="eastAsia" w:ascii="宋体" w:hAnsi="宋体" w:eastAsia="宋体" w:cs="宋体"/>
                <w:b w:val="0"/>
                <w:color w:val="auto"/>
                <w:sz w:val="24"/>
                <w:szCs w:val="24"/>
                <w:highlight w:val="none"/>
                <w:lang w:eastAsia="zh-CN"/>
              </w:rPr>
              <w:t>《</w:t>
            </w:r>
            <w:r>
              <w:rPr>
                <w:rStyle w:val="36"/>
                <w:rFonts w:hint="eastAsia" w:ascii="宋体" w:hAnsi="宋体" w:eastAsia="宋体" w:cs="宋体"/>
                <w:b w:val="0"/>
                <w:color w:val="auto"/>
                <w:sz w:val="24"/>
                <w:szCs w:val="24"/>
                <w:highlight w:val="none"/>
              </w:rPr>
              <w:t>工信部联企业〔2011〕300号</w:t>
            </w:r>
            <w:r>
              <w:rPr>
                <w:rStyle w:val="36"/>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4"/>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1824" w:type="dxa"/>
                  <w:vAlign w:val="center"/>
                </w:tcPr>
                <w:p w14:paraId="334359A5">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3245" w:type="dxa"/>
                  <w:vAlign w:val="center"/>
                </w:tcPr>
                <w:p w14:paraId="6E9115BA">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585F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BD03589">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w:t>
                  </w:r>
                </w:p>
              </w:tc>
              <w:tc>
                <w:tcPr>
                  <w:tcW w:w="1824" w:type="dxa"/>
                  <w:vAlign w:val="center"/>
                </w:tcPr>
                <w:p w14:paraId="402B250B">
                  <w:pPr>
                    <w:keepNext w:val="0"/>
                    <w:keepLines w:val="0"/>
                    <w:widowControl/>
                    <w:suppressLineNumbers w:val="0"/>
                    <w:jc w:val="center"/>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kern w:val="0"/>
                      <w:sz w:val="24"/>
                      <w:szCs w:val="24"/>
                      <w:highlight w:val="none"/>
                      <w:vertAlign w:val="baseline"/>
                      <w:lang w:val="en-US" w:eastAsia="zh-CN" w:bidi="ar"/>
                    </w:rPr>
                    <w:t>皮山县人民医院放射类检查设备维修维保及技术服务采购项目</w:t>
                  </w:r>
                </w:p>
              </w:tc>
              <w:tc>
                <w:tcPr>
                  <w:tcW w:w="3245" w:type="dxa"/>
                  <w:vAlign w:val="center"/>
                </w:tcPr>
                <w:p w14:paraId="6A9C8731">
                  <w:pPr>
                    <w:keepNext w:val="0"/>
                    <w:keepLines w:val="0"/>
                    <w:widowControl/>
                    <w:suppressLineNumbers w:val="0"/>
                    <w:jc w:val="center"/>
                    <w:rPr>
                      <w:rFonts w:hint="default" w:ascii="宋体" w:hAnsi="宋体" w:eastAsia="宋体" w:cs="宋体"/>
                      <w:color w:val="auto"/>
                      <w:kern w:val="0"/>
                      <w:sz w:val="24"/>
                      <w:szCs w:val="24"/>
                      <w:highlight w:val="none"/>
                      <w:vertAlign w:val="baseline"/>
                      <w:lang w:val="en-US" w:eastAsia="zh-CN" w:bidi="ar"/>
                    </w:rPr>
                  </w:pPr>
                  <w:r>
                    <w:rPr>
                      <w:rFonts w:hint="default" w:ascii="宋体" w:hAnsi="宋体" w:eastAsia="宋体" w:cs="宋体"/>
                      <w:color w:val="auto"/>
                      <w:kern w:val="0"/>
                      <w:sz w:val="24"/>
                      <w:szCs w:val="24"/>
                      <w:highlight w:val="none"/>
                      <w:vertAlign w:val="baseline"/>
                      <w:lang w:val="en-US" w:eastAsia="zh-CN" w:bidi="ar"/>
                    </w:rPr>
                    <w:t>其他未列明行业</w:t>
                  </w:r>
                </w:p>
              </w:tc>
            </w:tr>
          </w:tbl>
          <w:p w14:paraId="75D5BD19">
            <w:pPr>
              <w:pStyle w:val="54"/>
              <w:rPr>
                <w:rFonts w:hint="eastAsia" w:ascii="宋体" w:hAnsi="宋体" w:eastAsia="宋体" w:cs="宋体"/>
                <w:color w:val="auto"/>
                <w:sz w:val="24"/>
                <w:szCs w:val="24"/>
                <w:highlight w:val="none"/>
              </w:rPr>
            </w:pPr>
            <w:r>
              <w:rPr>
                <w:rStyle w:val="36"/>
                <w:rFonts w:hint="eastAsia" w:cs="宋体"/>
                <w:b w:val="0"/>
                <w:bCs w:val="0"/>
                <w:color w:val="auto"/>
                <w:sz w:val="24"/>
                <w:szCs w:val="24"/>
                <w:highlight w:val="none"/>
                <w:lang w:val="en-US" w:eastAsia="zh-CN"/>
              </w:rPr>
              <w:t>本项目采购标的属于其他未列明行业。企业规模类型根据《中小企业划型标准规定》 (工信部联企业[2011]300号)确定:（十六）其他未列明行业。从业人员300人以下的为中小微型企业。其中，从业人员100人及以上的为中型企业；从业人员10人及以上的为小型企业；从业人员10人以下的为微型企业。</w:t>
            </w:r>
          </w:p>
        </w:tc>
      </w:tr>
      <w:tr w14:paraId="4C8E5A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72" w:hRule="atLeast"/>
        </w:trPr>
        <w:tc>
          <w:tcPr>
            <w:tcW w:w="970" w:type="dxa"/>
            <w:shd w:val="clear" w:color="auto" w:fill="auto"/>
            <w:vAlign w:val="center"/>
          </w:tcPr>
          <w:p w14:paraId="213F4586">
            <w:pPr>
              <w:pStyle w:val="54"/>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7C0C8321">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1D89079E">
            <w:pPr>
              <w:pStyle w:val="5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color w:val="auto"/>
                <w:sz w:val="24"/>
                <w:szCs w:val="24"/>
                <w:highlight w:val="none"/>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Merge w:val="restart"/>
            <w:tcBorders>
              <w:right w:val="single" w:color="auto" w:sz="4" w:space="0"/>
            </w:tcBorders>
            <w:vAlign w:val="center"/>
          </w:tcPr>
          <w:p w14:paraId="59449E7E">
            <w:pPr>
              <w:pStyle w:val="5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.1</w:t>
            </w:r>
          </w:p>
        </w:tc>
        <w:tc>
          <w:tcPr>
            <w:tcW w:w="1738" w:type="dxa"/>
            <w:vMerge w:val="restart"/>
            <w:tcBorders>
              <w:right w:val="single" w:color="auto" w:sz="4" w:space="0"/>
            </w:tcBorders>
            <w:vAlign w:val="center"/>
          </w:tcPr>
          <w:p w14:paraId="7068A1E1">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07D44883">
            <w:pPr>
              <w:pStyle w:val="54"/>
              <w:numPr>
                <w:ilvl w:val="0"/>
                <w:numId w:val="0"/>
              </w:numPr>
              <w:spacing w:line="240" w:lineRule="auto"/>
              <w:ind w:left="0" w:leftChars="0" w:firstLine="0" w:firstLineChars="0"/>
              <w:rPr>
                <w:rFonts w:hint="default" w:ascii="宋体" w:hAnsi="宋体" w:eastAsia="宋体" w:cs="宋体"/>
                <w:color w:val="auto"/>
                <w:sz w:val="24"/>
                <w:szCs w:val="24"/>
                <w:highlight w:val="red"/>
                <w:lang w:val="en-US" w:eastAsia="zh-CN"/>
              </w:rPr>
            </w:pPr>
            <w:r>
              <w:rPr>
                <w:rFonts w:hint="eastAsia" w:ascii="宋体" w:hAnsi="宋体" w:eastAsia="宋体" w:cs="宋体"/>
                <w:color w:val="auto"/>
                <w:sz w:val="24"/>
                <w:szCs w:val="24"/>
                <w:highlight w:val="none"/>
                <w:lang w:eastAsia="zh-CN"/>
              </w:rPr>
              <w:t>1.付款方式:</w:t>
            </w:r>
            <w:r>
              <w:rPr>
                <w:rFonts w:hint="eastAsia" w:cs="宋体"/>
                <w:color w:val="auto"/>
                <w:sz w:val="24"/>
                <w:szCs w:val="24"/>
                <w:highlight w:val="none"/>
                <w:lang w:val="en-US" w:eastAsia="zh-CN"/>
              </w:rPr>
              <w:t>每六个月付款25%</w:t>
            </w:r>
          </w:p>
        </w:tc>
      </w:tr>
      <w:tr w14:paraId="59E10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91" w:hRule="atLeast"/>
        </w:trPr>
        <w:tc>
          <w:tcPr>
            <w:tcW w:w="970" w:type="dxa"/>
            <w:vMerge w:val="continue"/>
            <w:tcBorders>
              <w:right w:val="single" w:color="auto" w:sz="4" w:space="0"/>
            </w:tcBorders>
            <w:vAlign w:val="center"/>
          </w:tcPr>
          <w:p w14:paraId="38CD70F2">
            <w:pPr>
              <w:pStyle w:val="54"/>
              <w:jc w:val="center"/>
              <w:rPr>
                <w:rFonts w:hint="eastAsia" w:ascii="宋体" w:hAnsi="宋体" w:eastAsia="宋体" w:cs="宋体"/>
                <w:color w:val="auto"/>
                <w:sz w:val="24"/>
                <w:szCs w:val="24"/>
                <w:highlight w:val="none"/>
              </w:rPr>
            </w:pPr>
          </w:p>
        </w:tc>
        <w:tc>
          <w:tcPr>
            <w:tcW w:w="1738" w:type="dxa"/>
            <w:vMerge w:val="continue"/>
            <w:tcBorders>
              <w:right w:val="single" w:color="auto" w:sz="4" w:space="0"/>
            </w:tcBorders>
            <w:vAlign w:val="center"/>
          </w:tcPr>
          <w:p w14:paraId="5A561A51">
            <w:pPr>
              <w:pStyle w:val="54"/>
              <w:rPr>
                <w:rFonts w:hint="eastAsia" w:ascii="宋体" w:hAnsi="宋体" w:eastAsia="宋体" w:cs="宋体"/>
                <w:color w:val="auto"/>
                <w:sz w:val="24"/>
                <w:szCs w:val="24"/>
                <w:highlight w:val="none"/>
              </w:rPr>
            </w:pPr>
          </w:p>
        </w:tc>
        <w:tc>
          <w:tcPr>
            <w:tcW w:w="6700" w:type="dxa"/>
            <w:tcBorders>
              <w:left w:val="single" w:color="auto" w:sz="4" w:space="0"/>
            </w:tcBorders>
            <w:vAlign w:val="center"/>
          </w:tcPr>
          <w:p w14:paraId="7A8DD47C">
            <w:pPr>
              <w:pStyle w:val="54"/>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cs="宋体"/>
                <w:b w:val="0"/>
                <w:bCs w:val="0"/>
                <w:color w:val="auto"/>
                <w:kern w:val="2"/>
                <w:sz w:val="24"/>
                <w:szCs w:val="24"/>
                <w:highlight w:val="none"/>
                <w:lang w:val="en-US" w:eastAsia="zh-CN"/>
              </w:rPr>
              <w:t>2.</w:t>
            </w:r>
            <w:r>
              <w:rPr>
                <w:rFonts w:hint="eastAsia" w:ascii="宋体" w:hAnsi="宋体" w:cs="宋体"/>
                <w:b w:val="0"/>
                <w:bCs w:val="0"/>
                <w:color w:val="auto"/>
                <w:kern w:val="2"/>
                <w:sz w:val="24"/>
                <w:szCs w:val="24"/>
                <w:highlight w:val="none"/>
              </w:rPr>
              <w:t>异常低价情形认定</w:t>
            </w:r>
          </w:p>
          <w:p w14:paraId="1F2D5C1B">
            <w:pPr>
              <w:pStyle w:val="54"/>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投标（响应）供应商出现下列情形之一的，评审委员会将启动异常低价审查程序：</w:t>
            </w:r>
          </w:p>
          <w:p w14:paraId="0F0AEE2B">
            <w:pPr>
              <w:pStyle w:val="54"/>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①投标（响应）报价低于全部通过符合性审查供应商报价平均值的 50%；</w:t>
            </w:r>
          </w:p>
          <w:p w14:paraId="7A59E8ED">
            <w:pPr>
              <w:pStyle w:val="54"/>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②投标（响应）报价低于通过符合性审查次低报价的 50%；</w:t>
            </w:r>
          </w:p>
          <w:p w14:paraId="3B72D442">
            <w:pPr>
              <w:pStyle w:val="54"/>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③投标（响应）报价低于本项目最高限价的 45%；</w:t>
            </w:r>
          </w:p>
          <w:p w14:paraId="0768F036">
            <w:pPr>
              <w:pStyle w:val="54"/>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④评审委员会基于专业判断，认为报价过低可能影响项目履约质量、不能满足采购需求或无法诚信履约的其他情形。</w:t>
            </w:r>
          </w:p>
          <w:p w14:paraId="1F26F33B">
            <w:pPr>
              <w:pStyle w:val="54"/>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4.审查要求及处理</w:t>
            </w:r>
          </w:p>
          <w:p w14:paraId="4704BBBD">
            <w:pPr>
              <w:pStyle w:val="54"/>
              <w:numPr>
                <w:ilvl w:val="0"/>
                <w:numId w:val="0"/>
              </w:numPr>
              <w:spacing w:line="240" w:lineRule="auto"/>
              <w:ind w:left="0" w:leftChars="0" w:firstLine="0" w:firstLineChars="0"/>
              <w:rPr>
                <w:rFonts w:hint="eastAsia" w:ascii="宋体" w:hAnsi="宋体" w:cs="宋体"/>
                <w:b w:val="0"/>
                <w:bCs w:val="0"/>
                <w:color w:val="auto"/>
                <w:kern w:val="2"/>
                <w:sz w:val="24"/>
                <w:szCs w:val="24"/>
                <w:highlight w:val="none"/>
              </w:rPr>
            </w:pPr>
            <w:r>
              <w:rPr>
                <w:rFonts w:hint="eastAsia" w:ascii="宋体" w:hAnsi="宋体" w:cs="宋体"/>
                <w:b w:val="0"/>
                <w:bCs w:val="0"/>
                <w:color w:val="auto"/>
                <w:kern w:val="2"/>
                <w:sz w:val="24"/>
                <w:szCs w:val="24"/>
                <w:highlight w:val="none"/>
              </w:rPr>
              <w:t>被启动审查的供应商，须在合理时间内（不少于 30 分钟），就报价合理性提交书面说明，并提供项目成本测算明细、原材料采购意向协议、人工成本核算依据等可核验的证明材料。</w:t>
            </w:r>
          </w:p>
          <w:p w14:paraId="1A3A888B">
            <w:pPr>
              <w:pStyle w:val="54"/>
              <w:numPr>
                <w:ilvl w:val="0"/>
                <w:numId w:val="0"/>
              </w:numPr>
              <w:spacing w:line="240" w:lineRule="auto"/>
              <w:ind w:left="0" w:leftChars="0" w:firstLine="0" w:firstLineChars="0"/>
              <w:rPr>
                <w:rFonts w:hint="eastAsia" w:ascii="宋体" w:hAnsi="宋体" w:cs="宋体"/>
                <w:b/>
                <w:bCs/>
                <w:color w:val="auto"/>
                <w:kern w:val="2"/>
                <w:sz w:val="24"/>
                <w:szCs w:val="24"/>
                <w:highlight w:val="none"/>
              </w:rPr>
            </w:pPr>
            <w:r>
              <w:rPr>
                <w:rFonts w:hint="eastAsia" w:ascii="宋体" w:hAnsi="宋体" w:cs="宋体"/>
                <w:b w:val="0"/>
                <w:bCs w:val="0"/>
                <w:color w:val="auto"/>
                <w:kern w:val="2"/>
                <w:sz w:val="24"/>
                <w:szCs w:val="24"/>
                <w:highlight w:val="none"/>
              </w:rPr>
              <w:t>供应商未按要求提交说明及证明材料，或提交的材料无法有效证明报价合理性的，评审委员会将其投标（响应）作无效处理。</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F66C892">
            <w:pPr>
              <w:pStyle w:val="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546D276C">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color w:val="auto"/>
          <w:kern w:val="2"/>
          <w:sz w:val="28"/>
          <w:szCs w:val="28"/>
          <w:highlight w:val="none"/>
          <w:lang w:val="en-US" w:eastAsia="zh-CN" w:bidi="ar-SA"/>
        </w:rPr>
      </w:pPr>
      <w:bookmarkStart w:id="124" w:name="_Toc9440"/>
      <w:bookmarkStart w:id="125" w:name="_Toc155185869"/>
      <w:bookmarkStart w:id="126" w:name="_Toc27559"/>
      <w:r>
        <w:rPr>
          <w:rFonts w:hint="eastAsia" w:eastAsia="宋体" w:asciiTheme="majorHAnsi" w:hAnsiTheme="majorHAnsi" w:cstheme="majorBidi"/>
          <w:b/>
          <w:bCs/>
          <w:color w:val="auto"/>
          <w:kern w:val="2"/>
          <w:sz w:val="28"/>
          <w:szCs w:val="28"/>
          <w:highlight w:val="none"/>
          <w:lang w:val="en-US" w:eastAsia="zh-CN" w:bidi="ar-SA"/>
        </w:rPr>
        <w:t>二、投标人须知</w:t>
      </w:r>
      <w:bookmarkEnd w:id="124"/>
      <w:bookmarkEnd w:id="125"/>
      <w:bookmarkEnd w:id="126"/>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27" w:name="_Toc163492822"/>
      <w:bookmarkStart w:id="128" w:name="_Toc22384"/>
      <w:bookmarkStart w:id="129" w:name="_Toc155185870"/>
      <w:r>
        <w:rPr>
          <w:rFonts w:hint="eastAsia" w:ascii="宋体" w:hAnsi="宋体" w:eastAsia="宋体" w:cs="宋体"/>
          <w:b/>
          <w:bCs/>
          <w:color w:val="auto"/>
          <w:kern w:val="2"/>
          <w:sz w:val="24"/>
          <w:szCs w:val="24"/>
          <w:highlight w:val="none"/>
          <w:lang w:val="en-US" w:eastAsia="zh-CN" w:bidi="ar-SA"/>
        </w:rPr>
        <w:t>（一）总则</w:t>
      </w:r>
      <w:bookmarkEnd w:id="127"/>
      <w:bookmarkEnd w:id="128"/>
      <w:bookmarkEnd w:id="129"/>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0" w:name="_Toc109899631"/>
      <w:bookmarkStart w:id="131" w:name="_Toc155095689"/>
      <w:bookmarkStart w:id="132" w:name="_Toc30340"/>
      <w:bookmarkStart w:id="133" w:name="_Toc109900469"/>
      <w:bookmarkStart w:id="134" w:name="_Toc31233"/>
      <w:bookmarkStart w:id="135" w:name="_Toc109900050"/>
      <w:bookmarkStart w:id="136" w:name="_Toc163492823"/>
      <w:bookmarkStart w:id="137" w:name="_Toc109897532"/>
      <w:r>
        <w:rPr>
          <w:rFonts w:hint="eastAsia" w:ascii="宋体" w:hAnsi="宋体" w:eastAsia="宋体" w:cs="宋体"/>
          <w:b/>
          <w:bCs/>
          <w:color w:val="auto"/>
          <w:kern w:val="2"/>
          <w:sz w:val="24"/>
          <w:szCs w:val="24"/>
          <w:highlight w:val="none"/>
          <w:lang w:val="en-US" w:eastAsia="zh-CN" w:bidi="ar-SA"/>
        </w:rPr>
        <w:t>1.适用范围</w:t>
      </w:r>
      <w:bookmarkEnd w:id="130"/>
      <w:bookmarkEnd w:id="131"/>
      <w:bookmarkEnd w:id="132"/>
      <w:bookmarkEnd w:id="133"/>
      <w:bookmarkEnd w:id="134"/>
      <w:bookmarkEnd w:id="135"/>
      <w:bookmarkEnd w:id="136"/>
      <w:bookmarkEnd w:id="137"/>
    </w:p>
    <w:p w14:paraId="38963635">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38" w:name="_Toc7979"/>
      <w:bookmarkStart w:id="139" w:name="_Toc163492824"/>
      <w:r>
        <w:rPr>
          <w:rFonts w:hint="eastAsia" w:ascii="宋体" w:hAnsi="宋体" w:eastAsia="宋体" w:cs="宋体"/>
          <w:b/>
          <w:bCs/>
          <w:color w:val="auto"/>
          <w:kern w:val="2"/>
          <w:sz w:val="24"/>
          <w:szCs w:val="24"/>
          <w:highlight w:val="none"/>
          <w:lang w:val="en-US" w:eastAsia="zh-CN" w:bidi="ar-SA"/>
        </w:rPr>
        <w:t>2.基本定义</w:t>
      </w:r>
      <w:bookmarkEnd w:id="138"/>
      <w:bookmarkEnd w:id="139"/>
    </w:p>
    <w:p w14:paraId="768D70C2">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根据《中华人民共和国政府采购法》及其实施条例等有关法律、法规和规章的规定，制定本招标文件。</w:t>
      </w:r>
    </w:p>
    <w:p w14:paraId="474AEC6F">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cs="宋体"/>
          <w:color w:val="auto"/>
          <w:sz w:val="24"/>
          <w:szCs w:val="24"/>
          <w:highlight w:val="none"/>
          <w:lang w:val="en-US" w:eastAsia="zh-CN"/>
        </w:rPr>
        <w:t>项目名称及编号：详见投标人须知前附表。</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26D50742">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服务内容及要求见“投标人须知前附表”。</w:t>
      </w:r>
    </w:p>
    <w:p w14:paraId="214DD75F">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2518C535">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76745163">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0DE24F0D">
      <w:pPr>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5FC27D1B">
      <w:pPr>
        <w:pStyle w:val="42"/>
        <w:keepNext w:val="0"/>
        <w:keepLines w:val="0"/>
        <w:pageBreakBefore w:val="0"/>
        <w:widowControl w:val="0"/>
        <w:kinsoku/>
        <w:overflowPunct/>
        <w:topLinePunct w:val="0"/>
        <w:autoSpaceDE/>
        <w:autoSpaceDN/>
        <w:bidi w:val="0"/>
        <w:adjustRightInd/>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0" w:name="_Toc140132758"/>
      <w:bookmarkStart w:id="141" w:name="_Toc163492825"/>
      <w:bookmarkStart w:id="142" w:name="_Toc21761"/>
      <w:r>
        <w:rPr>
          <w:rFonts w:hint="eastAsia" w:ascii="宋体" w:hAnsi="宋体" w:eastAsia="宋体" w:cs="宋体"/>
          <w:b/>
          <w:bCs/>
          <w:color w:val="auto"/>
          <w:kern w:val="2"/>
          <w:sz w:val="24"/>
          <w:szCs w:val="24"/>
          <w:highlight w:val="none"/>
          <w:lang w:val="en-US" w:eastAsia="zh-CN" w:bidi="ar-SA"/>
        </w:rPr>
        <w:t>3.资金来源</w:t>
      </w:r>
      <w:bookmarkEnd w:id="140"/>
      <w:bookmarkEnd w:id="141"/>
      <w:bookmarkEnd w:id="142"/>
    </w:p>
    <w:p w14:paraId="76E8C14F">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3" w:name="_Toc163492826"/>
      <w:bookmarkStart w:id="144" w:name="_Toc140132760"/>
      <w:bookmarkStart w:id="145" w:name="_Toc8143"/>
      <w:r>
        <w:rPr>
          <w:rFonts w:hint="eastAsia" w:ascii="宋体" w:hAnsi="宋体" w:eastAsia="宋体" w:cs="宋体"/>
          <w:b/>
          <w:bCs/>
          <w:color w:val="auto"/>
          <w:kern w:val="2"/>
          <w:sz w:val="24"/>
          <w:szCs w:val="24"/>
          <w:highlight w:val="none"/>
          <w:lang w:val="en-US" w:eastAsia="zh-CN" w:bidi="ar-SA"/>
        </w:rPr>
        <w:t>4.投标人资格要求</w:t>
      </w:r>
      <w:bookmarkEnd w:id="143"/>
      <w:bookmarkEnd w:id="144"/>
      <w:bookmarkEnd w:id="145"/>
    </w:p>
    <w:p w14:paraId="522AD9C1">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3B57853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512308FF">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7EFB49B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5343E5B5">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2E60D00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7127D169">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书面同意并且须遵守相关法律、法规、本次招标的全部相关规定。</w:t>
      </w:r>
    </w:p>
    <w:p w14:paraId="7D2803A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6" w:name="_Toc163492827"/>
      <w:bookmarkStart w:id="147" w:name="_Toc18281"/>
      <w:r>
        <w:rPr>
          <w:rFonts w:hint="eastAsia" w:ascii="宋体" w:hAnsi="宋体" w:eastAsia="宋体" w:cs="宋体"/>
          <w:b/>
          <w:bCs/>
          <w:color w:val="auto"/>
          <w:kern w:val="2"/>
          <w:sz w:val="24"/>
          <w:szCs w:val="24"/>
          <w:highlight w:val="none"/>
          <w:lang w:val="en-US" w:eastAsia="zh-CN" w:bidi="ar-SA"/>
        </w:rPr>
        <w:t>5.费用承担</w:t>
      </w:r>
      <w:bookmarkEnd w:id="146"/>
      <w:bookmarkEnd w:id="147"/>
    </w:p>
    <w:p w14:paraId="3C6741ED">
      <w:pPr>
        <w:pStyle w:val="42"/>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48" w:name="_Toc4542"/>
      <w:bookmarkStart w:id="149" w:name="_Toc140132761"/>
      <w:bookmarkStart w:id="150" w:name="_Toc163492828"/>
      <w:r>
        <w:rPr>
          <w:rFonts w:hint="eastAsia" w:ascii="宋体" w:hAnsi="宋体" w:eastAsia="宋体" w:cs="宋体"/>
          <w:b/>
          <w:bCs/>
          <w:color w:val="auto"/>
          <w:kern w:val="2"/>
          <w:sz w:val="24"/>
          <w:szCs w:val="24"/>
          <w:highlight w:val="none"/>
          <w:lang w:val="en-US" w:eastAsia="zh-CN" w:bidi="ar-SA"/>
        </w:rPr>
        <w:t>6.保密</w:t>
      </w:r>
      <w:bookmarkEnd w:id="148"/>
      <w:bookmarkEnd w:id="149"/>
      <w:bookmarkEnd w:id="150"/>
    </w:p>
    <w:p w14:paraId="7CBA93F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2947ABFF">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0EE6357E">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1" w:name="_Toc163492829"/>
      <w:bookmarkStart w:id="152" w:name="_Toc140132762"/>
      <w:bookmarkStart w:id="153" w:name="_Toc9160"/>
      <w:r>
        <w:rPr>
          <w:rFonts w:hint="eastAsia" w:ascii="宋体" w:hAnsi="宋体" w:eastAsia="宋体" w:cs="宋体"/>
          <w:b/>
          <w:bCs/>
          <w:color w:val="auto"/>
          <w:kern w:val="2"/>
          <w:sz w:val="24"/>
          <w:szCs w:val="24"/>
          <w:highlight w:val="none"/>
          <w:lang w:val="en-US" w:eastAsia="zh-CN" w:bidi="ar-SA"/>
        </w:rPr>
        <w:t>7.语言文字</w:t>
      </w:r>
      <w:bookmarkEnd w:id="151"/>
      <w:bookmarkEnd w:id="152"/>
      <w:bookmarkEnd w:id="153"/>
    </w:p>
    <w:p w14:paraId="2514093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4" w:name="_Toc140132763"/>
      <w:bookmarkStart w:id="155" w:name="_Toc163492830"/>
      <w:bookmarkStart w:id="156" w:name="_Toc15679"/>
      <w:r>
        <w:rPr>
          <w:rFonts w:hint="eastAsia" w:ascii="宋体" w:hAnsi="宋体" w:eastAsia="宋体" w:cs="宋体"/>
          <w:b/>
          <w:bCs/>
          <w:color w:val="auto"/>
          <w:kern w:val="2"/>
          <w:sz w:val="24"/>
          <w:szCs w:val="24"/>
          <w:highlight w:val="none"/>
          <w:lang w:val="en-US" w:eastAsia="zh-CN" w:bidi="ar-SA"/>
        </w:rPr>
        <w:t>8.计量单位</w:t>
      </w:r>
      <w:bookmarkEnd w:id="154"/>
      <w:bookmarkEnd w:id="155"/>
      <w:bookmarkEnd w:id="156"/>
    </w:p>
    <w:p w14:paraId="45A7AE5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57" w:name="_Toc163492831"/>
      <w:bookmarkStart w:id="158" w:name="_Toc140132764"/>
      <w:bookmarkStart w:id="159" w:name="_Toc23050"/>
      <w:r>
        <w:rPr>
          <w:rFonts w:hint="eastAsia" w:ascii="宋体" w:hAnsi="宋体" w:eastAsia="宋体" w:cs="宋体"/>
          <w:b/>
          <w:bCs/>
          <w:color w:val="auto"/>
          <w:kern w:val="2"/>
          <w:sz w:val="24"/>
          <w:szCs w:val="24"/>
          <w:highlight w:val="none"/>
          <w:lang w:val="en-US" w:eastAsia="zh-CN" w:bidi="ar-SA"/>
        </w:rPr>
        <w:t>9.现场考察和答疑会</w:t>
      </w:r>
      <w:bookmarkEnd w:id="157"/>
      <w:bookmarkEnd w:id="158"/>
      <w:bookmarkEnd w:id="159"/>
    </w:p>
    <w:p w14:paraId="5A8B8C45">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160"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5F8A235F">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199A48B2">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6F1F6A2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0094384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60"/>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1" w:name="_Toc155185858"/>
      <w:bookmarkStart w:id="162" w:name="_Toc163492833"/>
      <w:bookmarkStart w:id="163" w:name="_Toc72"/>
      <w:bookmarkStart w:id="164" w:name="_Toc155185871"/>
      <w:r>
        <w:rPr>
          <w:rFonts w:hint="eastAsia" w:ascii="宋体" w:hAnsi="宋体" w:eastAsia="宋体" w:cs="宋体"/>
          <w:b/>
          <w:bCs/>
          <w:color w:val="auto"/>
          <w:kern w:val="2"/>
          <w:sz w:val="24"/>
          <w:szCs w:val="24"/>
          <w:highlight w:val="none"/>
          <w:lang w:val="en-US" w:eastAsia="zh-CN" w:bidi="ar-SA"/>
        </w:rPr>
        <w:t>10.电子投标说明</w:t>
      </w:r>
      <w:bookmarkEnd w:id="161"/>
      <w:bookmarkEnd w:id="162"/>
      <w:bookmarkEnd w:id="163"/>
      <w:r>
        <w:rPr>
          <w:rFonts w:hint="eastAsia" w:ascii="宋体" w:hAnsi="宋体" w:eastAsia="宋体" w:cs="宋体"/>
          <w:b/>
          <w:bCs/>
          <w:color w:val="auto"/>
          <w:kern w:val="2"/>
          <w:sz w:val="24"/>
          <w:szCs w:val="24"/>
          <w:highlight w:val="none"/>
          <w:lang w:val="en-US" w:eastAsia="zh-CN" w:bidi="ar-SA"/>
        </w:rPr>
        <w:t xml:space="preserve">   </w:t>
      </w:r>
    </w:p>
    <w:p w14:paraId="1885013F">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cs="宋体"/>
          <w:color w:val="auto"/>
          <w:sz w:val="24"/>
          <w:szCs w:val="24"/>
          <w:highlight w:val="none"/>
          <w:lang w:val="en-US" w:eastAsia="zh-CN"/>
        </w:rPr>
        <w:t>政采云平台线上（网址：https://www.zcygov.cn/）</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申领CA证书并绑定帐号。投标人应充分考虑完成平台注册、申领CA证书等所需的时间。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投标客户端</w:t>
      </w:r>
      <w:r>
        <w:rPr>
          <w:rFonts w:hint="eastAsia" w:cs="宋体"/>
          <w:color w:val="auto"/>
          <w:sz w:val="24"/>
          <w:szCs w:val="24"/>
          <w:highlight w:val="none"/>
          <w:lang w:val="zh-CN" w:eastAsia="zh-CN"/>
        </w:rPr>
        <w:t>”</w:t>
      </w:r>
      <w:r>
        <w:rPr>
          <w:rFonts w:hint="eastAsia" w:ascii="宋体" w:hAnsi="宋体" w:eastAsia="宋体" w:cs="宋体"/>
          <w:color w:val="auto"/>
          <w:sz w:val="24"/>
          <w:szCs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s="宋体"/>
          <w:i w:val="0"/>
          <w:iCs w:val="0"/>
          <w:color w:val="auto"/>
          <w:sz w:val="24"/>
          <w:szCs w:val="24"/>
          <w:highlight w:val="none"/>
          <w:lang w:val="en-US" w:eastAsia="zh-CN"/>
        </w:rPr>
        <w:t>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w:t>
      </w:r>
      <w:r>
        <w:rPr>
          <w:rFonts w:hint="eastAsia"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eastAsia="zh-CN"/>
        </w:rPr>
        <w:t>注册”—“</w:t>
      </w:r>
      <w:r>
        <w:rPr>
          <w:rFonts w:hint="eastAsia" w:cs="宋体"/>
          <w:i w:val="0"/>
          <w:iCs w:val="0"/>
          <w:color w:val="auto"/>
          <w:sz w:val="24"/>
          <w:szCs w:val="24"/>
          <w:highlight w:val="none"/>
          <w:lang w:val="en-US" w:eastAsia="zh-CN"/>
        </w:rPr>
        <w:t>新疆维吾尔自治区</w:t>
      </w:r>
      <w:r>
        <w:rPr>
          <w:rFonts w:hint="eastAsia" w:ascii="宋体" w:hAnsi="宋体" w:eastAsia="宋体" w:cs="宋体"/>
          <w:i w:val="0"/>
          <w:iCs w:val="0"/>
          <w:color w:val="auto"/>
          <w:sz w:val="24"/>
          <w:szCs w:val="24"/>
          <w:highlight w:val="none"/>
          <w:lang w:val="en-US" w:eastAsia="zh-CN"/>
        </w:rPr>
        <w:t>供应商入驻登记”—“立即登记”进行自助注册绑定</w:t>
      </w:r>
      <w:r>
        <w:rPr>
          <w:rFonts w:hint="eastAsia" w:ascii="宋体" w:hAnsi="宋体" w:eastAsia="宋体"/>
          <w:color w:val="auto"/>
          <w:sz w:val="24"/>
          <w:highlight w:val="none"/>
          <w:lang w:val="zh-CN" w:eastAsia="zh-CN"/>
        </w:rPr>
        <w:t>。</w:t>
      </w:r>
    </w:p>
    <w:p w14:paraId="18ECC266">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2"/>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5" w:name="_Toc12064"/>
      <w:bookmarkStart w:id="166" w:name="_Toc163492834"/>
      <w:r>
        <w:rPr>
          <w:rFonts w:hint="eastAsia" w:ascii="宋体" w:hAnsi="宋体" w:eastAsia="宋体" w:cs="宋体"/>
          <w:b/>
          <w:bCs/>
          <w:color w:val="auto"/>
          <w:kern w:val="2"/>
          <w:sz w:val="24"/>
          <w:szCs w:val="24"/>
          <w:highlight w:val="none"/>
          <w:lang w:val="en-US" w:eastAsia="zh-CN" w:bidi="ar-SA"/>
        </w:rPr>
        <w:t>（二）招标文件</w:t>
      </w:r>
      <w:bookmarkEnd w:id="164"/>
      <w:bookmarkEnd w:id="165"/>
      <w:bookmarkEnd w:id="166"/>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67" w:name="_Toc163492835"/>
      <w:bookmarkStart w:id="168" w:name="_Toc140132768"/>
      <w:bookmarkStart w:id="169" w:name="_Toc14223"/>
      <w:r>
        <w:rPr>
          <w:rFonts w:hint="eastAsia" w:ascii="宋体" w:hAnsi="宋体" w:eastAsia="宋体" w:cs="宋体"/>
          <w:b/>
          <w:bCs/>
          <w:color w:val="auto"/>
          <w:kern w:val="2"/>
          <w:sz w:val="24"/>
          <w:szCs w:val="24"/>
          <w:highlight w:val="none"/>
          <w:lang w:val="en-US" w:eastAsia="zh-CN" w:bidi="ar-SA"/>
        </w:rPr>
        <w:t>11.招标文件的组成</w:t>
      </w:r>
      <w:bookmarkEnd w:id="167"/>
      <w:bookmarkEnd w:id="168"/>
      <w:bookmarkEnd w:id="169"/>
    </w:p>
    <w:p w14:paraId="0FCCC62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0" w:name="_Toc163492836"/>
      <w:bookmarkStart w:id="171" w:name="_Toc140132769"/>
      <w:bookmarkStart w:id="172" w:name="_Toc12876"/>
      <w:r>
        <w:rPr>
          <w:rFonts w:hint="eastAsia" w:ascii="宋体" w:hAnsi="宋体" w:eastAsia="宋体" w:cs="宋体"/>
          <w:b/>
          <w:bCs/>
          <w:color w:val="auto"/>
          <w:kern w:val="2"/>
          <w:sz w:val="24"/>
          <w:szCs w:val="24"/>
          <w:highlight w:val="none"/>
          <w:lang w:val="en-US" w:eastAsia="zh-CN" w:bidi="ar-SA"/>
        </w:rPr>
        <w:t>12.招标文件的询问、澄清或者修改</w:t>
      </w:r>
      <w:bookmarkEnd w:id="170"/>
      <w:bookmarkEnd w:id="171"/>
      <w:bookmarkEnd w:id="172"/>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w:t>
      </w:r>
      <w:r>
        <w:rPr>
          <w:rFonts w:eastAsia="宋体" w:cs="仿宋_GB2312"/>
          <w:color w:val="auto"/>
          <w:sz w:val="24"/>
          <w:szCs w:val="24"/>
          <w:highlight w:val="none"/>
        </w:rPr>
        <w:t>投标人如对招标文件内容有疑问，须在投标人须知前附表规定的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投标人提出的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时对招标文件进行澄清与修改。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以发布更正公告的方式澄清或修改招标文件，更正公告的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为招标文件</w:t>
      </w:r>
      <w:r>
        <w:rPr>
          <w:rFonts w:hint="eastAsia" w:eastAsia="宋体" w:cs="仿宋_GB2312"/>
          <w:color w:val="auto"/>
          <w:sz w:val="24"/>
          <w:szCs w:val="24"/>
          <w:highlight w:val="none"/>
        </w:rPr>
        <w:t>的</w:t>
      </w:r>
      <w:r>
        <w:rPr>
          <w:rFonts w:eastAsia="宋体" w:cs="仿宋_GB2312"/>
          <w:color w:val="auto"/>
          <w:sz w:val="24"/>
          <w:szCs w:val="24"/>
          <w:highlight w:val="none"/>
        </w:rPr>
        <w:t>组成部分，对投标人起约束作用</w:t>
      </w:r>
      <w:r>
        <w:rPr>
          <w:rFonts w:hint="eastAsia" w:eastAsia="宋体" w:cs="仿宋_GB2312"/>
          <w:color w:val="auto"/>
          <w:sz w:val="24"/>
          <w:szCs w:val="24"/>
          <w:highlight w:val="none"/>
        </w:rPr>
        <w:t>。投标人应主动上网查询。采购代理机构不承担投标人未及时关注相关信息引发的相关责任。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项目投标的</w:t>
      </w:r>
      <w:r>
        <w:rPr>
          <w:rFonts w:hint="eastAsia" w:eastAsia="宋体" w:cs="仿宋_GB2312"/>
          <w:color w:val="auto"/>
          <w:sz w:val="24"/>
          <w:szCs w:val="24"/>
          <w:highlight w:val="none"/>
        </w:rPr>
        <w:t>投标人</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w:t>
      </w:r>
      <w:r>
        <w:rPr>
          <w:rFonts w:eastAsia="宋体" w:cs="仿宋_GB2312"/>
          <w:color w:val="auto"/>
          <w:sz w:val="24"/>
          <w:szCs w:val="24"/>
          <w:highlight w:val="none"/>
        </w:rPr>
        <w:t>招标文件（含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4C471A46">
      <w:pPr>
        <w:pStyle w:val="42"/>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39FCE417">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当招标文件的澄清、修改及其他答复等就同一内容的表述不一致时，以最后发布的内容为准。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3" w:name="_Toc19757"/>
      <w:bookmarkStart w:id="174" w:name="_Toc155185872"/>
      <w:bookmarkStart w:id="175" w:name="_Toc163492837"/>
      <w:r>
        <w:rPr>
          <w:rFonts w:hint="eastAsia" w:ascii="宋体" w:hAnsi="宋体" w:eastAsia="宋体" w:cs="宋体"/>
          <w:b/>
          <w:bCs/>
          <w:color w:val="auto"/>
          <w:kern w:val="2"/>
          <w:sz w:val="24"/>
          <w:szCs w:val="24"/>
          <w:highlight w:val="none"/>
          <w:lang w:val="en-US" w:eastAsia="zh-CN" w:bidi="ar-SA"/>
        </w:rPr>
        <w:t>（三）投标文件</w:t>
      </w:r>
      <w:bookmarkEnd w:id="173"/>
      <w:bookmarkEnd w:id="174"/>
      <w:bookmarkEnd w:id="175"/>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76" w:name="_Toc163492838"/>
      <w:bookmarkStart w:id="177" w:name="_Toc17841"/>
      <w:r>
        <w:rPr>
          <w:rFonts w:hint="eastAsia" w:ascii="宋体" w:hAnsi="宋体" w:eastAsia="宋体" w:cs="宋体"/>
          <w:b/>
          <w:bCs/>
          <w:color w:val="auto"/>
          <w:kern w:val="2"/>
          <w:sz w:val="24"/>
          <w:szCs w:val="24"/>
          <w:highlight w:val="none"/>
          <w:lang w:val="en-US" w:eastAsia="zh-CN" w:bidi="ar-SA"/>
        </w:rPr>
        <w:t>13.投标文件的组成</w:t>
      </w:r>
      <w:bookmarkEnd w:id="176"/>
      <w:bookmarkEnd w:id="177"/>
    </w:p>
    <w:p w14:paraId="174A0A3D">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bookmarkStart w:id="178" w:name="_Toc140132772"/>
      <w:bookmarkStart w:id="179" w:name="_Toc163492839"/>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3BB3A0B7">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180" w:name="_Hlk11703583"/>
      <w:r>
        <w:rPr>
          <w:rFonts w:hint="eastAsia" w:ascii="宋体" w:hAnsi="宋体" w:eastAsia="宋体" w:cs="宋体"/>
          <w:color w:val="auto"/>
          <w:kern w:val="2"/>
          <w:sz w:val="24"/>
          <w:szCs w:val="24"/>
          <w:highlight w:val="none"/>
          <w:lang w:val="en-US" w:eastAsia="zh-CN"/>
        </w:rPr>
        <w:t>等。</w:t>
      </w:r>
    </w:p>
    <w:bookmarkEnd w:id="180"/>
    <w:p w14:paraId="781BBAEB">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1" w:name="_Toc348"/>
      <w:r>
        <w:rPr>
          <w:rFonts w:hint="eastAsia" w:ascii="宋体" w:hAnsi="宋体" w:eastAsia="宋体" w:cs="宋体"/>
          <w:b/>
          <w:bCs/>
          <w:color w:val="auto"/>
          <w:kern w:val="2"/>
          <w:sz w:val="24"/>
          <w:szCs w:val="24"/>
          <w:highlight w:val="none"/>
          <w:lang w:val="en-US" w:eastAsia="zh-CN" w:bidi="ar-SA"/>
        </w:rPr>
        <w:t>14.投标报价</w:t>
      </w:r>
      <w:bookmarkEnd w:id="178"/>
      <w:bookmarkEnd w:id="179"/>
      <w:bookmarkEnd w:id="181"/>
    </w:p>
    <w:p w14:paraId="3BD2CDC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29AAB874">
      <w:pPr>
        <w:pStyle w:val="1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049AF5FA">
      <w:pPr>
        <w:ind w:firstLine="480" w:firstLineChars="200"/>
        <w:jc w:val="both"/>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交纳的费用都应包括在投标人提交的投标报价中。</w:t>
      </w:r>
    </w:p>
    <w:p w14:paraId="058EFD12">
      <w:pPr>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6DF8B2FA">
      <w:pPr>
        <w:pStyle w:val="10"/>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192E0BF0">
      <w:pPr>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1DC40C77">
      <w:pPr>
        <w:pStyle w:val="59"/>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69F7C97A">
      <w:pPr>
        <w:pStyle w:val="59"/>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3D2E52CC">
      <w:pPr>
        <w:pStyle w:val="59"/>
        <w:pageBreakBefore w:val="0"/>
        <w:shd w:val="clear" w:color="auto" w:fill="auto"/>
        <w:kinsoku/>
        <w:wordWrap/>
        <w:overflowPunct/>
        <w:topLinePunct w:val="0"/>
        <w:bidi w:val="0"/>
        <w:spacing w:line="360" w:lineRule="auto"/>
        <w:ind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4F55CD6E">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2" w:name="_Toc140132773"/>
      <w:bookmarkStart w:id="183" w:name="_Toc163492840"/>
      <w:bookmarkStart w:id="184" w:name="_Toc7336"/>
      <w:r>
        <w:rPr>
          <w:rFonts w:hint="eastAsia" w:ascii="宋体" w:hAnsi="宋体" w:eastAsia="宋体" w:cs="宋体"/>
          <w:b/>
          <w:bCs/>
          <w:color w:val="auto"/>
          <w:kern w:val="2"/>
          <w:sz w:val="24"/>
          <w:szCs w:val="24"/>
          <w:highlight w:val="none"/>
          <w:lang w:val="en-US" w:eastAsia="zh-CN" w:bidi="ar-SA"/>
        </w:rPr>
        <w:t>15.投标有效期</w:t>
      </w:r>
      <w:bookmarkEnd w:id="182"/>
      <w:bookmarkEnd w:id="183"/>
      <w:bookmarkEnd w:id="184"/>
    </w:p>
    <w:p w14:paraId="13B2B164">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EF7720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5" w:name="_Toc163492841"/>
      <w:bookmarkStart w:id="186" w:name="_Toc26129"/>
      <w:bookmarkStart w:id="187" w:name="_Toc140132774"/>
      <w:r>
        <w:rPr>
          <w:rFonts w:hint="eastAsia" w:ascii="宋体" w:hAnsi="宋体" w:eastAsia="宋体" w:cs="宋体"/>
          <w:b/>
          <w:bCs/>
          <w:color w:val="auto"/>
          <w:kern w:val="2"/>
          <w:sz w:val="24"/>
          <w:szCs w:val="24"/>
          <w:highlight w:val="none"/>
          <w:lang w:val="en-US" w:eastAsia="zh-CN" w:bidi="ar-SA"/>
        </w:rPr>
        <w:t>16.投标文件的编制</w:t>
      </w:r>
      <w:bookmarkEnd w:id="185"/>
      <w:bookmarkEnd w:id="186"/>
      <w:bookmarkEnd w:id="187"/>
    </w:p>
    <w:p w14:paraId="523C51E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540601F4">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88" w:name="_Hlk143528557"/>
      <w:r>
        <w:rPr>
          <w:rFonts w:hint="eastAsia" w:ascii="宋体" w:hAnsi="宋体" w:eastAsia="宋体" w:cs="宋体"/>
          <w:color w:val="auto"/>
          <w:sz w:val="24"/>
          <w:szCs w:val="24"/>
          <w:highlight w:val="none"/>
        </w:rPr>
        <w:t>2投标人在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中的格式要求填写响应内容后，生成投标文件。投标人须按照招标文件的要求使用电子签章对要求加盖印章的部分逐一进行签章。</w:t>
      </w:r>
      <w:bookmarkEnd w:id="188"/>
    </w:p>
    <w:p w14:paraId="1A7BD12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6BB4B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4B72F25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499D7059">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DBECB0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AE3718F">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323B93DE">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072DFFA4">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51F1928B">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89" w:name="_Toc25951"/>
      <w:bookmarkStart w:id="190" w:name="_Toc163492842"/>
      <w:bookmarkStart w:id="191" w:name="_Toc155185873"/>
      <w:r>
        <w:rPr>
          <w:rFonts w:hint="eastAsia" w:ascii="宋体" w:hAnsi="宋体" w:eastAsia="宋体" w:cs="宋体"/>
          <w:b/>
          <w:bCs/>
          <w:color w:val="auto"/>
          <w:kern w:val="2"/>
          <w:sz w:val="24"/>
          <w:szCs w:val="24"/>
          <w:highlight w:val="none"/>
          <w:lang w:val="en-US" w:eastAsia="zh-CN" w:bidi="ar-SA"/>
        </w:rPr>
        <w:t>（四）投标</w:t>
      </w:r>
      <w:bookmarkEnd w:id="189"/>
      <w:bookmarkEnd w:id="190"/>
      <w:bookmarkEnd w:id="191"/>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2" w:name="_Toc3205"/>
      <w:bookmarkStart w:id="193" w:name="_Toc163492843"/>
      <w:r>
        <w:rPr>
          <w:rFonts w:hint="eastAsia" w:ascii="宋体" w:hAnsi="宋体" w:eastAsia="宋体" w:cs="宋体"/>
          <w:b/>
          <w:bCs/>
          <w:color w:val="auto"/>
          <w:kern w:val="2"/>
          <w:sz w:val="24"/>
          <w:szCs w:val="24"/>
          <w:highlight w:val="none"/>
          <w:lang w:val="en-US" w:eastAsia="zh-CN" w:bidi="ar-SA"/>
        </w:rPr>
        <w:t>17.投标保证金</w:t>
      </w:r>
      <w:bookmarkEnd w:id="192"/>
    </w:p>
    <w:p w14:paraId="1182B9BB">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27BA1101">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45878AFC">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6CFB121F">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5EB3FE3B">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B6A028F">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02F7ADEB">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6FC9D74">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694295C">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54583F23">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433DB211">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0A3E2CC4">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3CBF915F">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330E240F">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071DFFA7">
      <w:pPr>
        <w:pStyle w:val="59"/>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4" w:name="_Toc16592"/>
      <w:r>
        <w:rPr>
          <w:rFonts w:hint="eastAsia" w:ascii="宋体" w:hAnsi="宋体" w:eastAsia="宋体" w:cs="宋体"/>
          <w:b/>
          <w:bCs/>
          <w:color w:val="auto"/>
          <w:kern w:val="2"/>
          <w:sz w:val="24"/>
          <w:szCs w:val="24"/>
          <w:highlight w:val="none"/>
          <w:lang w:val="en-US" w:eastAsia="zh-CN" w:bidi="ar-SA"/>
        </w:rPr>
        <w:t>18.投标文件的加密</w:t>
      </w:r>
      <w:bookmarkEnd w:id="193"/>
      <w:bookmarkEnd w:id="194"/>
    </w:p>
    <w:p w14:paraId="7CFFC07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u w:val="single"/>
        </w:rPr>
      </w:pPr>
      <w:bookmarkStart w:id="195"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中生成投标文件并完成签章之后，使用CA证书在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中对投标文件进行加密。</w:t>
      </w:r>
    </w:p>
    <w:p w14:paraId="20075D69">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政府采购网（http://www.ccgp-xinjiang.gov.cn/）</w:t>
      </w:r>
      <w:r>
        <w:rPr>
          <w:rFonts w:hint="eastAsia" w:ascii="宋体" w:hAnsi="宋体" w:eastAsia="宋体" w:cs="宋体"/>
          <w:color w:val="auto"/>
          <w:sz w:val="24"/>
          <w:szCs w:val="24"/>
          <w:highlight w:val="none"/>
        </w:rPr>
        <w:t>的”政采云登录入口”登录后，将加密电子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（为.jmbs后缀格式）上传到对应项目的指定位置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95"/>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196" w:name="_Toc140132777"/>
      <w:bookmarkStart w:id="197" w:name="_Toc7146"/>
      <w:bookmarkStart w:id="198" w:name="_Toc163492844"/>
      <w:r>
        <w:rPr>
          <w:rFonts w:hint="eastAsia" w:ascii="宋体" w:hAnsi="宋体" w:eastAsia="宋体" w:cs="宋体"/>
          <w:b/>
          <w:bCs/>
          <w:color w:val="auto"/>
          <w:kern w:val="2"/>
          <w:sz w:val="24"/>
          <w:szCs w:val="24"/>
          <w:highlight w:val="none"/>
          <w:lang w:val="en-US" w:eastAsia="zh-CN" w:bidi="ar-SA"/>
        </w:rPr>
        <w:t>19.投标文件的递交</w:t>
      </w:r>
      <w:bookmarkEnd w:id="196"/>
      <w:r>
        <w:rPr>
          <w:rFonts w:hint="eastAsia" w:ascii="宋体" w:hAnsi="宋体" w:eastAsia="宋体" w:cs="宋体"/>
          <w:b/>
          <w:bCs/>
          <w:color w:val="auto"/>
          <w:kern w:val="2"/>
          <w:sz w:val="24"/>
          <w:szCs w:val="24"/>
          <w:highlight w:val="none"/>
          <w:lang w:val="en-US" w:eastAsia="zh-CN" w:bidi="ar-SA"/>
        </w:rPr>
        <w:t>（上传）</w:t>
      </w:r>
      <w:bookmarkEnd w:id="197"/>
      <w:bookmarkEnd w:id="198"/>
    </w:p>
    <w:p w14:paraId="68ADD5D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bookmarkStart w:id="199"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color w:val="auto"/>
          <w:sz w:val="24"/>
          <w:szCs w:val="24"/>
          <w:highlight w:val="none"/>
        </w:rPr>
        <w:t>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99"/>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0" w:name="_Toc788"/>
      <w:bookmarkStart w:id="201" w:name="_Toc163492845"/>
      <w:r>
        <w:rPr>
          <w:rFonts w:hint="eastAsia" w:ascii="宋体" w:hAnsi="宋体" w:eastAsia="宋体" w:cs="宋体"/>
          <w:b/>
          <w:bCs/>
          <w:color w:val="auto"/>
          <w:kern w:val="2"/>
          <w:sz w:val="24"/>
          <w:szCs w:val="24"/>
          <w:highlight w:val="none"/>
          <w:lang w:val="en-US" w:eastAsia="zh-CN" w:bidi="ar-SA"/>
        </w:rPr>
        <w:t>20.拒收</w:t>
      </w:r>
      <w:bookmarkEnd w:id="200"/>
      <w:bookmarkEnd w:id="201"/>
    </w:p>
    <w:p w14:paraId="163AD542">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202" w:name="_Hlk143532404"/>
      <w:r>
        <w:rPr>
          <w:rFonts w:hint="eastAsia" w:ascii="宋体" w:hAnsi="宋体" w:eastAsia="宋体" w:cs="宋体"/>
          <w:color w:val="auto"/>
          <w:sz w:val="24"/>
          <w:szCs w:val="24"/>
          <w:highlight w:val="none"/>
        </w:rPr>
        <w:t>或者不按照本章要求加密的投标文件，交易系统应当拒收</w:t>
      </w:r>
      <w:bookmarkEnd w:id="202"/>
      <w:r>
        <w:rPr>
          <w:rFonts w:hint="eastAsia" w:ascii="宋体" w:hAnsi="宋体" w:eastAsia="宋体" w:cs="宋体"/>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3" w:name="_Toc163492846"/>
      <w:bookmarkStart w:id="204" w:name="_Toc140132778"/>
      <w:bookmarkStart w:id="205" w:name="_Toc735"/>
      <w:r>
        <w:rPr>
          <w:rFonts w:hint="eastAsia" w:ascii="宋体" w:hAnsi="宋体" w:eastAsia="宋体" w:cs="宋体"/>
          <w:b/>
          <w:bCs/>
          <w:color w:val="auto"/>
          <w:kern w:val="2"/>
          <w:sz w:val="24"/>
          <w:szCs w:val="24"/>
          <w:highlight w:val="none"/>
          <w:lang w:val="en-US" w:eastAsia="zh-CN" w:bidi="ar-SA"/>
        </w:rPr>
        <w:t>21.投标文件的修改与撤回</w:t>
      </w:r>
      <w:bookmarkEnd w:id="203"/>
      <w:bookmarkEnd w:id="204"/>
      <w:bookmarkEnd w:id="205"/>
    </w:p>
    <w:p w14:paraId="7DBF29E0">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206"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w:t>
      </w:r>
      <w:r>
        <w:rPr>
          <w:rFonts w:hint="eastAsia"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w:t>
      </w:r>
      <w:r>
        <w:rPr>
          <w:rFonts w:hint="eastAsia" w:cs="宋体"/>
          <w:color w:val="auto"/>
          <w:sz w:val="24"/>
          <w:szCs w:val="24"/>
          <w:highlight w:val="none"/>
          <w:lang w:eastAsia="zh-CN"/>
        </w:rPr>
        <w:t>新疆政府采购电子交易云平台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206"/>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07" w:name="_Toc163492847"/>
      <w:bookmarkStart w:id="208" w:name="_Toc18326"/>
      <w:bookmarkStart w:id="209" w:name="_Toc155185874"/>
      <w:r>
        <w:rPr>
          <w:rFonts w:hint="eastAsia" w:ascii="宋体" w:hAnsi="宋体" w:eastAsia="宋体" w:cs="宋体"/>
          <w:b/>
          <w:bCs/>
          <w:color w:val="auto"/>
          <w:kern w:val="2"/>
          <w:sz w:val="24"/>
          <w:szCs w:val="24"/>
          <w:highlight w:val="none"/>
          <w:lang w:val="en-US" w:eastAsia="zh-CN" w:bidi="ar-SA"/>
        </w:rPr>
        <w:t>22.实物样品</w:t>
      </w:r>
      <w:bookmarkEnd w:id="207"/>
      <w:bookmarkEnd w:id="208"/>
      <w:bookmarkEnd w:id="209"/>
    </w:p>
    <w:p w14:paraId="52D4EAF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2D6ED3FC">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0" w:name="_Toc163492848"/>
      <w:bookmarkStart w:id="211" w:name="_Toc16730"/>
      <w:bookmarkStart w:id="212" w:name="_Toc155185875"/>
      <w:r>
        <w:rPr>
          <w:rFonts w:hint="eastAsia" w:ascii="宋体" w:hAnsi="宋体" w:eastAsia="宋体" w:cs="宋体"/>
          <w:b/>
          <w:bCs/>
          <w:color w:val="auto"/>
          <w:kern w:val="2"/>
          <w:sz w:val="24"/>
          <w:szCs w:val="24"/>
          <w:highlight w:val="none"/>
          <w:lang w:val="en-US" w:eastAsia="zh-CN" w:bidi="ar-SA"/>
        </w:rPr>
        <w:t>23.演示</w:t>
      </w:r>
      <w:bookmarkEnd w:id="210"/>
      <w:bookmarkEnd w:id="211"/>
      <w:bookmarkEnd w:id="212"/>
    </w:p>
    <w:p w14:paraId="1A234B38">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527E903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3" w:name="_Toc140132779"/>
      <w:bookmarkStart w:id="214" w:name="_Toc32704"/>
      <w:bookmarkStart w:id="215" w:name="_Toc163492849"/>
      <w:bookmarkStart w:id="216" w:name="_Toc155185876"/>
      <w:r>
        <w:rPr>
          <w:rFonts w:hint="eastAsia" w:ascii="宋体" w:hAnsi="宋体" w:eastAsia="宋体" w:cs="宋体"/>
          <w:b/>
          <w:bCs/>
          <w:color w:val="auto"/>
          <w:kern w:val="2"/>
          <w:sz w:val="24"/>
          <w:szCs w:val="24"/>
          <w:highlight w:val="none"/>
          <w:lang w:val="en-US" w:eastAsia="zh-CN" w:bidi="ar-SA"/>
        </w:rPr>
        <w:t>（五）开标</w:t>
      </w:r>
      <w:bookmarkEnd w:id="213"/>
      <w:bookmarkEnd w:id="214"/>
      <w:bookmarkEnd w:id="215"/>
      <w:bookmarkEnd w:id="216"/>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17" w:name="_Toc163492850"/>
      <w:bookmarkStart w:id="218" w:name="_Toc140132780"/>
      <w:bookmarkStart w:id="219" w:name="_Toc30506"/>
      <w:r>
        <w:rPr>
          <w:rFonts w:hint="eastAsia" w:ascii="宋体" w:hAnsi="宋体" w:eastAsia="宋体" w:cs="宋体"/>
          <w:b/>
          <w:bCs/>
          <w:color w:val="auto"/>
          <w:kern w:val="2"/>
          <w:sz w:val="24"/>
          <w:szCs w:val="24"/>
          <w:highlight w:val="none"/>
          <w:lang w:val="en-US" w:eastAsia="zh-CN" w:bidi="ar-SA"/>
        </w:rPr>
        <w:t>24.开标会议</w:t>
      </w:r>
      <w:bookmarkEnd w:id="217"/>
      <w:bookmarkEnd w:id="218"/>
      <w:bookmarkEnd w:id="219"/>
    </w:p>
    <w:p w14:paraId="43376441">
      <w:pPr>
        <w:keepNext w:val="0"/>
        <w:keepLines w:val="0"/>
        <w:pageBreakBefore w:val="0"/>
        <w:widowControl w:val="0"/>
        <w:kinsoku/>
        <w:overflowPunct/>
        <w:topLinePunct w:val="0"/>
        <w:autoSpaceDE/>
        <w:autoSpaceDN/>
        <w:bidi w:val="0"/>
        <w:adjustRightInd/>
        <w:snapToGrid/>
        <w:ind w:firstLine="480" w:firstLineChars="200"/>
        <w:jc w:val="both"/>
        <w:textAlignment w:val="auto"/>
        <w:rPr>
          <w:rFonts w:hint="eastAsia" w:ascii="宋体" w:hAnsi="宋体" w:eastAsia="宋体" w:cs="宋体"/>
          <w:color w:val="auto"/>
          <w:sz w:val="24"/>
          <w:szCs w:val="24"/>
          <w:highlight w:val="none"/>
          <w:lang w:eastAsia="zh-CN"/>
        </w:rPr>
      </w:pPr>
      <w:bookmarkStart w:id="220"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220"/>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宋体"/>
          <w:color w:val="auto"/>
          <w:kern w:val="2"/>
          <w:sz w:val="24"/>
          <w:szCs w:val="24"/>
          <w:highlight w:val="none"/>
          <w:lang w:val="en-US" w:eastAsia="zh-CN"/>
        </w:rPr>
        <w:t>政采云平台线上（网址：https://www.zcygov.cn/）</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1" w:name="_Toc140132783"/>
      <w:bookmarkStart w:id="222" w:name="_Toc163492852"/>
      <w:bookmarkStart w:id="223" w:name="_Toc6154"/>
      <w:r>
        <w:rPr>
          <w:rFonts w:hint="eastAsia" w:ascii="宋体" w:hAnsi="宋体" w:eastAsia="宋体" w:cs="宋体"/>
          <w:b/>
          <w:bCs/>
          <w:color w:val="auto"/>
          <w:kern w:val="2"/>
          <w:sz w:val="24"/>
          <w:szCs w:val="24"/>
          <w:highlight w:val="none"/>
          <w:lang w:val="en-US" w:eastAsia="zh-CN" w:bidi="ar-SA"/>
        </w:rPr>
        <w:t>25.开标程序</w:t>
      </w:r>
      <w:bookmarkEnd w:id="221"/>
      <w:bookmarkEnd w:id="222"/>
      <w:bookmarkEnd w:id="223"/>
    </w:p>
    <w:p w14:paraId="60F7948B">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r>
        <w:rPr>
          <w:rFonts w:hint="eastAsia" w:ascii="宋体" w:hAnsi="宋体" w:eastAsia="宋体" w:cs="宋体"/>
          <w:color w:val="auto"/>
          <w:sz w:val="24"/>
          <w:szCs w:val="24"/>
          <w:highlight w:val="none"/>
          <w:lang w:val="en-US" w:eastAsia="zh-CN"/>
        </w:rPr>
        <w:t>投标人不足3家的，不予解密；</w:t>
      </w:r>
    </w:p>
    <w:p w14:paraId="30C058B0">
      <w:pPr>
        <w:keepNext w:val="0"/>
        <w:keepLines w:val="0"/>
        <w:pageBreakBefore w:val="0"/>
        <w:widowControl w:val="0"/>
        <w:kinsoku/>
        <w:overflowPunct/>
        <w:topLinePunct w:val="0"/>
        <w:autoSpaceDE/>
        <w:autoSpaceDN/>
        <w:bidi w:val="0"/>
        <w:adjustRightInd/>
        <w:ind w:firstLine="398" w:firstLineChars="166"/>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224" w:name="_Toc163492853"/>
      <w:bookmarkStart w:id="225"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6" w:name="_Toc829"/>
      <w:r>
        <w:rPr>
          <w:rFonts w:hint="eastAsia" w:ascii="宋体" w:hAnsi="宋体" w:eastAsia="宋体" w:cs="宋体"/>
          <w:b/>
          <w:bCs/>
          <w:color w:val="auto"/>
          <w:kern w:val="2"/>
          <w:sz w:val="24"/>
          <w:szCs w:val="24"/>
          <w:highlight w:val="none"/>
          <w:lang w:val="en-US" w:eastAsia="zh-CN" w:bidi="ar-SA"/>
        </w:rPr>
        <w:t>26.开标疑义及回避情形</w:t>
      </w:r>
      <w:bookmarkEnd w:id="224"/>
      <w:bookmarkEnd w:id="225"/>
      <w:bookmarkEnd w:id="226"/>
    </w:p>
    <w:p w14:paraId="04573EB2">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27" w:name="_Toc140132785"/>
      <w:bookmarkStart w:id="228" w:name="_Toc28318"/>
      <w:bookmarkStart w:id="229" w:name="_Toc163492854"/>
      <w:bookmarkStart w:id="230" w:name="_Toc155185877"/>
      <w:r>
        <w:rPr>
          <w:rFonts w:hint="eastAsia" w:ascii="宋体" w:hAnsi="宋体" w:eastAsia="宋体" w:cs="宋体"/>
          <w:b/>
          <w:bCs/>
          <w:color w:val="auto"/>
          <w:kern w:val="2"/>
          <w:sz w:val="24"/>
          <w:szCs w:val="24"/>
          <w:highlight w:val="none"/>
          <w:lang w:val="en-US" w:eastAsia="zh-CN" w:bidi="ar-SA"/>
        </w:rPr>
        <w:t>（六）资格审查</w:t>
      </w:r>
      <w:bookmarkEnd w:id="227"/>
      <w:bookmarkEnd w:id="228"/>
      <w:bookmarkEnd w:id="229"/>
      <w:bookmarkEnd w:id="230"/>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1" w:name="_Toc163492855"/>
      <w:bookmarkStart w:id="232" w:name="_Toc8772"/>
      <w:r>
        <w:rPr>
          <w:rFonts w:hint="eastAsia" w:ascii="宋体" w:hAnsi="宋体" w:eastAsia="宋体" w:cs="宋体"/>
          <w:b/>
          <w:bCs/>
          <w:color w:val="auto"/>
          <w:kern w:val="2"/>
          <w:sz w:val="24"/>
          <w:szCs w:val="24"/>
          <w:highlight w:val="none"/>
          <w:lang w:val="en-US" w:eastAsia="zh-CN" w:bidi="ar-SA"/>
        </w:rPr>
        <w:t>27.资格审查及审查主体</w:t>
      </w:r>
      <w:bookmarkEnd w:id="231"/>
      <w:bookmarkEnd w:id="232"/>
    </w:p>
    <w:p w14:paraId="3F6E8AD4">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3"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233"/>
      <w:r>
        <w:rPr>
          <w:rFonts w:hint="eastAsia" w:ascii="宋体" w:hAnsi="宋体" w:eastAsia="宋体" w:cs="宋体"/>
          <w:color w:val="auto"/>
          <w:sz w:val="24"/>
          <w:szCs w:val="24"/>
          <w:highlight w:val="none"/>
        </w:rPr>
        <w:t>开标结束后，采购人或者采购代理机构应当依法对投标人的资格进行审查。</w:t>
      </w:r>
    </w:p>
    <w:p w14:paraId="6F7626D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4"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234"/>
    </w:p>
    <w:p w14:paraId="44D43B82">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35"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235"/>
    </w:p>
    <w:p w14:paraId="272F167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36" w:name="_Toc140132789"/>
      <w:bookmarkStart w:id="237" w:name="_Toc163492856"/>
      <w:bookmarkStart w:id="238" w:name="_Toc28643"/>
      <w:bookmarkStart w:id="239" w:name="_Toc155185878"/>
      <w:r>
        <w:rPr>
          <w:rFonts w:hint="eastAsia" w:ascii="宋体" w:hAnsi="宋体" w:eastAsia="宋体" w:cs="宋体"/>
          <w:b/>
          <w:bCs/>
          <w:color w:val="auto"/>
          <w:kern w:val="2"/>
          <w:sz w:val="24"/>
          <w:szCs w:val="24"/>
          <w:highlight w:val="none"/>
          <w:lang w:val="en-US" w:eastAsia="zh-CN" w:bidi="ar-SA"/>
        </w:rPr>
        <w:t>（七）评标</w:t>
      </w:r>
      <w:bookmarkEnd w:id="236"/>
      <w:bookmarkEnd w:id="237"/>
      <w:bookmarkEnd w:id="238"/>
      <w:bookmarkEnd w:id="239"/>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0" w:name="_Toc163492857"/>
      <w:bookmarkStart w:id="241" w:name="_Toc12158"/>
      <w:bookmarkStart w:id="242" w:name="_Toc140132790"/>
      <w:r>
        <w:rPr>
          <w:rFonts w:hint="eastAsia" w:ascii="宋体" w:hAnsi="宋体" w:eastAsia="宋体" w:cs="宋体"/>
          <w:b/>
          <w:bCs/>
          <w:color w:val="auto"/>
          <w:kern w:val="2"/>
          <w:sz w:val="24"/>
          <w:szCs w:val="24"/>
          <w:highlight w:val="none"/>
          <w:lang w:val="en-US" w:eastAsia="zh-CN" w:bidi="ar-SA"/>
        </w:rPr>
        <w:t>28.评标委员会</w:t>
      </w:r>
      <w:bookmarkEnd w:id="240"/>
      <w:bookmarkEnd w:id="241"/>
      <w:bookmarkEnd w:id="242"/>
    </w:p>
    <w:p w14:paraId="1EA2B13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32DE7801">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05C639B0">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67DFE620">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B9FB10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4590A674">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2F8842E2">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320EF104">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53666710">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4B33BA4E">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271CA224">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0F31540C">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20FB9B78">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3" w:name="_Toc4280"/>
      <w:bookmarkStart w:id="244" w:name="_Toc163492858"/>
      <w:bookmarkStart w:id="245" w:name="_Toc140132791"/>
      <w:r>
        <w:rPr>
          <w:rFonts w:hint="eastAsia" w:ascii="宋体" w:hAnsi="宋体" w:eastAsia="宋体" w:cs="宋体"/>
          <w:b/>
          <w:bCs/>
          <w:color w:val="auto"/>
          <w:kern w:val="2"/>
          <w:sz w:val="24"/>
          <w:szCs w:val="24"/>
          <w:highlight w:val="none"/>
          <w:lang w:val="en-US" w:eastAsia="zh-CN" w:bidi="ar-SA"/>
        </w:rPr>
        <w:t>29.评标</w:t>
      </w:r>
      <w:bookmarkEnd w:id="243"/>
      <w:bookmarkEnd w:id="244"/>
      <w:bookmarkEnd w:id="245"/>
    </w:p>
    <w:p w14:paraId="6D0B095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2BC22B3E">
      <w:pPr>
        <w:pStyle w:val="4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0E3867EE">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418DE4C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1A9007D8">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1E63454C">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2A3200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52525CD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3D99F562">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518B308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657BA7B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26B1539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BCA43D9">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BA3CE00">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1E85EA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46" w:name="_Toc140132792"/>
      <w:bookmarkStart w:id="247" w:name="_Toc163492859"/>
      <w:bookmarkStart w:id="248" w:name="_Toc155185879"/>
      <w:bookmarkStart w:id="249" w:name="_Toc157"/>
      <w:r>
        <w:rPr>
          <w:rFonts w:hint="eastAsia" w:ascii="宋体" w:hAnsi="宋体" w:eastAsia="宋体" w:cs="宋体"/>
          <w:b/>
          <w:bCs/>
          <w:color w:val="auto"/>
          <w:kern w:val="2"/>
          <w:sz w:val="24"/>
          <w:szCs w:val="24"/>
          <w:highlight w:val="none"/>
          <w:lang w:val="en-US" w:eastAsia="zh-CN" w:bidi="ar-SA"/>
        </w:rPr>
        <w:t>（八）中标</w:t>
      </w:r>
      <w:bookmarkEnd w:id="246"/>
      <w:bookmarkEnd w:id="247"/>
      <w:bookmarkEnd w:id="248"/>
      <w:bookmarkEnd w:id="249"/>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0" w:name="_Toc140132793"/>
      <w:bookmarkStart w:id="251" w:name="_Toc23329"/>
      <w:bookmarkStart w:id="252" w:name="_Toc163492860"/>
      <w:r>
        <w:rPr>
          <w:rFonts w:hint="eastAsia" w:ascii="宋体" w:hAnsi="宋体" w:eastAsia="宋体" w:cs="宋体"/>
          <w:b/>
          <w:bCs/>
          <w:color w:val="auto"/>
          <w:kern w:val="2"/>
          <w:sz w:val="24"/>
          <w:szCs w:val="24"/>
          <w:highlight w:val="none"/>
          <w:lang w:val="en-US" w:eastAsia="zh-CN" w:bidi="ar-SA"/>
        </w:rPr>
        <w:t>30.确定中标人</w:t>
      </w:r>
      <w:bookmarkEnd w:id="250"/>
      <w:bookmarkEnd w:id="251"/>
      <w:bookmarkEnd w:id="252"/>
    </w:p>
    <w:p w14:paraId="23CC2B8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3" w:name="_Toc140132794"/>
      <w:bookmarkStart w:id="254" w:name="_Toc24110"/>
      <w:bookmarkStart w:id="255" w:name="_Toc163492861"/>
      <w:r>
        <w:rPr>
          <w:rFonts w:hint="eastAsia" w:ascii="宋体" w:hAnsi="宋体" w:eastAsia="宋体" w:cs="宋体"/>
          <w:b/>
          <w:bCs/>
          <w:color w:val="auto"/>
          <w:kern w:val="2"/>
          <w:sz w:val="24"/>
          <w:szCs w:val="24"/>
          <w:highlight w:val="none"/>
          <w:lang w:val="en-US" w:eastAsia="zh-CN" w:bidi="ar-SA"/>
        </w:rPr>
        <w:t>31.中标结果公告</w:t>
      </w:r>
      <w:bookmarkEnd w:id="253"/>
      <w:bookmarkEnd w:id="254"/>
      <w:bookmarkEnd w:id="255"/>
    </w:p>
    <w:p w14:paraId="5975ECA2">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5352A1FC">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3302A7D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6" w:name="_Toc140132795"/>
      <w:bookmarkStart w:id="257" w:name="_Toc10669"/>
      <w:bookmarkStart w:id="258" w:name="_Toc163492862"/>
      <w:r>
        <w:rPr>
          <w:rFonts w:hint="eastAsia" w:ascii="宋体" w:hAnsi="宋体" w:eastAsia="宋体" w:cs="宋体"/>
          <w:b/>
          <w:bCs/>
          <w:color w:val="auto"/>
          <w:kern w:val="2"/>
          <w:sz w:val="24"/>
          <w:szCs w:val="24"/>
          <w:highlight w:val="none"/>
          <w:lang w:val="en-US" w:eastAsia="zh-CN" w:bidi="ar-SA"/>
        </w:rPr>
        <w:t>32.中标通知</w:t>
      </w:r>
      <w:bookmarkEnd w:id="256"/>
      <w:bookmarkEnd w:id="257"/>
      <w:bookmarkEnd w:id="258"/>
    </w:p>
    <w:p w14:paraId="41D33E18">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59" w:name="_Toc163492863"/>
      <w:bookmarkStart w:id="260" w:name="_Toc25579"/>
      <w:r>
        <w:rPr>
          <w:rFonts w:hint="eastAsia" w:ascii="宋体" w:hAnsi="宋体" w:eastAsia="宋体" w:cs="宋体"/>
          <w:b/>
          <w:bCs/>
          <w:color w:val="auto"/>
          <w:kern w:val="2"/>
          <w:sz w:val="24"/>
          <w:szCs w:val="24"/>
          <w:highlight w:val="none"/>
          <w:lang w:val="en-US" w:eastAsia="zh-CN" w:bidi="ar-SA"/>
        </w:rPr>
        <w:t>（九）签订</w:t>
      </w:r>
      <w:bookmarkStart w:id="261" w:name="_Toc155185880"/>
      <w:bookmarkStart w:id="262" w:name="_Toc140132796"/>
      <w:r>
        <w:rPr>
          <w:rFonts w:hint="eastAsia" w:ascii="宋体" w:hAnsi="宋体" w:eastAsia="宋体" w:cs="宋体"/>
          <w:b/>
          <w:bCs/>
          <w:color w:val="auto"/>
          <w:kern w:val="2"/>
          <w:sz w:val="24"/>
          <w:szCs w:val="24"/>
          <w:highlight w:val="none"/>
          <w:lang w:val="en-US" w:eastAsia="zh-CN" w:bidi="ar-SA"/>
        </w:rPr>
        <w:t>合同</w:t>
      </w:r>
      <w:bookmarkEnd w:id="259"/>
      <w:bookmarkEnd w:id="260"/>
      <w:bookmarkEnd w:id="261"/>
      <w:bookmarkEnd w:id="262"/>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3" w:name="_Toc140132797"/>
      <w:bookmarkStart w:id="264" w:name="_Toc20208"/>
      <w:bookmarkStart w:id="265" w:name="_Toc163492864"/>
      <w:r>
        <w:rPr>
          <w:rFonts w:hint="eastAsia" w:ascii="宋体" w:hAnsi="宋体" w:eastAsia="宋体" w:cs="宋体"/>
          <w:b/>
          <w:bCs/>
          <w:color w:val="auto"/>
          <w:kern w:val="2"/>
          <w:sz w:val="24"/>
          <w:szCs w:val="24"/>
          <w:highlight w:val="none"/>
          <w:lang w:val="en-US" w:eastAsia="zh-CN" w:bidi="ar-SA"/>
        </w:rPr>
        <w:t>33.履约保证金</w:t>
      </w:r>
      <w:bookmarkEnd w:id="263"/>
      <w:bookmarkEnd w:id="264"/>
      <w:bookmarkEnd w:id="265"/>
    </w:p>
    <w:p w14:paraId="77717F01">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73BC7DAF">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6" w:name="_Toc163492865"/>
      <w:bookmarkStart w:id="267" w:name="_Toc140132798"/>
      <w:bookmarkStart w:id="268" w:name="_Toc12503"/>
      <w:r>
        <w:rPr>
          <w:rFonts w:hint="eastAsia" w:ascii="宋体" w:hAnsi="宋体" w:eastAsia="宋体" w:cs="宋体"/>
          <w:b/>
          <w:bCs/>
          <w:color w:val="auto"/>
          <w:kern w:val="2"/>
          <w:sz w:val="24"/>
          <w:szCs w:val="24"/>
          <w:highlight w:val="none"/>
          <w:lang w:val="en-US" w:eastAsia="zh-CN" w:bidi="ar-SA"/>
        </w:rPr>
        <w:t>34.签订合同</w:t>
      </w:r>
      <w:bookmarkEnd w:id="266"/>
      <w:bookmarkEnd w:id="267"/>
      <w:bookmarkEnd w:id="268"/>
    </w:p>
    <w:p w14:paraId="77507EB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2CF4FD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5551DDAE">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2BA187E8">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13D12B8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9D0E8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69" w:name="_Toc163492866"/>
      <w:bookmarkStart w:id="270" w:name="_Toc140132799"/>
      <w:bookmarkStart w:id="271" w:name="_Toc155185881"/>
      <w:bookmarkStart w:id="272" w:name="_Toc4530"/>
      <w:r>
        <w:rPr>
          <w:rFonts w:hint="eastAsia" w:ascii="宋体" w:hAnsi="宋体" w:eastAsia="宋体" w:cs="宋体"/>
          <w:b/>
          <w:bCs/>
          <w:color w:val="auto"/>
          <w:kern w:val="2"/>
          <w:sz w:val="24"/>
          <w:szCs w:val="24"/>
          <w:highlight w:val="none"/>
          <w:lang w:val="en-US" w:eastAsia="zh-CN" w:bidi="ar-SA"/>
        </w:rPr>
        <w:t>（十）质疑和投诉</w:t>
      </w:r>
      <w:bookmarkEnd w:id="269"/>
      <w:bookmarkEnd w:id="270"/>
      <w:bookmarkEnd w:id="271"/>
      <w:bookmarkEnd w:id="272"/>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3" w:name="_Toc163492867"/>
      <w:bookmarkStart w:id="274" w:name="_Toc140132800"/>
      <w:bookmarkStart w:id="275" w:name="_Toc19743"/>
      <w:r>
        <w:rPr>
          <w:rFonts w:hint="eastAsia" w:ascii="宋体" w:hAnsi="宋体" w:eastAsia="宋体" w:cs="宋体"/>
          <w:b/>
          <w:bCs/>
          <w:color w:val="auto"/>
          <w:kern w:val="2"/>
          <w:sz w:val="24"/>
          <w:szCs w:val="24"/>
          <w:highlight w:val="none"/>
          <w:lang w:val="en-US" w:eastAsia="zh-CN" w:bidi="ar-SA"/>
        </w:rPr>
        <w:t>35.质疑</w:t>
      </w:r>
      <w:bookmarkEnd w:id="273"/>
      <w:bookmarkEnd w:id="274"/>
      <w:bookmarkEnd w:id="275"/>
    </w:p>
    <w:p w14:paraId="097AA162">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492A54F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6503DC74">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58321ED8">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682A84D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88DB77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7C9D4714">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3C52874F">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EEC5BF9">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2E14DE4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553B627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BBD16A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4A4B924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184C71DC">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6E7964C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76" w:name="_Toc140132801"/>
      <w:bookmarkStart w:id="277" w:name="_Toc27598"/>
      <w:bookmarkStart w:id="278" w:name="_Toc163492868"/>
      <w:r>
        <w:rPr>
          <w:rFonts w:hint="eastAsia" w:ascii="宋体" w:hAnsi="宋体" w:eastAsia="宋体" w:cs="宋体"/>
          <w:b/>
          <w:bCs/>
          <w:color w:val="auto"/>
          <w:kern w:val="2"/>
          <w:sz w:val="24"/>
          <w:szCs w:val="24"/>
          <w:highlight w:val="none"/>
          <w:lang w:val="en-US" w:eastAsia="zh-CN" w:bidi="ar-SA"/>
        </w:rPr>
        <w:t>36.质疑答复</w:t>
      </w:r>
      <w:bookmarkEnd w:id="276"/>
      <w:bookmarkEnd w:id="277"/>
      <w:bookmarkEnd w:id="278"/>
    </w:p>
    <w:p w14:paraId="43D7F91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bookmarkStart w:id="279" w:name="_Toc140132802"/>
      <w:bookmarkStart w:id="280" w:name="_Toc163492869"/>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4E9D6E2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0056DA51">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34339C8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2F251724">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1365ED7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3C71AFF8">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77F64A38">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52743A2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56A5E1E9">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631FD1E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1" w:name="_Toc7181"/>
      <w:r>
        <w:rPr>
          <w:rFonts w:hint="eastAsia" w:ascii="宋体" w:hAnsi="宋体" w:eastAsia="宋体" w:cs="宋体"/>
          <w:b/>
          <w:bCs/>
          <w:color w:val="auto"/>
          <w:kern w:val="2"/>
          <w:sz w:val="24"/>
          <w:szCs w:val="24"/>
          <w:highlight w:val="none"/>
          <w:lang w:val="en-US" w:eastAsia="zh-CN" w:bidi="ar-SA"/>
        </w:rPr>
        <w:t>37.投诉</w:t>
      </w:r>
      <w:bookmarkEnd w:id="279"/>
      <w:bookmarkEnd w:id="280"/>
      <w:bookmarkEnd w:id="281"/>
    </w:p>
    <w:p w14:paraId="34C5EAA0">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7AE3C0F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A65A10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75A6D9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A0C1598">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4CFD3E01">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35FA6A4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FC7C3A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0C7738C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2" w:name="_Toc155185882"/>
      <w:bookmarkStart w:id="283" w:name="_Toc10455"/>
      <w:bookmarkStart w:id="284" w:name="_Toc140132803"/>
      <w:bookmarkStart w:id="285" w:name="_Toc163492870"/>
      <w:r>
        <w:rPr>
          <w:rFonts w:hint="eastAsia" w:ascii="宋体" w:hAnsi="宋体" w:eastAsia="宋体" w:cs="宋体"/>
          <w:b/>
          <w:bCs/>
          <w:color w:val="auto"/>
          <w:kern w:val="2"/>
          <w:sz w:val="24"/>
          <w:szCs w:val="24"/>
          <w:highlight w:val="none"/>
          <w:lang w:val="en-US" w:eastAsia="zh-CN" w:bidi="ar-SA"/>
        </w:rPr>
        <w:t>（十一）采购代理服务费</w:t>
      </w:r>
      <w:bookmarkEnd w:id="282"/>
      <w:bookmarkEnd w:id="283"/>
      <w:bookmarkEnd w:id="284"/>
      <w:bookmarkEnd w:id="285"/>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6" w:name="_Toc140132804"/>
      <w:bookmarkStart w:id="287" w:name="_Toc163492871"/>
      <w:bookmarkStart w:id="288" w:name="_Toc8855"/>
      <w:r>
        <w:rPr>
          <w:rFonts w:hint="eastAsia" w:ascii="宋体" w:hAnsi="宋体" w:eastAsia="宋体" w:cs="宋体"/>
          <w:b/>
          <w:bCs/>
          <w:color w:val="auto"/>
          <w:kern w:val="2"/>
          <w:sz w:val="24"/>
          <w:szCs w:val="24"/>
          <w:highlight w:val="none"/>
          <w:lang w:val="en-US" w:eastAsia="zh-CN" w:bidi="ar-SA"/>
        </w:rPr>
        <w:t>38.收取方式和标准</w:t>
      </w:r>
      <w:bookmarkEnd w:id="286"/>
      <w:bookmarkEnd w:id="287"/>
      <w:bookmarkEnd w:id="288"/>
    </w:p>
    <w:p w14:paraId="0FDD9E25">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89" w:name="_Toc163492872"/>
      <w:bookmarkStart w:id="290" w:name="_Toc140132805"/>
      <w:bookmarkStart w:id="291" w:name="_Toc10992"/>
      <w:bookmarkStart w:id="292" w:name="_Toc155185883"/>
      <w:r>
        <w:rPr>
          <w:rFonts w:hint="eastAsia" w:ascii="宋体" w:hAnsi="宋体" w:eastAsia="宋体" w:cs="宋体"/>
          <w:b/>
          <w:bCs/>
          <w:color w:val="auto"/>
          <w:kern w:val="2"/>
          <w:sz w:val="24"/>
          <w:szCs w:val="24"/>
          <w:highlight w:val="none"/>
          <w:lang w:val="en-US" w:eastAsia="zh-CN" w:bidi="ar-SA"/>
        </w:rPr>
        <w:t>（十二）无效投标和废标</w:t>
      </w:r>
      <w:bookmarkEnd w:id="289"/>
      <w:bookmarkEnd w:id="290"/>
      <w:bookmarkEnd w:id="291"/>
      <w:bookmarkEnd w:id="292"/>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3" w:name="_Toc163492873"/>
      <w:bookmarkStart w:id="294" w:name="_Toc140132806"/>
      <w:bookmarkStart w:id="295" w:name="_Toc28487"/>
      <w:r>
        <w:rPr>
          <w:rFonts w:hint="eastAsia" w:ascii="宋体" w:hAnsi="宋体" w:eastAsia="宋体" w:cs="宋体"/>
          <w:b/>
          <w:bCs/>
          <w:color w:val="auto"/>
          <w:kern w:val="2"/>
          <w:sz w:val="24"/>
          <w:szCs w:val="24"/>
          <w:highlight w:val="none"/>
          <w:lang w:val="en-US" w:eastAsia="zh-CN" w:bidi="ar-SA"/>
        </w:rPr>
        <w:t>39.无效投标</w:t>
      </w:r>
      <w:bookmarkEnd w:id="293"/>
      <w:bookmarkEnd w:id="294"/>
      <w:bookmarkEnd w:id="295"/>
    </w:p>
    <w:p w14:paraId="0EBD130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6" w:name="_Toc140132807"/>
      <w:bookmarkStart w:id="297" w:name="_Toc163492874"/>
      <w:bookmarkStart w:id="298" w:name="_Toc3980"/>
      <w:r>
        <w:rPr>
          <w:rFonts w:hint="eastAsia" w:ascii="宋体" w:hAnsi="宋体" w:eastAsia="宋体" w:cs="宋体"/>
          <w:b/>
          <w:bCs/>
          <w:color w:val="auto"/>
          <w:kern w:val="2"/>
          <w:sz w:val="24"/>
          <w:szCs w:val="24"/>
          <w:highlight w:val="none"/>
          <w:lang w:val="en-US" w:eastAsia="zh-CN" w:bidi="ar-SA"/>
        </w:rPr>
        <w:t>40.废标</w:t>
      </w:r>
      <w:bookmarkEnd w:id="296"/>
      <w:bookmarkEnd w:id="297"/>
      <w:bookmarkEnd w:id="298"/>
    </w:p>
    <w:p w14:paraId="7B569749">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299" w:name="_Toc163492875"/>
      <w:bookmarkStart w:id="300" w:name="_Toc140132766"/>
      <w:bookmarkStart w:id="301" w:name="_Toc5781"/>
      <w:bookmarkStart w:id="302" w:name="_Toc140132808"/>
      <w:bookmarkStart w:id="303" w:name="_Toc155185884"/>
      <w:r>
        <w:rPr>
          <w:rFonts w:hint="eastAsia" w:ascii="宋体" w:hAnsi="宋体" w:eastAsia="宋体" w:cs="宋体"/>
          <w:b/>
          <w:bCs/>
          <w:color w:val="auto"/>
          <w:kern w:val="2"/>
          <w:sz w:val="24"/>
          <w:szCs w:val="24"/>
          <w:highlight w:val="none"/>
          <w:lang w:val="en-US" w:eastAsia="zh-CN" w:bidi="ar-SA"/>
        </w:rPr>
        <w:t>（十三）落实政府采购政策</w:t>
      </w:r>
      <w:bookmarkEnd w:id="299"/>
      <w:bookmarkEnd w:id="300"/>
      <w:r>
        <w:rPr>
          <w:rFonts w:hint="eastAsia" w:ascii="宋体" w:hAnsi="宋体" w:eastAsia="宋体" w:cs="宋体"/>
          <w:b/>
          <w:bCs/>
          <w:color w:val="auto"/>
          <w:kern w:val="2"/>
          <w:sz w:val="24"/>
          <w:szCs w:val="24"/>
          <w:highlight w:val="none"/>
          <w:lang w:val="en-US" w:eastAsia="zh-CN" w:bidi="ar-SA"/>
        </w:rPr>
        <w:t>（包括但不限于下列具体政策要求）</w:t>
      </w:r>
      <w:bookmarkEnd w:id="301"/>
    </w:p>
    <w:p w14:paraId="57A34F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04"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304"/>
    </w:p>
    <w:p w14:paraId="59F3A450">
      <w:pPr>
        <w:pStyle w:val="42"/>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441816D7">
      <w:pPr>
        <w:pStyle w:val="42"/>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42"/>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w:t>
      </w:r>
      <w:r>
        <w:rPr>
          <w:rFonts w:hint="eastAsia"/>
          <w:iCs/>
          <w:snapToGrid w:val="0"/>
          <w:color w:val="auto"/>
          <w:spacing w:val="-6"/>
          <w:sz w:val="24"/>
          <w:highlight w:val="none"/>
          <w:lang w:val="en-US" w:eastAsia="zh-CN"/>
        </w:rPr>
        <w:t>录及比例标准正式实施前的过渡期内，符合境内生产条件的产品，可视同本国产</w:t>
      </w:r>
      <w:r>
        <w:rPr>
          <w:rFonts w:hint="eastAsia"/>
          <w:snapToGrid w:val="0"/>
          <w:color w:val="auto"/>
          <w:sz w:val="24"/>
          <w:highlight w:val="none"/>
          <w:lang w:val="en-US" w:eastAsia="zh-CN"/>
        </w:rPr>
        <w:t>品。</w:t>
      </w:r>
    </w:p>
    <w:p w14:paraId="19E87B7B">
      <w:pPr>
        <w:pStyle w:val="42"/>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42"/>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42"/>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42"/>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A66631B">
      <w:pPr>
        <w:pStyle w:val="42"/>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59E4C5">
      <w:pPr>
        <w:pStyle w:val="42"/>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B40C7E8">
      <w:pPr>
        <w:pStyle w:val="42"/>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169666B9">
      <w:pPr>
        <w:pStyle w:val="42"/>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201F13F9">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41.2</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 xml:space="preserve">进口产品指通过中国海关报关验放进入中国境内且产自关境外的产品，包括已经进入中国境内的进口产品。 </w:t>
      </w:r>
    </w:p>
    <w:p w14:paraId="0C404CE2">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3若采购需求中写明允许采购进口产品，投标人应保证所投产品可履行合法报通关手续进入中国关境内。</w:t>
      </w:r>
    </w:p>
    <w:p w14:paraId="50A8DE9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6764F88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5" w:name="_Toc163492877"/>
      <w:bookmarkStart w:id="306" w:name="_Toc3821"/>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305"/>
      <w:bookmarkEnd w:id="306"/>
    </w:p>
    <w:p w14:paraId="6CF3C244">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775C3158">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743E5E0E">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07E7A00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128FB5A1">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557B965">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C38B69F">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31F905A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589A89E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EF9D90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EADF7D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安置的残疾人占本单位在职职工人数的比例不低于25%（含25%），并且安置的残疾人人数不少于 10 人（含 10人）； </w:t>
      </w:r>
    </w:p>
    <w:p w14:paraId="5B128E6C">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750299D4">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5494926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AD696D2">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F6930A8">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50A69BF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7" w:name="_Toc18531"/>
      <w:bookmarkStart w:id="308" w:name="_Toc163492878"/>
      <w:r>
        <w:rPr>
          <w:rFonts w:hint="eastAsia" w:ascii="宋体" w:hAnsi="宋体" w:eastAsia="宋体" w:cs="宋体"/>
          <w:b/>
          <w:bCs/>
          <w:color w:val="auto"/>
          <w:kern w:val="2"/>
          <w:sz w:val="24"/>
          <w:szCs w:val="24"/>
          <w:highlight w:val="none"/>
          <w:lang w:val="en-US" w:eastAsia="zh-CN" w:bidi="ar-SA"/>
        </w:rPr>
        <w:t>43.政府采购节能产品、环境标志产品</w:t>
      </w:r>
      <w:bookmarkEnd w:id="307"/>
      <w:bookmarkEnd w:id="308"/>
    </w:p>
    <w:p w14:paraId="741E7E7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2EC4C51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4E599F1">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51B3D928">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w:t>
      </w:r>
      <w:r>
        <w:rPr>
          <w:rFonts w:hint="eastAsia" w:ascii="宋体" w:hAnsi="宋体" w:eastAsia="宋体" w:cs="宋体"/>
          <w:snapToGrid w:val="0"/>
          <w:color w:val="auto"/>
          <w:sz w:val="24"/>
          <w:szCs w:val="24"/>
          <w:highlight w:val="none"/>
          <w:lang w:val="en-US" w:eastAsia="zh-CN"/>
        </w:rPr>
        <w:t>评审时给予优惠，具</w:t>
      </w:r>
      <w:r>
        <w:rPr>
          <w:rFonts w:hint="eastAsia" w:ascii="宋体" w:hAnsi="宋体" w:eastAsia="宋体" w:cs="宋体"/>
          <w:color w:val="auto"/>
          <w:sz w:val="24"/>
          <w:szCs w:val="24"/>
          <w:highlight w:val="none"/>
          <w:lang w:val="en-US" w:eastAsia="zh-CN"/>
        </w:rPr>
        <w:t>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09" w:name="_Toc20976"/>
      <w:bookmarkStart w:id="310" w:name="_Toc163492879"/>
      <w:r>
        <w:rPr>
          <w:rFonts w:hint="eastAsia" w:ascii="宋体" w:hAnsi="宋体" w:eastAsia="宋体" w:cs="宋体"/>
          <w:b/>
          <w:bCs/>
          <w:color w:val="auto"/>
          <w:kern w:val="2"/>
          <w:sz w:val="24"/>
          <w:szCs w:val="24"/>
          <w:highlight w:val="none"/>
          <w:lang w:val="en-US" w:eastAsia="zh-CN" w:bidi="ar-SA"/>
        </w:rPr>
        <w:t>44.正版软件</w:t>
      </w:r>
      <w:bookmarkEnd w:id="309"/>
      <w:r>
        <w:rPr>
          <w:rFonts w:hint="eastAsia" w:ascii="宋体" w:hAnsi="宋体" w:eastAsia="宋体" w:cs="宋体"/>
          <w:b/>
          <w:bCs/>
          <w:color w:val="auto"/>
          <w:kern w:val="2"/>
          <w:sz w:val="24"/>
          <w:szCs w:val="24"/>
          <w:highlight w:val="none"/>
          <w:lang w:val="en-US" w:eastAsia="zh-CN" w:bidi="ar-SA"/>
        </w:rPr>
        <w:t xml:space="preserve">  </w:t>
      </w:r>
    </w:p>
    <w:p w14:paraId="7504E407">
      <w:pPr>
        <w:pStyle w:val="42"/>
        <w:keepNext w:val="0"/>
        <w:keepLines w:val="0"/>
        <w:pageBreakBefore w:val="0"/>
        <w:widowControl w:val="0"/>
        <w:kinsoku/>
        <w:overflowPunct/>
        <w:topLinePunct w:val="0"/>
        <w:autoSpaceDE/>
        <w:autoSpaceDN/>
        <w:bidi w:val="0"/>
        <w:adjustRightInd/>
        <w:snapToGri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1" w:name="_Toc3951"/>
      <w:r>
        <w:rPr>
          <w:rFonts w:hint="eastAsia" w:ascii="宋体" w:hAnsi="宋体" w:eastAsia="宋体" w:cs="宋体"/>
          <w:b/>
          <w:bCs/>
          <w:color w:val="auto"/>
          <w:kern w:val="2"/>
          <w:sz w:val="24"/>
          <w:szCs w:val="24"/>
          <w:highlight w:val="none"/>
          <w:lang w:val="en-US" w:eastAsia="zh-CN" w:bidi="ar-SA"/>
        </w:rPr>
        <w:t>45.网络安全专用产品</w:t>
      </w:r>
      <w:bookmarkEnd w:id="311"/>
      <w:r>
        <w:rPr>
          <w:rFonts w:hint="eastAsia" w:ascii="宋体" w:hAnsi="宋体" w:eastAsia="宋体" w:cs="宋体"/>
          <w:b/>
          <w:bCs/>
          <w:color w:val="auto"/>
          <w:kern w:val="2"/>
          <w:sz w:val="24"/>
          <w:szCs w:val="24"/>
          <w:highlight w:val="none"/>
          <w:lang w:val="en-US" w:eastAsia="zh-CN" w:bidi="ar-SA"/>
        </w:rPr>
        <w:t xml:space="preserve">   </w:t>
      </w:r>
    </w:p>
    <w:p w14:paraId="13C0877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2" w:name="_Toc5298"/>
      <w:r>
        <w:rPr>
          <w:rFonts w:hint="eastAsia" w:ascii="宋体" w:hAnsi="宋体" w:eastAsia="宋体" w:cs="宋体"/>
          <w:b/>
          <w:bCs/>
          <w:color w:val="auto"/>
          <w:kern w:val="2"/>
          <w:sz w:val="24"/>
          <w:szCs w:val="24"/>
          <w:highlight w:val="none"/>
          <w:lang w:val="en-US" w:eastAsia="zh-CN" w:bidi="ar-SA"/>
        </w:rPr>
        <w:t>46.采购需求标准</w:t>
      </w:r>
      <w:bookmarkEnd w:id="312"/>
      <w:r>
        <w:rPr>
          <w:rFonts w:hint="eastAsia" w:ascii="宋体" w:hAnsi="宋体" w:eastAsia="宋体" w:cs="宋体"/>
          <w:b/>
          <w:bCs/>
          <w:color w:val="auto"/>
          <w:kern w:val="2"/>
          <w:sz w:val="24"/>
          <w:szCs w:val="24"/>
          <w:highlight w:val="none"/>
          <w:lang w:val="en-US" w:eastAsia="zh-CN" w:bidi="ar-SA"/>
        </w:rPr>
        <w:t xml:space="preserve">   </w:t>
      </w:r>
    </w:p>
    <w:p w14:paraId="77C63652">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A94789">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16173830">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3830872B">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2DDABA79">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30E8139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23F8A15A">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2DC5EFFC">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0C0F87EE">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45BE4E61">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0169F24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3" w:name="_Toc10007"/>
      <w:r>
        <w:rPr>
          <w:rFonts w:hint="eastAsia" w:ascii="宋体" w:hAnsi="宋体" w:eastAsia="宋体" w:cs="宋体"/>
          <w:b/>
          <w:bCs/>
          <w:color w:val="auto"/>
          <w:kern w:val="2"/>
          <w:sz w:val="24"/>
          <w:szCs w:val="24"/>
          <w:highlight w:val="none"/>
          <w:lang w:val="en-US" w:eastAsia="zh-CN" w:bidi="ar-SA"/>
        </w:rPr>
        <w:t>（十四）政府采购合同融资政策</w:t>
      </w:r>
      <w:bookmarkEnd w:id="302"/>
      <w:bookmarkEnd w:id="303"/>
      <w:bookmarkEnd w:id="310"/>
      <w:bookmarkEnd w:id="313"/>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4" w:name="_Toc14089"/>
      <w:bookmarkStart w:id="315" w:name="_Toc163492880"/>
      <w:r>
        <w:rPr>
          <w:rFonts w:hint="eastAsia" w:ascii="宋体" w:hAnsi="宋体" w:eastAsia="宋体" w:cs="宋体"/>
          <w:b/>
          <w:bCs/>
          <w:color w:val="auto"/>
          <w:kern w:val="2"/>
          <w:sz w:val="24"/>
          <w:szCs w:val="24"/>
          <w:highlight w:val="none"/>
          <w:lang w:val="en-US" w:eastAsia="zh-CN" w:bidi="ar-SA"/>
        </w:rPr>
        <w:t>47.政府采购合同融资政策</w:t>
      </w:r>
      <w:bookmarkEnd w:id="314"/>
      <w:bookmarkEnd w:id="315"/>
    </w:p>
    <w:p w14:paraId="2F90869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6" w:name="_Toc26816"/>
      <w:bookmarkStart w:id="317" w:name="_Toc163492881"/>
      <w:r>
        <w:rPr>
          <w:rFonts w:hint="eastAsia" w:ascii="宋体" w:hAnsi="宋体" w:eastAsia="宋体" w:cs="宋体"/>
          <w:b/>
          <w:bCs/>
          <w:color w:val="auto"/>
          <w:kern w:val="2"/>
          <w:sz w:val="24"/>
          <w:szCs w:val="24"/>
          <w:highlight w:val="none"/>
          <w:lang w:val="en-US" w:eastAsia="zh-CN" w:bidi="ar-SA"/>
        </w:rPr>
        <w:t>（十五）其他</w:t>
      </w:r>
      <w:bookmarkEnd w:id="316"/>
      <w:bookmarkEnd w:id="317"/>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18" w:name="_Toc18980"/>
      <w:bookmarkStart w:id="319" w:name="_Toc163492882"/>
      <w:r>
        <w:rPr>
          <w:rFonts w:hint="eastAsia" w:ascii="宋体" w:hAnsi="宋体" w:eastAsia="宋体" w:cs="宋体"/>
          <w:b/>
          <w:bCs/>
          <w:color w:val="auto"/>
          <w:kern w:val="2"/>
          <w:sz w:val="24"/>
          <w:szCs w:val="24"/>
          <w:highlight w:val="none"/>
          <w:lang w:val="en-US" w:eastAsia="zh-CN" w:bidi="ar-SA"/>
        </w:rPr>
        <w:t>48.需要补充的其他内容</w:t>
      </w:r>
      <w:bookmarkEnd w:id="318"/>
      <w:bookmarkEnd w:id="319"/>
    </w:p>
    <w:p w14:paraId="3251640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0" w:name="_Toc163492883"/>
      <w:bookmarkStart w:id="321" w:name="_Toc12494"/>
      <w:bookmarkStart w:id="322" w:name="_Toc140132810"/>
      <w:bookmarkStart w:id="323" w:name="_Toc155185886"/>
      <w:r>
        <w:rPr>
          <w:rFonts w:hint="eastAsia" w:ascii="宋体" w:hAnsi="宋体" w:eastAsia="宋体" w:cs="宋体"/>
          <w:b/>
          <w:bCs/>
          <w:color w:val="auto"/>
          <w:kern w:val="2"/>
          <w:sz w:val="24"/>
          <w:szCs w:val="24"/>
          <w:highlight w:val="none"/>
          <w:lang w:val="en-US" w:eastAsia="zh-CN" w:bidi="ar-SA"/>
        </w:rPr>
        <w:t>49.适用法律</w:t>
      </w:r>
      <w:bookmarkEnd w:id="320"/>
      <w:bookmarkEnd w:id="321"/>
      <w:bookmarkEnd w:id="322"/>
      <w:bookmarkEnd w:id="323"/>
    </w:p>
    <w:p w14:paraId="0953B8AD">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24" w:name="_Toc155185887"/>
      <w:bookmarkStart w:id="325" w:name="_Toc20737"/>
      <w:bookmarkStart w:id="326" w:name="_Toc163492884"/>
      <w:r>
        <w:rPr>
          <w:rFonts w:hint="eastAsia" w:ascii="宋体" w:hAnsi="宋体" w:eastAsia="宋体" w:cs="宋体"/>
          <w:b/>
          <w:bCs/>
          <w:color w:val="auto"/>
          <w:kern w:val="2"/>
          <w:sz w:val="24"/>
          <w:szCs w:val="24"/>
          <w:highlight w:val="none"/>
          <w:lang w:val="en-US" w:eastAsia="zh-CN" w:bidi="ar-SA"/>
        </w:rPr>
        <w:t>50.解释权</w:t>
      </w:r>
      <w:bookmarkEnd w:id="324"/>
      <w:bookmarkEnd w:id="325"/>
      <w:bookmarkEnd w:id="326"/>
    </w:p>
    <w:p w14:paraId="2D7AFB45">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5C6D27F8">
      <w:pPr>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27" w:name="_Toc21960"/>
      <w:bookmarkStart w:id="328" w:name="_Toc155185888"/>
      <w:bookmarkStart w:id="329" w:name="_Toc32401"/>
      <w:r>
        <w:rPr>
          <w:rFonts w:hint="eastAsia" w:ascii="宋体" w:hAnsi="宋体" w:eastAsia="宋体" w:cs="宋体"/>
          <w:b/>
          <w:bCs/>
          <w:color w:val="auto"/>
          <w:kern w:val="44"/>
          <w:sz w:val="36"/>
          <w:szCs w:val="36"/>
          <w:highlight w:val="none"/>
          <w:lang w:val="en-US" w:eastAsia="zh-CN" w:bidi="ar-SA"/>
        </w:rPr>
        <w:t>第三章 采购需求</w:t>
      </w:r>
      <w:bookmarkEnd w:id="327"/>
      <w:bookmarkEnd w:id="328"/>
      <w:bookmarkEnd w:id="329"/>
    </w:p>
    <w:p w14:paraId="4DB7FC4E">
      <w:pPr>
        <w:keepNext w:val="0"/>
        <w:keepLines w:val="0"/>
        <w:pageBreakBefore w:val="0"/>
        <w:widowControl w:val="0"/>
        <w:kinsoku/>
        <w:wordWrap/>
        <w:overflowPunct/>
        <w:topLinePunct w:val="0"/>
        <w:autoSpaceDE/>
        <w:autoSpaceDN/>
        <w:bidi w:val="0"/>
        <w:adjustRightInd/>
        <w:snapToGrid/>
        <w:spacing w:line="578" w:lineRule="exact"/>
        <w:ind w:firstLine="542" w:firstLineChars="200"/>
        <w:textAlignment w:val="auto"/>
        <w:rPr>
          <w:rFonts w:hint="eastAsia" w:ascii="宋体" w:hAnsi="宋体" w:eastAsia="宋体" w:cs="宋体"/>
          <w:b/>
          <w:bCs/>
          <w:i w:val="0"/>
          <w:iCs w:val="0"/>
          <w:caps w:val="0"/>
          <w:color w:val="000000"/>
          <w:spacing w:val="0"/>
          <w:sz w:val="27"/>
          <w:szCs w:val="27"/>
          <w:shd w:val="clear" w:fill="F7F7F7"/>
          <w:lang w:eastAsia="zh-CN"/>
        </w:rPr>
      </w:pPr>
      <w:bookmarkStart w:id="330" w:name="_Toc12673"/>
      <w:bookmarkStart w:id="331" w:name="_Toc155185895"/>
      <w:bookmarkStart w:id="332" w:name="_Toc7544"/>
      <w:r>
        <w:rPr>
          <w:rFonts w:hint="eastAsia" w:ascii="宋体" w:hAnsi="宋体" w:eastAsia="宋体" w:cs="宋体"/>
          <w:b/>
          <w:bCs/>
          <w:i w:val="0"/>
          <w:iCs w:val="0"/>
          <w:caps w:val="0"/>
          <w:color w:val="000000"/>
          <w:spacing w:val="0"/>
          <w:sz w:val="27"/>
          <w:szCs w:val="27"/>
          <w:shd w:val="clear" w:fill="F7F7F7"/>
        </w:rPr>
        <w:t>标项一</w:t>
      </w:r>
      <w:r>
        <w:rPr>
          <w:rFonts w:hint="eastAsia" w:ascii="宋体" w:hAnsi="宋体" w:eastAsia="宋体" w:cs="宋体"/>
          <w:b/>
          <w:bCs/>
          <w:i w:val="0"/>
          <w:iCs w:val="0"/>
          <w:caps w:val="0"/>
          <w:color w:val="000000"/>
          <w:spacing w:val="0"/>
          <w:sz w:val="27"/>
          <w:szCs w:val="27"/>
          <w:shd w:val="clear" w:fill="F7F7F7"/>
          <w:lang w:eastAsia="zh-CN"/>
        </w:rPr>
        <w:t>；</w:t>
      </w:r>
    </w:p>
    <w:p w14:paraId="2B6C0289">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一、项目基本信息</w:t>
      </w:r>
    </w:p>
    <w:p w14:paraId="64DA04A9">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1.项目名称：</w:t>
      </w:r>
      <w:r>
        <w:rPr>
          <w:rFonts w:hint="eastAsia" w:cs="宋体"/>
          <w:i w:val="0"/>
          <w:iCs w:val="0"/>
          <w:caps w:val="0"/>
          <w:color w:val="000000"/>
          <w:spacing w:val="0"/>
          <w:sz w:val="24"/>
          <w:szCs w:val="24"/>
          <w:lang w:eastAsia="zh-CN"/>
        </w:rPr>
        <w:t>皮山县人民医院放射类检查设备维修维保及技术服务采购项目</w:t>
      </w:r>
      <w:r>
        <w:rPr>
          <w:rFonts w:hint="eastAsia" w:cs="宋体"/>
          <w:i w:val="0"/>
          <w:iCs w:val="0"/>
          <w:caps w:val="0"/>
          <w:color w:val="000000"/>
          <w:spacing w:val="0"/>
          <w:sz w:val="24"/>
          <w:szCs w:val="24"/>
          <w:lang w:val="en-US" w:eastAsia="zh-CN"/>
        </w:rPr>
        <w:t>包一</w:t>
      </w:r>
    </w:p>
    <w:p w14:paraId="3BA63386">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2.预算金额</w:t>
      </w:r>
      <w:r>
        <w:rPr>
          <w:rFonts w:hint="eastAsia" w:ascii="宋体" w:hAnsi="宋体" w:eastAsia="宋体" w:cs="宋体"/>
          <w:i w:val="0"/>
          <w:iCs w:val="0"/>
          <w:caps w:val="0"/>
          <w:color w:val="000000"/>
          <w:spacing w:val="0"/>
          <w:sz w:val="24"/>
          <w:szCs w:val="24"/>
          <w:lang w:eastAsia="zh-CN"/>
        </w:rPr>
        <w:t>：</w:t>
      </w:r>
      <w:r>
        <w:rPr>
          <w:rFonts w:hint="eastAsia" w:cs="宋体"/>
          <w:i w:val="0"/>
          <w:iCs w:val="0"/>
          <w:caps w:val="0"/>
          <w:color w:val="000000"/>
          <w:spacing w:val="0"/>
          <w:sz w:val="24"/>
          <w:szCs w:val="24"/>
          <w:lang w:val="en-US" w:eastAsia="zh-CN"/>
        </w:rPr>
        <w:t>260</w:t>
      </w:r>
      <w:r>
        <w:rPr>
          <w:rFonts w:hint="eastAsia" w:ascii="宋体" w:hAnsi="宋体" w:eastAsia="宋体" w:cs="宋体"/>
          <w:i w:val="0"/>
          <w:iCs w:val="0"/>
          <w:caps w:val="0"/>
          <w:color w:val="000000"/>
          <w:spacing w:val="0"/>
          <w:sz w:val="24"/>
          <w:szCs w:val="24"/>
        </w:rPr>
        <w:t>万元</w:t>
      </w:r>
    </w:p>
    <w:p w14:paraId="39F8DBA6">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.服务地点：</w:t>
      </w:r>
      <w:r>
        <w:rPr>
          <w:rFonts w:hint="eastAsia" w:cs="宋体"/>
          <w:i w:val="0"/>
          <w:iCs w:val="0"/>
          <w:caps w:val="0"/>
          <w:color w:val="000000"/>
          <w:spacing w:val="0"/>
          <w:sz w:val="24"/>
          <w:szCs w:val="24"/>
          <w:lang w:eastAsia="zh-CN"/>
        </w:rPr>
        <w:t>皮山县人民医院</w:t>
      </w:r>
    </w:p>
    <w:p w14:paraId="7FC8C5EC">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二、技术规格、参数与要求</w:t>
      </w:r>
    </w:p>
    <w:p w14:paraId="00946036">
      <w:pPr>
        <w:spacing w:before="380" w:after="140" w:line="288" w:lineRule="auto"/>
        <w:ind w:left="0"/>
        <w:jc w:val="left"/>
        <w:outlineLvl w:val="0"/>
        <w:rPr>
          <w:rFonts w:hint="eastAsia" w:ascii="宋体" w:hAnsi="宋体" w:eastAsia="宋体" w:cs="宋体"/>
          <w:sz w:val="24"/>
          <w:szCs w:val="24"/>
          <w:highlight w:val="none"/>
        </w:rPr>
      </w:pPr>
      <w:bookmarkStart w:id="333" w:name="heading_0"/>
      <w:r>
        <w:rPr>
          <w:rFonts w:hint="eastAsia" w:ascii="宋体" w:hAnsi="宋体" w:eastAsia="宋体" w:cs="宋体"/>
          <w:b/>
          <w:sz w:val="24"/>
          <w:szCs w:val="24"/>
          <w:highlight w:val="none"/>
        </w:rPr>
        <w:t>一、总则</w:t>
      </w:r>
      <w:bookmarkEnd w:id="333"/>
    </w:p>
    <w:p w14:paraId="7021C6E8">
      <w:pPr>
        <w:spacing w:before="320" w:after="120" w:line="288" w:lineRule="auto"/>
        <w:ind w:left="0"/>
        <w:jc w:val="left"/>
        <w:outlineLvl w:val="1"/>
        <w:rPr>
          <w:rFonts w:hint="eastAsia" w:ascii="宋体" w:hAnsi="宋体" w:eastAsia="宋体" w:cs="宋体"/>
          <w:sz w:val="24"/>
          <w:szCs w:val="24"/>
          <w:highlight w:val="none"/>
        </w:rPr>
      </w:pPr>
      <w:bookmarkStart w:id="334" w:name="heading_1"/>
      <w:r>
        <w:rPr>
          <w:rFonts w:hint="eastAsia" w:ascii="宋体" w:hAnsi="宋体" w:eastAsia="宋体" w:cs="宋体"/>
          <w:b/>
          <w:sz w:val="24"/>
          <w:szCs w:val="24"/>
          <w:highlight w:val="none"/>
        </w:rPr>
        <w:t>1.1 项目概况</w:t>
      </w:r>
      <w:bookmarkEnd w:id="334"/>
    </w:p>
    <w:p w14:paraId="5A6FD928">
      <w:pPr>
        <w:spacing w:before="120" w:after="120" w:line="288"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本项目为我院2台CT、2台DR设备年度维保技术服务项目，服务期限2年，为全保服务（含维修、维保、保养、巡检、年度检测等全部相关服务），不额外收取任何其他费用。</w:t>
      </w:r>
    </w:p>
    <w:p w14:paraId="20B5F6A4">
      <w:pPr>
        <w:spacing w:before="120" w:after="120" w:line="288" w:lineRule="auto"/>
        <w:ind w:lef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维保设备明细：</w:t>
      </w:r>
    </w:p>
    <w:p w14:paraId="22B3B79D">
      <w:pPr>
        <w:spacing w:before="120" w:after="120" w:line="288"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1台西门子64排CT，2020年购买投入使用；</w:t>
      </w:r>
    </w:p>
    <w:p w14:paraId="1517FE42">
      <w:pPr>
        <w:spacing w:before="120" w:after="120" w:line="288"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1台西门子16排CT，2017年购买投入使用；</w:t>
      </w:r>
    </w:p>
    <w:p w14:paraId="2338BA1B">
      <w:pPr>
        <w:spacing w:before="120" w:after="120" w:line="288"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1台西门子悬吊式DR，2017年购买投入使用；</w:t>
      </w:r>
    </w:p>
    <w:p w14:paraId="1C3C830C">
      <w:pPr>
        <w:spacing w:before="120" w:after="120" w:line="288"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1台飞利浦悬吊式DR，具体购置年份以我院现场实物为准。</w:t>
      </w:r>
    </w:p>
    <w:p w14:paraId="68F36D10">
      <w:pPr>
        <w:spacing w:before="320" w:after="120" w:line="288" w:lineRule="auto"/>
        <w:ind w:left="0"/>
        <w:jc w:val="left"/>
        <w:outlineLvl w:val="1"/>
        <w:rPr>
          <w:rFonts w:hint="eastAsia" w:ascii="宋体" w:hAnsi="宋体" w:eastAsia="宋体" w:cs="宋体"/>
          <w:sz w:val="24"/>
          <w:szCs w:val="24"/>
          <w:highlight w:val="none"/>
        </w:rPr>
      </w:pPr>
      <w:bookmarkStart w:id="335" w:name="heading_2"/>
      <w:r>
        <w:rPr>
          <w:rFonts w:hint="eastAsia" w:ascii="宋体" w:hAnsi="宋体" w:eastAsia="宋体" w:cs="宋体"/>
          <w:b/>
          <w:sz w:val="24"/>
          <w:szCs w:val="24"/>
          <w:highlight w:val="none"/>
        </w:rPr>
        <w:t>1.2 服务目标</w:t>
      </w:r>
      <w:bookmarkEnd w:id="335"/>
    </w:p>
    <w:p w14:paraId="5C4A780A">
      <w:pPr>
        <w:spacing w:before="120" w:after="120" w:line="288"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通过专业、高效的维保技术服务，保障4台放射类设备（2台CT、2台DR）正常、安全、稳定运行，降低设备故障率，确保设备各项性能指标符合国家医疗设备相关标准及设备出厂技术要求，满足我院临床诊疗、体检等工作的连续开展需求；投标方需承担全部设备年度放射类性能检测及现场检测费用，配备专属驻场工程师，全面负责设备日常运维保障。</w:t>
      </w:r>
    </w:p>
    <w:p w14:paraId="3EAA3083">
      <w:pPr>
        <w:spacing w:before="320" w:after="120" w:line="288" w:lineRule="auto"/>
        <w:ind w:left="0"/>
        <w:jc w:val="left"/>
        <w:outlineLvl w:val="1"/>
        <w:rPr>
          <w:rFonts w:hint="eastAsia" w:ascii="宋体" w:hAnsi="宋体" w:eastAsia="宋体" w:cs="宋体"/>
          <w:sz w:val="24"/>
          <w:szCs w:val="24"/>
          <w:highlight w:val="none"/>
        </w:rPr>
      </w:pPr>
      <w:bookmarkStart w:id="336" w:name="heading_3"/>
      <w:r>
        <w:rPr>
          <w:rFonts w:hint="eastAsia" w:ascii="宋体" w:hAnsi="宋体" w:eastAsia="宋体" w:cs="宋体"/>
          <w:b/>
          <w:sz w:val="24"/>
          <w:szCs w:val="24"/>
          <w:highlight w:val="none"/>
        </w:rPr>
        <w:t>1.3 服务范围</w:t>
      </w:r>
      <w:bookmarkEnd w:id="336"/>
    </w:p>
    <w:p w14:paraId="6A8A04BB">
      <w:pPr>
        <w:spacing w:before="120" w:after="120" w:line="288"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涵盖本项目所列4台设备的全部维修、预防性维保、定期保养、日常巡检、故障应急处理、备件供应（全保范围内）、年度放射类性能检测、现场检测、技术培训、设备校准、运维档案建立及后续技术支持等全流程服务，无任何遗漏项。</w:t>
      </w:r>
    </w:p>
    <w:p w14:paraId="0FC7ADD4">
      <w:pPr>
        <w:spacing w:before="380" w:after="140" w:line="288" w:lineRule="auto"/>
        <w:ind w:left="0"/>
        <w:jc w:val="left"/>
        <w:outlineLvl w:val="0"/>
        <w:rPr>
          <w:rFonts w:hint="eastAsia" w:ascii="宋体" w:hAnsi="宋体" w:eastAsia="宋体" w:cs="宋体"/>
          <w:sz w:val="24"/>
          <w:szCs w:val="24"/>
          <w:highlight w:val="none"/>
        </w:rPr>
      </w:pPr>
      <w:bookmarkStart w:id="337" w:name="heading_5"/>
      <w:r>
        <w:rPr>
          <w:rFonts w:hint="eastAsia" w:ascii="宋体" w:hAnsi="宋体" w:eastAsia="宋体" w:cs="宋体"/>
          <w:b/>
          <w:sz w:val="24"/>
          <w:szCs w:val="24"/>
          <w:highlight w:val="none"/>
        </w:rPr>
        <w:t>二、维修服务技术参数</w:t>
      </w:r>
      <w:bookmarkEnd w:id="337"/>
    </w:p>
    <w:p w14:paraId="60F175CE">
      <w:pPr>
        <w:spacing w:before="320" w:after="120" w:line="288" w:lineRule="auto"/>
        <w:ind w:left="0"/>
        <w:jc w:val="left"/>
        <w:outlineLvl w:val="1"/>
        <w:rPr>
          <w:rFonts w:hint="eastAsia" w:ascii="宋体" w:hAnsi="宋体" w:eastAsia="宋体" w:cs="宋体"/>
          <w:sz w:val="24"/>
          <w:szCs w:val="24"/>
          <w:highlight w:val="none"/>
        </w:rPr>
      </w:pPr>
      <w:bookmarkStart w:id="338" w:name="heading_6"/>
      <w:r>
        <w:rPr>
          <w:rFonts w:hint="eastAsia" w:ascii="宋体" w:hAnsi="宋体" w:eastAsia="宋体" w:cs="宋体"/>
          <w:b/>
          <w:sz w:val="24"/>
          <w:szCs w:val="24"/>
          <w:highlight w:val="none"/>
        </w:rPr>
        <w:t>2.1 故障响应机制</w:t>
      </w:r>
      <w:bookmarkEnd w:id="338"/>
    </w:p>
    <w:p w14:paraId="32DC2002">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应急故障（设备无法启动、核心部件损坏导致无法开展诊疗工作等）：投标方接到我院故障报修通知后，15分钟内完成电话/远程响应，驻场工程师立即现场排查处理；若驻场工程师无法现场解决，投标方需在2小时内派遣资深专项维保工程师抵达现场支援，确保故障得到快速处置。</w:t>
      </w:r>
    </w:p>
    <w:p w14:paraId="4F4C11D8">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2.1.2一般故障（设备性能异常、非核心部件轻微损坏等不影响基本诊疗的故障）：投标方接到报修通知后，30分钟内完成响应，驻场工程师现场排查处理，确保24小时内解决故障，恢复设备正常运行。</w:t>
      </w:r>
    </w:p>
    <w:p w14:paraId="026DAB1E">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2.1.3重大故障（核心部件损坏、设备出现系统性故障等）：投标方需在接到报修通知后4小时内完成专项工程师现场支援，明确故障解决方案及修复时限，一般情况下72小时内完成修复；若需更换特殊备件，修复时限可适当延长，但需提前书面告知我院，说明备件采购周期及预计修复时间，同时提供临时替代解决方案（如协调备用设备），确保不影响我院正常诊疗工作。</w:t>
      </w:r>
    </w:p>
    <w:p w14:paraId="249B5504">
      <w:pPr>
        <w:spacing w:before="120" w:after="120" w:line="288"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2.1.4故障响应率100%，应急故障处置及时率100%，一般故障24小时内修复率≥98%，重大故障72小时内修复率≥95%，设备全年故障停机时间累计不超过72小时（不含计划性停机保养、检测时间）。</w:t>
      </w:r>
    </w:p>
    <w:p w14:paraId="5CC20B51">
      <w:pPr>
        <w:spacing w:before="320" w:after="120" w:line="288" w:lineRule="auto"/>
        <w:ind w:left="0"/>
        <w:jc w:val="left"/>
        <w:outlineLvl w:val="1"/>
        <w:rPr>
          <w:rFonts w:hint="eastAsia" w:ascii="宋体" w:hAnsi="宋体" w:eastAsia="宋体" w:cs="宋体"/>
          <w:sz w:val="24"/>
          <w:szCs w:val="24"/>
          <w:highlight w:val="none"/>
        </w:rPr>
      </w:pPr>
      <w:bookmarkStart w:id="339" w:name="heading_7"/>
      <w:r>
        <w:rPr>
          <w:rFonts w:hint="eastAsia" w:ascii="宋体" w:hAnsi="宋体" w:eastAsia="宋体" w:cs="宋体"/>
          <w:b/>
          <w:sz w:val="24"/>
          <w:szCs w:val="24"/>
          <w:highlight w:val="none"/>
        </w:rPr>
        <w:t>2.2 维修服务要求</w:t>
      </w:r>
      <w:bookmarkEnd w:id="339"/>
    </w:p>
    <w:p w14:paraId="46183C74">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2.2.1维修工作需严格遵循西门子、飞利浦原厂维修规范及国家医疗设备维修相关标准，由具备相应资质的工程师开展操作，严禁违规维修、擅自更换非原厂配件。</w:t>
      </w:r>
    </w:p>
    <w:p w14:paraId="0D77B4FA">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2.2.2全保服务范围内，维修所需全部备件（含核心部件、易损件）均由投标方承担，备件需为原厂正品或经我院及原厂认可的优质兼容备件，质量符合设备出厂标准，提供备件合格证明及质保凭证，备件质保期不少于6个月（自更换安装调试合格之日起计算）；若因备件质量问题导致设备再次出现相同故障，投标方需免费重新更换备件，并承担由此造成的一切损失。</w:t>
      </w:r>
    </w:p>
    <w:p w14:paraId="67EFECB3">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2.2.3维修过程中，工程师需做好设备防护工作，避免设备二次损坏、部件丢失，同时做好维修记录（含故障现象、排查过程、维修方案、更换备件明细、修复结果等），维修完成后，需填写《设备维修验收单》，经我院设备管理员、使用科室负责人签字确认后，方可视为维修合格。</w:t>
      </w:r>
    </w:p>
    <w:p w14:paraId="37C8D0AC">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2.2.4维修完成后，投标方需对设备进行全面调试、校准，确保设备各项性能指标符合临床使用要求及国家相关标准，同时对维修部位进行不少于72小时的跟踪监测，确认设备运行稳定无异常。</w:t>
      </w:r>
    </w:p>
    <w:p w14:paraId="7430EE0F">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2.2.5严禁投标方擅自将设备核心部件拆卸、返厂维修（需经我院书面同意后方可进行），返厂维修期间，投标方需承担全部运输、维修费用。</w:t>
      </w:r>
    </w:p>
    <w:p w14:paraId="159FBDCF">
      <w:pPr>
        <w:spacing w:before="320" w:after="120" w:line="288" w:lineRule="auto"/>
        <w:ind w:left="0"/>
        <w:jc w:val="left"/>
        <w:outlineLvl w:val="1"/>
        <w:rPr>
          <w:rFonts w:hint="eastAsia" w:ascii="宋体" w:hAnsi="宋体" w:eastAsia="宋体" w:cs="宋体"/>
          <w:sz w:val="24"/>
          <w:szCs w:val="24"/>
          <w:highlight w:val="none"/>
        </w:rPr>
      </w:pPr>
      <w:bookmarkStart w:id="340" w:name="heading_8"/>
      <w:r>
        <w:rPr>
          <w:rFonts w:hint="eastAsia" w:ascii="宋体" w:hAnsi="宋体" w:eastAsia="宋体" w:cs="宋体"/>
          <w:b/>
          <w:sz w:val="24"/>
          <w:szCs w:val="24"/>
          <w:highlight w:val="none"/>
        </w:rPr>
        <w:t>2.3 备件供应要求</w:t>
      </w:r>
      <w:bookmarkEnd w:id="340"/>
    </w:p>
    <w:p w14:paraId="63159655">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2.3.1投标方需建立完善的备件库存体系，针对本项目4台设备，储备常用易损件（如CT探测器、球管密封圈、DR平板探测器、高压电缆等），确保常用备件供应周期不超过24小时；特殊备件（如CT球管、DR核心控制模块等）供应周期不超过7个工作日，若特殊备件需从原厂采购，需提前书面告知我院采购周期及进展情况。</w:t>
      </w:r>
    </w:p>
    <w:p w14:paraId="3A036220">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2.3.2投标方需提供备件库存清单（含备件名称、规格型号、数量、生产厂家、质保期等信息），加盖公章，作为投标文件附件；服务期间，每月向我院提交备件库存更新报告及备件使用情况报告。</w:t>
      </w:r>
    </w:p>
    <w:p w14:paraId="7D51B230">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2.3.3备件更换需遵循“以旧换新”原则，更换下来的故障备件需交由投标方处理。</w:t>
      </w:r>
    </w:p>
    <w:p w14:paraId="0E6216C2">
      <w:pPr>
        <w:spacing w:before="380" w:after="140" w:line="288" w:lineRule="auto"/>
        <w:ind w:left="0"/>
        <w:jc w:val="left"/>
        <w:outlineLvl w:val="0"/>
        <w:rPr>
          <w:rFonts w:hint="eastAsia" w:ascii="宋体" w:hAnsi="宋体" w:eastAsia="宋体" w:cs="宋体"/>
          <w:sz w:val="24"/>
          <w:szCs w:val="24"/>
          <w:highlight w:val="none"/>
        </w:rPr>
      </w:pPr>
      <w:bookmarkStart w:id="341" w:name="heading_9"/>
      <w:r>
        <w:rPr>
          <w:rFonts w:hint="eastAsia" w:ascii="宋体" w:hAnsi="宋体" w:eastAsia="宋体" w:cs="宋体"/>
          <w:b/>
          <w:sz w:val="24"/>
          <w:szCs w:val="24"/>
          <w:highlight w:val="none"/>
        </w:rPr>
        <w:t>三、保养服务技术参数</w:t>
      </w:r>
      <w:bookmarkEnd w:id="341"/>
    </w:p>
    <w:p w14:paraId="74D11E1B">
      <w:pPr>
        <w:spacing w:before="320" w:after="120" w:line="288" w:lineRule="auto"/>
        <w:ind w:left="0"/>
        <w:jc w:val="left"/>
        <w:outlineLvl w:val="1"/>
        <w:rPr>
          <w:rFonts w:hint="eastAsia" w:ascii="宋体" w:hAnsi="宋体" w:eastAsia="宋体" w:cs="宋体"/>
          <w:sz w:val="24"/>
          <w:szCs w:val="24"/>
          <w:highlight w:val="none"/>
        </w:rPr>
      </w:pPr>
      <w:bookmarkStart w:id="342" w:name="heading_10"/>
      <w:r>
        <w:rPr>
          <w:rFonts w:hint="eastAsia" w:ascii="宋体" w:hAnsi="宋体" w:eastAsia="宋体" w:cs="宋体"/>
          <w:b/>
          <w:sz w:val="24"/>
          <w:szCs w:val="24"/>
          <w:highlight w:val="none"/>
        </w:rPr>
        <w:t>3.1 保养周期及频次</w:t>
      </w:r>
      <w:bookmarkEnd w:id="342"/>
    </w:p>
    <w:p w14:paraId="2FD975F7">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方需结合设备使用年限、运行状态及原厂保养规范，制定个性化保养计划，明确保养周期、频次及内容，报我院审核通过后严格执行，保养工作需在不影响我院正常诊疗工作的前提下开展（优先选择夜间、节假日等非诊疗时段），提前24小时书面告知我院具体保养时间。</w:t>
      </w:r>
    </w:p>
    <w:p w14:paraId="1B5D4C0D">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3.1.1西门子64排CT（2020年购置）：每月开展1次常规保养，每6个月开展1次全面保养，每年开展1次深度保养；</w:t>
      </w:r>
    </w:p>
    <w:p w14:paraId="2CD205E4">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3.1.2西门子16排CT（2017年购置，使用年限较长）：每月开展1次常规保养，每3个月开展1次全面保养，每年开展2次深度保养；</w:t>
      </w:r>
    </w:p>
    <w:p w14:paraId="67DCCB46">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3.1.3西门子悬吊式DR（2017年购置，使用年限较长）：每月开展1次常规保养，每3个月开展1次全面保养，每年开展2次深度保养；</w:t>
      </w:r>
    </w:p>
    <w:p w14:paraId="4E14FDD4">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3.1.4飞利浦悬吊式DR：每月开展1次常规保养，每6个月开展1次全面保养，每年开展1次深度保养。</w:t>
      </w:r>
    </w:p>
    <w:p w14:paraId="0FEDCD70">
      <w:pPr>
        <w:spacing w:before="320" w:after="120" w:line="288" w:lineRule="auto"/>
        <w:ind w:left="0"/>
        <w:jc w:val="left"/>
        <w:outlineLvl w:val="1"/>
        <w:rPr>
          <w:rFonts w:hint="eastAsia" w:ascii="宋体" w:hAnsi="宋体" w:eastAsia="宋体" w:cs="宋体"/>
          <w:sz w:val="24"/>
          <w:szCs w:val="24"/>
          <w:highlight w:val="none"/>
        </w:rPr>
      </w:pPr>
      <w:bookmarkStart w:id="343" w:name="heading_11"/>
      <w:r>
        <w:rPr>
          <w:rFonts w:hint="eastAsia" w:ascii="宋体" w:hAnsi="宋体" w:eastAsia="宋体" w:cs="宋体"/>
          <w:b/>
          <w:sz w:val="24"/>
          <w:szCs w:val="24"/>
          <w:highlight w:val="none"/>
        </w:rPr>
        <w:t>3.2 保养内容要求</w:t>
      </w:r>
      <w:bookmarkEnd w:id="343"/>
    </w:p>
    <w:p w14:paraId="5418D3DA">
      <w:pPr>
        <w:spacing w:before="300" w:after="120" w:line="288" w:lineRule="auto"/>
        <w:ind w:left="0"/>
        <w:jc w:val="left"/>
        <w:outlineLvl w:val="2"/>
        <w:rPr>
          <w:rFonts w:hint="eastAsia" w:ascii="宋体" w:hAnsi="宋体" w:eastAsia="宋体" w:cs="宋体"/>
          <w:sz w:val="24"/>
          <w:szCs w:val="24"/>
          <w:highlight w:val="none"/>
        </w:rPr>
      </w:pPr>
      <w:bookmarkStart w:id="344" w:name="heading_12"/>
      <w:r>
        <w:rPr>
          <w:rFonts w:hint="eastAsia" w:ascii="宋体" w:hAnsi="宋体" w:eastAsia="宋体" w:cs="宋体"/>
          <w:b/>
          <w:sz w:val="24"/>
          <w:szCs w:val="24"/>
          <w:highlight w:val="none"/>
        </w:rPr>
        <w:t>3.2.1 常规保养（每月1次）</w:t>
      </w:r>
      <w:bookmarkEnd w:id="344"/>
    </w:p>
    <w:p w14:paraId="06980F54">
      <w:pPr>
        <w:numPr>
          <w:ilvl w:val="0"/>
          <w:numId w:val="0"/>
        </w:numPr>
        <w:spacing w:before="120" w:after="120" w:line="288" w:lineRule="auto"/>
        <w:ind w:firstLine="241" w:firstLineChars="1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CT设备常规保养：</w:t>
      </w:r>
    </w:p>
    <w:p w14:paraId="6D7A27E2">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3.2.1.1清洁设备外观、扫描床、探测器、球管外壳等部位，清除灰尘、污渍，检查设备线路、管路连接是否牢固，有无松动、破损现象；</w:t>
      </w:r>
    </w:p>
    <w:p w14:paraId="2BE4A1A7">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3.2.1.2检查设备冷却系统（水冷、风冷）运行状态，清理冷却管路、过滤器灰尘，补充冷却液（如需），确保冷却系统正常运行，温度控制在标准范围内；</w:t>
      </w:r>
    </w:p>
    <w:p w14:paraId="19EB9A22">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3.2.1.3检查扫描床运行精度、升降及移动灵活性，校准扫描床定位精度，调整皮带松紧度（如需）；</w:t>
      </w:r>
    </w:p>
    <w:p w14:paraId="320AEB26">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3.2.1.4检查设备软件运行状态，清理系统缓存，排查软件异常提示，确保软件运行稳定；</w:t>
      </w:r>
    </w:p>
    <w:p w14:paraId="40F03A97">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3.2.1.5对设备核心部件（探测器、球管、高压发生器等）进行外观检查，监测运行参数，记录设备运行状态，排查潜在故障隐患。</w:t>
      </w:r>
    </w:p>
    <w:p w14:paraId="6A37C4A0">
      <w:pPr>
        <w:numPr>
          <w:ilvl w:val="0"/>
          <w:numId w:val="0"/>
        </w:numPr>
        <w:spacing w:before="120" w:after="120" w:line="288"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DR设备常规保养：</w:t>
      </w:r>
    </w:p>
    <w:p w14:paraId="11E4F810">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3.2.1.6清洁设备外观、球管、平板探测器、滤线栅等部位，清除灰尘、污渍，检查设备支架、悬吊系统连接是否牢固，有无松动、异响现象；</w:t>
      </w:r>
    </w:p>
    <w:p w14:paraId="7C15F611">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3.2.1.7检查球管运行状态，监测球管电流、电压参数，排查球管过热、漏电等潜在隐患；</w:t>
      </w:r>
    </w:p>
    <w:p w14:paraId="0F58812C">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3.2.1.8检查平板探测器运行状态，清洁探测器表面，校准探测器成像精度，排查成像模糊、残影等异常情况；</w:t>
      </w:r>
    </w:p>
    <w:p w14:paraId="70514659">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3.2.1.9检查设备高压系统、电缆连接情况，确保高压系统运行稳定，无漏电、放电现象；</w:t>
      </w:r>
    </w:p>
    <w:p w14:paraId="36642FBD">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3.2.1.10检查设备软件运行状态，清理系统缓存，协助我院更新软件补丁（如需），确保软件与设备硬件兼容，运行稳定。</w:t>
      </w:r>
    </w:p>
    <w:p w14:paraId="2CB74935">
      <w:pPr>
        <w:spacing w:before="300" w:after="120" w:line="288" w:lineRule="auto"/>
        <w:ind w:left="0"/>
        <w:jc w:val="left"/>
        <w:outlineLvl w:val="2"/>
        <w:rPr>
          <w:rFonts w:hint="eastAsia" w:ascii="宋体" w:hAnsi="宋体" w:eastAsia="宋体" w:cs="宋体"/>
          <w:sz w:val="24"/>
          <w:szCs w:val="24"/>
          <w:highlight w:val="none"/>
        </w:rPr>
      </w:pPr>
      <w:bookmarkStart w:id="345" w:name="heading_13"/>
      <w:r>
        <w:rPr>
          <w:rFonts w:hint="eastAsia" w:ascii="宋体" w:hAnsi="宋体" w:eastAsia="宋体" w:cs="宋体"/>
          <w:b/>
          <w:sz w:val="24"/>
          <w:szCs w:val="24"/>
          <w:highlight w:val="none"/>
        </w:rPr>
        <w:t>3.2.2 全面保养（每3/6个月1次，按设备年限执行）</w:t>
      </w:r>
      <w:bookmarkEnd w:id="345"/>
    </w:p>
    <w:p w14:paraId="7C270B5E">
      <w:pPr>
        <w:spacing w:before="120" w:after="120" w:line="288" w:lineRule="auto"/>
        <w:ind w:left="0" w:firstLine="482" w:firstLineChars="200"/>
        <w:jc w:val="left"/>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rPr>
        <w:t>在常规保养基础上，增加以下内容</w:t>
      </w:r>
      <w:r>
        <w:rPr>
          <w:rFonts w:hint="eastAsia" w:ascii="宋体" w:hAnsi="宋体" w:eastAsia="宋体" w:cs="宋体"/>
          <w:sz w:val="24"/>
          <w:szCs w:val="24"/>
          <w:highlight w:val="none"/>
        </w:rPr>
        <w:t>：</w:t>
      </w:r>
    </w:p>
    <w:p w14:paraId="770B4115">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3.2.2.1CT设备：拆卸设备外壳，全面清洁设备内部元器件、线路、管路，清除内部灰尘、杂物；检查球管真空度、阳极转速，校准球管发射剂量；检查探测器灵敏度，校准探测器响应参数；检查高压发生器运行状态，测试高压输出稳定性；检查扫描机架旋转精度，校准机架定位参数；对设备冷却系统、润滑系统进行全面检查，更换冷却液、润滑油（如需）；全面检测设备软件系统，优化系统参数，排查软件深层故障隐患。</w:t>
      </w:r>
    </w:p>
    <w:p w14:paraId="6B637667">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3.2.2.2DR设备：拆卸设备核心部件外壳，全面清洁内部元器件、线路连接部位；检查球管灯丝状态，校准球管曝光参数；检查平板探测器像素点，修复轻微像素异常（如需）；检查悬吊系统升降、旋转机制，调整平衡度，更换磨损部件（如轴承、皮带等）；检查高压油箱运行状态，补充绝缘油（如需）；全面校准设备成像参数，确保成像质量符合临床要求；检测设备辐射防护性能，排查辐射泄漏隐患。</w:t>
      </w:r>
    </w:p>
    <w:p w14:paraId="1690F640">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3.2.2.3保养完成后，对设备进行全面调试、试运行，确保设备各项性能指标符合原厂标准及临床使用要求，填写《设备全面保养报告》，详细记录保养内容、更换部件、调试结果等信息，经我院设备管理员、使用科室负责人签字确认后归档。</w:t>
      </w:r>
    </w:p>
    <w:p w14:paraId="56145F2E">
      <w:pPr>
        <w:spacing w:before="300" w:after="120" w:line="288" w:lineRule="auto"/>
        <w:ind w:left="0"/>
        <w:jc w:val="left"/>
        <w:outlineLvl w:val="2"/>
        <w:rPr>
          <w:rFonts w:hint="eastAsia" w:ascii="宋体" w:hAnsi="宋体" w:eastAsia="宋体" w:cs="宋体"/>
          <w:sz w:val="24"/>
          <w:szCs w:val="24"/>
          <w:highlight w:val="none"/>
        </w:rPr>
      </w:pPr>
      <w:bookmarkStart w:id="346" w:name="heading_14"/>
      <w:r>
        <w:rPr>
          <w:rFonts w:hint="eastAsia" w:ascii="宋体" w:hAnsi="宋体" w:eastAsia="宋体" w:cs="宋体"/>
          <w:b/>
          <w:sz w:val="24"/>
          <w:szCs w:val="24"/>
          <w:highlight w:val="none"/>
        </w:rPr>
        <w:t>3.2.3 深度保养（每年1/2次，按设备年限执行）</w:t>
      </w:r>
      <w:bookmarkEnd w:id="346"/>
    </w:p>
    <w:p w14:paraId="6F7FBF62">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3.2.3.1在全面保养基础上，结合设备使用年限及运行状态，开展深度保养工作：</w:t>
      </w:r>
    </w:p>
    <w:p w14:paraId="43045F46">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3.2.3.2CT设备：对球管进行全面检测、校准，评估球管剩余使用寿命，提出合理使用建议；对探测器进行深度校准、老化测试，修复轻微老化问题；检查扫描机架内部传动系统、制动系统，更换磨损严重的传动部件、制动部件；全面检测设备高压系统、控制系统，更换老化线路、元器件；协助我院对设备软件系统进行全面升级（如需），优化系统性能，确保软件与临床诊疗需求同步；对设备整体运行状态进行全面评估，出具设备运行评估报告，提出针对性的维护、使用建议。</w:t>
      </w:r>
    </w:p>
    <w:p w14:paraId="0098018E">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3.2.3.3DR设备：对球管进行深度检测，评估球管损耗情况，必要时提出更换建议（更换费用由投标方承担，含在全保服务内）；对平板探测器进行深度清洁、校准，更换探测器保护膜（如需）；全面检查悬吊系统、支架结构，进行除锈、防腐处理，更换老化、磨损的核心部件；对设备高压系统、控制系统进行全面检修，更换老化的高压部件、控制模块；全面校准设备辐射剂量，确保辐射剂量符合国家放射防护标准；对设备整体性能进行全面检测、评估，出具深度保养报告及设备性能评估报告，为我院设备管理、更新提供参考依据。</w:t>
      </w:r>
    </w:p>
    <w:p w14:paraId="7D3A0798">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3.2.3.4深度保养完成后，需邀请我院相关人员全程参与验收，设备试运行不少于72小时，确保运行稳定、性能达标，验收合格后填写《设备深度保养验收报告》，双方签字确认后归档。</w:t>
      </w:r>
    </w:p>
    <w:p w14:paraId="456DD5C8">
      <w:pPr>
        <w:spacing w:before="320" w:after="120" w:line="288" w:lineRule="auto"/>
        <w:ind w:left="0"/>
        <w:jc w:val="left"/>
        <w:outlineLvl w:val="1"/>
        <w:rPr>
          <w:rFonts w:hint="eastAsia" w:ascii="宋体" w:hAnsi="宋体" w:eastAsia="宋体" w:cs="宋体"/>
          <w:sz w:val="24"/>
          <w:szCs w:val="24"/>
          <w:highlight w:val="none"/>
        </w:rPr>
      </w:pPr>
      <w:bookmarkStart w:id="347" w:name="heading_15"/>
      <w:r>
        <w:rPr>
          <w:rFonts w:hint="eastAsia" w:ascii="宋体" w:hAnsi="宋体" w:eastAsia="宋体" w:cs="宋体"/>
          <w:b/>
          <w:sz w:val="24"/>
          <w:szCs w:val="24"/>
          <w:highlight w:val="none"/>
        </w:rPr>
        <w:t>3.3 保养服务其他要求</w:t>
      </w:r>
      <w:bookmarkEnd w:id="347"/>
    </w:p>
    <w:p w14:paraId="5EC1890A">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3.3.1保养工作需严格遵循国家医疗设备保养相关标准及西门子、飞利浦原厂保养规范，使用专用保养工具、耗材，保养耗材质量符合设备出厂标准，全部保养耗材费用由投标方承担。</w:t>
      </w:r>
    </w:p>
    <w:p w14:paraId="36693DC3">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3.3.2投标方需建立保养档案，详细记录每台设备每次保养的时间、内容、工程师、更换部件、调试结果等信息，每月汇总保养情况，向我院提交《设备保养月度报告》；每年提交《设备保养年度总结报告》，全面总结设备保养情况、设备运行状态及下一年度保养计划。</w:t>
      </w:r>
    </w:p>
    <w:p w14:paraId="2AB101AE">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3.3.3保养过程中，若发现设备存在潜在故障隐患，投标方需及时书面告知我院，提出针对性的处理建议，在我院同意后，及时开展故障排查、处理工作，避免故障扩大化，相关费用由投标方承担。</w:t>
      </w:r>
    </w:p>
    <w:p w14:paraId="71C64CE4">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3.3.4严禁投标方在保养过程中擅自更改设备参数、拆卸核心部件（需经我院书面同意后方可进行），若因违规保养导致设备损坏，投标方需承担全部维修费用及由此造成的一切损失。</w:t>
      </w:r>
    </w:p>
    <w:p w14:paraId="418815C8">
      <w:pPr>
        <w:spacing w:before="380" w:after="140" w:line="288" w:lineRule="auto"/>
        <w:ind w:left="0"/>
        <w:jc w:val="left"/>
        <w:outlineLvl w:val="0"/>
        <w:rPr>
          <w:rFonts w:hint="eastAsia" w:ascii="宋体" w:hAnsi="宋体" w:eastAsia="宋体" w:cs="宋体"/>
          <w:sz w:val="24"/>
          <w:szCs w:val="24"/>
          <w:highlight w:val="none"/>
        </w:rPr>
      </w:pPr>
      <w:bookmarkStart w:id="348" w:name="heading_16"/>
      <w:r>
        <w:rPr>
          <w:rFonts w:hint="eastAsia" w:ascii="宋体" w:hAnsi="宋体" w:eastAsia="宋体" w:cs="宋体"/>
          <w:b/>
          <w:sz w:val="24"/>
          <w:szCs w:val="24"/>
          <w:highlight w:val="none"/>
        </w:rPr>
        <w:t>四、巡检服务技术参数</w:t>
      </w:r>
      <w:bookmarkEnd w:id="348"/>
    </w:p>
    <w:p w14:paraId="2953D572">
      <w:pPr>
        <w:spacing w:before="120" w:after="120" w:line="288" w:lineRule="auto"/>
        <w:ind w:left="0" w:firstLine="482" w:firstLineChars="200"/>
        <w:jc w:val="left"/>
        <w:rPr>
          <w:rFonts w:hint="eastAsia" w:ascii="宋体" w:hAnsi="宋体" w:eastAsia="宋体" w:cs="宋体"/>
          <w:sz w:val="24"/>
          <w:szCs w:val="24"/>
          <w:highlight w:val="none"/>
          <w:lang w:val="en-US" w:eastAsia="zh-CN"/>
        </w:rPr>
      </w:pPr>
      <w:bookmarkStart w:id="349" w:name="heading_17"/>
      <w:r>
        <w:rPr>
          <w:rFonts w:hint="eastAsia" w:ascii="宋体" w:hAnsi="宋体" w:eastAsia="宋体" w:cs="宋体"/>
          <w:b/>
          <w:sz w:val="24"/>
          <w:szCs w:val="24"/>
          <w:highlight w:val="none"/>
        </w:rPr>
        <w:t>4</w:t>
      </w:r>
      <w:r>
        <w:rPr>
          <w:rFonts w:hint="eastAsia" w:ascii="宋体" w:hAnsi="宋体" w:eastAsia="宋体" w:cs="宋体"/>
          <w:sz w:val="24"/>
          <w:szCs w:val="24"/>
          <w:highlight w:val="none"/>
          <w:lang w:val="en-US" w:eastAsia="zh-CN"/>
        </w:rPr>
        <w:t>.1 巡检周期及频次</w:t>
      </w:r>
      <w:bookmarkEnd w:id="349"/>
    </w:p>
    <w:p w14:paraId="00816117">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4.1.1日常巡检：由驻场工程师负责，每日对4台设备进行1次日常巡检，重点排查设备运行状态、潜在故障隐患，做好巡检记录；</w:t>
      </w:r>
    </w:p>
    <w:p w14:paraId="7B04F175">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4.1.2专项巡检：投标方每月派遣资深专项工程师，结合设备保养情况，对4台设备开展1次专项巡检，重点检查核心部件运行状态、保养质量，排查深层故障隐患；</w:t>
      </w:r>
    </w:p>
    <w:p w14:paraId="29E8DF1E">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4.1.3季度巡检：投标方每3个月组织技术团队，对4台设备开展1次季度巡检，全面检测设备各项性能指标，评估设备运行状态，提出优化改进建议；</w:t>
      </w:r>
    </w:p>
    <w:p w14:paraId="0A6B6B43">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4.1.4年度巡检：结合设备年度检测、深度保养工作，开展1次年度巡检，全面排查设备运行隐患，评估设备整体性能，形成年度巡检报告，报我院审核。</w:t>
      </w:r>
    </w:p>
    <w:p w14:paraId="44514758">
      <w:pPr>
        <w:spacing w:before="320" w:after="120" w:line="288" w:lineRule="auto"/>
        <w:ind w:left="0"/>
        <w:jc w:val="left"/>
        <w:outlineLvl w:val="1"/>
        <w:rPr>
          <w:rFonts w:hint="eastAsia" w:ascii="宋体" w:hAnsi="宋体" w:eastAsia="宋体" w:cs="宋体"/>
          <w:sz w:val="24"/>
          <w:szCs w:val="24"/>
          <w:highlight w:val="none"/>
        </w:rPr>
      </w:pPr>
      <w:bookmarkStart w:id="350" w:name="heading_18"/>
      <w:r>
        <w:rPr>
          <w:rFonts w:hint="eastAsia" w:ascii="宋体" w:hAnsi="宋体" w:eastAsia="宋体" w:cs="宋体"/>
          <w:b/>
          <w:sz w:val="24"/>
          <w:szCs w:val="24"/>
          <w:highlight w:val="none"/>
        </w:rPr>
        <w:t>4.2 巡检内容要求</w:t>
      </w:r>
      <w:bookmarkEnd w:id="350"/>
    </w:p>
    <w:p w14:paraId="4D0DD398">
      <w:pPr>
        <w:spacing w:before="300" w:after="120" w:line="288" w:lineRule="auto"/>
        <w:ind w:left="0"/>
        <w:jc w:val="left"/>
        <w:outlineLvl w:val="2"/>
        <w:rPr>
          <w:rFonts w:hint="eastAsia" w:ascii="宋体" w:hAnsi="宋体" w:eastAsia="宋体" w:cs="宋体"/>
          <w:sz w:val="24"/>
          <w:szCs w:val="24"/>
          <w:highlight w:val="none"/>
        </w:rPr>
      </w:pPr>
      <w:bookmarkStart w:id="351" w:name="heading_19"/>
      <w:r>
        <w:rPr>
          <w:rFonts w:hint="eastAsia" w:ascii="宋体" w:hAnsi="宋体" w:eastAsia="宋体" w:cs="宋体"/>
          <w:b/>
          <w:sz w:val="24"/>
          <w:szCs w:val="24"/>
          <w:highlight w:val="none"/>
        </w:rPr>
        <w:t>4.2.1 日常巡检（每日1次）</w:t>
      </w:r>
      <w:bookmarkEnd w:id="351"/>
    </w:p>
    <w:p w14:paraId="4EC3ADAF">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4.2.1.1检查设备外观是否完好，线路、管路连接是否牢固，有无松动、破损、漏电、漏水、漏油等现象；</w:t>
      </w:r>
    </w:p>
    <w:p w14:paraId="27A19A3D">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4.2.1.2检查设备运行参数（如CT扫描参数、DR曝光参数、球管温度、冷却系统温度等）是否正常，设备有无异常噪音、异味、报警提示；</w:t>
      </w:r>
    </w:p>
    <w:p w14:paraId="10AB8BCA">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4.2.1.3检查设备操作界面是否正常，软件运行是否稳定，有无卡顿、闪退等异常情况；</w:t>
      </w:r>
    </w:p>
    <w:p w14:paraId="4ED91BE0">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4.2.1.4检查设备辐射防护设施（如铅玻璃、铅衣、防护门等）是否完好，排查辐射泄漏隐患；</w:t>
      </w:r>
    </w:p>
    <w:p w14:paraId="3B1198EF">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4.2.1.5检查设备周边环境，确保设备运行环境符合要求（温度、湿度、清洁度等），清除设备周边杂物，保障设备正常运行；</w:t>
      </w:r>
    </w:p>
    <w:p w14:paraId="07CA9161">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4.2.1.6与设备使用科室医护人员沟通，了解设备使用过程中出现的异常情况，及时排查处理，做好巡检记录及沟通记录。</w:t>
      </w:r>
    </w:p>
    <w:p w14:paraId="540DD087">
      <w:pPr>
        <w:spacing w:before="300" w:after="120" w:line="288" w:lineRule="auto"/>
        <w:ind w:left="0"/>
        <w:jc w:val="left"/>
        <w:outlineLvl w:val="2"/>
        <w:rPr>
          <w:rFonts w:hint="eastAsia" w:ascii="宋体" w:hAnsi="宋体" w:eastAsia="宋体" w:cs="宋体"/>
          <w:sz w:val="24"/>
          <w:szCs w:val="24"/>
          <w:highlight w:val="none"/>
        </w:rPr>
      </w:pPr>
      <w:bookmarkStart w:id="352" w:name="heading_20"/>
      <w:r>
        <w:rPr>
          <w:rFonts w:hint="eastAsia" w:ascii="宋体" w:hAnsi="宋体" w:eastAsia="宋体" w:cs="宋体"/>
          <w:b/>
          <w:sz w:val="24"/>
          <w:szCs w:val="24"/>
          <w:highlight w:val="none"/>
        </w:rPr>
        <w:t>4.2.2 专项巡检（每月1次）</w:t>
      </w:r>
      <w:bookmarkEnd w:id="352"/>
    </w:p>
    <w:p w14:paraId="7C306531">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4.2.2.1在日常巡检基础上，重点检查设备核心部件（CT球管、探测器、高压发生器；DR球管、平板探测器等）运行状态，监测核心部件运行参数，评估部件损耗情况；</w:t>
      </w:r>
    </w:p>
    <w:p w14:paraId="615E5C0E">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4.2.2.2检查设备保养质量，排查保养过程中遗漏的故障隐患，对保养后的设备部件进行二次检测、校准；</w:t>
      </w:r>
    </w:p>
    <w:p w14:paraId="45D4D95B">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4.2.2.3检查设备备件库存情况，补充常用易损件（如需），确保备件供应充足；</w:t>
      </w:r>
    </w:p>
    <w:p w14:paraId="02910F25">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4.2.2.4对设备运行数据进行采集、分析，排查设备运行过程中的异常数据，提出针对性的优化建议；</w:t>
      </w:r>
    </w:p>
    <w:p w14:paraId="41E2CFE2">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4.2.2.5填写《设备专项巡检报告》，详细记录巡检内容、发现的问题、处理结果及优化建议，报我院设备管理员审核归档。</w:t>
      </w:r>
    </w:p>
    <w:p w14:paraId="4DAC09A2">
      <w:pPr>
        <w:spacing w:before="300" w:after="120" w:line="288" w:lineRule="auto"/>
        <w:ind w:left="0"/>
        <w:jc w:val="left"/>
        <w:outlineLvl w:val="2"/>
        <w:rPr>
          <w:rFonts w:hint="eastAsia" w:ascii="宋体" w:hAnsi="宋体" w:eastAsia="宋体" w:cs="宋体"/>
          <w:sz w:val="24"/>
          <w:szCs w:val="24"/>
          <w:highlight w:val="none"/>
        </w:rPr>
      </w:pPr>
      <w:bookmarkStart w:id="353" w:name="heading_21"/>
      <w:r>
        <w:rPr>
          <w:rFonts w:hint="eastAsia" w:ascii="宋体" w:hAnsi="宋体" w:eastAsia="宋体" w:cs="宋体"/>
          <w:b/>
          <w:sz w:val="24"/>
          <w:szCs w:val="24"/>
          <w:highlight w:val="none"/>
        </w:rPr>
        <w:t>4.2.3 季度巡检（每3个月1次）</w:t>
      </w:r>
      <w:bookmarkEnd w:id="353"/>
    </w:p>
    <w:p w14:paraId="407DA265">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4.2.3.1全面检测4台设备的各项性能指标，包括CT扫描精度、成像质量、辐射剂量；DR成像精度、曝光稳定性、辐射防护性能等，确保各项指标符合国家相关标准及临床使用要求；</w:t>
      </w:r>
    </w:p>
    <w:p w14:paraId="455076D1">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4.2.3.2对设备故障处理情况、保养情况进行汇总分析，排查设备频繁出现故障的原因，提出长效改进措施；</w:t>
      </w:r>
    </w:p>
    <w:p w14:paraId="4D7D42A1">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4.2.3.3检查驻场工程师日常巡检、保养工作落实情况，评估服务质量，及时整改存在的问题；</w:t>
      </w:r>
    </w:p>
    <w:p w14:paraId="0C9ED4E2">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4.2.3.4与我院设备管理部门、使用科室开展沟通座谈会，了解我院对维保服务的需求及建议，优化服务方案；</w:t>
      </w:r>
    </w:p>
    <w:p w14:paraId="51A552FB">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4.2.3.5形成《设备季度巡检报告》，详细记录巡检结果、设备运行评估、存在的问题及改进措施，报我院相关部门审核归档。</w:t>
      </w:r>
    </w:p>
    <w:p w14:paraId="6216A207">
      <w:pPr>
        <w:spacing w:before="300" w:after="120" w:line="288" w:lineRule="auto"/>
        <w:ind w:left="0"/>
        <w:jc w:val="left"/>
        <w:outlineLvl w:val="2"/>
        <w:rPr>
          <w:rFonts w:hint="eastAsia" w:ascii="宋体" w:hAnsi="宋体" w:eastAsia="宋体" w:cs="宋体"/>
          <w:sz w:val="24"/>
          <w:szCs w:val="24"/>
          <w:highlight w:val="none"/>
        </w:rPr>
      </w:pPr>
      <w:bookmarkStart w:id="354" w:name="heading_22"/>
      <w:r>
        <w:rPr>
          <w:rFonts w:hint="eastAsia" w:ascii="宋体" w:hAnsi="宋体" w:eastAsia="宋体" w:cs="宋体"/>
          <w:b/>
          <w:sz w:val="24"/>
          <w:szCs w:val="24"/>
          <w:highlight w:val="none"/>
        </w:rPr>
        <w:t>4.2.4 年度巡检（每年1次）</w:t>
      </w:r>
      <w:bookmarkEnd w:id="354"/>
    </w:p>
    <w:p w14:paraId="5C1F7735">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4.2.4.1结合设备年度检测、深度保养工作，全面排查设备运行隐患，评估设备整体运行状态及使用寿命；</w:t>
      </w:r>
    </w:p>
    <w:p w14:paraId="05ED2A59">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4.2.4.2对设备全年故障处理、保养、巡检情况进行全面汇总分析，形成年度运行分析报告；</w:t>
      </w:r>
    </w:p>
    <w:p w14:paraId="3428AD9A">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4.2.4.3根据设备运行状态，提出下一年度巡检、保养优化计划，报我院审核；</w:t>
      </w:r>
    </w:p>
    <w:p w14:paraId="694C0127">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4.2.4.3填写《设备年度巡检报告》，经投标方技术负责人、我院设备管理员、使用科室负责人签字确认后归档。</w:t>
      </w:r>
    </w:p>
    <w:p w14:paraId="6DB5C54E">
      <w:pPr>
        <w:spacing w:before="320" w:after="120" w:line="288" w:lineRule="auto"/>
        <w:ind w:left="0"/>
        <w:jc w:val="left"/>
        <w:outlineLvl w:val="1"/>
        <w:rPr>
          <w:rFonts w:hint="eastAsia" w:ascii="宋体" w:hAnsi="宋体" w:eastAsia="宋体" w:cs="宋体"/>
          <w:sz w:val="24"/>
          <w:szCs w:val="24"/>
          <w:highlight w:val="none"/>
        </w:rPr>
      </w:pPr>
      <w:bookmarkStart w:id="355" w:name="heading_23"/>
      <w:r>
        <w:rPr>
          <w:rFonts w:hint="eastAsia" w:ascii="宋体" w:hAnsi="宋体" w:eastAsia="宋体" w:cs="宋体"/>
          <w:b/>
          <w:sz w:val="24"/>
          <w:szCs w:val="24"/>
          <w:highlight w:val="none"/>
        </w:rPr>
        <w:t>4.3 巡检服务其他要求</w:t>
      </w:r>
      <w:bookmarkEnd w:id="355"/>
    </w:p>
    <w:p w14:paraId="6EF34940">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4.3.1驻场工程师需严格按照巡检计划开展日常巡检工作，不得擅自遗漏、拖延巡检任务，巡检记录需真实、完整、详细，不得弄虚作假；</w:t>
      </w:r>
    </w:p>
    <w:p w14:paraId="28F5973B">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4.3.2巡检过程中发现设备故障隐患，需及时排查处理，无法现场解决的，需立即上报投标方技术团队及我院设备管理员，启动故障响应机制，避免故障扩大化；</w:t>
      </w:r>
    </w:p>
    <w:p w14:paraId="5489437C">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4.3.3投标方需建立巡检档案，汇总每台设备的巡检记录、巡检报告，每月、每季度、每年按时向我院提交巡检汇总报告；</w:t>
      </w:r>
    </w:p>
    <w:p w14:paraId="7D0F4D8D">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4.3.4我院有权对投标方的巡检工作进行监督、检查，若发现巡检工作不到位、记录不完整等问题，投标方需在我院规定时间内整改，整改费用由投标方承担，若多次整改不合格，我院有权扣除相应服务费用，直至终止服务合同。</w:t>
      </w:r>
    </w:p>
    <w:p w14:paraId="6E771504">
      <w:pPr>
        <w:spacing w:before="380" w:after="140" w:line="288" w:lineRule="auto"/>
        <w:ind w:left="0"/>
        <w:jc w:val="left"/>
        <w:outlineLvl w:val="0"/>
        <w:rPr>
          <w:rFonts w:hint="eastAsia" w:ascii="宋体" w:hAnsi="宋体" w:eastAsia="宋体" w:cs="宋体"/>
          <w:sz w:val="24"/>
          <w:szCs w:val="24"/>
          <w:highlight w:val="none"/>
        </w:rPr>
      </w:pPr>
      <w:bookmarkStart w:id="356" w:name="heading_24"/>
      <w:r>
        <w:rPr>
          <w:rFonts w:hint="eastAsia" w:ascii="宋体" w:hAnsi="宋体" w:eastAsia="宋体" w:cs="宋体"/>
          <w:b/>
          <w:sz w:val="24"/>
          <w:szCs w:val="24"/>
          <w:highlight w:val="none"/>
        </w:rPr>
        <w:t>五、年度检测服务技术参数</w:t>
      </w:r>
      <w:bookmarkEnd w:id="356"/>
    </w:p>
    <w:p w14:paraId="4FF73F4D">
      <w:pPr>
        <w:spacing w:before="320" w:after="120" w:line="288" w:lineRule="auto"/>
        <w:ind w:left="0"/>
        <w:jc w:val="left"/>
        <w:outlineLvl w:val="1"/>
        <w:rPr>
          <w:rFonts w:hint="eastAsia" w:ascii="宋体" w:hAnsi="宋体" w:eastAsia="宋体" w:cs="宋体"/>
          <w:sz w:val="24"/>
          <w:szCs w:val="24"/>
          <w:highlight w:val="none"/>
        </w:rPr>
      </w:pPr>
      <w:bookmarkStart w:id="357" w:name="heading_25"/>
      <w:r>
        <w:rPr>
          <w:rFonts w:hint="eastAsia" w:ascii="宋体" w:hAnsi="宋体" w:eastAsia="宋体" w:cs="宋体"/>
          <w:b/>
          <w:sz w:val="24"/>
          <w:szCs w:val="24"/>
          <w:highlight w:val="none"/>
        </w:rPr>
        <w:t>5.1 检测范围及频次</w:t>
      </w:r>
      <w:bookmarkEnd w:id="357"/>
    </w:p>
    <w:p w14:paraId="7B6A75B5">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方需承担本项目4台放射类设备（2台CT、2台DR）的年度检测工作，包括放射类性能检测及现场检测，每年开展1次，检测时间需提前与我院沟通确定，优先选择非诊疗时段开展，确保不影响我院正常诊疗工作；检测费用（含检测人员、设备、试剂、报告等全部相关费用）均由投标方承担，我院不额外支付任何费用。</w:t>
      </w:r>
    </w:p>
    <w:p w14:paraId="0024F400">
      <w:pPr>
        <w:spacing w:before="320" w:after="120" w:line="288" w:lineRule="auto"/>
        <w:ind w:left="0"/>
        <w:jc w:val="left"/>
        <w:outlineLvl w:val="1"/>
        <w:rPr>
          <w:rFonts w:hint="eastAsia" w:ascii="宋体" w:hAnsi="宋体" w:eastAsia="宋体" w:cs="宋体"/>
          <w:sz w:val="24"/>
          <w:szCs w:val="24"/>
          <w:highlight w:val="none"/>
        </w:rPr>
      </w:pPr>
      <w:bookmarkStart w:id="358" w:name="heading_26"/>
      <w:r>
        <w:rPr>
          <w:rFonts w:hint="eastAsia" w:ascii="宋体" w:hAnsi="宋体" w:eastAsia="宋体" w:cs="宋体"/>
          <w:b/>
          <w:sz w:val="24"/>
          <w:szCs w:val="24"/>
          <w:highlight w:val="none"/>
        </w:rPr>
        <w:t>5.2 检测标准及要求</w:t>
      </w:r>
      <w:bookmarkEnd w:id="358"/>
    </w:p>
    <w:p w14:paraId="0CAC3487">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5.2.1检测工作需严格遵循《医用X射线诊断设备质量控制检测规范》（WS 76-2020）、《医用CT设备质量控制检测规范》等国家卫生行业标准及西门子、飞利浦原厂检测规范，由具备相应资质的检测机构及检测人员开展操作，检测人员需持有放射类设备检测资格证书。</w:t>
      </w:r>
    </w:p>
    <w:p w14:paraId="37677FEA">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5.2.2检测机构需具备国家认可的放射类设备检测资质（提供资质证书复印件，加盖公章，原件备查），检测设备需经校准合格，符合检测标准要求，提供检测设备校准证书。</w:t>
      </w:r>
    </w:p>
    <w:p w14:paraId="72B598CF">
      <w:pPr>
        <w:spacing w:before="320" w:after="120" w:line="288" w:lineRule="auto"/>
        <w:ind w:left="0"/>
        <w:jc w:val="left"/>
        <w:outlineLvl w:val="1"/>
        <w:rPr>
          <w:rFonts w:hint="eastAsia" w:ascii="宋体" w:hAnsi="宋体" w:eastAsia="宋体" w:cs="宋体"/>
          <w:sz w:val="24"/>
          <w:szCs w:val="24"/>
          <w:highlight w:val="none"/>
        </w:rPr>
      </w:pPr>
      <w:bookmarkStart w:id="359" w:name="heading_27"/>
      <w:r>
        <w:rPr>
          <w:rFonts w:hint="eastAsia" w:ascii="宋体" w:hAnsi="宋体" w:eastAsia="宋体" w:cs="宋体"/>
          <w:b/>
          <w:sz w:val="24"/>
          <w:szCs w:val="24"/>
          <w:highlight w:val="none"/>
        </w:rPr>
        <w:t>5.3 具体检测内容</w:t>
      </w:r>
      <w:bookmarkEnd w:id="359"/>
    </w:p>
    <w:p w14:paraId="4EFE5DFD">
      <w:pPr>
        <w:spacing w:before="300" w:after="120" w:line="288" w:lineRule="auto"/>
        <w:ind w:left="0"/>
        <w:jc w:val="left"/>
        <w:outlineLvl w:val="2"/>
        <w:rPr>
          <w:rFonts w:hint="eastAsia" w:ascii="宋体" w:hAnsi="宋体" w:eastAsia="宋体" w:cs="宋体"/>
          <w:sz w:val="24"/>
          <w:szCs w:val="24"/>
          <w:highlight w:val="none"/>
        </w:rPr>
      </w:pPr>
      <w:bookmarkStart w:id="360" w:name="heading_28"/>
      <w:r>
        <w:rPr>
          <w:rFonts w:hint="eastAsia" w:ascii="宋体" w:hAnsi="宋体" w:eastAsia="宋体" w:cs="宋体"/>
          <w:b/>
          <w:sz w:val="24"/>
          <w:szCs w:val="24"/>
          <w:highlight w:val="none"/>
        </w:rPr>
        <w:t>5.3.1 CT设备年度检测（放射类性能检测+现场检测）</w:t>
      </w:r>
      <w:bookmarkEnd w:id="360"/>
    </w:p>
    <w:p w14:paraId="403DFF39">
      <w:pPr>
        <w:numPr>
          <w:ilvl w:val="0"/>
          <w:numId w:val="0"/>
        </w:numPr>
        <w:spacing w:before="120" w:after="120" w:line="288" w:lineRule="auto"/>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rPr>
        <w:t>放射类性能检测：</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w:t>
      </w:r>
    </w:p>
    <w:p w14:paraId="7D71F8C9">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5.3.1.1辐射剂量检测：包括CT剂量指数（CTDI）、剂量长度乘积（DLP）、有效剂量等，确保辐射剂量符合国家放射防护标准，不超过规定限值；</w:t>
      </w:r>
    </w:p>
    <w:p w14:paraId="1B94D7B3">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5.3.1.2成像性能检测：包括空间分辨率、低对比度分辨率、密度分辨率、图像均匀性、图像噪声等，确保成像质量符合临床诊疗要求；</w:t>
      </w:r>
    </w:p>
    <w:p w14:paraId="3B0013C6">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5.3.1.3球管性能检测：包括球管管电压、管电流稳定性，球管曝光剂量准确性，评估球管运行状态及损耗情况；</w:t>
      </w:r>
    </w:p>
    <w:p w14:paraId="3C85F361">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5.3.1.4探测器性能检测：包括探测器灵敏度、响应速度、像素点完整性等，确保探测器运行正常，无异常像素点、响应延迟等问题。</w:t>
      </w:r>
    </w:p>
    <w:p w14:paraId="1EBE4FB6">
      <w:pPr>
        <w:spacing w:before="120" w:after="120" w:line="288" w:lineRule="auto"/>
        <w:ind w:left="0"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现场检测：</w:t>
      </w:r>
    </w:p>
    <w:p w14:paraId="4A84D91C">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5.3.1.5设备运行状态检测：现场检测设备整体运行稳定性，排查设备运行过程中的异常噪音、异味、报警等情况；</w:t>
      </w:r>
    </w:p>
    <w:p w14:paraId="5345816C">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5.3.1.6安全性能检测：包括设备接地电阻、漏电保护、高压系统绝缘性能等，确保设备运行安全，无漏电、高压泄漏等安全隐患；</w:t>
      </w:r>
    </w:p>
    <w:p w14:paraId="6D503E4C">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5.3.1.7辐射防护检测：检测设备机房辐射泄漏剂量，检查辐射防护设施（铅玻璃、铅衣、防护门等）的防护性能，确保符合国家放射防护标准，保障医护人员及患者人身安全；</w:t>
      </w:r>
    </w:p>
    <w:p w14:paraId="3612E0DE">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5.3.1.8设备参数校准：现场对设备运行参数、成像参数、辐射剂量参数等进行全面校准，确保参数准确，符合临床使用要求；</w:t>
      </w:r>
    </w:p>
    <w:p w14:paraId="485481D1">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5.3.1.9设备软件检测：检测设备软件运行状态，排查软件异常、卡顿、闪退等问题，优化软件运行参数，确保软件与硬件兼容，运行稳定。</w:t>
      </w:r>
    </w:p>
    <w:p w14:paraId="61E3E21A">
      <w:pPr>
        <w:spacing w:before="300" w:after="120" w:line="288" w:lineRule="auto"/>
        <w:ind w:left="0"/>
        <w:jc w:val="left"/>
        <w:outlineLvl w:val="2"/>
        <w:rPr>
          <w:rFonts w:hint="eastAsia" w:ascii="宋体" w:hAnsi="宋体" w:eastAsia="宋体" w:cs="宋体"/>
          <w:sz w:val="24"/>
          <w:szCs w:val="24"/>
          <w:highlight w:val="none"/>
        </w:rPr>
      </w:pPr>
      <w:bookmarkStart w:id="361" w:name="heading_29"/>
      <w:r>
        <w:rPr>
          <w:rFonts w:hint="eastAsia" w:ascii="宋体" w:hAnsi="宋体" w:eastAsia="宋体" w:cs="宋体"/>
          <w:b/>
          <w:sz w:val="24"/>
          <w:szCs w:val="24"/>
          <w:highlight w:val="none"/>
        </w:rPr>
        <w:t>5.3.2 DR设备年度检测（放射类性能检测+现场检测）</w:t>
      </w:r>
      <w:bookmarkEnd w:id="361"/>
    </w:p>
    <w:p w14:paraId="0EBAF06A">
      <w:pPr>
        <w:spacing w:before="120" w:after="120" w:line="288" w:lineRule="auto"/>
        <w:ind w:left="0" w:firstLine="482" w:firstLineChars="200"/>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放射类性能检测：</w:t>
      </w:r>
    </w:p>
    <w:p w14:paraId="75371DB5">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5.3.2.1辐射剂量检测：包括曝光剂量、剂量率等，确保辐射剂量符合国家放射防护标准，不超过规定限值；</w:t>
      </w:r>
    </w:p>
    <w:p w14:paraId="061124F7">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5.3.2.2成像性能检测：包括空间分辨率、对比度分辨率、图像清晰度、残影、伪影等，确保成像质量清晰、稳定，符合临床诊疗要求；</w:t>
      </w:r>
    </w:p>
    <w:p w14:paraId="1339AF30">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5.3.2.3球管性能检测：包括球管管电压、管电流稳定性，曝光时间准确性，灯丝状态等，评估球管运行状态及损耗情况；</w:t>
      </w:r>
    </w:p>
    <w:p w14:paraId="1296213B">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5.3.2.4平板探测器性能检测：包括探测器灵敏度、成像速度、像素点完整性、动态范围等，确保探测器运行正常，成像质量稳定。</w:t>
      </w:r>
    </w:p>
    <w:p w14:paraId="089CA3A3">
      <w:pPr>
        <w:numPr>
          <w:ilvl w:val="0"/>
          <w:numId w:val="0"/>
        </w:numPr>
        <w:spacing w:before="120" w:after="120" w:line="288" w:lineRule="auto"/>
        <w:ind w:firstLine="241" w:firstLineChars="1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现场检测</w:t>
      </w:r>
      <w:r>
        <w:rPr>
          <w:rFonts w:hint="eastAsia" w:ascii="宋体" w:hAnsi="宋体" w:eastAsia="宋体" w:cs="宋体"/>
          <w:b/>
          <w:bCs/>
          <w:sz w:val="24"/>
          <w:szCs w:val="24"/>
          <w:highlight w:val="none"/>
        </w:rPr>
        <w:t>：</w:t>
      </w:r>
    </w:p>
    <w:p w14:paraId="18652046">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5.3.2.5设备运行状态检测：现场检测设备整体运行稳定性，排查设备支架、悬吊系统运行异常，球管、探测器运行异常等情况；</w:t>
      </w:r>
    </w:p>
    <w:p w14:paraId="4ACC3A56">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5.3.2.6安全性能检测：包括设备接地电阻、漏电保护、高压系统绝缘性能等，确保设备运行安全，无漏电、高压泄漏等安全隐患；</w:t>
      </w:r>
    </w:p>
    <w:p w14:paraId="2E1384CE">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5.3.2.7辐射防护检测：检测设备机房辐射泄漏剂量，检查辐射防护设施的防护性能，确保符合国家放射防护标准，保障医护人员及患者人身安全；</w:t>
      </w:r>
    </w:p>
    <w:p w14:paraId="1241E874">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5.3.2.8设备参数校准：现场对设备曝光参数、成像参数、辐射剂量参数等进行全面校准，确保参数准确，符合临床使用要求；</w:t>
      </w:r>
    </w:p>
    <w:p w14:paraId="7941B996">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5.3.2.9设备机械性能检测：检测设备支架、悬吊系统的升降、旋转灵活性，定位精度，平衡度等，确保机械性能正常，操作便捷。</w:t>
      </w:r>
    </w:p>
    <w:p w14:paraId="353B1434">
      <w:pPr>
        <w:spacing w:before="320" w:after="120" w:line="288" w:lineRule="auto"/>
        <w:ind w:left="0"/>
        <w:jc w:val="left"/>
        <w:outlineLvl w:val="1"/>
        <w:rPr>
          <w:rFonts w:hint="eastAsia" w:ascii="宋体" w:hAnsi="宋体" w:eastAsia="宋体" w:cs="宋体"/>
          <w:sz w:val="24"/>
          <w:szCs w:val="24"/>
          <w:highlight w:val="none"/>
        </w:rPr>
      </w:pPr>
      <w:bookmarkStart w:id="362" w:name="heading_30"/>
      <w:r>
        <w:rPr>
          <w:rFonts w:hint="eastAsia" w:ascii="宋体" w:hAnsi="宋体" w:eastAsia="宋体" w:cs="宋体"/>
          <w:b/>
          <w:sz w:val="24"/>
          <w:szCs w:val="24"/>
          <w:highlight w:val="none"/>
        </w:rPr>
        <w:t>5.4 检测报告要求</w:t>
      </w:r>
      <w:bookmarkEnd w:id="362"/>
    </w:p>
    <w:p w14:paraId="1F3760E0">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5.4.1检测工作完成后，投标方需在15个工作日内，向我院提交4台设备的《年度放射类性能检测报告》及《现场检测报告》，报告需加盖检测机构公章及投标方公章，内容真实、完整、详细，包括检测项目、检测方法、检测数据、检测结果、合格情况、优化建议等信息，同时提供检测人员资质证书、检测设备校准证书复印件。</w:t>
      </w:r>
    </w:p>
    <w:p w14:paraId="1E54D4A5">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5.4.2若检测结果不合格，投标方需在我院规定时间内，针对不合格项目开展整改工作，整改完成后重新组织检测，直至检测合格，重新提交检测报告，相关整改、复检费用均由投标方承担；若因设备自身故障导致检测不合格，投标方需按照本参数维修服务要求，免费开展故障维修工作，确保设备检测合格。</w:t>
      </w:r>
    </w:p>
    <w:p w14:paraId="116D6040">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5.4.2检测报告需归档留存，投标方需配合我院完成设备检测相关备案工作，提供所需的全部检测资料。</w:t>
      </w:r>
    </w:p>
    <w:p w14:paraId="4840151B">
      <w:pPr>
        <w:spacing w:before="380" w:after="140" w:line="288" w:lineRule="auto"/>
        <w:ind w:left="0"/>
        <w:jc w:val="left"/>
        <w:outlineLvl w:val="0"/>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rPr>
        <w:t>、技术培训及技术支持</w:t>
      </w:r>
    </w:p>
    <w:p w14:paraId="35660F69">
      <w:pPr>
        <w:spacing w:before="320" w:after="120" w:line="288" w:lineRule="auto"/>
        <w:ind w:left="0"/>
        <w:jc w:val="left"/>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.1 技术培训</w:t>
      </w:r>
    </w:p>
    <w:p w14:paraId="3F037473">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6.1.1培训内容：投标方需结合我院医护人员、设备管理员的实际需求，开展针对性的技术培训，培训内容包括设备基本结构、工作原理、日常操作规范、简单故障排查方法、日常保养技巧、辐射防护知识等，确保我院相关人员能够熟练规范操作设备，掌握基本的故障排查及保养方法。</w:t>
      </w:r>
    </w:p>
    <w:p w14:paraId="139F3D1A">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6.1.2培训频次及要求：服务期间，每年开展不少于2次集中技术培训，每次培训时长不少于3小时，培训人员需覆盖我院放射科医护人员、设备管理员；同时提供个性化培训服务，根据我院需求，随时开展一对一培训、现场指导。</w:t>
      </w:r>
    </w:p>
    <w:p w14:paraId="61C4CFF2">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6.1.3培训资料：投标方需提供培训资料，培训资料需通俗易懂、针对性强，适合我院相关人员学习使用。</w:t>
      </w:r>
    </w:p>
    <w:p w14:paraId="3FAFBEC0">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6.1.4培训考核：培训完成后，投标方需组织培训考核，确保我院相关人员掌握培训内容，考核合格后，颁发培训合格证书；考核不合格的，投标方需免费组织二次培训，直至考核合格。</w:t>
      </w:r>
    </w:p>
    <w:p w14:paraId="272A7B98">
      <w:pPr>
        <w:spacing w:before="320" w:after="120" w:line="288" w:lineRule="auto"/>
        <w:ind w:left="0"/>
        <w:jc w:val="left"/>
        <w:outlineLvl w:val="1"/>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6</w:t>
      </w:r>
      <w:r>
        <w:rPr>
          <w:rFonts w:hint="eastAsia" w:ascii="宋体" w:hAnsi="宋体" w:eastAsia="宋体" w:cs="宋体"/>
          <w:b/>
          <w:sz w:val="24"/>
          <w:szCs w:val="24"/>
          <w:highlight w:val="none"/>
        </w:rPr>
        <w:t>.2 技术支持</w:t>
      </w:r>
    </w:p>
    <w:p w14:paraId="530657BE">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6.2.1远程技术支持：投标方需提供7×24小时远程技术支持服务，设立专属技术支持热线，安排资深技术工程师负责，接到我院技术咨询、故障求助后，立即响应，通过电话、远程操控等方式，协助驻场工程师及我院相关人员解决设备运行、操作过程中出现的问题。</w:t>
      </w:r>
    </w:p>
    <w:p w14:paraId="1C39EAF7">
      <w:pPr>
        <w:spacing w:before="120" w:after="120" w:line="288" w:lineRule="auto"/>
        <w:ind w:left="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6.2.2现场技术支持：除驻场工程师外，投标方需建立专项技术支持团队，针对复杂故障、技术难题，及时派遣资深专项工程师抵达我院现场提供技术支持，确保问题得到快速解决。</w:t>
      </w:r>
    </w:p>
    <w:p w14:paraId="1F8A45D5">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6.2.3技术升级支持：服务期间，若设备原厂发布软件升级、技术优化等相关通知，投标方需及时告知我院，在我院同意后，协助我院为设备开展软件升级、技术优化服务，确保设备性能与原厂同步，满足临床诊疗需求。</w:t>
      </w:r>
    </w:p>
    <w:p w14:paraId="55FCA666">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6.2.4技术咨询服务：投标方需为我院提供长期技术咨询服务，针对设备管理、使用、维保等方面的问题，及时提供专业、合理的建议，协助我院做好设备管理工作。</w:t>
      </w:r>
    </w:p>
    <w:p w14:paraId="75735876">
      <w:pPr>
        <w:spacing w:before="380" w:after="140" w:line="288" w:lineRule="auto"/>
        <w:ind w:left="0"/>
        <w:jc w:val="left"/>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、运维档案管理</w:t>
      </w:r>
    </w:p>
    <w:p w14:paraId="1B9BB971">
      <w:pPr>
        <w:spacing w:before="320" w:after="120" w:line="288" w:lineRule="auto"/>
        <w:ind w:left="0"/>
        <w:jc w:val="left"/>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.1 档案建立</w:t>
      </w:r>
    </w:p>
    <w:p w14:paraId="652750EE">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方需为4台设备分别建立完整的运维档案，档案内容包括设备基本信息（型号、购置年份、出厂编号、安装调试报告等）、维保合同、故障维修记录、保养记录、巡检记录、年度检测报告、备件更换记录、技术培训记录、设备运行评估报告等，确保档案内容真实、完整、详细，能够全面反映设备运行及维保情况。</w:t>
      </w:r>
    </w:p>
    <w:p w14:paraId="54697B6A">
      <w:pPr>
        <w:spacing w:before="120" w:after="120" w:line="288" w:lineRule="auto"/>
        <w:ind w:left="0" w:firstLine="482"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lang w:val="en-US" w:eastAsia="zh-CN"/>
        </w:rPr>
        <w:t xml:space="preserve"> 档案管理及更新</w:t>
      </w:r>
    </w:p>
    <w:p w14:paraId="72C47FB0">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7.2.1运维档案由驻场工程师负责日常整理、更新，每次故障维修、保养、巡检、检测工作完成后，需及时将相关记录、报告归档，确保档案内容与设备实际运行、维保情况同步。</w:t>
      </w:r>
    </w:p>
    <w:p w14:paraId="368EA926">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7.2.2档案需采用纸质版+电子版双重存档方式，纸质版档案需装订整齐，存放在我院指定位置，便于查阅；电子版档案需备份留存，定期更新，确保档案安全、可追溯。</w:t>
      </w:r>
    </w:p>
    <w:p w14:paraId="6042BDAD">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7.2.3每月、每季度、每年，投标方需结合运维档案，向我院提交设备运维汇总报告，全面汇总设备运行、故障处理、保养、巡检、检测等情况。</w:t>
      </w:r>
    </w:p>
    <w:p w14:paraId="46EA1B5D">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7.2.4服务期限届满后，投标方需将完整的运维档案（纸质版+电子版）移交我院，确保档案齐全、无遗漏。</w:t>
      </w:r>
    </w:p>
    <w:p w14:paraId="2E8F403D">
      <w:pPr>
        <w:spacing w:before="380" w:after="140" w:line="288" w:lineRule="auto"/>
        <w:ind w:left="0"/>
        <w:jc w:val="left"/>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、服务质量考核及验收</w:t>
      </w:r>
    </w:p>
    <w:p w14:paraId="51D2E70C">
      <w:pPr>
        <w:spacing w:before="320" w:after="120" w:line="288" w:lineRule="auto"/>
        <w:ind w:left="0"/>
        <w:jc w:val="left"/>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.1 服务质量考核</w:t>
      </w:r>
    </w:p>
    <w:p w14:paraId="3879F2B6">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8.1.1我院将建立服务质量考核机制，每月对投标方的维保服务质量进行考核，考核内容包括故障响应及时性、故障修复率、保养巡检落实情况、驻场工程师工作表现、技术培训质量、年度检测完成情况、运维档案管理情况等，考核满分100分，考核合格分数线为90分。</w:t>
      </w:r>
    </w:p>
    <w:p w14:paraId="27BB2BD7">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8.1.2若当月考核得分≥90分，视为服务合格；若当月考核得分＜90分，视为服务不合格，投标方需在我院规定时间内整改，整改完成后，我院重新组织考核；若连续2个月考核不合格，我院有权扣除当月5%的服务费用；若连续3个月考核不合格，我院有权终止服务合同，投标方需承担由此造成的一切损失。</w:t>
      </w:r>
    </w:p>
    <w:p w14:paraId="57807BA3">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8.1.3服务期满后，我院将对投标方的整体服务质量进行全面考核，考核合格的，方可办理服务验收手续；考核不合格的，投标方需限期整改，直至考核合格，整改费用由投标方承担。</w:t>
      </w:r>
    </w:p>
    <w:p w14:paraId="52294D0F">
      <w:pPr>
        <w:spacing w:before="320" w:after="120" w:line="288" w:lineRule="auto"/>
        <w:ind w:left="0"/>
        <w:jc w:val="left"/>
        <w:outlineLvl w:val="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.2 服务验收</w:t>
      </w:r>
    </w:p>
    <w:p w14:paraId="091E8ED2">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8.2.1日常验收：每次故障维修、保养、巡检、检测工作完成后，我院设备管理员、使用科室负责人需对服务质量进行现场验收，验收合格后，在相关记录、报告上签字确认；验收不合格的，投标方需重新开展相关工作，直至验收合格。</w:t>
      </w:r>
    </w:p>
    <w:p w14:paraId="6ECB9EE1">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8.2.2月度验收：每月月底，我院将对投标方当月的维保服务工作进行全面验收，结合当月考核情况、运维记录，验收合格后，签署月度验收报告；验收不合格的，投标方需限期整改，重新验收。</w:t>
      </w:r>
    </w:p>
    <w:p w14:paraId="535D61B1">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8.2.3年度验收：每年年底，我院将对投标方当年的维保服务工作进行全面验收，结合年度考核情况、年度检测报告、运维汇总报告等资料，验收合格后，签署年度验收报告；验收不合格的，投标方需限期整改，重新验收。</w:t>
      </w:r>
    </w:p>
    <w:p w14:paraId="59E5C31B">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8.2.4整体验收：服务期限届满后，我院将对投标方2年的维保服务工作进行整体验收，结合年度验收报告、运维档案、设备运行状态等资料，验收合格后，签署整体验收报告；验收不合格的，投标方需承担相应的违约责任，限期整改，直至验收合格。</w:t>
      </w:r>
    </w:p>
    <w:p w14:paraId="0F872555">
      <w:pPr>
        <w:spacing w:before="380" w:after="140" w:line="288" w:lineRule="auto"/>
        <w:ind w:left="0"/>
        <w:jc w:val="left"/>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九、补充条款</w:t>
      </w:r>
    </w:p>
    <w:p w14:paraId="55A8F234">
      <w:pPr>
        <w:spacing w:before="120" w:after="120" w:line="288" w:lineRule="auto"/>
        <w:ind w:lef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主机设备</w:t>
      </w:r>
    </w:p>
    <w:p w14:paraId="2627DEB2">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1.西门子 64 排 CT、16 排 CT；西门子 DR、飞利浦 DR 整机全保。</w:t>
      </w:r>
    </w:p>
    <w:p w14:paraId="1D64FD97">
      <w:pPr>
        <w:spacing w:before="120" w:after="120" w:line="288" w:lineRule="auto"/>
        <w:ind w:left="0" w:firstLine="482"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核心部件（全部包含</w:t>
      </w:r>
      <w:r>
        <w:rPr>
          <w:rFonts w:hint="eastAsia" w:ascii="宋体" w:hAnsi="宋体" w:eastAsia="宋体" w:cs="宋体"/>
          <w:color w:val="auto"/>
          <w:sz w:val="24"/>
          <w:szCs w:val="24"/>
          <w:highlight w:val="none"/>
          <w:lang w:val="en-US" w:eastAsia="zh-CN"/>
        </w:rPr>
        <w:t>）</w:t>
      </w:r>
    </w:p>
    <w:p w14:paraId="0241B6BB">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2.CT 球管、探测器、高压发生器；DR 球管、平板探测器、高压油箱。</w:t>
      </w:r>
    </w:p>
    <w:p w14:paraId="075DE5BD">
      <w:pPr>
        <w:spacing w:before="120" w:after="120" w:line="288" w:lineRule="auto"/>
        <w:ind w:lef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机房内附属设备</w:t>
      </w:r>
    </w:p>
    <w:p w14:paraId="1D7268A5">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1.设备外部线路、电路、配电柜、高压注射器、冷却系统、接地系统、辐射防护附属装置。</w:t>
      </w:r>
    </w:p>
    <w:p w14:paraId="3E26D602">
      <w:pPr>
        <w:spacing w:before="120" w:after="120" w:line="288" w:lineRule="auto"/>
        <w:ind w:lef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全部费用包含</w:t>
      </w:r>
    </w:p>
    <w:p w14:paraId="0D2E33D8">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1.备件费、维修费、保养费、检测费、培训费、驻场费、差旅费、耗材费，无任何额外收费。</w:t>
      </w:r>
    </w:p>
    <w:p w14:paraId="1277EB1F">
      <w:pPr>
        <w:spacing w:before="120" w:after="120" w:line="288" w:lineRule="auto"/>
        <w:ind w:lef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设备老化换新与合同终止条款</w:t>
      </w:r>
    </w:p>
    <w:p w14:paraId="384A1448">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1.（服务期内，若因设备严重老化、故障率过高、维修成本超过换新价值，医院获得财政资金支持更换新设备时，有权单方面终止该台设备维保合同。</w:t>
      </w:r>
    </w:p>
    <w:p w14:paraId="38613055">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2.合同终止后，医院不再支付该设备后续维保费用，已预付费用按实际服务时长据实结算，多退少补。</w:t>
      </w:r>
    </w:p>
    <w:p w14:paraId="03EC87FF">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3.服务商须配合完成设备停用、数据交接、档案移交，不得阻挠或提出额外补偿。</w:t>
      </w:r>
    </w:p>
    <w:p w14:paraId="003AB4D9">
      <w:pPr>
        <w:spacing w:before="120" w:after="120" w:line="288" w:lineRule="auto"/>
        <w:ind w:lef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维修不及时导致医院损失的责任</w:t>
      </w:r>
    </w:p>
    <w:p w14:paraId="1FCC4B8B">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1.故障未及时修复的损失赔偿</w:t>
      </w:r>
    </w:p>
    <w:p w14:paraId="1E61D879">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2.一般故障超 24 小时未修复、重大故障超 72 小时未修复：每超时 1 天，扣除该设备当月服务费的 5%。</w:t>
      </w:r>
    </w:p>
    <w:p w14:paraId="599214FF">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3.导致停诊 / 无法体检的直接损失</w:t>
      </w:r>
    </w:p>
    <w:p w14:paraId="2E817B5B">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4.因维修不及时造成门诊停诊、体检中断、急诊无法检查，服务商承担当日直接诊疗损失。</w:t>
      </w:r>
    </w:p>
    <w:p w14:paraId="07852D86">
      <w:pPr>
        <w:spacing w:before="120" w:after="120" w:line="288" w:lineRule="auto"/>
        <w:ind w:lef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医疗纠纷 / 质控处罚责任</w:t>
      </w:r>
    </w:p>
    <w:p w14:paraId="3EB92ED7">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1.因维保不到位导致设备性能不达标、辐射超标、图像不合格引发医疗纠纷或监管处罚，全部法律责任与经济赔偿由服务商承担。</w:t>
      </w:r>
    </w:p>
    <w:p w14:paraId="48A7749D">
      <w:pPr>
        <w:spacing w:before="120" w:after="120" w:line="288" w:lineRule="auto"/>
        <w:ind w:lef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年度检测责任明确、检测范围全覆盖</w:t>
      </w:r>
    </w:p>
    <w:p w14:paraId="2A885D56">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1.设备性能检测、场所防护检测、辐射剂量检测、安全接地检测。</w:t>
      </w:r>
    </w:p>
    <w:p w14:paraId="14A9A7CC">
      <w:pPr>
        <w:spacing w:before="120" w:after="120" w:line="288" w:lineRule="auto"/>
        <w:ind w:lef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检测标准</w:t>
      </w:r>
    </w:p>
    <w:p w14:paraId="41A640F1">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2.严格执行 **WS 76-2020《医用 X 射线诊断设备质量控制检测规范》** 及国家放射卫生标准。</w:t>
      </w:r>
    </w:p>
    <w:p w14:paraId="68DACB9F">
      <w:pPr>
        <w:spacing w:before="120" w:after="120" w:line="288" w:lineRule="auto"/>
        <w:ind w:lef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服务商全责</w:t>
      </w:r>
    </w:p>
    <w:p w14:paraId="538FE9B3">
      <w:pPr>
        <w:spacing w:before="120" w:after="120" w:line="288" w:lineRule="auto"/>
        <w:ind w:left="0" w:firstLine="480"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1.检测机构、人员、设备、费用全部由服务商承担</w:t>
      </w:r>
      <w:r>
        <w:rPr>
          <w:rFonts w:hint="eastAsia" w:ascii="宋体" w:hAnsi="宋体" w:eastAsia="宋体" w:cs="宋体"/>
          <w:b/>
          <w:bCs/>
          <w:color w:val="auto"/>
          <w:sz w:val="24"/>
          <w:szCs w:val="24"/>
          <w:highlight w:val="none"/>
          <w:lang w:val="en-US" w:eastAsia="zh-CN"/>
        </w:rPr>
        <w:t>。</w:t>
      </w:r>
    </w:p>
    <w:p w14:paraId="21E78A7C">
      <w:pPr>
        <w:spacing w:before="120" w:after="120" w:line="288" w:lineRule="auto"/>
        <w:ind w:lef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报告与整改</w:t>
      </w:r>
    </w:p>
    <w:p w14:paraId="191B3990">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1.检测后 15 个工作日内出具合格报告；不合格项免费整改、复检至合格，否则扣除当月全额服务费。</w:t>
      </w:r>
    </w:p>
    <w:p w14:paraId="289A155F">
      <w:pPr>
        <w:spacing w:before="380" w:after="140" w:line="288" w:lineRule="auto"/>
        <w:ind w:left="0"/>
        <w:jc w:val="left"/>
        <w:outlineLvl w:val="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十、其他要求</w:t>
      </w:r>
    </w:p>
    <w:p w14:paraId="543A31BA">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方需承诺，服务期间，严格遵守国家相关法律法规、医疗设备管理相关规定及我院的各项管理制度，严禁违规操作、弄虚作假，若因投标方违规操作导致设备损坏、人员伤亡或其他损失，投标方需承担全部赔偿责任。</w:t>
      </w:r>
    </w:p>
    <w:p w14:paraId="76030A88">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方需承诺，本项目为全保服务，服务期间，不额外向我院收取任何费用（包括维修备件费、保养耗材费、检测费、技术培训费、工程师服务费等），所有相关费用均包含在投标报价中，若出现额外收费情况，我院有权拒绝支付，并扣除相应服务费用。</w:t>
      </w:r>
    </w:p>
    <w:p w14:paraId="3075708B">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3.投标方需承诺，服务期间，确保设备全年开机率≥98%（不含计划性停机保养、检测时间），若开机率未达到要求，每降低1个百分点，扣除当月1%的服务费用。</w:t>
      </w:r>
    </w:p>
    <w:p w14:paraId="426871D3">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4.投标方需承诺，若设备出现重大故障，无法在规定时限内修复，且无法提供备用设备保障我院诊疗工作开展，我院有权扣除相应服务费用，并要求投标方承担由此造成的诊疗损失。</w:t>
      </w:r>
    </w:p>
    <w:p w14:paraId="2A05600B">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5.服务期间，若我院设备发生搬迁、调试等相关工作，投标方需免费提供技术支持，协助我院完成设备搬迁、调试工作，确保设备搬迁后运行稳定、性能达标。</w:t>
      </w:r>
    </w:p>
    <w:p w14:paraId="5F9DBBFD">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6.投标方需提供完善的售后服务应急预案，针对设备突发重大故障、批量故障等情况，制定详细的应急处置方案，确保能够快速响应、有效处置，最大限度降低对我院诊疗工作的影响。</w:t>
      </w:r>
    </w:p>
    <w:p w14:paraId="5E74BD09">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7.服务期限届满后，投标方需配合我院完成设备全面检测工作，确保设备运行正常、性能达标，同时提供3个月的免费技术支持服务，协助我院做好设备后续运维工作。</w:t>
      </w:r>
    </w:p>
    <w:p w14:paraId="61B5C53D">
      <w:pPr>
        <w:spacing w:before="120" w:after="120" w:line="288" w:lineRule="auto"/>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技术参数为招标核心要求，投标方需完全响应本参数所有条款，若有任何一项条款未响应或不符合，视为投标无效；投标方需在投标文件中提供书面响应承诺，加盖公章，明确表示完全遵守本技术参数所有要求。</w:t>
      </w:r>
    </w:p>
    <w:p w14:paraId="13EFD9D5">
      <w:pPr>
        <w:spacing w:before="120" w:after="120" w:line="288" w:lineRule="auto"/>
        <w:ind w:left="0"/>
        <w:jc w:val="left"/>
        <w:rPr>
          <w:rFonts w:hint="eastAsia" w:ascii="宋体" w:hAnsi="宋体" w:eastAsia="宋体" w:cs="宋体"/>
          <w:color w:val="auto"/>
          <w:sz w:val="24"/>
          <w:szCs w:val="24"/>
          <w:highlight w:val="none"/>
        </w:rPr>
      </w:pPr>
    </w:p>
    <w:p w14:paraId="17D46AEB">
      <w:pPr>
        <w:rPr>
          <w:rFonts w:hint="eastAsia" w:ascii="宋体" w:hAnsi="宋体" w:eastAsia="宋体" w:cs="宋体"/>
          <w:color w:val="auto"/>
          <w:sz w:val="24"/>
          <w:szCs w:val="24"/>
          <w:highlight w:val="none"/>
        </w:rPr>
      </w:pPr>
    </w:p>
    <w:p w14:paraId="6C53C2EA">
      <w:pPr>
        <w:keepNext w:val="0"/>
        <w:keepLines w:val="0"/>
        <w:pageBreakBefore w:val="0"/>
        <w:widowControl w:val="0"/>
        <w:kinsoku/>
        <w:wordWrap/>
        <w:overflowPunct/>
        <w:topLinePunct w:val="0"/>
        <w:autoSpaceDE/>
        <w:autoSpaceDN/>
        <w:bidi w:val="0"/>
        <w:adjustRightInd/>
        <w:snapToGrid/>
        <w:spacing w:line="578" w:lineRule="exact"/>
        <w:ind w:firstLine="542" w:firstLineChars="200"/>
        <w:textAlignment w:val="auto"/>
        <w:rPr>
          <w:rFonts w:hint="eastAsia" w:ascii="宋体" w:hAnsi="宋体" w:eastAsia="宋体" w:cs="宋体"/>
          <w:b/>
          <w:bCs/>
          <w:i w:val="0"/>
          <w:iCs w:val="0"/>
          <w:caps w:val="0"/>
          <w:color w:val="000000"/>
          <w:spacing w:val="0"/>
          <w:sz w:val="27"/>
          <w:szCs w:val="27"/>
          <w:shd w:val="clear" w:fill="F7F7F7"/>
          <w:lang w:eastAsia="zh-CN"/>
        </w:rPr>
      </w:pPr>
      <w:r>
        <w:rPr>
          <w:rFonts w:hint="eastAsia" w:ascii="宋体" w:hAnsi="宋体" w:eastAsia="宋体" w:cs="宋体"/>
          <w:b/>
          <w:bCs/>
          <w:i w:val="0"/>
          <w:iCs w:val="0"/>
          <w:caps w:val="0"/>
          <w:color w:val="000000"/>
          <w:spacing w:val="0"/>
          <w:sz w:val="27"/>
          <w:szCs w:val="27"/>
          <w:shd w:val="clear" w:fill="F7F7F7"/>
        </w:rPr>
        <w:t>标项</w:t>
      </w:r>
      <w:r>
        <w:rPr>
          <w:rFonts w:hint="eastAsia" w:ascii="宋体" w:hAnsi="宋体" w:eastAsia="宋体" w:cs="宋体"/>
          <w:b/>
          <w:bCs/>
          <w:i w:val="0"/>
          <w:iCs w:val="0"/>
          <w:caps w:val="0"/>
          <w:color w:val="000000"/>
          <w:spacing w:val="0"/>
          <w:sz w:val="27"/>
          <w:szCs w:val="27"/>
          <w:shd w:val="clear" w:fill="F7F7F7"/>
          <w:lang w:val="en-US" w:eastAsia="zh-CN"/>
        </w:rPr>
        <w:t>二</w:t>
      </w:r>
      <w:r>
        <w:rPr>
          <w:rFonts w:hint="eastAsia" w:ascii="宋体" w:hAnsi="宋体" w:eastAsia="宋体" w:cs="宋体"/>
          <w:b/>
          <w:bCs/>
          <w:i w:val="0"/>
          <w:iCs w:val="0"/>
          <w:caps w:val="0"/>
          <w:color w:val="000000"/>
          <w:spacing w:val="0"/>
          <w:sz w:val="27"/>
          <w:szCs w:val="27"/>
          <w:shd w:val="clear" w:fill="F7F7F7"/>
          <w:lang w:eastAsia="zh-CN"/>
        </w:rPr>
        <w:t>；</w:t>
      </w:r>
    </w:p>
    <w:p w14:paraId="646CDCBF">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一、项目基本信息</w:t>
      </w:r>
    </w:p>
    <w:p w14:paraId="242E04F7">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rPr>
        <w:t>1.项目名称：</w:t>
      </w:r>
      <w:r>
        <w:rPr>
          <w:rFonts w:hint="eastAsia" w:cs="宋体"/>
          <w:i w:val="0"/>
          <w:iCs w:val="0"/>
          <w:caps w:val="0"/>
          <w:color w:val="000000"/>
          <w:spacing w:val="0"/>
          <w:sz w:val="24"/>
          <w:szCs w:val="24"/>
          <w:lang w:eastAsia="zh-CN"/>
        </w:rPr>
        <w:t>皮山县人民医院放射类检查设备维修维保及技术服务采购项目</w:t>
      </w:r>
      <w:r>
        <w:rPr>
          <w:rFonts w:hint="eastAsia" w:cs="宋体"/>
          <w:i w:val="0"/>
          <w:iCs w:val="0"/>
          <w:caps w:val="0"/>
          <w:color w:val="000000"/>
          <w:spacing w:val="0"/>
          <w:sz w:val="24"/>
          <w:szCs w:val="24"/>
          <w:lang w:val="en-US" w:eastAsia="zh-CN"/>
        </w:rPr>
        <w:t>包二</w:t>
      </w:r>
    </w:p>
    <w:p w14:paraId="1F71E589">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2.预算金额</w:t>
      </w:r>
      <w:r>
        <w:rPr>
          <w:rFonts w:hint="eastAsia" w:ascii="宋体" w:hAnsi="宋体" w:eastAsia="宋体" w:cs="宋体"/>
          <w:i w:val="0"/>
          <w:iCs w:val="0"/>
          <w:caps w:val="0"/>
          <w:color w:val="000000"/>
          <w:spacing w:val="0"/>
          <w:sz w:val="24"/>
          <w:szCs w:val="24"/>
          <w:lang w:eastAsia="zh-CN"/>
        </w:rPr>
        <w:t>：</w:t>
      </w:r>
      <w:r>
        <w:rPr>
          <w:rFonts w:hint="eastAsia" w:cs="宋体"/>
          <w:i w:val="0"/>
          <w:iCs w:val="0"/>
          <w:caps w:val="0"/>
          <w:color w:val="000000"/>
          <w:spacing w:val="0"/>
          <w:sz w:val="24"/>
          <w:szCs w:val="24"/>
          <w:lang w:val="en-US" w:eastAsia="zh-CN"/>
        </w:rPr>
        <w:t>120</w:t>
      </w:r>
      <w:r>
        <w:rPr>
          <w:rFonts w:hint="eastAsia" w:ascii="宋体" w:hAnsi="宋体" w:eastAsia="宋体" w:cs="宋体"/>
          <w:i w:val="0"/>
          <w:iCs w:val="0"/>
          <w:caps w:val="0"/>
          <w:color w:val="000000"/>
          <w:spacing w:val="0"/>
          <w:sz w:val="24"/>
          <w:szCs w:val="24"/>
        </w:rPr>
        <w:t>万元</w:t>
      </w:r>
    </w:p>
    <w:p w14:paraId="3366CDD1">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宋体" w:hAnsi="宋体" w:eastAsia="宋体" w:cs="宋体"/>
          <w:i w:val="0"/>
          <w:iCs w:val="0"/>
          <w:caps w:val="0"/>
          <w:color w:val="000000"/>
          <w:spacing w:val="0"/>
          <w:sz w:val="24"/>
          <w:szCs w:val="24"/>
          <w:lang w:eastAsia="zh-CN"/>
        </w:rPr>
      </w:pPr>
      <w:r>
        <w:rPr>
          <w:rFonts w:hint="eastAsia"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rPr>
        <w:t>.服务地点：</w:t>
      </w:r>
      <w:r>
        <w:rPr>
          <w:rFonts w:hint="eastAsia" w:cs="宋体"/>
          <w:i w:val="0"/>
          <w:iCs w:val="0"/>
          <w:caps w:val="0"/>
          <w:color w:val="000000"/>
          <w:spacing w:val="0"/>
          <w:sz w:val="24"/>
          <w:szCs w:val="24"/>
          <w:lang w:eastAsia="zh-CN"/>
        </w:rPr>
        <w:t>皮山县人民医院</w:t>
      </w:r>
    </w:p>
    <w:p w14:paraId="3194A665">
      <w:pPr>
        <w:keepNext w:val="0"/>
        <w:keepLines w:val="0"/>
        <w:pageBreakBefore w:val="0"/>
        <w:widowControl w:val="0"/>
        <w:kinsoku/>
        <w:wordWrap/>
        <w:overflowPunct/>
        <w:topLinePunct w:val="0"/>
        <w:autoSpaceDE/>
        <w:autoSpaceDN/>
        <w:bidi w:val="0"/>
        <w:adjustRightInd/>
        <w:snapToGrid/>
        <w:spacing w:line="578" w:lineRule="exact"/>
        <w:ind w:firstLine="480"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二、技术规格、参数与要求</w:t>
      </w:r>
    </w:p>
    <w:p w14:paraId="69D2C1E8">
      <w:pPr>
        <w:spacing w:line="360" w:lineRule="auto"/>
        <w:ind w:firstLine="412" w:firstLineChars="17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一、项目概述</w:t>
      </w:r>
    </w:p>
    <w:p w14:paraId="73CA1766">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1．设备品牌型号：西门子MAGNETOM Sempra 1.5T  MRI壹台</w:t>
      </w:r>
    </w:p>
    <w:p w14:paraId="32B5619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维保范围：</w:t>
      </w:r>
    </w:p>
    <w:p w14:paraId="018D24E5">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整机全保；（人工服务费，所有配件费，配套水冷机及精密空调）。</w:t>
      </w:r>
    </w:p>
    <w:p w14:paraId="3F11059F">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每年4次保养、无限次维修。</w:t>
      </w:r>
    </w:p>
    <w:p w14:paraId="45BEFD32">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免费更换故障备件：电子部分的梯度柜、射频柜、系统柜、计算机、病床、及所属辅件；制冷部分：冷头、吸附器、氦压缩机、高低压氦气管；液氦消耗（含液氦损失及失超等部分）；水冷机组及精密空调；可移动线圈的维护及更换；</w:t>
      </w:r>
    </w:p>
    <w:p w14:paraId="77F5E282">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磁体及其意外失超恢复所带来的液氦损耗和添加；核磁机房屏蔽效能检测，按GB12190-2006《高性能屏蔽室屏蔽效能的测量方法》执行。屏蔽效能为10MHZ～130MHZ，屏蔽衰减100dB以上，达到国家标准及要求，每年由专业部门测量确认,并出具检测报告。</w:t>
      </w:r>
    </w:p>
    <w:p w14:paraId="270B4144">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★6.备注：</w:t>
      </w:r>
    </w:p>
    <w:p w14:paraId="483E5F12">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（1）设备维修（如更换MRI梯度线圈），要求执行符合国家标准和要求（原装匹配配件），关键要求需要有资质的第三方技术人员拆卸和安装，检测或测试报告作为设备备件更换后验收的重要依据；</w:t>
      </w:r>
    </w:p>
    <w:p w14:paraId="279738AE">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（2）设备在长期临床使用中的检修及保养，要求确保稳定性，要定期更换或及时发现部件老化等问题，每半年要定期分析设备核心部件的变化趋势；</w:t>
      </w:r>
    </w:p>
    <w:p w14:paraId="3C5764DE">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（3）常态化监控设备日常运行状态（包括开机率达标95%、使用率达标100%），确保每次临床诊疗的图像质量达标和辐射剂量安全符合国家标准（严禁超标或辐射射线漏现象）；</w:t>
      </w:r>
    </w:p>
    <w:p w14:paraId="3FCC3C2C">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4）核磁共振核心磁场均匀性达标、梯度场强误差小、信噪比强、图像畸变率小、冷却系统稳定；</w:t>
      </w:r>
    </w:p>
    <w:p w14:paraId="5EAC26B7">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5）设备年度检测、放射诊疗校验检测合规、检测结果客观公正，要具有法律效力；</w:t>
      </w:r>
    </w:p>
    <w:p w14:paraId="25D12D66">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（6）要做日常稳定性检测、设备维护后性能验证；</w:t>
      </w:r>
    </w:p>
    <w:p w14:paraId="7372D612">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（7）设备重大维修后，设备软件需升级服务并性能验证。</w:t>
      </w:r>
    </w:p>
    <w:p w14:paraId="5C8F74CB">
      <w:pPr>
        <w:spacing w:line="360" w:lineRule="auto"/>
        <w:ind w:firstLine="412" w:firstLineChars="171"/>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7</w:t>
      </w:r>
      <w:r>
        <w:rPr>
          <w:rFonts w:hint="eastAsia" w:ascii="宋体" w:hAnsi="宋体" w:eastAsia="宋体" w:cs="宋体"/>
          <w:b/>
          <w:bCs/>
          <w:color w:val="000000"/>
          <w:sz w:val="24"/>
          <w:szCs w:val="24"/>
        </w:rPr>
        <w:t>. 维保范围不包括：</w:t>
      </w:r>
    </w:p>
    <w:p w14:paraId="0BE1B5CA">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所有非原厂生产的设备，如激光相机、屏蔽间门锁等第三方外围设备。</w:t>
      </w:r>
    </w:p>
    <w:p w14:paraId="7B41B127">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因人为磁体失超或甲方停水、停电、人为损坏等不可抗力因素所造成的液氦（消耗或添加）与备件（包括线圈）损坏。</w:t>
      </w:r>
    </w:p>
    <w:p w14:paraId="2B160FB1">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因制冷系统故障甲方未能在5小时内通知乙方所造成的液氦损耗。</w:t>
      </w:r>
    </w:p>
    <w:p w14:paraId="37795212">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所有非原厂之产品及其服务、再安装及所需备品备件。</w:t>
      </w:r>
    </w:p>
    <w:p w14:paraId="3032B68F">
      <w:pPr>
        <w:spacing w:line="360" w:lineRule="auto"/>
        <w:ind w:firstLine="412" w:firstLineChars="171"/>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二</w:t>
      </w:r>
      <w:r>
        <w:rPr>
          <w:rFonts w:hint="eastAsia" w:ascii="宋体" w:hAnsi="宋体" w:eastAsia="宋体" w:cs="宋体"/>
          <w:b/>
          <w:bCs/>
          <w:color w:val="000000"/>
          <w:sz w:val="24"/>
          <w:szCs w:val="24"/>
        </w:rPr>
        <w:t>、维保费用包含内容</w:t>
      </w:r>
    </w:p>
    <w:p w14:paraId="7644BF92">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1．设备定期检查保养，含设备清洁、保养、调试、参数校正、系统性能测试、电气环境的检测并提供报告。</w:t>
      </w:r>
    </w:p>
    <w:p w14:paraId="312D2B81">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2. 维修人员的工时费、差旅费。</w:t>
      </w:r>
    </w:p>
    <w:p w14:paraId="22A9AEB3">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3．保修的设备零件免费维修更换，更换的不良品由维保服务商负责处理。</w:t>
      </w:r>
    </w:p>
    <w:p w14:paraId="462132F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三：MRI核磁设备维保项目招标要求</w:t>
      </w:r>
    </w:p>
    <w:tbl>
      <w:tblPr>
        <w:tblStyle w:val="33"/>
        <w:tblW w:w="9555" w:type="dxa"/>
        <w:tblInd w:w="158" w:type="dxa"/>
        <w:tblLayout w:type="fixed"/>
        <w:tblCellMar>
          <w:top w:w="0" w:type="dxa"/>
          <w:left w:w="108" w:type="dxa"/>
          <w:bottom w:w="0" w:type="dxa"/>
          <w:right w:w="108" w:type="dxa"/>
        </w:tblCellMar>
      </w:tblPr>
      <w:tblGrid>
        <w:gridCol w:w="816"/>
        <w:gridCol w:w="8739"/>
      </w:tblGrid>
      <w:tr w14:paraId="4A470F6C">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E090D9">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7E10F8A">
            <w:pPr>
              <w:spacing w:line="360" w:lineRule="auto"/>
              <w:ind w:firstLine="410" w:firstLineChars="171"/>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维保内容</w:t>
            </w:r>
          </w:p>
        </w:tc>
      </w:tr>
      <w:tr w14:paraId="5D98D2C9">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64E49D">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B12EC8">
            <w:pPr>
              <w:spacing w:line="360" w:lineRule="auto"/>
              <w:ind w:firstLine="410" w:firstLineChars="171"/>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合同期限：</w:t>
            </w:r>
            <w:r>
              <w:rPr>
                <w:rFonts w:hint="eastAsia" w:ascii="宋体" w:hAnsi="宋体" w:eastAsia="宋体" w:cs="宋体"/>
                <w:color w:val="000000"/>
                <w:sz w:val="24"/>
                <w:szCs w:val="24"/>
                <w:lang w:val="en-US" w:eastAsia="zh-CN"/>
              </w:rPr>
              <w:t>两</w:t>
            </w:r>
            <w:r>
              <w:rPr>
                <w:rFonts w:hint="eastAsia" w:ascii="宋体" w:hAnsi="宋体" w:eastAsia="宋体" w:cs="宋体"/>
                <w:color w:val="000000"/>
                <w:sz w:val="24"/>
                <w:szCs w:val="24"/>
              </w:rPr>
              <w:t>年，先服务后付款</w:t>
            </w:r>
            <w:r>
              <w:rPr>
                <w:rFonts w:hint="eastAsia" w:ascii="宋体" w:hAnsi="宋体" w:eastAsia="宋体" w:cs="宋体"/>
                <w:color w:val="000000"/>
                <w:sz w:val="24"/>
                <w:szCs w:val="24"/>
                <w:lang w:eastAsia="zh-CN"/>
              </w:rPr>
              <w:t>。</w:t>
            </w:r>
          </w:p>
        </w:tc>
      </w:tr>
      <w:tr w14:paraId="40EBB337">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right w:val="single" w:color="auto" w:sz="4" w:space="0"/>
            </w:tcBorders>
            <w:shd w:val="clear" w:color="auto" w:fill="auto"/>
            <w:noWrap/>
            <w:vAlign w:val="center"/>
          </w:tcPr>
          <w:p w14:paraId="6A789D19">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EEABFDC">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维保范围包括：</w:t>
            </w:r>
          </w:p>
          <w:p w14:paraId="7AEDCB7C">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1、电子部分的梯度柜、射频柜、系统柜、AW图形工作站、扫描床等；</w:t>
            </w:r>
          </w:p>
          <w:p w14:paraId="3FC99CB4">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2、制冷部分的冷头、吸附器、氦压缩机、高低压氦气管、配套水冷机及精密空调等；</w:t>
            </w:r>
          </w:p>
          <w:p w14:paraId="0171EEEF">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3、液氦的消耗补充、维修过程中的液氦的消耗，保证液氦量始终处于标准液氦量（不能低于50%，60%时请及时补充液氦）磁体及其意外失超恢复所带来的液氦损耗；</w:t>
            </w:r>
          </w:p>
          <w:p w14:paraId="38AC8B60">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4、核磁机房屏蔽效能检测，按GB12190-2006《高性能屏蔽室屏蔽效能的测量方法》执行。屏蔽效能为10MHZ～130MHZ，屏蔽衰减100dB以上，达到国家标准及要求，每年由专业部门测量确认,并出具检测报告；</w:t>
            </w:r>
          </w:p>
          <w:p w14:paraId="070A8D7B">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5、可移动线圈的维修及更换。</w:t>
            </w:r>
          </w:p>
          <w:p w14:paraId="718DFFD2">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维保范围不包括：所有非原厂生产的第三方设备，如激光相机、屏蔽间门锁等及液氦的非正常消耗（如：因磁体人为失超或甲方停水、停电、人为或不可抗力因素等原因造成的液氦损失与设备损坏）。</w:t>
            </w:r>
          </w:p>
        </w:tc>
      </w:tr>
      <w:tr w14:paraId="14119D1D">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right w:val="single" w:color="auto" w:sz="4" w:space="0"/>
            </w:tcBorders>
            <w:shd w:val="clear" w:color="auto" w:fill="auto"/>
            <w:noWrap/>
            <w:vAlign w:val="center"/>
          </w:tcPr>
          <w:p w14:paraId="5ADB527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5489FA">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维保费用包含：</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1）设备定期检查保养的费用；</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2）维修人员的工时费、差旅费；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3）故障零备件维修及更换的费用。</w:t>
            </w:r>
          </w:p>
        </w:tc>
      </w:tr>
      <w:tr w14:paraId="3160CA8E">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4102E1">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AA12449">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每年提供设备定期保养4 次，并提供巡检、保养报告单，保障设备处于最佳运行状态。包括机器清洁、性能测试、梯度系统涡流校正、射频发射线圈的检测与调整、水冷机的全面内外清洁并提供报告、磁场均匀度的检查与调整和清理垃圾文件等，并提供维修保养报告单。维保记录包含：提供每次的维修和PM 保养记录，每年度提交年度维保分析报告。</w:t>
            </w:r>
          </w:p>
        </w:tc>
      </w:tr>
      <w:tr w14:paraId="3B025E3C">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A51B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47E3BAE">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提供24小时热线服务电话（400或800）随时在线响应。接到医院报修电话后，维修响应时间2小时,紧急故障若电话交流无法解决，则在接获报修电话后工程师24小时内到达现场实施维修。一般故障的当天解决，需更换贵重备件（或大故障）的7日内完成维修，确保紧急零备件供应，防止失超。</w:t>
            </w:r>
          </w:p>
        </w:tc>
      </w:tr>
      <w:tr w14:paraId="4337559F">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BE317">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192C974">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投标人具备充足的备件供应能力，要求在国内设有零备件仓库，投标人须提供详细文字和图片等说明文件以供采购方核实。备件响应时间：需要更换零备件时，国内仓库备件48小时内到达现场，特殊情况双方协商解决.</w:t>
            </w:r>
          </w:p>
        </w:tc>
      </w:tr>
      <w:tr w14:paraId="66E0860C">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53A183">
            <w:pPr>
              <w:spacing w:line="360" w:lineRule="auto"/>
              <w:rPr>
                <w:rFonts w:hint="eastAsia" w:ascii="宋体" w:hAnsi="宋体" w:eastAsia="宋体" w:cs="宋体"/>
                <w:color w:val="000000"/>
                <w:sz w:val="24"/>
                <w:szCs w:val="24"/>
                <w:lang w:eastAsia="zh-CN"/>
              </w:rPr>
            </w:pPr>
            <w:r>
              <w:rPr>
                <w:rFonts w:hint="eastAsia" w:cs="宋体"/>
                <w:color w:val="000000"/>
                <w:sz w:val="24"/>
                <w:szCs w:val="24"/>
                <w:lang w:val="en-US" w:eastAsia="zh-CN"/>
              </w:rPr>
              <w:t>7</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6515CE">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为了保证维修、维保质量质控符合国家相关法律规定， 投标人应具有符合CMA或者CNAS认证的检测与校准能力，提供相关认可证书材料，并具备省级或以上单位认定的计量检验检测资质认定证书。</w:t>
            </w:r>
          </w:p>
        </w:tc>
      </w:tr>
      <w:tr w14:paraId="634C3FD3">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18F93">
            <w:pPr>
              <w:spacing w:line="360" w:lineRule="auto"/>
              <w:rPr>
                <w:rFonts w:hint="eastAsia" w:ascii="宋体" w:hAnsi="宋体" w:eastAsia="宋体" w:cs="宋体"/>
                <w:color w:val="000000"/>
                <w:sz w:val="24"/>
                <w:szCs w:val="24"/>
                <w:lang w:eastAsia="zh-CN"/>
              </w:rPr>
            </w:pPr>
            <w:r>
              <w:rPr>
                <w:rFonts w:hint="eastAsia" w:cs="宋体"/>
                <w:color w:val="000000"/>
                <w:sz w:val="24"/>
                <w:szCs w:val="24"/>
                <w:lang w:val="en-US" w:eastAsia="zh-CN"/>
              </w:rPr>
              <w:t>8</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55F7BDC">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MR是辐射诊断设备，严格受卫生部门、环保部门、计量部门监管，并须定期接受相关部门检测。投标人需积极协助采购人密切配合有关部门的检测工作，若因设备软、硬件原因导致检测的相关技术指标不能达标，应视为设备故障，投标人在接到采购人通知后，按服务响应时间要求，积极配合，及时调试、修复。</w:t>
            </w:r>
          </w:p>
        </w:tc>
      </w:tr>
      <w:tr w14:paraId="47F133AB">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F3186">
            <w:pPr>
              <w:spacing w:line="360" w:lineRule="auto"/>
              <w:rPr>
                <w:rFonts w:hint="eastAsia" w:ascii="宋体" w:hAnsi="宋体" w:eastAsia="宋体" w:cs="宋体"/>
                <w:color w:val="000000"/>
                <w:sz w:val="24"/>
                <w:szCs w:val="24"/>
                <w:lang w:val="en-US" w:eastAsia="zh-CN"/>
              </w:rPr>
            </w:pPr>
            <w:r>
              <w:rPr>
                <w:rFonts w:hint="eastAsia" w:cs="宋体"/>
                <w:color w:val="000000"/>
                <w:sz w:val="24"/>
                <w:szCs w:val="24"/>
                <w:lang w:val="en-US" w:eastAsia="zh-CN"/>
              </w:rPr>
              <w:t>9</w:t>
            </w:r>
          </w:p>
        </w:tc>
        <w:tc>
          <w:tcPr>
            <w:tcW w:w="8739" w:type="dxa"/>
            <w:tcBorders>
              <w:top w:val="single" w:color="auto" w:sz="4" w:space="0"/>
              <w:left w:val="nil"/>
              <w:bottom w:val="single" w:color="auto" w:sz="4" w:space="0"/>
              <w:right w:val="single" w:color="auto" w:sz="4" w:space="0"/>
            </w:tcBorders>
            <w:shd w:val="clear" w:color="auto" w:fill="FFFFFF"/>
            <w:noWrap/>
            <w:vAlign w:val="center"/>
          </w:tcPr>
          <w:p w14:paraId="77F01208">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投标人所有更换的零部件必须是所维修保养设备的原厂备件。确保所提供的备件是与原设备型号一致的原厂配件，提供证明材料。安装完毕后达到原厂设备运行标准，确保所更换的备件不会给设备带来任何伤害。投标人确保备件来源合法合规，提供承诺函并加盖供应商公章。</w:t>
            </w:r>
          </w:p>
        </w:tc>
      </w:tr>
      <w:tr w14:paraId="6DE34629">
        <w:tblPrEx>
          <w:tblCellMar>
            <w:top w:w="0" w:type="dxa"/>
            <w:left w:w="108" w:type="dxa"/>
            <w:bottom w:w="0" w:type="dxa"/>
            <w:right w:w="108" w:type="dxa"/>
          </w:tblCellMar>
        </w:tblPrEx>
        <w:trPr>
          <w:trHeight w:val="48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3436C">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cs="宋体"/>
                <w:color w:val="000000"/>
                <w:sz w:val="24"/>
                <w:szCs w:val="24"/>
                <w:lang w:val="en-US" w:eastAsia="zh-CN"/>
              </w:rPr>
              <w:t>0</w:t>
            </w:r>
          </w:p>
        </w:tc>
        <w:tc>
          <w:tcPr>
            <w:tcW w:w="8739" w:type="dxa"/>
            <w:tcBorders>
              <w:top w:val="single" w:color="auto" w:sz="4" w:space="0"/>
              <w:left w:val="nil"/>
              <w:bottom w:val="single" w:color="auto" w:sz="4" w:space="0"/>
              <w:right w:val="single" w:color="auto" w:sz="4" w:space="0"/>
            </w:tcBorders>
            <w:shd w:val="clear" w:color="auto" w:fill="FFFFFF"/>
            <w:noWrap/>
            <w:vAlign w:val="center"/>
          </w:tcPr>
          <w:p w14:paraId="001D1DC7">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每年保证开机率≥95％(即正常开机达到347个日历日，停机不超过18个日历日)；及时保证紧急配备件供应。如果开机率达不到95%时，停机时间超过一天则顺延四天维保期，并赔付损失费3000元人民币/天。</w:t>
            </w:r>
          </w:p>
        </w:tc>
      </w:tr>
      <w:tr w14:paraId="16E6FDCC">
        <w:tblPrEx>
          <w:tblCellMar>
            <w:top w:w="0" w:type="dxa"/>
            <w:left w:w="108" w:type="dxa"/>
            <w:bottom w:w="0" w:type="dxa"/>
            <w:right w:w="108" w:type="dxa"/>
          </w:tblCellMar>
        </w:tblPrEx>
        <w:trPr>
          <w:trHeight w:val="48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49BD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cs="宋体"/>
                <w:color w:val="000000"/>
                <w:sz w:val="24"/>
                <w:szCs w:val="24"/>
                <w:lang w:val="en-US" w:eastAsia="zh-CN"/>
              </w:rPr>
              <w:t>1</w:t>
            </w:r>
          </w:p>
        </w:tc>
        <w:tc>
          <w:tcPr>
            <w:tcW w:w="8739" w:type="dxa"/>
            <w:tcBorders>
              <w:top w:val="single" w:color="auto" w:sz="4" w:space="0"/>
              <w:left w:val="nil"/>
              <w:bottom w:val="single" w:color="auto" w:sz="4" w:space="0"/>
              <w:right w:val="single" w:color="auto" w:sz="4" w:space="0"/>
            </w:tcBorders>
            <w:shd w:val="clear" w:color="auto" w:fill="FFFFFF"/>
            <w:noWrap/>
            <w:vAlign w:val="center"/>
          </w:tcPr>
          <w:p w14:paraId="095559EB">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投标人具有完善的服务管理软件，以保证后期优质的维保服务，提供以下管理软件的软件著作权登记证书：核磁远程质控软件、医疗设备管理软件、氦压缩机断电监控管理软件、备件维修管理软件、派工管理软件、配件管理软件、文件备份恢复器、客户管理软件，或者具有类似服务管理功能的软件以保证后期设备维修质量。</w:t>
            </w:r>
          </w:p>
        </w:tc>
      </w:tr>
      <w:tr w14:paraId="5504847D">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F22D6">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cs="宋体"/>
                <w:color w:val="000000"/>
                <w:sz w:val="24"/>
                <w:szCs w:val="24"/>
                <w:lang w:val="en-US" w:eastAsia="zh-CN"/>
              </w:rPr>
              <w:t>2</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4C365EA">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投标人须具有维保所涉及的专业维修工具，并提供在有效期内的校准证书包括但不限于：励磁电源、匀场电源、射频功率校准仪、涡流校准仪、矢量阻抗仪（网络分析仪）、冷头加热器的校准证书或采购合同扫描件 ,并提供工具图片及相应资料证明。</w:t>
            </w:r>
          </w:p>
        </w:tc>
      </w:tr>
      <w:tr w14:paraId="76051120">
        <w:tblPrEx>
          <w:tblCellMar>
            <w:top w:w="0" w:type="dxa"/>
            <w:left w:w="108" w:type="dxa"/>
            <w:bottom w:w="0" w:type="dxa"/>
            <w:right w:w="108" w:type="dxa"/>
          </w:tblCellMar>
        </w:tblPrEx>
        <w:trPr>
          <w:trHeight w:val="24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7864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cs="宋体"/>
                <w:color w:val="000000"/>
                <w:sz w:val="24"/>
                <w:szCs w:val="24"/>
                <w:lang w:val="en-US" w:eastAsia="zh-CN"/>
              </w:rPr>
              <w:t>3</w:t>
            </w:r>
          </w:p>
        </w:tc>
        <w:tc>
          <w:tcPr>
            <w:tcW w:w="8739"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4878BB">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服务期内，投标人必须保证设备图像效果达到临床诊断要求。</w:t>
            </w:r>
          </w:p>
        </w:tc>
      </w:tr>
      <w:tr w14:paraId="11861584">
        <w:tblPrEx>
          <w:tblCellMar>
            <w:top w:w="0" w:type="dxa"/>
            <w:left w:w="108" w:type="dxa"/>
            <w:bottom w:w="0" w:type="dxa"/>
            <w:right w:w="108" w:type="dxa"/>
          </w:tblCellMar>
        </w:tblPrEx>
        <w:trPr>
          <w:trHeight w:val="48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ECCC9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cs="宋体"/>
                <w:color w:val="000000"/>
                <w:sz w:val="24"/>
                <w:szCs w:val="24"/>
                <w:lang w:val="en-US" w:eastAsia="zh-CN"/>
              </w:rPr>
              <w:t>4</w:t>
            </w:r>
          </w:p>
        </w:tc>
        <w:tc>
          <w:tcPr>
            <w:tcW w:w="8739" w:type="dxa"/>
            <w:tcBorders>
              <w:top w:val="single" w:color="auto" w:sz="4" w:space="0"/>
              <w:left w:val="nil"/>
              <w:bottom w:val="single" w:color="auto" w:sz="4" w:space="0"/>
              <w:right w:val="single" w:color="auto" w:sz="4" w:space="0"/>
            </w:tcBorders>
            <w:shd w:val="clear" w:color="auto" w:fill="FFFFFF"/>
            <w:noWrap/>
            <w:vAlign w:val="center"/>
          </w:tcPr>
          <w:p w14:paraId="46085D8E">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提供一台远程终端接入设备。</w:t>
            </w:r>
          </w:p>
        </w:tc>
      </w:tr>
      <w:tr w14:paraId="5563BA53">
        <w:tblPrEx>
          <w:tblCellMar>
            <w:top w:w="0" w:type="dxa"/>
            <w:left w:w="108" w:type="dxa"/>
            <w:bottom w:w="0" w:type="dxa"/>
            <w:right w:w="108" w:type="dxa"/>
          </w:tblCellMar>
        </w:tblPrEx>
        <w:trPr>
          <w:trHeight w:val="48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34AAC2">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w:t>
            </w:r>
            <w:r>
              <w:rPr>
                <w:rFonts w:hint="eastAsia" w:cs="宋体"/>
                <w:color w:val="000000"/>
                <w:sz w:val="24"/>
                <w:szCs w:val="24"/>
                <w:lang w:val="en-US" w:eastAsia="zh-CN"/>
              </w:rPr>
              <w:t>5</w:t>
            </w:r>
          </w:p>
        </w:tc>
        <w:tc>
          <w:tcPr>
            <w:tcW w:w="8739" w:type="dxa"/>
            <w:tcBorders>
              <w:top w:val="single" w:color="auto" w:sz="4" w:space="0"/>
              <w:left w:val="nil"/>
              <w:bottom w:val="single" w:color="auto" w:sz="4" w:space="0"/>
              <w:right w:val="single" w:color="auto" w:sz="4" w:space="0"/>
            </w:tcBorders>
            <w:shd w:val="clear" w:color="auto" w:fill="FFFFFF"/>
            <w:noWrap/>
            <w:vAlign w:val="center"/>
          </w:tcPr>
          <w:p w14:paraId="05AB3A6D">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投标人确保维保期内线圈供应与维护的及时性，提供具有线圈更换能力以及相关线圈生产证明材料及案例，且更换后的线圈与磁共振设备匹配，满足科室使用需求，并能通过检验校准的承诺书。</w:t>
            </w:r>
          </w:p>
        </w:tc>
      </w:tr>
      <w:tr w14:paraId="2E3D710B">
        <w:tblPrEx>
          <w:tblCellMar>
            <w:top w:w="0" w:type="dxa"/>
            <w:left w:w="108" w:type="dxa"/>
            <w:bottom w:w="0" w:type="dxa"/>
            <w:right w:w="108" w:type="dxa"/>
          </w:tblCellMar>
        </w:tblPrEx>
        <w:trPr>
          <w:trHeight w:val="48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02055">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cs="宋体"/>
                <w:color w:val="000000"/>
                <w:sz w:val="24"/>
                <w:szCs w:val="24"/>
                <w:lang w:val="en-US" w:eastAsia="zh-CN"/>
              </w:rPr>
              <w:t>6</w:t>
            </w:r>
          </w:p>
        </w:tc>
        <w:tc>
          <w:tcPr>
            <w:tcW w:w="8739" w:type="dxa"/>
            <w:tcBorders>
              <w:top w:val="single" w:color="auto" w:sz="4" w:space="0"/>
              <w:left w:val="nil"/>
              <w:bottom w:val="single" w:color="auto" w:sz="4" w:space="0"/>
              <w:right w:val="single" w:color="auto" w:sz="4" w:space="0"/>
            </w:tcBorders>
            <w:shd w:val="clear" w:color="auto" w:fill="FFFFFF"/>
            <w:noWrap/>
            <w:vAlign w:val="center"/>
          </w:tcPr>
          <w:p w14:paraId="07ED55EE">
            <w:pPr>
              <w:spacing w:line="360" w:lineRule="auto"/>
              <w:ind w:firstLine="410" w:firstLineChars="171"/>
              <w:rPr>
                <w:rFonts w:hint="eastAsia" w:ascii="宋体" w:hAnsi="宋体" w:eastAsia="宋体" w:cs="宋体"/>
                <w:color w:val="000000"/>
                <w:sz w:val="24"/>
                <w:szCs w:val="24"/>
              </w:rPr>
            </w:pPr>
            <w:r>
              <w:rPr>
                <w:rFonts w:hint="eastAsia" w:ascii="宋体" w:hAnsi="宋体" w:eastAsia="宋体" w:cs="宋体"/>
                <w:color w:val="000000"/>
                <w:sz w:val="24"/>
                <w:szCs w:val="24"/>
              </w:rPr>
              <w:t>投标人具备与本项目同品牌MR的维修培训能力及培训整机，提供对应的自有培训能力证明，并承诺维保期内为医院工程师提供维修培训。</w:t>
            </w:r>
          </w:p>
        </w:tc>
      </w:tr>
    </w:tbl>
    <w:p w14:paraId="372EBCC9"/>
    <w:p w14:paraId="34905B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60" w:line="36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30"/>
      <w:bookmarkEnd w:id="331"/>
      <w:bookmarkEnd w:id="332"/>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63" w:name="_Toc20891"/>
      <w:bookmarkStart w:id="364" w:name="_Toc26947"/>
      <w:bookmarkStart w:id="365" w:name="_Toc23139"/>
      <w:r>
        <w:rPr>
          <w:rFonts w:hint="eastAsia"/>
          <w:color w:val="auto"/>
          <w:sz w:val="28"/>
          <w:szCs w:val="28"/>
          <w:highlight w:val="none"/>
          <w:lang w:val="en-US" w:eastAsia="zh-CN"/>
        </w:rPr>
        <w:t>一、资格审查程序</w:t>
      </w:r>
      <w:bookmarkEnd w:id="363"/>
      <w:bookmarkEnd w:id="364"/>
      <w:bookmarkEnd w:id="365"/>
      <w:r>
        <w:rPr>
          <w:rFonts w:hint="eastAsia"/>
          <w:color w:val="auto"/>
          <w:sz w:val="28"/>
          <w:szCs w:val="28"/>
          <w:highlight w:val="none"/>
          <w:lang w:val="en-US" w:eastAsia="zh-CN"/>
        </w:rPr>
        <w:t xml:space="preserve"> </w:t>
      </w:r>
    </w:p>
    <w:p w14:paraId="4E4090D3">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62799CDE">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37E914D8">
      <w:pPr>
        <w:pStyle w:val="42"/>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 xml:space="preserve">资格审查合格的投标人不足 </w:t>
      </w:r>
      <w:r>
        <w:rPr>
          <w:rFonts w:hint="default"/>
          <w:color w:val="auto"/>
          <w:highlight w:val="none"/>
          <w:lang w:val="en-US" w:eastAsia="zh-CN"/>
        </w:rPr>
        <w:t xml:space="preserve">3 </w:t>
      </w:r>
      <w:r>
        <w:rPr>
          <w:rFonts w:hint="eastAsia"/>
          <w:color w:val="auto"/>
          <w:highlight w:val="none"/>
          <w:lang w:val="en-US" w:eastAsia="zh-CN"/>
        </w:rPr>
        <w:t xml:space="preserve">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66" w:name="_Toc15886"/>
      <w:bookmarkStart w:id="367" w:name="_Toc17193"/>
      <w:bookmarkStart w:id="368" w:name="_Toc22545"/>
      <w:r>
        <w:rPr>
          <w:rFonts w:hint="eastAsia"/>
          <w:color w:val="auto"/>
          <w:sz w:val="28"/>
          <w:szCs w:val="28"/>
          <w:highlight w:val="none"/>
          <w:lang w:val="en-US" w:eastAsia="zh-CN"/>
        </w:rPr>
        <w:t>二、资格审查要求</w:t>
      </w:r>
      <w:bookmarkEnd w:id="366"/>
      <w:bookmarkEnd w:id="367"/>
      <w:bookmarkEnd w:id="368"/>
      <w:r>
        <w:rPr>
          <w:rFonts w:hint="eastAsia"/>
          <w:color w:val="auto"/>
          <w:sz w:val="28"/>
          <w:szCs w:val="28"/>
          <w:highlight w:val="none"/>
          <w:lang w:val="en-US" w:eastAsia="zh-CN"/>
        </w:rPr>
        <w:t xml:space="preserve"> </w:t>
      </w:r>
    </w:p>
    <w:tbl>
      <w:tblPr>
        <w:tblStyle w:val="33"/>
        <w:tblW w:w="9092" w:type="dxa"/>
        <w:jc w:val="center"/>
        <w:tblLayout w:type="autofit"/>
        <w:tblCellMar>
          <w:top w:w="0" w:type="dxa"/>
          <w:left w:w="0" w:type="dxa"/>
          <w:bottom w:w="0" w:type="dxa"/>
          <w:right w:w="0" w:type="dxa"/>
        </w:tblCellMar>
      </w:tblPr>
      <w:tblGrid>
        <w:gridCol w:w="614"/>
        <w:gridCol w:w="8478"/>
      </w:tblGrid>
      <w:tr w14:paraId="6C2F1E51">
        <w:tblPrEx>
          <w:tblCellMar>
            <w:top w:w="0" w:type="dxa"/>
            <w:left w:w="0" w:type="dxa"/>
            <w:bottom w:w="0" w:type="dxa"/>
            <w:right w:w="0" w:type="dxa"/>
          </w:tblCellMar>
        </w:tblPrEx>
        <w:trPr>
          <w:trHeight w:val="314" w:hRule="atLeast"/>
          <w:jc w:val="center"/>
        </w:trPr>
        <w:tc>
          <w:tcPr>
            <w:tcW w:w="614" w:type="dxa"/>
            <w:tcBorders>
              <w:top w:val="single" w:color="auto" w:sz="8" w:space="0"/>
              <w:left w:val="single" w:color="auto" w:sz="8" w:space="0"/>
              <w:bottom w:val="single" w:color="auto" w:sz="8" w:space="0"/>
              <w:right w:val="single" w:color="auto" w:sz="8" w:space="0"/>
            </w:tcBorders>
            <w:vAlign w:val="center"/>
          </w:tcPr>
          <w:p w14:paraId="50A81F11">
            <w:pPr>
              <w:widowControl/>
              <w:shd w:val="clear" w:color="auto" w:fill="FFFFFF"/>
              <w:snapToGrid w:val="0"/>
              <w:spacing w:line="360" w:lineRule="auto"/>
              <w:jc w:val="center"/>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序号</w:t>
            </w:r>
          </w:p>
        </w:tc>
        <w:tc>
          <w:tcPr>
            <w:tcW w:w="8478" w:type="dxa"/>
            <w:tcBorders>
              <w:top w:val="single" w:color="auto" w:sz="8" w:space="0"/>
              <w:left w:val="single" w:color="auto" w:sz="8" w:space="0"/>
              <w:bottom w:val="single" w:color="auto" w:sz="8" w:space="0"/>
              <w:right w:val="single" w:color="auto" w:sz="8" w:space="0"/>
            </w:tcBorders>
            <w:vAlign w:val="center"/>
          </w:tcPr>
          <w:p w14:paraId="566DBA07">
            <w:pPr>
              <w:widowControl/>
              <w:shd w:val="clear" w:color="auto" w:fill="FFFFFF"/>
              <w:snapToGrid w:val="0"/>
              <w:spacing w:line="360" w:lineRule="auto"/>
              <w:jc w:val="center"/>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审查标准</w:t>
            </w:r>
          </w:p>
        </w:tc>
      </w:tr>
      <w:tr w14:paraId="1F31957B">
        <w:tblPrEx>
          <w:tblCellMar>
            <w:top w:w="0" w:type="dxa"/>
            <w:left w:w="0" w:type="dxa"/>
            <w:bottom w:w="0" w:type="dxa"/>
            <w:right w:w="0" w:type="dxa"/>
          </w:tblCellMar>
        </w:tblPrEx>
        <w:trPr>
          <w:trHeight w:val="314" w:hRule="atLeast"/>
          <w:jc w:val="center"/>
        </w:trPr>
        <w:tc>
          <w:tcPr>
            <w:tcW w:w="614" w:type="dxa"/>
            <w:tcBorders>
              <w:top w:val="single" w:color="auto" w:sz="8" w:space="0"/>
              <w:left w:val="single" w:color="auto" w:sz="8" w:space="0"/>
              <w:bottom w:val="single" w:color="auto" w:sz="8" w:space="0"/>
              <w:right w:val="single" w:color="auto" w:sz="8" w:space="0"/>
            </w:tcBorders>
            <w:vAlign w:val="center"/>
          </w:tcPr>
          <w:p w14:paraId="75628947">
            <w:pPr>
              <w:widowControl/>
              <w:shd w:val="clear" w:color="auto" w:fill="FFFFFF"/>
              <w:snapToGrid w:val="0"/>
              <w:spacing w:line="360" w:lineRule="auto"/>
              <w:jc w:val="center"/>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p>
        </w:tc>
        <w:tc>
          <w:tcPr>
            <w:tcW w:w="8478" w:type="dxa"/>
            <w:tcBorders>
              <w:top w:val="single" w:color="auto" w:sz="8" w:space="0"/>
              <w:left w:val="single" w:color="auto" w:sz="8" w:space="0"/>
              <w:bottom w:val="single" w:color="auto" w:sz="8" w:space="0"/>
              <w:right w:val="single" w:color="auto" w:sz="8" w:space="0"/>
            </w:tcBorders>
            <w:vAlign w:val="center"/>
          </w:tcPr>
          <w:p w14:paraId="3B48920A">
            <w:pPr>
              <w:widowControl/>
              <w:shd w:val="clear" w:color="auto" w:fill="FFFFFF"/>
              <w:snapToGrid w:val="0"/>
              <w:spacing w:line="360" w:lineRule="auto"/>
              <w:jc w:val="left"/>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满足《中华人民共和国政府采购法》第二十二条规定；</w:t>
            </w:r>
          </w:p>
          <w:p w14:paraId="61BD0A49">
            <w:pPr>
              <w:widowControl/>
              <w:shd w:val="clear" w:color="auto" w:fill="FFFFFF"/>
              <w:snapToGrid w:val="0"/>
              <w:spacing w:line="360" w:lineRule="auto"/>
              <w:jc w:val="left"/>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（1）具有独立承担民事责任的能力；（提供合法有效的营业执照复印件/扫描件，并加盖单位公章）；</w:t>
            </w:r>
          </w:p>
          <w:p w14:paraId="72C4008B">
            <w:pPr>
              <w:widowControl/>
              <w:shd w:val="clear" w:color="auto" w:fill="FFFFFF"/>
              <w:snapToGrid w:val="0"/>
              <w:spacing w:line="360" w:lineRule="auto"/>
              <w:jc w:val="left"/>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（2）具有良好的商业信誉和健全的财务会计制度；（提供2024或2025年度经审计的年度财务审计报告或财务报表，新成立不满一年的单位需提供基本开户银行出具的资信证明)</w:t>
            </w:r>
          </w:p>
          <w:p w14:paraId="2185B8C5">
            <w:pPr>
              <w:widowControl/>
              <w:shd w:val="clear" w:color="auto" w:fill="FFFFFF"/>
              <w:snapToGrid w:val="0"/>
              <w:spacing w:line="360" w:lineRule="auto"/>
              <w:jc w:val="left"/>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（3）具有履行合同所必需的设备和专业技术能力；（提供承诺函，加盖单位公章）</w:t>
            </w:r>
          </w:p>
          <w:p w14:paraId="1E451C86">
            <w:pPr>
              <w:widowControl/>
              <w:shd w:val="clear" w:color="auto" w:fill="FFFFFF"/>
              <w:snapToGrid w:val="0"/>
              <w:spacing w:line="360" w:lineRule="auto"/>
              <w:jc w:val="left"/>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（4）有依法缴纳税收和社会保障资金的良好记录（提供本企业近一年任意3个月完税证明及缴纳社保记录）；</w:t>
            </w:r>
          </w:p>
          <w:p w14:paraId="2B90B254">
            <w:pPr>
              <w:widowControl/>
              <w:shd w:val="clear" w:color="auto" w:fill="FFFFFF"/>
              <w:snapToGrid w:val="0"/>
              <w:spacing w:line="360" w:lineRule="auto"/>
              <w:jc w:val="left"/>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（5）参加政府采购活动前三年内，‌在经营活动中没有重大违法记录；（提供承诺函，加盖单位公章）‌</w:t>
            </w:r>
          </w:p>
        </w:tc>
      </w:tr>
      <w:tr w14:paraId="7A31DEE0">
        <w:tblPrEx>
          <w:tblCellMar>
            <w:top w:w="0" w:type="dxa"/>
            <w:left w:w="0" w:type="dxa"/>
            <w:bottom w:w="0" w:type="dxa"/>
            <w:right w:w="0" w:type="dxa"/>
          </w:tblCellMar>
        </w:tblPrEx>
        <w:trPr>
          <w:trHeight w:val="409" w:hRule="atLeast"/>
          <w:jc w:val="center"/>
        </w:trPr>
        <w:tc>
          <w:tcPr>
            <w:tcW w:w="61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2F9075AB">
            <w:pPr>
              <w:widowControl/>
              <w:shd w:val="clear" w:color="auto" w:fill="FFFFFF"/>
              <w:snapToGrid w:val="0"/>
              <w:spacing w:line="360" w:lineRule="auto"/>
              <w:jc w:val="center"/>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p>
        </w:tc>
        <w:tc>
          <w:tcPr>
            <w:tcW w:w="8478" w:type="dxa"/>
            <w:tcBorders>
              <w:top w:val="nil"/>
              <w:left w:val="nil"/>
              <w:bottom w:val="single" w:color="auto" w:sz="8" w:space="0"/>
              <w:right w:val="single" w:color="auto" w:sz="8" w:space="0"/>
            </w:tcBorders>
            <w:tcMar>
              <w:top w:w="0" w:type="dxa"/>
              <w:left w:w="28" w:type="dxa"/>
              <w:bottom w:w="0" w:type="dxa"/>
              <w:right w:w="28" w:type="dxa"/>
            </w:tcMar>
            <w:vAlign w:val="center"/>
          </w:tcPr>
          <w:p w14:paraId="14000E30">
            <w:pPr>
              <w:spacing w:line="360" w:lineRule="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须是在“信用中国”（www.creditchina.gov.cn）和中国政府采购网（www.ccgp.gov.cn）网站上未被列入失信被执行人、重大税收违法案件当事人名单以及政府采购严重违法失信行为记录名单；查询时间（须自招标公告发布之日起至首次提交投标文件截止时间内）</w:t>
            </w:r>
          </w:p>
        </w:tc>
      </w:tr>
      <w:tr w14:paraId="22FCC53E">
        <w:tblPrEx>
          <w:tblCellMar>
            <w:top w:w="0" w:type="dxa"/>
            <w:left w:w="0" w:type="dxa"/>
            <w:bottom w:w="0" w:type="dxa"/>
            <w:right w:w="0" w:type="dxa"/>
          </w:tblCellMar>
        </w:tblPrEx>
        <w:trPr>
          <w:trHeight w:val="409" w:hRule="atLeast"/>
          <w:jc w:val="center"/>
        </w:trPr>
        <w:tc>
          <w:tcPr>
            <w:tcW w:w="61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5A83959D">
            <w:pPr>
              <w:widowControl/>
              <w:shd w:val="clear" w:color="auto" w:fill="FFFFFF"/>
              <w:snapToGrid w:val="0"/>
              <w:spacing w:line="360" w:lineRule="auto"/>
              <w:jc w:val="center"/>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3</w:t>
            </w:r>
          </w:p>
        </w:tc>
        <w:tc>
          <w:tcPr>
            <w:tcW w:w="8478" w:type="dxa"/>
            <w:tcBorders>
              <w:top w:val="nil"/>
              <w:left w:val="nil"/>
              <w:bottom w:val="single" w:color="auto" w:sz="8" w:space="0"/>
              <w:right w:val="single" w:color="auto" w:sz="8" w:space="0"/>
            </w:tcBorders>
            <w:tcMar>
              <w:top w:w="0" w:type="dxa"/>
              <w:left w:w="28" w:type="dxa"/>
              <w:bottom w:w="0" w:type="dxa"/>
              <w:right w:w="28" w:type="dxa"/>
            </w:tcMar>
            <w:vAlign w:val="center"/>
          </w:tcPr>
          <w:p w14:paraId="3997BE07">
            <w:pPr>
              <w:spacing w:line="360" w:lineRule="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提供有效的《中小企业声明函》</w:t>
            </w:r>
          </w:p>
        </w:tc>
      </w:tr>
      <w:tr w14:paraId="796CA224">
        <w:tblPrEx>
          <w:tblCellMar>
            <w:top w:w="0" w:type="dxa"/>
            <w:left w:w="0" w:type="dxa"/>
            <w:bottom w:w="0" w:type="dxa"/>
            <w:right w:w="0" w:type="dxa"/>
          </w:tblCellMar>
        </w:tblPrEx>
        <w:trPr>
          <w:trHeight w:val="871" w:hRule="atLeast"/>
          <w:jc w:val="center"/>
        </w:trPr>
        <w:tc>
          <w:tcPr>
            <w:tcW w:w="614"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14:paraId="5A356202">
            <w:pPr>
              <w:widowControl/>
              <w:shd w:val="clear" w:color="auto" w:fill="FFFFFF"/>
              <w:snapToGrid w:val="0"/>
              <w:spacing w:line="360" w:lineRule="auto"/>
              <w:jc w:val="center"/>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cstheme="minorBidi"/>
                <w:iCs/>
                <w:color w:val="auto"/>
                <w:kern w:val="2"/>
                <w:sz w:val="24"/>
                <w:szCs w:val="22"/>
                <w:highlight w:val="none"/>
                <w:shd w:val="clear" w:color="auto" w:fill="FFFFFF" w:themeFill="background1"/>
                <w:lang w:val="en-US" w:eastAsia="zh-CN" w:bidi="ar-SA"/>
              </w:rPr>
              <w:t>4</w:t>
            </w:r>
          </w:p>
        </w:tc>
        <w:tc>
          <w:tcPr>
            <w:tcW w:w="8478" w:type="dxa"/>
            <w:tcBorders>
              <w:top w:val="nil"/>
              <w:left w:val="nil"/>
              <w:bottom w:val="single" w:color="auto" w:sz="8" w:space="0"/>
              <w:right w:val="single" w:color="auto" w:sz="8" w:space="0"/>
            </w:tcBorders>
            <w:tcMar>
              <w:top w:w="0" w:type="dxa"/>
              <w:left w:w="28" w:type="dxa"/>
              <w:bottom w:w="0" w:type="dxa"/>
              <w:right w:w="28" w:type="dxa"/>
            </w:tcMar>
            <w:vAlign w:val="center"/>
          </w:tcPr>
          <w:p w14:paraId="1E5B968A">
            <w:pPr>
              <w:spacing w:line="360" w:lineRule="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有效的《医疗器械经营许可证》或《医疗器械生产许可证》或具有第</w:t>
            </w:r>
            <w:r>
              <w:rPr>
                <w:rFonts w:hint="eastAsia" w:cstheme="minorBidi"/>
                <w:iCs/>
                <w:color w:val="auto"/>
                <w:kern w:val="2"/>
                <w:sz w:val="24"/>
                <w:szCs w:val="22"/>
                <w:highlight w:val="none"/>
                <w:shd w:val="clear" w:color="auto" w:fill="FFFFFF" w:themeFill="background1"/>
                <w:lang w:val="en-US" w:eastAsia="zh-CN" w:bidi="ar-SA"/>
              </w:rPr>
              <w:t>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类医疗器械备案凭证。</w:t>
            </w:r>
          </w:p>
        </w:tc>
      </w:tr>
      <w:tr w14:paraId="75C32591">
        <w:tblPrEx>
          <w:tblCellMar>
            <w:top w:w="0" w:type="dxa"/>
            <w:left w:w="0" w:type="dxa"/>
            <w:bottom w:w="0" w:type="dxa"/>
            <w:right w:w="0" w:type="dxa"/>
          </w:tblCellMar>
        </w:tblPrEx>
        <w:trPr>
          <w:trHeight w:val="950" w:hRule="atLeast"/>
          <w:jc w:val="center"/>
        </w:trPr>
        <w:tc>
          <w:tcPr>
            <w:tcW w:w="9092"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14:paraId="2F77883B">
            <w:pPr>
              <w:widowControl/>
              <w:shd w:val="clear" w:color="auto" w:fill="FFFFFF"/>
              <w:snapToGrid w:val="0"/>
              <w:spacing w:line="360" w:lineRule="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备注：如果资格审查中有一项不满足审查标准的，采购人将认定该投标人不通过资格审查，不得进入下一阶段评审。并且不允许投标人通过修改或撤销其不符合要求的差异或保留，使之成为具有响应性的投标。</w:t>
            </w:r>
          </w:p>
        </w:tc>
      </w:tr>
    </w:tbl>
    <w:p w14:paraId="3B0C6A1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75823E1B">
      <w:pP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bookmarkStart w:id="369" w:name="_Toc155185903"/>
      <w:bookmarkStart w:id="370" w:name="_Toc28158"/>
      <w:bookmarkStart w:id="371" w:name="_Toc30175"/>
      <w:r>
        <w:rPr>
          <w:rFonts w:hint="eastAsia" w:ascii="宋体" w:hAnsi="宋体" w:eastAsia="宋体" w:cs="宋体"/>
          <w:b/>
          <w:bCs/>
          <w:color w:val="auto"/>
          <w:kern w:val="44"/>
          <w:sz w:val="36"/>
          <w:szCs w:val="36"/>
          <w:highlight w:val="none"/>
          <w:lang w:val="en-US" w:eastAsia="zh-CN" w:bidi="ar-SA"/>
        </w:rPr>
        <w:t>第五章 评标方法</w:t>
      </w:r>
      <w:bookmarkEnd w:id="369"/>
      <w:r>
        <w:rPr>
          <w:rFonts w:hint="eastAsia" w:ascii="宋体" w:hAnsi="宋体" w:eastAsia="宋体" w:cs="宋体"/>
          <w:b/>
          <w:bCs/>
          <w:color w:val="auto"/>
          <w:kern w:val="44"/>
          <w:sz w:val="36"/>
          <w:szCs w:val="36"/>
          <w:highlight w:val="none"/>
          <w:lang w:val="en-US" w:eastAsia="zh-CN" w:bidi="ar-SA"/>
        </w:rPr>
        <w:t>及标准(综合评分法)</w:t>
      </w:r>
      <w:bookmarkEnd w:id="370"/>
      <w:bookmarkEnd w:id="371"/>
    </w:p>
    <w:p w14:paraId="2BB6F8A4">
      <w:pPr>
        <w:pStyle w:val="4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72" w:name="_Toc17592"/>
      <w:bookmarkStart w:id="373" w:name="_Toc4301"/>
      <w:bookmarkStart w:id="374" w:name="_Toc61280402"/>
      <w:bookmarkStart w:id="375" w:name="_Toc109899484"/>
      <w:bookmarkStart w:id="376" w:name="_Toc278891606"/>
      <w:bookmarkStart w:id="377" w:name="_Toc272247709"/>
      <w:bookmarkStart w:id="378" w:name="_Toc494561962"/>
      <w:bookmarkStart w:id="379" w:name="_Toc140132826"/>
      <w:bookmarkStart w:id="380" w:name="_Toc155185905"/>
      <w:bookmarkStart w:id="381" w:name="_Toc511894518"/>
      <w:bookmarkStart w:id="382" w:name="_Toc109899903"/>
      <w:bookmarkStart w:id="383" w:name="_Toc10990032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72"/>
      <w:bookmarkEnd w:id="373"/>
    </w:p>
    <w:p w14:paraId="40F9AE81">
      <w:pPr>
        <w:pStyle w:val="42"/>
        <w:keepNext w:val="0"/>
        <w:keepLines w:val="0"/>
        <w:pageBreakBefore w:val="0"/>
        <w:widowControl w:val="0"/>
        <w:kinsoku/>
        <w:wordWrap w:val="0"/>
        <w:overflowPunct/>
        <w:topLinePunct w:val="0"/>
        <w:autoSpaceDE/>
        <w:autoSpaceDN/>
        <w:bidi w:val="0"/>
        <w:adjustRightInd/>
        <w:snapToGrid/>
        <w:ind w:firstLine="482"/>
        <w:jc w:val="both"/>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84" w:name="_Toc2887"/>
      <w:bookmarkStart w:id="385" w:name="_Toc27095"/>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84"/>
      <w:bookmarkEnd w:id="385"/>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6" w:name="_Toc19642"/>
      <w:r>
        <w:rPr>
          <w:rFonts w:hint="eastAsia" w:ascii="宋体" w:hAnsi="宋体" w:eastAsia="宋体" w:cs="宋体"/>
          <w:b/>
          <w:bCs/>
          <w:color w:val="auto"/>
          <w:kern w:val="2"/>
          <w:sz w:val="24"/>
          <w:szCs w:val="24"/>
          <w:highlight w:val="none"/>
          <w:lang w:val="zh-CN" w:eastAsia="zh-CN" w:bidi="ar-SA"/>
        </w:rPr>
        <w:t>（一）符合性审查</w:t>
      </w:r>
      <w:bookmarkEnd w:id="386"/>
    </w:p>
    <w:p w14:paraId="4E726315">
      <w:pPr>
        <w:pStyle w:val="42"/>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6117DC47">
      <w:pPr>
        <w:pStyle w:val="42"/>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7" w:name="_Toc102114946"/>
      <w:bookmarkStart w:id="388" w:name="_Toc102119879"/>
      <w:bookmarkStart w:id="389" w:name="_Toc102116178"/>
      <w:bookmarkStart w:id="390" w:name="_Toc102116048"/>
      <w:bookmarkStart w:id="391" w:name="_Toc102057744"/>
      <w:bookmarkStart w:id="392" w:name="_Toc155185907"/>
      <w:bookmarkStart w:id="393" w:name="_Toc102056244"/>
      <w:bookmarkStart w:id="394" w:name="_Toc163492903"/>
      <w:bookmarkStart w:id="395" w:name="_Toc3217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87"/>
      <w:bookmarkEnd w:id="388"/>
      <w:bookmarkEnd w:id="389"/>
      <w:bookmarkEnd w:id="390"/>
      <w:bookmarkEnd w:id="391"/>
      <w:bookmarkEnd w:id="392"/>
      <w:bookmarkEnd w:id="393"/>
      <w:r>
        <w:rPr>
          <w:rFonts w:hint="eastAsia" w:ascii="宋体" w:hAnsi="宋体" w:eastAsia="宋体" w:cs="宋体"/>
          <w:b/>
          <w:bCs/>
          <w:color w:val="auto"/>
          <w:kern w:val="2"/>
          <w:sz w:val="24"/>
          <w:szCs w:val="24"/>
          <w:highlight w:val="none"/>
          <w:lang w:val="zh-CN" w:eastAsia="zh-CN" w:bidi="ar-SA"/>
        </w:rPr>
        <w:t>及修正</w:t>
      </w:r>
      <w:bookmarkEnd w:id="394"/>
      <w:bookmarkEnd w:id="395"/>
    </w:p>
    <w:p w14:paraId="0EC9197C">
      <w:pPr>
        <w:pStyle w:val="4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079329DA">
      <w:pPr>
        <w:pStyle w:val="4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4.投标人应按照评标委员会要求在规定时间内作出澄清、说明或者补正，澄清、说明或者补正不得超出投标文件的范围或者改变投标文件的实质性内容。</w:t>
      </w:r>
    </w:p>
    <w:p w14:paraId="591A6455">
      <w:pPr>
        <w:pStyle w:val="4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5.投标人的澄清、说明或者补正是其投标文件的有效组成部分，澄清、说明或者补正应当在政采云平台评标系统中加盖电子印章后提交。</w:t>
      </w:r>
    </w:p>
    <w:p w14:paraId="3B466024">
      <w:pPr>
        <w:pStyle w:val="4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w:t>
      </w:r>
    </w:p>
    <w:p w14:paraId="4FD6345C">
      <w:pPr>
        <w:pStyle w:val="42"/>
        <w:jc w:val="both"/>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eastAsia"/>
          <w:color w:val="auto"/>
          <w:highlight w:val="none"/>
          <w:lang w:val="en-US" w:eastAsia="zh-CN"/>
        </w:rPr>
        <w:t>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015D7E7F">
      <w:pPr>
        <w:pStyle w:val="42"/>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4D967018">
      <w:pPr>
        <w:pStyle w:val="42"/>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657B9F51">
      <w:pPr>
        <w:pStyle w:val="42"/>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628E9D79">
      <w:pPr>
        <w:pStyle w:val="42"/>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3D45997F">
      <w:pPr>
        <w:pStyle w:val="42"/>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4E5FFFFF">
      <w:pPr>
        <w:pStyle w:val="42"/>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6"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96"/>
    </w:p>
    <w:p w14:paraId="2BE6ECB2">
      <w:pPr>
        <w:pStyle w:val="4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84D833B">
      <w:pPr>
        <w:pStyle w:val="4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.有效投标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7"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97"/>
    </w:p>
    <w:p w14:paraId="21874171">
      <w:pPr>
        <w:pStyle w:val="42"/>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266BD854">
      <w:pPr>
        <w:pStyle w:val="4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11.1服务项目的价格分值占总分值的比重不得低于</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2D86B7AD">
      <w:pPr>
        <w:pStyle w:val="4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投标报价得分=(评标基准价／投标报价)×价格分值</w:t>
      </w:r>
    </w:p>
    <w:p w14:paraId="0CCB2E48">
      <w:pPr>
        <w:pStyle w:val="4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评标过程中，不得去掉报价中的最高报价和最低报价。</w:t>
      </w:r>
    </w:p>
    <w:p w14:paraId="14E623B0">
      <w:pPr>
        <w:pStyle w:val="42"/>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11.2除算术修正和落实政府采购政策的价格扣除外，不对投标报价进行调整；</w:t>
      </w:r>
    </w:p>
    <w:p w14:paraId="03B9CB3F">
      <w:pPr>
        <w:pStyle w:val="42"/>
        <w:jc w:val="both"/>
        <w:rPr>
          <w:color w:val="auto"/>
          <w:highlight w:val="none"/>
        </w:rPr>
      </w:pPr>
      <w:r>
        <w:rPr>
          <w:rFonts w:hint="eastAsia" w:ascii="宋体" w:hAnsi="宋体" w:eastAsia="宋体" w:cs="宋体"/>
          <w:color w:val="auto"/>
          <w:sz w:val="24"/>
          <w:szCs w:val="24"/>
          <w:highlight w:val="none"/>
          <w:lang w:val="en-US" w:eastAsia="zh-CN"/>
        </w:rPr>
        <w:t>11.3价格分值见本章“四、评标标准”</w:t>
      </w:r>
      <w:r>
        <w:rPr>
          <w:color w:val="auto"/>
          <w:highlight w:val="none"/>
        </w:rPr>
        <w:t>。</w:t>
      </w:r>
    </w:p>
    <w:p w14:paraId="083553FD">
      <w:pPr>
        <w:pStyle w:val="42"/>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2E6403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w:t>
      </w:r>
      <w:r>
        <w:rPr>
          <w:rFonts w:hint="eastAsia" w:ascii="宋体" w:hAnsi="宋体" w:eastAsia="宋体" w:cs="宋体"/>
          <w:color w:val="auto"/>
          <w:sz w:val="24"/>
          <w:szCs w:val="24"/>
          <w:highlight w:val="none"/>
        </w:rPr>
        <w:t>政府采购评审中出现下列情形之一的，评审委员会应当启动异常低价投标（响应）审查程序：</w:t>
      </w:r>
    </w:p>
    <w:p w14:paraId="7C4273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投标（响应）报价低于全部通过符合性审查供应商投标（响应）报价平均值50%的，即投标（响应）报价&lt;全部通过符合性审查供应商投标（响应）报价平均值×50%；</w:t>
      </w:r>
    </w:p>
    <w:p w14:paraId="3D30BA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投标（响应）报价低于通过符合性审查的次低报价供应商投标（响应）报价50%的，即投标（响应）报价&lt;通过符合性审查的次低报价供应商投标（响应）报价×50%；</w:t>
      </w:r>
    </w:p>
    <w:p w14:paraId="4A9A2B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投标（响应）报价低于采购项目最高限价45%的，即投标（响应）报价&lt;采购项目最高限价×45%；</w:t>
      </w:r>
    </w:p>
    <w:p w14:paraId="348FC4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评审委员会基于专业判断，认为供应商报价过低，有可能影响产品质量或者不能诚信履约的其他情形。</w:t>
      </w:r>
    </w:p>
    <w:p w14:paraId="6E3512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12.2</w:t>
      </w:r>
      <w:r>
        <w:rPr>
          <w:rFonts w:hint="eastAsia" w:ascii="宋体" w:hAnsi="宋体" w:eastAsia="宋体" w:cs="宋体"/>
          <w:color w:val="auto"/>
          <w:sz w:val="24"/>
          <w:szCs w:val="24"/>
          <w:highlight w:val="none"/>
        </w:rPr>
        <w:t>评审委员会启动异常低价投标（响应）审查后，属于前述第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项至第</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10E38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0866637">
      <w:pPr>
        <w:pStyle w:val="42"/>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1627C557">
      <w:pPr>
        <w:pStyle w:val="42"/>
        <w:numPr>
          <w:ilvl w:val="0"/>
          <w:numId w:val="0"/>
        </w:numPr>
        <w:ind w:firstLine="480" w:firstLineChars="200"/>
        <w:jc w:val="both"/>
        <w:rPr>
          <w:color w:val="auto"/>
          <w:highlight w:val="none"/>
        </w:rPr>
      </w:pPr>
      <w:r>
        <w:rPr>
          <w:color w:val="auto"/>
          <w:highlight w:val="none"/>
        </w:rPr>
        <w:t>1</w:t>
      </w:r>
      <w:r>
        <w:rPr>
          <w:rFonts w:hint="eastAsia"/>
          <w:color w:val="auto"/>
          <w:highlight w:val="none"/>
          <w:lang w:val="en-US" w:eastAsia="zh-CN"/>
        </w:rPr>
        <w:t>3</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1E5F4E03">
      <w:pPr>
        <w:pStyle w:val="42"/>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中的两种及以上，将不重复享受小微企业价格扣减的优惠政策。</w:t>
      </w:r>
    </w:p>
    <w:p w14:paraId="1A495953">
      <w:pPr>
        <w:pStyle w:val="42"/>
        <w:numPr>
          <w:ilvl w:val="0"/>
          <w:numId w:val="0"/>
        </w:numPr>
        <w:ind w:firstLine="480" w:firstLineChars="200"/>
        <w:jc w:val="both"/>
        <w:rPr>
          <w:rFonts w:hint="eastAsia"/>
          <w:color w:val="auto"/>
          <w:highlight w:val="none"/>
          <w:lang w:val="en-US" w:eastAsia="zh-CN"/>
        </w:rPr>
      </w:pPr>
      <w:r>
        <w:rPr>
          <w:rFonts w:hint="eastAsia"/>
          <w:color w:val="auto"/>
          <w:highlight w:val="none"/>
          <w:lang w:val="en-US" w:eastAsia="zh-CN"/>
        </w:rPr>
        <w:t>组成联合体或者接受分包的小微企业与联合体内其他企业、分包企业</w:t>
      </w:r>
      <w:r>
        <w:rPr>
          <w:rFonts w:hint="default"/>
          <w:color w:val="auto"/>
          <w:highlight w:val="none"/>
          <w:lang w:val="en-US" w:eastAsia="zh-CN"/>
        </w:rPr>
        <w:t>之间存在直接控股、管理关系的，不享受价格扣除优惠政策。</w:t>
      </w:r>
    </w:p>
    <w:p w14:paraId="4FDAF77C">
      <w:pPr>
        <w:pStyle w:val="42"/>
        <w:numPr>
          <w:ilvl w:val="0"/>
          <w:numId w:val="0"/>
        </w:numPr>
        <w:ind w:firstLine="480" w:firstLineChars="200"/>
        <w:jc w:val="both"/>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71DD10A8">
      <w:pPr>
        <w:pStyle w:val="42"/>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3A3EA963">
      <w:pPr>
        <w:pStyle w:val="42"/>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对于未预留份额专门面向中小企业的政府采购项目，以及预留份额政府采购项目中的非预留部分标项，对小型和微型企业的投标报价给予10%-</w:t>
      </w:r>
      <w:r>
        <w:rPr>
          <w:rFonts w:ascii="宋体" w:hAnsi="宋体" w:eastAsia="宋体"/>
          <w:color w:val="auto"/>
          <w:highlight w:val="none"/>
        </w:rPr>
        <w:t>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约定小微企业的合同份额占到合同总金额30%以上的，对联合体或者大中型企业的报价给予4%-</w:t>
      </w:r>
      <w:r>
        <w:rPr>
          <w:rFonts w:ascii="宋体" w:hAnsi="宋体" w:eastAsia="宋体"/>
          <w:color w:val="auto"/>
          <w:highlight w:val="none"/>
        </w:rPr>
        <w:t>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7B519FEC">
      <w:pPr>
        <w:pStyle w:val="42"/>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46CBA7AF">
      <w:pPr>
        <w:pStyle w:val="42"/>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42"/>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564B303F">
      <w:pPr>
        <w:pStyle w:val="42"/>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495AB002">
      <w:pPr>
        <w:pStyle w:val="42"/>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428B8848">
      <w:pPr>
        <w:pStyle w:val="42"/>
        <w:jc w:val="both"/>
        <w:rPr>
          <w:rFonts w:hint="eastAsia" w:ascii="宋体" w:hAnsi="宋体" w:eastAsia="宋体"/>
          <w:color w:val="auto"/>
          <w:highlight w:val="none"/>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8"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98"/>
    </w:p>
    <w:p w14:paraId="073A56A5">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14.评标过程中，各项分值一般精确到小数点后两位，评标得分应为商务评分、技术评分、报价评分之和。评标委员会各成员应汇总每个投标人的得分。</w:t>
      </w:r>
    </w:p>
    <w:p w14:paraId="0BE80DC7">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14.1.评标结果汇总完成后，采购代理机构应对评标结果进行复核。经复核发现存在以下情形之一的，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427128F3">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s="宋体"/>
          <w:iCs/>
          <w:color w:val="auto"/>
          <w:kern w:val="2"/>
          <w:sz w:val="24"/>
          <w:szCs w:val="24"/>
          <w:highlight w:val="none"/>
          <w:shd w:val="clear" w:fill="FFFFFF" w:themeFill="background1"/>
          <w:lang w:val="en-US" w:eastAsia="zh-CN" w:bidi="ar-SA"/>
        </w:rPr>
        <w:t>（1）</w:t>
      </w:r>
      <w:r>
        <w:rPr>
          <w:rFonts w:hint="eastAsia"/>
          <w:color w:val="auto"/>
          <w:highlight w:val="none"/>
          <w:lang w:val="en-US" w:eastAsia="zh-CN"/>
        </w:rPr>
        <w:t>分值汇总计算错误的；</w:t>
      </w:r>
    </w:p>
    <w:p w14:paraId="4404F7B4">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（2）分项评分超出评分标准范围的；</w:t>
      </w:r>
    </w:p>
    <w:p w14:paraId="18150CA8">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（3）评标委员会成员对客观评审因素评分不一致的；</w:t>
      </w:r>
    </w:p>
    <w:p w14:paraId="6BFAB3DA">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（4）经评标委员会认定评分畸高、畸低的。</w:t>
      </w:r>
    </w:p>
    <w:p w14:paraId="0FD26D1C">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1FD846A7">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2280223">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9"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99"/>
    </w:p>
    <w:p w14:paraId="514ADBD8">
      <w:pPr>
        <w:pStyle w:val="42"/>
        <w:jc w:val="both"/>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3B1F6C1A">
      <w:pPr>
        <w:pStyle w:val="42"/>
        <w:jc w:val="both"/>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00"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400"/>
    </w:p>
    <w:p w14:paraId="3576CABA">
      <w:pPr>
        <w:pStyle w:val="42"/>
        <w:jc w:val="both"/>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01" w:name="_Toc102116021"/>
      <w:bookmarkStart w:id="402" w:name="_Toc102119852"/>
      <w:bookmarkStart w:id="403" w:name="_Toc102056217"/>
      <w:bookmarkStart w:id="404" w:name="_Toc163492906"/>
      <w:bookmarkStart w:id="405" w:name="_Toc1587"/>
      <w:bookmarkStart w:id="406" w:name="_Toc102057717"/>
      <w:bookmarkStart w:id="407" w:name="_Toc102116151"/>
      <w:bookmarkStart w:id="408" w:name="_Toc102114919"/>
      <w:bookmarkStart w:id="409" w:name="_Toc155185913"/>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401"/>
      <w:bookmarkEnd w:id="402"/>
      <w:bookmarkEnd w:id="403"/>
      <w:bookmarkEnd w:id="404"/>
      <w:bookmarkEnd w:id="405"/>
      <w:bookmarkEnd w:id="406"/>
      <w:bookmarkEnd w:id="407"/>
      <w:bookmarkEnd w:id="408"/>
      <w:bookmarkEnd w:id="409"/>
    </w:p>
    <w:p w14:paraId="2D93D6F8">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5C1B2C98">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15C939E8">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0A936FC6">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0C68E355">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3FDAE166">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2C5FC304">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6FC2A54F">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4D1E7850">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149A35CB">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19EFB935">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3A6B2386">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3764E979">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w:t>
      </w:r>
      <w:r>
        <w:rPr>
          <w:rFonts w:hint="eastAsia"/>
          <w:color w:val="auto"/>
          <w:highlight w:val="none"/>
          <w:lang w:val="zh-CN" w:eastAsia="zh-CN"/>
        </w:rPr>
        <w:t>法律、法规、规章规定属于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601D7976">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0BD50610">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31815558">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3AD20378">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3F168EA2">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4E7939">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3B078CE3">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1C3AF755">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0641DF48">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737FAF06">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2C92042A">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34ECD7A2">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55223AA1">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238CC2DB">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42948BC7">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21.5</w:t>
      </w:r>
      <w:r>
        <w:rPr>
          <w:rFonts w:hint="eastAsia"/>
          <w:color w:val="auto"/>
          <w:highlight w:val="none"/>
        </w:rPr>
        <w:t>法律、法规、规章规定属于</w:t>
      </w:r>
      <w:r>
        <w:rPr>
          <w:rFonts w:hint="eastAsia"/>
          <w:color w:val="auto"/>
          <w:highlight w:val="none"/>
          <w:lang w:val="en-US" w:eastAsia="zh-CN"/>
        </w:rPr>
        <w:t>废标</w:t>
      </w:r>
      <w:r>
        <w:rPr>
          <w:rFonts w:hint="eastAsia"/>
          <w:color w:val="auto"/>
          <w:highlight w:val="none"/>
        </w:rPr>
        <w:t>的其他情形。</w:t>
      </w:r>
    </w:p>
    <w:p w14:paraId="3EE39131">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10" w:name="_Toc12911"/>
      <w:bookmarkStart w:id="411" w:name="_Toc102114920"/>
      <w:bookmarkStart w:id="412" w:name="_Toc102057718"/>
      <w:bookmarkStart w:id="413" w:name="_Toc102119853"/>
      <w:bookmarkStart w:id="414" w:name="_Toc163492907"/>
      <w:bookmarkStart w:id="415" w:name="_Toc155185914"/>
      <w:bookmarkStart w:id="416" w:name="_Toc102056218"/>
      <w:bookmarkStart w:id="417" w:name="_Toc102116152"/>
      <w:bookmarkStart w:id="418" w:name="_Toc1021160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410"/>
      <w:bookmarkEnd w:id="411"/>
      <w:bookmarkEnd w:id="412"/>
      <w:bookmarkEnd w:id="413"/>
      <w:bookmarkEnd w:id="414"/>
      <w:bookmarkEnd w:id="415"/>
      <w:bookmarkEnd w:id="416"/>
      <w:bookmarkEnd w:id="417"/>
      <w:bookmarkEnd w:id="418"/>
    </w:p>
    <w:p w14:paraId="190044DE">
      <w:pPr>
        <w:pStyle w:val="42"/>
        <w:jc w:val="both"/>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19"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419"/>
    </w:p>
    <w:p w14:paraId="461B653A">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7AA5C7C3">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3A794890">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95100CC">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45E078B1">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43A428E9">
      <w:pPr>
        <w:pStyle w:val="42"/>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74"/>
    <w:bookmarkEnd w:id="375"/>
    <w:bookmarkEnd w:id="376"/>
    <w:bookmarkEnd w:id="377"/>
    <w:bookmarkEnd w:id="378"/>
    <w:bookmarkEnd w:id="379"/>
    <w:bookmarkEnd w:id="380"/>
    <w:bookmarkEnd w:id="381"/>
    <w:bookmarkEnd w:id="382"/>
    <w:bookmarkEnd w:id="383"/>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default" w:ascii="宋体" w:hAnsi="宋体" w:eastAsia="宋体" w:cs="宋体"/>
          <w:color w:val="auto"/>
          <w:sz w:val="28"/>
          <w:szCs w:val="28"/>
          <w:highlight w:val="none"/>
          <w:lang w:val="en-US" w:eastAsia="zh-CN"/>
        </w:rPr>
      </w:pPr>
      <w:bookmarkStart w:id="420" w:name="_Toc27267"/>
      <w:bookmarkStart w:id="421" w:name="_Toc5253"/>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420"/>
      <w:bookmarkEnd w:id="421"/>
    </w:p>
    <w:p w14:paraId="555D6B49">
      <w:pPr>
        <w:pStyle w:val="42"/>
        <w:keepNext w:val="0"/>
        <w:keepLines w:val="0"/>
        <w:pageBreakBefore w:val="0"/>
        <w:widowControl w:val="0"/>
        <w:kinsoku/>
        <w:overflowPunct/>
        <w:topLinePunct w:val="0"/>
        <w:autoSpaceDE/>
        <w:autoSpaceDN/>
        <w:bidi w:val="0"/>
        <w:adjustRightInd/>
        <w:snapToGrid/>
        <w:jc w:val="both"/>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0BE29AB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422" w:name="_Toc17549"/>
      <w:bookmarkStart w:id="423" w:name="_Toc355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422"/>
      <w:bookmarkEnd w:id="423"/>
    </w:p>
    <w:p w14:paraId="6FC1DEBE">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424" w:name="_Toc9559"/>
      <w:bookmarkStart w:id="425" w:name="_Toc163492909"/>
      <w:r>
        <w:rPr>
          <w:rFonts w:hint="eastAsia" w:ascii="宋体" w:hAnsi="宋体" w:eastAsia="宋体" w:cs="宋体"/>
          <w:b/>
          <w:bCs/>
          <w:color w:val="auto"/>
          <w:kern w:val="2"/>
          <w:sz w:val="24"/>
          <w:szCs w:val="24"/>
          <w:highlight w:val="none"/>
          <w:lang w:val="zh-CN" w:eastAsia="zh-CN" w:bidi="ar-SA"/>
        </w:rPr>
        <w:t>（一）符合性审查表</w:t>
      </w:r>
      <w:bookmarkEnd w:id="424"/>
      <w:bookmarkEnd w:id="425"/>
    </w:p>
    <w:tbl>
      <w:tblPr>
        <w:tblStyle w:val="3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8467"/>
      </w:tblGrid>
      <w:tr w14:paraId="28D2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2" w:type="dxa"/>
            <w:vMerge w:val="restart"/>
            <w:vAlign w:val="center"/>
          </w:tcPr>
          <w:p w14:paraId="08667521">
            <w:pPr>
              <w:autoSpaceDE w:val="0"/>
              <w:autoSpaceDN w:val="0"/>
              <w:adjustRightInd w:val="0"/>
              <w:spacing w:line="360" w:lineRule="auto"/>
              <w:jc w:val="center"/>
              <w:rPr>
                <w:rFonts w:ascii="宋体" w:cs="宋体"/>
                <w:kern w:val="0"/>
                <w:sz w:val="24"/>
                <w:szCs w:val="24"/>
              </w:rPr>
            </w:pPr>
            <w:bookmarkStart w:id="426" w:name="_Toc163492910"/>
            <w:bookmarkStart w:id="427" w:name="_Toc155185917"/>
            <w:r>
              <w:rPr>
                <w:rFonts w:hint="eastAsia" w:ascii="宋体" w:hAnsi="宋体" w:cs="宋体"/>
                <w:kern w:val="0"/>
                <w:sz w:val="24"/>
                <w:szCs w:val="24"/>
              </w:rPr>
              <w:t>序号</w:t>
            </w:r>
          </w:p>
        </w:tc>
        <w:tc>
          <w:tcPr>
            <w:tcW w:w="8467" w:type="dxa"/>
            <w:vMerge w:val="restart"/>
            <w:vAlign w:val="center"/>
          </w:tcPr>
          <w:p w14:paraId="51C7786A">
            <w:pPr>
              <w:autoSpaceDE w:val="0"/>
              <w:autoSpaceDN w:val="0"/>
              <w:adjustRightInd w:val="0"/>
              <w:spacing w:line="360" w:lineRule="auto"/>
              <w:jc w:val="center"/>
              <w:rPr>
                <w:rFonts w:ascii="宋体" w:cs="宋体"/>
                <w:kern w:val="0"/>
                <w:sz w:val="24"/>
                <w:szCs w:val="24"/>
              </w:rPr>
            </w:pPr>
            <w:r>
              <w:rPr>
                <w:rFonts w:hint="eastAsia" w:ascii="宋体" w:hAnsi="宋体" w:cs="宋体"/>
                <w:kern w:val="0"/>
                <w:sz w:val="24"/>
                <w:szCs w:val="24"/>
              </w:rPr>
              <w:t>投标文件符合性审查内容</w:t>
            </w:r>
          </w:p>
        </w:tc>
      </w:tr>
      <w:tr w14:paraId="68E4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72" w:type="dxa"/>
            <w:vMerge w:val="continue"/>
            <w:vAlign w:val="center"/>
          </w:tcPr>
          <w:p w14:paraId="680F19DA">
            <w:pPr>
              <w:autoSpaceDE w:val="0"/>
              <w:autoSpaceDN w:val="0"/>
              <w:adjustRightInd w:val="0"/>
              <w:spacing w:line="360" w:lineRule="auto"/>
              <w:jc w:val="center"/>
              <w:rPr>
                <w:rFonts w:ascii="宋体" w:cs="宋体"/>
                <w:kern w:val="0"/>
                <w:sz w:val="24"/>
                <w:szCs w:val="24"/>
              </w:rPr>
            </w:pPr>
          </w:p>
        </w:tc>
        <w:tc>
          <w:tcPr>
            <w:tcW w:w="8467" w:type="dxa"/>
            <w:vMerge w:val="continue"/>
          </w:tcPr>
          <w:p w14:paraId="5AD26226">
            <w:pPr>
              <w:autoSpaceDE w:val="0"/>
              <w:autoSpaceDN w:val="0"/>
              <w:adjustRightInd w:val="0"/>
              <w:spacing w:line="360" w:lineRule="auto"/>
              <w:jc w:val="center"/>
              <w:rPr>
                <w:rFonts w:ascii="宋体" w:cs="宋体"/>
                <w:kern w:val="0"/>
                <w:sz w:val="24"/>
                <w:szCs w:val="24"/>
              </w:rPr>
            </w:pPr>
          </w:p>
        </w:tc>
      </w:tr>
      <w:tr w14:paraId="7328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3DFB8207">
            <w:pPr>
              <w:autoSpaceDE w:val="0"/>
              <w:autoSpaceDN w:val="0"/>
              <w:adjustRightInd w:val="0"/>
              <w:spacing w:line="360" w:lineRule="auto"/>
              <w:jc w:val="center"/>
              <w:rPr>
                <w:rFonts w:hint="eastAsia" w:ascii="宋体" w:hAnsi="宋体" w:eastAsia="宋体" w:cs="Arial"/>
                <w:kern w:val="0"/>
                <w:sz w:val="24"/>
                <w:szCs w:val="24"/>
              </w:rPr>
            </w:pPr>
            <w:r>
              <w:rPr>
                <w:rFonts w:hint="eastAsia" w:ascii="宋体" w:hAnsi="宋体" w:eastAsia="宋体" w:cs="Arial"/>
                <w:kern w:val="0"/>
                <w:sz w:val="24"/>
                <w:szCs w:val="24"/>
              </w:rPr>
              <w:t>1</w:t>
            </w:r>
          </w:p>
        </w:tc>
        <w:tc>
          <w:tcPr>
            <w:tcW w:w="8467" w:type="dxa"/>
          </w:tcPr>
          <w:p w14:paraId="01DF180B">
            <w:pPr>
              <w:autoSpaceDE w:val="0"/>
              <w:autoSpaceDN w:val="0"/>
              <w:adjustRightInd w:val="0"/>
              <w:spacing w:line="360" w:lineRule="auto"/>
              <w:jc w:val="left"/>
              <w:rPr>
                <w:rFonts w:hint="eastAsia" w:ascii="宋体" w:hAnsi="宋体" w:eastAsia="宋体" w:cs="Arial"/>
                <w:kern w:val="0"/>
                <w:sz w:val="24"/>
                <w:szCs w:val="24"/>
                <w:lang w:eastAsia="zh-CN"/>
              </w:rPr>
            </w:pPr>
            <w:r>
              <w:rPr>
                <w:rFonts w:hint="eastAsia" w:ascii="宋体" w:hAnsi="宋体" w:eastAsia="宋体" w:cs="宋体"/>
                <w:kern w:val="0"/>
                <w:sz w:val="24"/>
                <w:szCs w:val="24"/>
                <w:lang w:val="en-US" w:eastAsia="zh-CN"/>
              </w:rPr>
              <w:t>投标文件按照要求签署、盖章；</w:t>
            </w:r>
          </w:p>
        </w:tc>
      </w:tr>
      <w:tr w14:paraId="1684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283A33ED">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8467" w:type="dxa"/>
          </w:tcPr>
          <w:p w14:paraId="56181273">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投标有效期满足招标文件要求；</w:t>
            </w:r>
          </w:p>
        </w:tc>
      </w:tr>
      <w:tr w14:paraId="0C9A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7E5CF4E5">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p>
        </w:tc>
        <w:tc>
          <w:tcPr>
            <w:tcW w:w="8467" w:type="dxa"/>
          </w:tcPr>
          <w:p w14:paraId="21DCB537">
            <w:pPr>
              <w:autoSpaceDE w:val="0"/>
              <w:autoSpaceDN w:val="0"/>
              <w:adjustRightInd w:val="0"/>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提供有效的《法定代表人资格证明书》或《法定代表人授权委托书》；</w:t>
            </w:r>
          </w:p>
        </w:tc>
      </w:tr>
      <w:tr w14:paraId="301D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 w:type="dxa"/>
            <w:vAlign w:val="center"/>
          </w:tcPr>
          <w:p w14:paraId="68FA9D30">
            <w:pPr>
              <w:autoSpaceDE w:val="0"/>
              <w:autoSpaceDN w:val="0"/>
              <w:adjustRightInd w:val="0"/>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4</w:t>
            </w:r>
          </w:p>
        </w:tc>
        <w:tc>
          <w:tcPr>
            <w:tcW w:w="8467" w:type="dxa"/>
          </w:tcPr>
          <w:p w14:paraId="7E904B7E">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按照投标须知要求金额提交了投标保证金，并提供了投标保证金凭证；</w:t>
            </w:r>
          </w:p>
        </w:tc>
      </w:tr>
      <w:tr w14:paraId="328A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2" w:type="dxa"/>
            <w:vAlign w:val="center"/>
          </w:tcPr>
          <w:p w14:paraId="4D143234">
            <w:pPr>
              <w:autoSpaceDE w:val="0"/>
              <w:autoSpaceDN w:val="0"/>
              <w:adjustRightInd w:val="0"/>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w:t>
            </w:r>
          </w:p>
        </w:tc>
        <w:tc>
          <w:tcPr>
            <w:tcW w:w="8467" w:type="dxa"/>
          </w:tcPr>
          <w:p w14:paraId="7A3B6E53">
            <w:pPr>
              <w:autoSpaceDE w:val="0"/>
              <w:autoSpaceDN w:val="0"/>
              <w:adjustRightInd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投标报价在采购预算（最高限价）以内；</w:t>
            </w:r>
          </w:p>
        </w:tc>
      </w:tr>
      <w:tr w14:paraId="20CC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2" w:type="dxa"/>
            <w:vAlign w:val="center"/>
          </w:tcPr>
          <w:p w14:paraId="5D5AF4F0">
            <w:pPr>
              <w:autoSpaceDE w:val="0"/>
              <w:autoSpaceDN w:val="0"/>
              <w:adjustRightInd w:val="0"/>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6</w:t>
            </w:r>
          </w:p>
        </w:tc>
        <w:tc>
          <w:tcPr>
            <w:tcW w:w="8467" w:type="dxa"/>
          </w:tcPr>
          <w:p w14:paraId="0A39EF7D">
            <w:pPr>
              <w:autoSpaceDE w:val="0"/>
              <w:autoSpaceDN w:val="0"/>
              <w:adjustRightInd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投标人所报送货期限符合招标文件规定期限；</w:t>
            </w:r>
          </w:p>
        </w:tc>
      </w:tr>
      <w:tr w14:paraId="1E8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572" w:type="dxa"/>
            <w:vAlign w:val="center"/>
          </w:tcPr>
          <w:p w14:paraId="0B06781B">
            <w:pPr>
              <w:autoSpaceDE w:val="0"/>
              <w:autoSpaceDN w:val="0"/>
              <w:adjustRightInd w:val="0"/>
              <w:spacing w:line="36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7</w:t>
            </w:r>
          </w:p>
        </w:tc>
        <w:tc>
          <w:tcPr>
            <w:tcW w:w="8467" w:type="dxa"/>
          </w:tcPr>
          <w:p w14:paraId="59443FD9">
            <w:pPr>
              <w:autoSpaceDE w:val="0"/>
              <w:autoSpaceDN w:val="0"/>
              <w:adjustRightInd w:val="0"/>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无法律、法规和</w:t>
            </w:r>
            <w:r>
              <w:rPr>
                <w:rFonts w:hint="eastAsia" w:cs="宋体"/>
                <w:kern w:val="0"/>
                <w:sz w:val="24"/>
                <w:szCs w:val="24"/>
                <w:lang w:val="en-US" w:eastAsia="zh-CN"/>
              </w:rPr>
              <w:t>公开招标</w:t>
            </w:r>
            <w:r>
              <w:rPr>
                <w:rFonts w:hint="eastAsia" w:ascii="宋体" w:hAnsi="宋体" w:eastAsia="宋体" w:cs="宋体"/>
                <w:kern w:val="0"/>
                <w:sz w:val="24"/>
                <w:szCs w:val="24"/>
              </w:rPr>
              <w:t>文件规定的其他无效情形。</w:t>
            </w:r>
          </w:p>
        </w:tc>
      </w:tr>
      <w:tr w14:paraId="1409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vAlign w:val="center"/>
          </w:tcPr>
          <w:p w14:paraId="69A721E8">
            <w:pPr>
              <w:autoSpaceDE w:val="0"/>
              <w:autoSpaceDN w:val="0"/>
              <w:adjustRightInd w:val="0"/>
              <w:spacing w:line="360" w:lineRule="auto"/>
              <w:jc w:val="left"/>
              <w:rPr>
                <w:rFonts w:ascii="宋体" w:hAnsi="宋体" w:cs="宋体"/>
                <w:kern w:val="0"/>
                <w:sz w:val="24"/>
                <w:szCs w:val="24"/>
              </w:rPr>
            </w:pPr>
            <w:r>
              <w:rPr>
                <w:rFonts w:hint="eastAsia" w:ascii="宋体" w:hAnsi="宋体" w:cs="Arial"/>
                <w:kern w:val="0"/>
                <w:sz w:val="24"/>
                <w:szCs w:val="24"/>
              </w:rPr>
              <w:t>备注：符合性审查中有一项不满足评审标准的，评标委员会将认定该投标人不通过</w:t>
            </w:r>
            <w:r>
              <w:rPr>
                <w:rFonts w:hint="eastAsia" w:ascii="宋体" w:hAnsi="宋体" w:eastAsia="宋体" w:cs="Arial"/>
                <w:kern w:val="0"/>
                <w:sz w:val="24"/>
                <w:szCs w:val="24"/>
              </w:rPr>
              <w:t>符合性审查，不得进入下一阶段评审。并且不允许投标人通过修改或撤销其不符合要求</w:t>
            </w:r>
            <w:r>
              <w:rPr>
                <w:rFonts w:hint="eastAsia" w:ascii="宋体" w:hAnsi="宋体" w:cs="Arial"/>
                <w:kern w:val="0"/>
                <w:sz w:val="24"/>
                <w:szCs w:val="24"/>
              </w:rPr>
              <w:t>的差异或保留，使之成为具有响应性的投标。</w:t>
            </w:r>
          </w:p>
        </w:tc>
      </w:tr>
    </w:tbl>
    <w:p w14:paraId="23E07C90">
      <w:pPr>
        <w:rPr>
          <w:rFonts w:hint="default" w:eastAsia="宋体"/>
          <w:b/>
          <w:bCs/>
          <w:color w:val="auto"/>
          <w:sz w:val="21"/>
          <w:szCs w:val="21"/>
          <w:highlight w:val="none"/>
          <w:lang w:val="en-US" w:eastAsia="zh-CN"/>
        </w:rPr>
      </w:pPr>
    </w:p>
    <w:p w14:paraId="16A7E26A">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3B32811B">
      <w:pPr>
        <w:pStyle w:val="4"/>
        <w:keepNext/>
        <w:keepLines/>
        <w:pageBreakBefore w:val="0"/>
        <w:widowControl w:val="0"/>
        <w:numPr>
          <w:ilvl w:val="0"/>
          <w:numId w:val="4"/>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1"/>
          <w:szCs w:val="21"/>
          <w:highlight w:val="none"/>
          <w:lang w:val="zh-CN" w:eastAsia="zh-CN"/>
        </w:rPr>
      </w:pPr>
      <w:bookmarkStart w:id="428" w:name="_Toc17074"/>
      <w:r>
        <w:rPr>
          <w:rFonts w:hint="eastAsia" w:ascii="宋体" w:hAnsi="宋体" w:eastAsia="宋体" w:cs="宋体"/>
          <w:b/>
          <w:bCs/>
          <w:color w:val="auto"/>
          <w:kern w:val="2"/>
          <w:sz w:val="24"/>
          <w:szCs w:val="24"/>
          <w:highlight w:val="none"/>
          <w:lang w:val="zh-CN" w:eastAsia="zh-CN" w:bidi="ar-SA"/>
        </w:rPr>
        <w:t>评分标准</w:t>
      </w:r>
      <w:bookmarkEnd w:id="426"/>
      <w:bookmarkEnd w:id="427"/>
      <w:bookmarkEnd w:id="428"/>
    </w:p>
    <w:p w14:paraId="61785146">
      <w:pPr>
        <w:rPr>
          <w:rFonts w:hint="eastAsia"/>
          <w:lang w:val="zh-CN" w:eastAsia="zh-CN"/>
        </w:rPr>
      </w:pPr>
      <w:r>
        <w:rPr>
          <w:rFonts w:hint="eastAsia"/>
          <w:lang w:val="zh-CN" w:eastAsia="zh-CN"/>
        </w:rPr>
        <w:t>标项一</w:t>
      </w:r>
    </w:p>
    <w:tbl>
      <w:tblPr>
        <w:tblStyle w:val="33"/>
        <w:tblW w:w="55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41"/>
        <w:gridCol w:w="665"/>
        <w:gridCol w:w="6575"/>
      </w:tblGrid>
      <w:tr w14:paraId="4066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6" w:type="pct"/>
            <w:shd w:val="clear" w:color="auto" w:fill="D8D8D8" w:themeFill="background1" w:themeFillShade="D9"/>
            <w:vAlign w:val="center"/>
          </w:tcPr>
          <w:p w14:paraId="4EB9EE39">
            <w:pPr>
              <w:pStyle w:val="54"/>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评标项目</w:t>
            </w:r>
          </w:p>
        </w:tc>
        <w:tc>
          <w:tcPr>
            <w:tcW w:w="716" w:type="pct"/>
            <w:shd w:val="clear" w:color="auto" w:fill="D8D8D8" w:themeFill="background1" w:themeFillShade="D9"/>
            <w:vAlign w:val="center"/>
          </w:tcPr>
          <w:p w14:paraId="34FC1953">
            <w:pPr>
              <w:pStyle w:val="54"/>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评标分项</w:t>
            </w:r>
          </w:p>
        </w:tc>
        <w:tc>
          <w:tcPr>
            <w:tcW w:w="355" w:type="pct"/>
            <w:shd w:val="clear" w:color="auto" w:fill="D8D8D8" w:themeFill="background1" w:themeFillShade="D9"/>
            <w:vAlign w:val="center"/>
          </w:tcPr>
          <w:p w14:paraId="060E9BDD">
            <w:pPr>
              <w:pStyle w:val="54"/>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3512" w:type="pct"/>
            <w:shd w:val="clear" w:color="auto" w:fill="D8D8D8" w:themeFill="background1" w:themeFillShade="D9"/>
            <w:vAlign w:val="center"/>
          </w:tcPr>
          <w:p w14:paraId="4099365A">
            <w:pPr>
              <w:pStyle w:val="54"/>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子项目及分值</w:t>
            </w:r>
          </w:p>
        </w:tc>
      </w:tr>
      <w:tr w14:paraId="4508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416" w:type="pct"/>
            <w:vAlign w:val="center"/>
          </w:tcPr>
          <w:p w14:paraId="0A5EEB72">
            <w:pPr>
              <w:pStyle w:val="54"/>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716" w:type="pct"/>
            <w:tcBorders>
              <w:bottom w:val="single" w:color="auto" w:sz="4" w:space="0"/>
            </w:tcBorders>
            <w:vAlign w:val="center"/>
          </w:tcPr>
          <w:p w14:paraId="1DC93F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投标报价</w:t>
            </w:r>
          </w:p>
          <w:p w14:paraId="119DA110">
            <w:pPr>
              <w:keepNext w:val="0"/>
              <w:keepLines w:val="0"/>
              <w:widowControl/>
              <w:suppressLineNumbers w:val="0"/>
              <w:jc w:val="center"/>
              <w:textAlignment w:val="center"/>
              <w:rPr>
                <w:rFonts w:hint="eastAsia" w:ascii="宋体" w:hAnsi="宋体" w:eastAsia="宋体" w:cs="宋体"/>
                <w:color w:val="auto"/>
                <w:sz w:val="24"/>
                <w:szCs w:val="24"/>
                <w:highlight w:val="none"/>
              </w:rPr>
            </w:pPr>
          </w:p>
        </w:tc>
        <w:tc>
          <w:tcPr>
            <w:tcW w:w="355" w:type="pct"/>
            <w:vAlign w:val="center"/>
          </w:tcPr>
          <w:p w14:paraId="2AABBDBC">
            <w:pPr>
              <w:pStyle w:val="54"/>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3512" w:type="pct"/>
            <w:vAlign w:val="center"/>
          </w:tcPr>
          <w:p w14:paraId="09C32966">
            <w:pPr>
              <w:pStyle w:val="54"/>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价格分应当采用低价优先法计算，即满足招标文件要求且投标价格最低的投标报价为评标基准价，其价格分为满分。其他投标人的价格得分统一按照下列公式计算：价格得分=（评标基准价/投标报价）×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0%×100</w:t>
            </w:r>
          </w:p>
        </w:tc>
      </w:tr>
      <w:tr w14:paraId="0B66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416" w:type="pct"/>
            <w:vMerge w:val="restart"/>
            <w:vAlign w:val="center"/>
          </w:tcPr>
          <w:p w14:paraId="0106224D">
            <w:pPr>
              <w:pStyle w:val="54"/>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部分</w:t>
            </w:r>
          </w:p>
          <w:p w14:paraId="3F57569A">
            <w:pPr>
              <w:pStyle w:val="54"/>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p w14:paraId="16DF9E6A">
            <w:pPr>
              <w:pStyle w:val="54"/>
              <w:spacing w:line="240" w:lineRule="auto"/>
              <w:jc w:val="center"/>
              <w:rPr>
                <w:rFonts w:hint="eastAsia" w:ascii="宋体" w:hAnsi="宋体" w:eastAsia="宋体" w:cs="宋体"/>
                <w:color w:val="auto"/>
                <w:sz w:val="24"/>
                <w:szCs w:val="24"/>
                <w:highlight w:val="none"/>
              </w:rPr>
            </w:pPr>
          </w:p>
        </w:tc>
        <w:tc>
          <w:tcPr>
            <w:tcW w:w="716" w:type="pct"/>
            <w:tcBorders>
              <w:top w:val="single" w:color="auto" w:sz="4" w:space="0"/>
            </w:tcBorders>
            <w:shd w:val="clear" w:color="auto" w:fill="auto"/>
            <w:vAlign w:val="center"/>
          </w:tcPr>
          <w:p w14:paraId="6EC864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类似项目业绩</w:t>
            </w:r>
          </w:p>
          <w:p w14:paraId="5540FA04">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p>
        </w:tc>
        <w:tc>
          <w:tcPr>
            <w:tcW w:w="355" w:type="pct"/>
            <w:vAlign w:val="center"/>
          </w:tcPr>
          <w:p w14:paraId="3361217C">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p>
        </w:tc>
        <w:tc>
          <w:tcPr>
            <w:tcW w:w="3512" w:type="pct"/>
            <w:vAlign w:val="center"/>
          </w:tcPr>
          <w:p w14:paraId="74A252AB">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投标人自 2023年 5月 1 日至今（以合同签订时间为准），完成类似项目业绩情况，每提供一项得</w:t>
            </w:r>
            <w:r>
              <w:rPr>
                <w:rFonts w:hint="eastAsia"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分，最高得 </w:t>
            </w:r>
            <w:r>
              <w:rPr>
                <w:rFonts w:hint="eastAsia"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分。需提供合同关键页（包含项目名称、合同标的、双方签字盖章页及合同签订日期等内容）或中标（成交）通知书扫描件并加盖公章，未提供业绩证明材或内容模糊不清的，其业绩不予认定。</w:t>
            </w:r>
          </w:p>
        </w:tc>
      </w:tr>
      <w:tr w14:paraId="08B2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416" w:type="pct"/>
            <w:vMerge w:val="continue"/>
            <w:vAlign w:val="center"/>
          </w:tcPr>
          <w:p w14:paraId="75663256">
            <w:pPr>
              <w:pStyle w:val="54"/>
              <w:spacing w:line="240" w:lineRule="auto"/>
              <w:jc w:val="center"/>
              <w:rPr>
                <w:rFonts w:hint="eastAsia" w:ascii="宋体" w:hAnsi="宋体" w:eastAsia="宋体" w:cs="宋体"/>
                <w:color w:val="auto"/>
                <w:sz w:val="24"/>
                <w:szCs w:val="24"/>
                <w:highlight w:val="none"/>
              </w:rPr>
            </w:pPr>
          </w:p>
        </w:tc>
        <w:tc>
          <w:tcPr>
            <w:tcW w:w="716" w:type="pct"/>
            <w:tcBorders>
              <w:top w:val="single" w:color="auto" w:sz="4" w:space="0"/>
            </w:tcBorders>
            <w:shd w:val="clear" w:color="auto" w:fill="auto"/>
            <w:vAlign w:val="center"/>
          </w:tcPr>
          <w:p w14:paraId="5E9FE4A8">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服务团队</w:t>
            </w:r>
          </w:p>
        </w:tc>
        <w:tc>
          <w:tcPr>
            <w:tcW w:w="355" w:type="pct"/>
            <w:vAlign w:val="center"/>
          </w:tcPr>
          <w:p w14:paraId="5889D136">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分</w:t>
            </w:r>
          </w:p>
        </w:tc>
        <w:tc>
          <w:tcPr>
            <w:tcW w:w="3512" w:type="pct"/>
            <w:vAlign w:val="center"/>
          </w:tcPr>
          <w:p w14:paraId="10811C92">
            <w:pPr>
              <w:keepNext w:val="0"/>
              <w:keepLines w:val="0"/>
              <w:widowControl/>
              <w:numPr>
                <w:ilvl w:val="0"/>
                <w:numId w:val="0"/>
              </w:numPr>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负责人（兼驻场工程师）持有设备维修资格证书等相关专业资质证书，具备CT、DR设备维保经验，熟悉本项目所列4台设备的结构、原理、维修及保养技术身份证及有效期内的劳动合同，并加盖供应商公章。得2分</w:t>
            </w:r>
          </w:p>
          <w:p w14:paraId="77403A6D">
            <w:pPr>
              <w:keepNext w:val="0"/>
              <w:keepLines w:val="0"/>
              <w:widowControl/>
              <w:numPr>
                <w:ilvl w:val="0"/>
                <w:numId w:val="0"/>
              </w:numPr>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2、配备维保人员≥2人。须提供相关维保人员名单、培训上岗证书、身份证及有效期内的劳动合同，并加盖供应商公章。提供2人得</w:t>
            </w:r>
            <w:r>
              <w:rPr>
                <w:rFonts w:hint="eastAsia"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分，在此基础上每增加1人得2分，此项满分1</w:t>
            </w:r>
            <w:r>
              <w:rPr>
                <w:rFonts w:hint="eastAsia" w:cs="宋体"/>
                <w:color w:val="auto"/>
                <w:kern w:val="2"/>
                <w:sz w:val="24"/>
                <w:szCs w:val="24"/>
                <w:highlight w:val="none"/>
                <w:lang w:val="en-US" w:eastAsia="zh-CN" w:bidi="ar-SA"/>
              </w:rPr>
              <w:t>2</w:t>
            </w:r>
            <w:bookmarkStart w:id="731" w:name="_GoBack"/>
            <w:bookmarkEnd w:id="731"/>
            <w:r>
              <w:rPr>
                <w:rFonts w:hint="eastAsia" w:ascii="宋体" w:hAnsi="宋体" w:eastAsia="宋体" w:cs="宋体"/>
                <w:color w:val="auto"/>
                <w:kern w:val="2"/>
                <w:sz w:val="24"/>
                <w:szCs w:val="24"/>
                <w:highlight w:val="none"/>
                <w:lang w:val="en-US" w:eastAsia="zh-CN" w:bidi="ar-SA"/>
              </w:rPr>
              <w:t>分。少于2人不得分，资料不齐全、资料模糊不清、未提供的均不得分。</w:t>
            </w:r>
          </w:p>
        </w:tc>
      </w:tr>
      <w:tr w14:paraId="7293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416" w:type="pct"/>
            <w:vMerge w:val="continue"/>
            <w:vAlign w:val="center"/>
          </w:tcPr>
          <w:p w14:paraId="4158181E">
            <w:pPr>
              <w:pStyle w:val="54"/>
              <w:spacing w:line="240" w:lineRule="auto"/>
              <w:jc w:val="center"/>
              <w:rPr>
                <w:rFonts w:hint="eastAsia" w:ascii="宋体" w:hAnsi="宋体" w:eastAsia="宋体" w:cs="宋体"/>
                <w:color w:val="auto"/>
                <w:sz w:val="24"/>
                <w:szCs w:val="24"/>
                <w:highlight w:val="none"/>
              </w:rPr>
            </w:pPr>
          </w:p>
        </w:tc>
        <w:tc>
          <w:tcPr>
            <w:tcW w:w="716" w:type="pct"/>
            <w:tcBorders>
              <w:top w:val="single" w:color="auto" w:sz="4" w:space="0"/>
            </w:tcBorders>
            <w:shd w:val="clear" w:color="auto" w:fill="auto"/>
            <w:vAlign w:val="center"/>
          </w:tcPr>
          <w:p w14:paraId="01856E61">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维修方案</w:t>
            </w:r>
          </w:p>
        </w:tc>
        <w:tc>
          <w:tcPr>
            <w:tcW w:w="355" w:type="pct"/>
            <w:vAlign w:val="center"/>
          </w:tcPr>
          <w:p w14:paraId="68F75E28">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分</w:t>
            </w:r>
          </w:p>
        </w:tc>
        <w:tc>
          <w:tcPr>
            <w:tcW w:w="3512" w:type="pct"/>
            <w:vAlign w:val="center"/>
          </w:tcPr>
          <w:p w14:paraId="40CF4149">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提供维修方案，内容包括零配件配备方案、故障原因、维修工作内容、故障响应时间。每项内容全面合理，满足项目需求得</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分，4项内容共计</w:t>
            </w:r>
            <w:r>
              <w:rPr>
                <w:rFonts w:hint="eastAsia"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分，内容存在缺漏、不完整或不能完全满足项目要求的每项得2分，未提供不得分。注：1.内容存在缺陷是指：①该项内容描述前后不一致；②该项内容所阐述的项目 信息与本项目实际信息不一致；③该项内容阐述的各类方案明显不符合本项目实 际情况；④该项内容描述与本项目实际情况不符；⑤该项内容套用其他项目内容。</w:t>
            </w:r>
          </w:p>
        </w:tc>
      </w:tr>
      <w:tr w14:paraId="2C7A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6" w:type="pct"/>
            <w:vMerge w:val="continue"/>
            <w:vAlign w:val="center"/>
          </w:tcPr>
          <w:p w14:paraId="62994287">
            <w:pPr>
              <w:pStyle w:val="54"/>
              <w:spacing w:line="240" w:lineRule="auto"/>
              <w:jc w:val="center"/>
              <w:rPr>
                <w:rFonts w:hint="eastAsia" w:ascii="宋体" w:hAnsi="宋体" w:eastAsia="宋体" w:cs="宋体"/>
                <w:color w:val="auto"/>
                <w:sz w:val="24"/>
                <w:szCs w:val="24"/>
                <w:highlight w:val="none"/>
              </w:rPr>
            </w:pPr>
          </w:p>
        </w:tc>
        <w:tc>
          <w:tcPr>
            <w:tcW w:w="716" w:type="pct"/>
            <w:tcBorders>
              <w:top w:val="single" w:color="auto" w:sz="4" w:space="0"/>
            </w:tcBorders>
            <w:shd w:val="clear" w:color="auto" w:fill="auto"/>
            <w:vAlign w:val="center"/>
          </w:tcPr>
          <w:p w14:paraId="161AC0BB">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rPr>
              <w:t>项目实施 方案</w:t>
            </w:r>
          </w:p>
        </w:tc>
        <w:tc>
          <w:tcPr>
            <w:tcW w:w="355" w:type="pct"/>
            <w:vAlign w:val="center"/>
          </w:tcPr>
          <w:p w14:paraId="7320AEB8">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30分</w:t>
            </w:r>
          </w:p>
        </w:tc>
        <w:tc>
          <w:tcPr>
            <w:tcW w:w="3512" w:type="pct"/>
            <w:vAlign w:val="center"/>
          </w:tcPr>
          <w:p w14:paraId="2F71F721">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投标方针对本项目在实施过程中的服务方案，包含但不仅限于以下内容：</w:t>
            </w:r>
          </w:p>
          <w:p w14:paraId="2F3D66C4">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(1)有详细设备巡查方案；</w:t>
            </w:r>
          </w:p>
          <w:p w14:paraId="1EE350F0">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(2)有详细设备保养方案；</w:t>
            </w:r>
          </w:p>
          <w:p w14:paraId="5EFDA079">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(3)有详细设备维修响应方案；</w:t>
            </w:r>
          </w:p>
          <w:p w14:paraId="59EAF021">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(4)有详细特种设备管理方案；</w:t>
            </w:r>
          </w:p>
          <w:p w14:paraId="1C3C3DEF">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(5)有详细设备计量管理方案；</w:t>
            </w:r>
          </w:p>
          <w:p w14:paraId="196A1E7D">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(6)有详细不良事件上报、设备培训管理方案；</w:t>
            </w:r>
          </w:p>
          <w:p w14:paraId="67DA6E41">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(7)有详细设备档案管理方案。</w:t>
            </w:r>
          </w:p>
          <w:p w14:paraId="6F5AEBC3">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(8)有详细日常维保安全保障措施；</w:t>
            </w:r>
          </w:p>
          <w:p w14:paraId="07CF7E58">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(9)有详细定期维护保养方案；</w:t>
            </w:r>
          </w:p>
          <w:p w14:paraId="70D6C3A1">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（10）有详细设备质控方案；</w:t>
            </w:r>
          </w:p>
          <w:p w14:paraId="10FD41C4">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以上10项内容完整且完全满足项目要求得30分，每缺失一项内容扣3分，每项内容中有一处内容缺陷扣1.5分，扣完为止。</w:t>
            </w:r>
          </w:p>
          <w:p w14:paraId="4D618EE6">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注：1.内容存在缺陷是指：①该项内容描述前后不一致；②该项内容所阐述的项目 信息与本项目实际信息不一致；③该项内容阐述的各类方案明显不符合本项目实 际情况；④该项内容描述与本项目实际情况不符；⑤该项内容套用其他项目内容。</w:t>
            </w:r>
          </w:p>
        </w:tc>
      </w:tr>
      <w:tr w14:paraId="5662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416" w:type="pct"/>
            <w:vMerge w:val="continue"/>
            <w:vAlign w:val="center"/>
          </w:tcPr>
          <w:p w14:paraId="640E50CC">
            <w:pPr>
              <w:pStyle w:val="54"/>
              <w:spacing w:line="240" w:lineRule="auto"/>
              <w:jc w:val="center"/>
              <w:rPr>
                <w:rFonts w:hint="eastAsia" w:ascii="宋体" w:hAnsi="宋体" w:eastAsia="宋体" w:cs="宋体"/>
                <w:color w:val="auto"/>
                <w:sz w:val="24"/>
                <w:szCs w:val="24"/>
                <w:highlight w:val="none"/>
              </w:rPr>
            </w:pPr>
          </w:p>
        </w:tc>
        <w:tc>
          <w:tcPr>
            <w:tcW w:w="716" w:type="pct"/>
            <w:tcBorders>
              <w:top w:val="single" w:color="auto" w:sz="4" w:space="0"/>
            </w:tcBorders>
            <w:shd w:val="clear" w:color="auto" w:fill="auto"/>
            <w:vAlign w:val="center"/>
          </w:tcPr>
          <w:p w14:paraId="4E9945E6">
            <w:pPr>
              <w:keepNext w:val="0"/>
              <w:keepLines w:val="0"/>
              <w:widowControl/>
              <w:numPr>
                <w:ilvl w:val="0"/>
                <w:numId w:val="0"/>
              </w:numPr>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应急方案</w:t>
            </w:r>
          </w:p>
          <w:p w14:paraId="2B998786">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p>
        </w:tc>
        <w:tc>
          <w:tcPr>
            <w:tcW w:w="355" w:type="pct"/>
            <w:vAlign w:val="center"/>
          </w:tcPr>
          <w:p w14:paraId="7D22396C">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12分</w:t>
            </w:r>
          </w:p>
        </w:tc>
        <w:tc>
          <w:tcPr>
            <w:tcW w:w="3512" w:type="pct"/>
            <w:vAlign w:val="center"/>
          </w:tcPr>
          <w:p w14:paraId="7D456928">
            <w:pPr>
              <w:keepNext w:val="0"/>
              <w:keepLines w:val="0"/>
              <w:widowControl/>
              <w:numPr>
                <w:ilvl w:val="0"/>
                <w:numId w:val="0"/>
              </w:numPr>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投标人需针对本项目提供详细的应急预案，内容包括但不 限于：①人员调配；②问题诊断；③故障解决；④部件更换和维修；</w:t>
            </w:r>
          </w:p>
          <w:p w14:paraId="6A7BE524">
            <w:pPr>
              <w:keepNext w:val="0"/>
              <w:keepLines w:val="0"/>
              <w:widowControl/>
              <w:numPr>
                <w:ilvl w:val="0"/>
                <w:numId w:val="0"/>
              </w:numPr>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所有要素齐全且完全满足项目要求得12分，每缺一个要素扣3分，每个要素里每有一处内容缺陷扣1.5分（扣完为止）。</w:t>
            </w:r>
          </w:p>
          <w:p w14:paraId="58893226">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注：1.内容存在缺陷是指：①该项内容描述前后不一致；②该项内容所阐述的项目 信息与本项目实际信息不一致；③该项内容阐述的各类方案明显不符合本项目实 际情况；④该项内容描述与本项目实际情况不符；⑤该项内容套用其他项目内容。</w:t>
            </w:r>
          </w:p>
        </w:tc>
      </w:tr>
      <w:tr w14:paraId="6151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32" w:type="pct"/>
            <w:gridSpan w:val="2"/>
            <w:vAlign w:val="center"/>
          </w:tcPr>
          <w:p w14:paraId="4613353E">
            <w:pPr>
              <w:pStyle w:val="54"/>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355" w:type="pct"/>
            <w:tcBorders>
              <w:bottom w:val="single" w:color="auto" w:sz="4" w:space="0"/>
            </w:tcBorders>
            <w:vAlign w:val="center"/>
          </w:tcPr>
          <w:p w14:paraId="4EAE9DE9">
            <w:pPr>
              <w:pStyle w:val="54"/>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=SUM(ABOVE)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分</w:t>
            </w:r>
          </w:p>
        </w:tc>
        <w:tc>
          <w:tcPr>
            <w:tcW w:w="3512" w:type="pct"/>
            <w:tcBorders>
              <w:bottom w:val="single" w:color="auto" w:sz="4" w:space="0"/>
            </w:tcBorders>
            <w:vAlign w:val="center"/>
          </w:tcPr>
          <w:p w14:paraId="0B84D982">
            <w:pPr>
              <w:pStyle w:val="54"/>
              <w:spacing w:line="240" w:lineRule="auto"/>
              <w:jc w:val="left"/>
              <w:rPr>
                <w:rFonts w:hint="eastAsia" w:ascii="宋体" w:hAnsi="宋体" w:eastAsia="宋体" w:cs="宋体"/>
                <w:color w:val="auto"/>
                <w:sz w:val="24"/>
                <w:szCs w:val="24"/>
                <w:highlight w:val="none"/>
              </w:rPr>
            </w:pPr>
          </w:p>
        </w:tc>
      </w:tr>
    </w:tbl>
    <w:p w14:paraId="0B1E1A67">
      <w:pPr>
        <w:rPr>
          <w:rFonts w:hint="eastAsia"/>
          <w:color w:val="auto"/>
          <w:highlight w:val="none"/>
        </w:rPr>
      </w:pPr>
      <w:r>
        <w:rPr>
          <w:rFonts w:hint="eastAsia"/>
          <w:color w:val="auto"/>
          <w:highlight w:val="none"/>
        </w:rPr>
        <w:br w:type="page"/>
      </w:r>
    </w:p>
    <w:p w14:paraId="539B83AD">
      <w:pPr>
        <w:rPr>
          <w:rFonts w:hint="eastAsia"/>
          <w:lang w:val="en-US" w:eastAsia="zh-CN"/>
        </w:rPr>
      </w:pPr>
      <w:r>
        <w:rPr>
          <w:rFonts w:hint="eastAsia"/>
          <w:lang w:val="zh-CN" w:eastAsia="zh-CN"/>
        </w:rPr>
        <w:t>标项</w:t>
      </w:r>
      <w:r>
        <w:rPr>
          <w:rFonts w:hint="eastAsia"/>
          <w:lang w:val="en-US" w:eastAsia="zh-CN"/>
        </w:rPr>
        <w:t>二</w:t>
      </w:r>
    </w:p>
    <w:tbl>
      <w:tblPr>
        <w:tblStyle w:val="33"/>
        <w:tblW w:w="55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341"/>
        <w:gridCol w:w="665"/>
        <w:gridCol w:w="6575"/>
      </w:tblGrid>
      <w:tr w14:paraId="07D4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6" w:type="pct"/>
            <w:shd w:val="clear" w:color="auto" w:fill="D8D8D8" w:themeFill="background1" w:themeFillShade="D9"/>
            <w:vAlign w:val="center"/>
          </w:tcPr>
          <w:p w14:paraId="2B6EDC0E">
            <w:pPr>
              <w:pStyle w:val="54"/>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评标项目</w:t>
            </w:r>
          </w:p>
        </w:tc>
        <w:tc>
          <w:tcPr>
            <w:tcW w:w="716" w:type="pct"/>
            <w:shd w:val="clear" w:color="auto" w:fill="D8D8D8" w:themeFill="background1" w:themeFillShade="D9"/>
            <w:vAlign w:val="center"/>
          </w:tcPr>
          <w:p w14:paraId="18B238C1">
            <w:pPr>
              <w:pStyle w:val="54"/>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评标分项</w:t>
            </w:r>
          </w:p>
        </w:tc>
        <w:tc>
          <w:tcPr>
            <w:tcW w:w="355" w:type="pct"/>
            <w:shd w:val="clear" w:color="auto" w:fill="D8D8D8" w:themeFill="background1" w:themeFillShade="D9"/>
            <w:vAlign w:val="center"/>
          </w:tcPr>
          <w:p w14:paraId="451B4973">
            <w:pPr>
              <w:pStyle w:val="54"/>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3512" w:type="pct"/>
            <w:shd w:val="clear" w:color="auto" w:fill="D8D8D8" w:themeFill="background1" w:themeFillShade="D9"/>
            <w:vAlign w:val="center"/>
          </w:tcPr>
          <w:p w14:paraId="575D8627">
            <w:pPr>
              <w:pStyle w:val="54"/>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子项目及分值</w:t>
            </w:r>
          </w:p>
        </w:tc>
      </w:tr>
      <w:tr w14:paraId="41FE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416" w:type="pct"/>
            <w:vAlign w:val="center"/>
          </w:tcPr>
          <w:p w14:paraId="0C59F593">
            <w:pPr>
              <w:pStyle w:val="54"/>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341" w:type="dxa"/>
            <w:tcBorders>
              <w:bottom w:val="single" w:color="auto" w:sz="4" w:space="0"/>
            </w:tcBorders>
            <w:vAlign w:val="center"/>
          </w:tcPr>
          <w:p w14:paraId="169DD6A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4"/>
                <w:szCs w:val="24"/>
                <w:u w:val="none"/>
                <w:lang w:val="en-US" w:eastAsia="zh-CN" w:bidi="ar"/>
              </w:rPr>
              <w:t>投标报价</w:t>
            </w:r>
          </w:p>
        </w:tc>
        <w:tc>
          <w:tcPr>
            <w:tcW w:w="665" w:type="dxa"/>
            <w:vAlign w:val="center"/>
          </w:tcPr>
          <w:p w14:paraId="62A49369">
            <w:pPr>
              <w:pStyle w:val="54"/>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3512" w:type="pct"/>
            <w:vAlign w:val="center"/>
          </w:tcPr>
          <w:p w14:paraId="08D029DB">
            <w:pPr>
              <w:pStyle w:val="54"/>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价格分应当采用低价优先法计算，即满足招标文件要求且投标价格最低的投标报价为评标基准价，其价格分为满分。其他投标人的价格得分统一按照下列公式计算：价格得分=（评标基准价/投标报价）×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0%×100</w:t>
            </w:r>
          </w:p>
        </w:tc>
      </w:tr>
      <w:tr w14:paraId="5230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416" w:type="pct"/>
            <w:vMerge w:val="restart"/>
            <w:vAlign w:val="center"/>
          </w:tcPr>
          <w:p w14:paraId="71250B6B">
            <w:pPr>
              <w:pStyle w:val="54"/>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部分</w:t>
            </w:r>
          </w:p>
          <w:p w14:paraId="3556E59F">
            <w:pPr>
              <w:pStyle w:val="54"/>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分）</w:t>
            </w:r>
          </w:p>
          <w:p w14:paraId="04C48379">
            <w:pPr>
              <w:pStyle w:val="54"/>
              <w:spacing w:line="240" w:lineRule="auto"/>
              <w:jc w:val="center"/>
              <w:rPr>
                <w:rFonts w:hint="eastAsia" w:ascii="宋体" w:hAnsi="宋体" w:eastAsia="宋体" w:cs="宋体"/>
                <w:color w:val="auto"/>
                <w:sz w:val="24"/>
                <w:szCs w:val="24"/>
                <w:highlight w:val="none"/>
              </w:rPr>
            </w:pPr>
          </w:p>
        </w:tc>
        <w:tc>
          <w:tcPr>
            <w:tcW w:w="1341" w:type="dxa"/>
            <w:tcBorders>
              <w:top w:val="single" w:color="auto" w:sz="4" w:space="0"/>
            </w:tcBorders>
            <w:shd w:val="clear" w:color="auto" w:fill="auto"/>
            <w:vAlign w:val="center"/>
          </w:tcPr>
          <w:p w14:paraId="4F9CA9E0">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类似项目业绩</w:t>
            </w:r>
          </w:p>
        </w:tc>
        <w:tc>
          <w:tcPr>
            <w:tcW w:w="665" w:type="dxa"/>
            <w:vAlign w:val="center"/>
          </w:tcPr>
          <w:p w14:paraId="01ABFAB0">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p>
        </w:tc>
        <w:tc>
          <w:tcPr>
            <w:tcW w:w="3512" w:type="pct"/>
            <w:vAlign w:val="center"/>
          </w:tcPr>
          <w:p w14:paraId="5B8983C2">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投标人自 2023年 5月 1 日至今（以合同签订时间为准），完成类似项目业绩情况，每提供一项得</w:t>
            </w:r>
            <w:r>
              <w:rPr>
                <w:rFonts w:hint="eastAsia"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 xml:space="preserve"> 分，最高得 </w:t>
            </w:r>
            <w:r>
              <w:rPr>
                <w:rFonts w:hint="eastAsia"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 xml:space="preserve"> 分。需提供合同关键页（包含项目名称、合同标的、双方签字盖章页及合同签订日期等内容）或中标（成交）通知书扫描件并加盖公章，未提供业绩证明材或内容模糊不清的，其业绩不予认定。</w:t>
            </w:r>
          </w:p>
        </w:tc>
      </w:tr>
      <w:tr w14:paraId="1643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3" w:hRule="atLeast"/>
          <w:jc w:val="center"/>
        </w:trPr>
        <w:tc>
          <w:tcPr>
            <w:tcW w:w="416" w:type="pct"/>
            <w:vMerge w:val="continue"/>
            <w:vAlign w:val="center"/>
          </w:tcPr>
          <w:p w14:paraId="6CB9913C">
            <w:pPr>
              <w:pStyle w:val="54"/>
              <w:spacing w:line="240" w:lineRule="auto"/>
              <w:jc w:val="center"/>
              <w:rPr>
                <w:rFonts w:hint="eastAsia" w:ascii="宋体" w:hAnsi="宋体" w:eastAsia="宋体" w:cs="宋体"/>
                <w:color w:val="auto"/>
                <w:sz w:val="24"/>
                <w:szCs w:val="24"/>
                <w:highlight w:val="none"/>
              </w:rPr>
            </w:pPr>
          </w:p>
        </w:tc>
        <w:tc>
          <w:tcPr>
            <w:tcW w:w="1341" w:type="dxa"/>
            <w:tcBorders>
              <w:top w:val="single" w:color="auto" w:sz="4" w:space="0"/>
            </w:tcBorders>
            <w:shd w:val="clear" w:color="auto" w:fill="auto"/>
            <w:vAlign w:val="center"/>
          </w:tcPr>
          <w:p w14:paraId="47F4C3F7">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highlight w:val="none"/>
              </w:rPr>
              <w:t>服务团队</w:t>
            </w:r>
          </w:p>
        </w:tc>
        <w:tc>
          <w:tcPr>
            <w:tcW w:w="665" w:type="dxa"/>
            <w:vAlign w:val="center"/>
          </w:tcPr>
          <w:p w14:paraId="60044A44">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tc>
        <w:tc>
          <w:tcPr>
            <w:tcW w:w="3512" w:type="pct"/>
            <w:vAlign w:val="center"/>
          </w:tcPr>
          <w:p w14:paraId="10430C21">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具备专业服务团队，为本项目配备的原厂MRI工程师维修资格证书不少于3名（含3名），投标人在设备所在地有2个或2个以上稳定的常驻服务机构（人员）能以现场的和远程的形式，提供临床扫描、图像处理和相应业务拓展的专业支持。</w:t>
            </w:r>
          </w:p>
          <w:p w14:paraId="72ADC5A1">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在满足以上需求的基础上每多增加一名人员得</w:t>
            </w:r>
            <w:r>
              <w:rPr>
                <w:rFonts w:hint="eastAsia" w:cs="宋体"/>
                <w:sz w:val="24"/>
                <w:szCs w:val="24"/>
                <w:lang w:val="en-US" w:eastAsia="zh-CN"/>
              </w:rPr>
              <w:t>5</w:t>
            </w:r>
            <w:r>
              <w:rPr>
                <w:rFonts w:hint="eastAsia" w:ascii="宋体" w:hAnsi="宋体" w:eastAsia="宋体" w:cs="宋体"/>
                <w:sz w:val="24"/>
                <w:szCs w:val="24"/>
                <w:lang w:val="en-US" w:eastAsia="zh-CN"/>
              </w:rPr>
              <w:t>分最多得</w:t>
            </w:r>
            <w:r>
              <w:rPr>
                <w:rFonts w:hint="eastAsia" w:cs="宋体"/>
                <w:sz w:val="24"/>
                <w:szCs w:val="24"/>
                <w:lang w:val="en-US" w:eastAsia="zh-CN"/>
              </w:rPr>
              <w:t>10</w:t>
            </w:r>
            <w:r>
              <w:rPr>
                <w:rFonts w:hint="eastAsia" w:ascii="宋体" w:hAnsi="宋体" w:eastAsia="宋体" w:cs="宋体"/>
                <w:sz w:val="24"/>
                <w:szCs w:val="24"/>
                <w:lang w:val="en-US" w:eastAsia="zh-CN"/>
              </w:rPr>
              <w:t>分。</w:t>
            </w:r>
          </w:p>
          <w:p w14:paraId="63A361DE">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注：以上人员需须提供社保证明及劳务关系证明、工作经验履历表、身份证、专业资格证书或有效的培训合格证书，未提供或缺项或提供不清晰不得分。</w:t>
            </w:r>
          </w:p>
        </w:tc>
      </w:tr>
      <w:tr w14:paraId="6E8B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416" w:type="pct"/>
            <w:vMerge w:val="continue"/>
            <w:vAlign w:val="center"/>
          </w:tcPr>
          <w:p w14:paraId="32DF0A55">
            <w:pPr>
              <w:pStyle w:val="54"/>
              <w:spacing w:line="240" w:lineRule="auto"/>
              <w:jc w:val="center"/>
              <w:rPr>
                <w:rFonts w:hint="eastAsia" w:ascii="宋体" w:hAnsi="宋体" w:eastAsia="宋体" w:cs="宋体"/>
                <w:color w:val="auto"/>
                <w:sz w:val="24"/>
                <w:szCs w:val="24"/>
                <w:highlight w:val="none"/>
              </w:rPr>
            </w:pPr>
          </w:p>
        </w:tc>
        <w:tc>
          <w:tcPr>
            <w:tcW w:w="1341" w:type="dxa"/>
            <w:tcBorders>
              <w:top w:val="single" w:color="auto" w:sz="4" w:space="0"/>
            </w:tcBorders>
            <w:shd w:val="clear" w:color="auto" w:fill="auto"/>
            <w:vAlign w:val="center"/>
          </w:tcPr>
          <w:p w14:paraId="5FE50BB3">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维修方案</w:t>
            </w:r>
          </w:p>
        </w:tc>
        <w:tc>
          <w:tcPr>
            <w:tcW w:w="665" w:type="dxa"/>
            <w:vAlign w:val="center"/>
          </w:tcPr>
          <w:p w14:paraId="450DD99E">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分</w:t>
            </w:r>
          </w:p>
        </w:tc>
        <w:tc>
          <w:tcPr>
            <w:tcW w:w="3512" w:type="pct"/>
            <w:vAlign w:val="center"/>
          </w:tcPr>
          <w:p w14:paraId="3484F42E">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提供维修方案，内容包括零配件配备方案、故障原因、维修工作内容、故障响应时间。每项内容全面合理，满足项目需求得</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分，4项内容共计</w:t>
            </w:r>
            <w:r>
              <w:rPr>
                <w:rFonts w:hint="eastAsia"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分，内容存在缺漏、不完整或不能完全满足项目要求的每项得2</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分，未提供不得分。注：1.内容存在缺陷是指：①该项内容描述前后不一致；②该项内容所阐述的项目 信息与本项目实际信息不一致；③该项内容阐述的各类方案明显不符合本项目实 际情况；④该项内容描述与本项目实际情况不符；⑤该项内容套用其他项目内容。</w:t>
            </w:r>
          </w:p>
        </w:tc>
      </w:tr>
      <w:tr w14:paraId="3CA1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16" w:type="pct"/>
            <w:vMerge w:val="continue"/>
            <w:vAlign w:val="center"/>
          </w:tcPr>
          <w:p w14:paraId="43A8C930">
            <w:pPr>
              <w:pStyle w:val="54"/>
              <w:spacing w:line="240" w:lineRule="auto"/>
              <w:jc w:val="center"/>
              <w:rPr>
                <w:rFonts w:hint="eastAsia" w:ascii="宋体" w:hAnsi="宋体" w:eastAsia="宋体" w:cs="宋体"/>
                <w:color w:val="auto"/>
                <w:sz w:val="24"/>
                <w:szCs w:val="24"/>
                <w:highlight w:val="none"/>
              </w:rPr>
            </w:pPr>
          </w:p>
        </w:tc>
        <w:tc>
          <w:tcPr>
            <w:tcW w:w="1341" w:type="dxa"/>
            <w:tcBorders>
              <w:top w:val="single" w:color="auto" w:sz="4" w:space="0"/>
            </w:tcBorders>
            <w:shd w:val="clear" w:color="auto" w:fill="auto"/>
            <w:vAlign w:val="center"/>
          </w:tcPr>
          <w:p w14:paraId="4CC2646E">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lang w:val="en-US" w:eastAsia="zh-CN"/>
              </w:rPr>
              <w:t>维修工具</w:t>
            </w:r>
          </w:p>
        </w:tc>
        <w:tc>
          <w:tcPr>
            <w:tcW w:w="665" w:type="dxa"/>
            <w:vAlign w:val="center"/>
          </w:tcPr>
          <w:p w14:paraId="4797CFC1">
            <w:pPr>
              <w:jc w:val="center"/>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p>
        </w:tc>
        <w:tc>
          <w:tcPr>
            <w:tcW w:w="3512" w:type="pct"/>
            <w:vAlign w:val="center"/>
          </w:tcPr>
          <w:p w14:paraId="33C4F0FD">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投标人切合维保设备情况提供维修工具配置清单及校准报告。未提供不得分。</w:t>
            </w:r>
          </w:p>
        </w:tc>
      </w:tr>
      <w:tr w14:paraId="21F9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6" w:type="pct"/>
            <w:vMerge w:val="continue"/>
            <w:vAlign w:val="center"/>
          </w:tcPr>
          <w:p w14:paraId="4D50E0FE">
            <w:pPr>
              <w:pStyle w:val="54"/>
              <w:spacing w:line="240" w:lineRule="auto"/>
              <w:jc w:val="center"/>
              <w:rPr>
                <w:rFonts w:hint="eastAsia" w:ascii="宋体" w:hAnsi="宋体" w:eastAsia="宋体" w:cs="宋体"/>
                <w:color w:val="auto"/>
                <w:sz w:val="24"/>
                <w:szCs w:val="24"/>
                <w:highlight w:val="none"/>
              </w:rPr>
            </w:pPr>
          </w:p>
        </w:tc>
        <w:tc>
          <w:tcPr>
            <w:tcW w:w="1341" w:type="dxa"/>
            <w:tcBorders>
              <w:top w:val="single" w:color="auto" w:sz="4" w:space="0"/>
            </w:tcBorders>
            <w:shd w:val="clear" w:color="auto" w:fill="auto"/>
            <w:vAlign w:val="center"/>
          </w:tcPr>
          <w:p w14:paraId="3D3383EA">
            <w:pPr>
              <w:keepNext w:val="0"/>
              <w:keepLines w:val="0"/>
              <w:widowControl/>
              <w:numPr>
                <w:ilvl w:val="0"/>
                <w:numId w:val="0"/>
              </w:numPr>
              <w:suppressLineNumbers w:val="0"/>
              <w:ind w:left="0" w:leftChars="0" w:firstLine="0" w:firstLine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sz w:val="24"/>
                <w:szCs w:val="24"/>
              </w:rPr>
              <w:t>项目实施方案</w:t>
            </w:r>
          </w:p>
        </w:tc>
        <w:tc>
          <w:tcPr>
            <w:tcW w:w="665" w:type="dxa"/>
            <w:vAlign w:val="center"/>
          </w:tcPr>
          <w:p w14:paraId="671739DC">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30分</w:t>
            </w:r>
          </w:p>
        </w:tc>
        <w:tc>
          <w:tcPr>
            <w:tcW w:w="3512" w:type="pct"/>
            <w:vAlign w:val="center"/>
          </w:tcPr>
          <w:p w14:paraId="6ED9553E">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投标方针对本项目在实施过程中的服务方案，包含但不仅限于以下内容：</w:t>
            </w:r>
          </w:p>
          <w:p w14:paraId="119CA15B">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(1)有详细设备巡查方案；</w:t>
            </w:r>
          </w:p>
          <w:p w14:paraId="315C2704">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(2)有详细设备保养方案；</w:t>
            </w:r>
          </w:p>
          <w:p w14:paraId="1B85D050">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(3)有详细设备维修响应方案；</w:t>
            </w:r>
          </w:p>
          <w:p w14:paraId="57A9D614">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(4)有详细特种设备管理方案；</w:t>
            </w:r>
          </w:p>
          <w:p w14:paraId="452BA778">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(5)有详细设备计量管理方案；</w:t>
            </w:r>
          </w:p>
          <w:p w14:paraId="79E9ECF3">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(6)有详细不良事件上报、设备培训管理方案；</w:t>
            </w:r>
          </w:p>
          <w:p w14:paraId="11314F99">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(7)有详细设备档案管理方案。</w:t>
            </w:r>
          </w:p>
          <w:p w14:paraId="4E47083A">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(8)有详细日常维保安全保障措施；</w:t>
            </w:r>
          </w:p>
          <w:p w14:paraId="3C096D2F">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(9)有详细定期维护保养方案；</w:t>
            </w:r>
          </w:p>
          <w:p w14:paraId="236D6B47">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（10）有详细设备质控方案；</w:t>
            </w:r>
          </w:p>
          <w:p w14:paraId="11D53E1F">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以上10项内容完整且完全满足项目要求得30分，每缺失一项内容扣3分，每项内容中有一处内容缺陷扣1.5分，扣完为止。</w:t>
            </w:r>
          </w:p>
          <w:p w14:paraId="6DA7AA06">
            <w:pPr>
              <w:bidi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注：1.内容存在缺陷是指：①该项内容描述前后不一致；②该项内容所阐述的项目 信息与本项目实际信息不一致；③该项内容阐述的各类方案明显不符合本项目实 际情况；④该项内容描述与本项目实际情况不符；⑤该项内容套用其他项目内容。</w:t>
            </w:r>
          </w:p>
        </w:tc>
      </w:tr>
      <w:tr w14:paraId="1E80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416" w:type="pct"/>
            <w:vMerge w:val="continue"/>
            <w:vAlign w:val="center"/>
          </w:tcPr>
          <w:p w14:paraId="4D1C03CA">
            <w:pPr>
              <w:pStyle w:val="54"/>
              <w:spacing w:line="240" w:lineRule="auto"/>
              <w:jc w:val="center"/>
              <w:rPr>
                <w:rFonts w:hint="eastAsia" w:ascii="宋体" w:hAnsi="宋体" w:eastAsia="宋体" w:cs="宋体"/>
                <w:color w:val="auto"/>
                <w:sz w:val="24"/>
                <w:szCs w:val="24"/>
                <w:highlight w:val="none"/>
              </w:rPr>
            </w:pPr>
          </w:p>
        </w:tc>
        <w:tc>
          <w:tcPr>
            <w:tcW w:w="1341" w:type="dxa"/>
            <w:tcBorders>
              <w:top w:val="single" w:color="auto" w:sz="4" w:space="0"/>
            </w:tcBorders>
            <w:shd w:val="clear" w:color="auto" w:fill="auto"/>
            <w:vAlign w:val="center"/>
          </w:tcPr>
          <w:p w14:paraId="6CC54470">
            <w:pPr>
              <w:keepNext w:val="0"/>
              <w:keepLines w:val="0"/>
              <w:widowControl/>
              <w:numPr>
                <w:ilvl w:val="0"/>
                <w:numId w:val="0"/>
              </w:numPr>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000000"/>
                <w:kern w:val="0"/>
                <w:sz w:val="24"/>
                <w:szCs w:val="24"/>
                <w:u w:val="none"/>
                <w:lang w:val="en-US" w:eastAsia="zh-CN" w:bidi="ar"/>
              </w:rPr>
              <w:t>应急方案</w:t>
            </w:r>
          </w:p>
        </w:tc>
        <w:tc>
          <w:tcPr>
            <w:tcW w:w="665" w:type="dxa"/>
            <w:vAlign w:val="center"/>
          </w:tcPr>
          <w:p w14:paraId="5B06F570">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12分</w:t>
            </w:r>
          </w:p>
        </w:tc>
        <w:tc>
          <w:tcPr>
            <w:tcW w:w="3512" w:type="pct"/>
            <w:vAlign w:val="center"/>
          </w:tcPr>
          <w:p w14:paraId="4C274D3B">
            <w:pPr>
              <w:keepNext w:val="0"/>
              <w:keepLines w:val="0"/>
              <w:widowControl/>
              <w:numPr>
                <w:ilvl w:val="0"/>
                <w:numId w:val="0"/>
              </w:numPr>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投标人需针对本项目提供详细的应急预案，内容包括但不 限于：①人员调配；②问题诊断；③故障解决；④部件更换和维修；</w:t>
            </w:r>
          </w:p>
          <w:p w14:paraId="082D72F9">
            <w:pPr>
              <w:keepNext w:val="0"/>
              <w:keepLines w:val="0"/>
              <w:widowControl/>
              <w:numPr>
                <w:ilvl w:val="0"/>
                <w:numId w:val="0"/>
              </w:numPr>
              <w:suppressLineNumbers w:val="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所有要素齐全且完全满足项目要求得12分，每缺一个要素扣3分，每个要素里每有一处内容缺陷扣1.5分（扣完为止）。</w:t>
            </w:r>
          </w:p>
          <w:p w14:paraId="27FC778D">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注：1.内容存在缺陷是指：①该项内容描述前后不一致；②该项内容所阐述的项目 信息与本项目实际信息不一致；③该项内容阐述的各类方案明显不符合本项目实 际情况；④该项内容描述与本项目实际情况不符；⑤该项内容套用其他项目内容。</w:t>
            </w:r>
          </w:p>
        </w:tc>
      </w:tr>
      <w:tr w14:paraId="60551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32" w:type="pct"/>
            <w:gridSpan w:val="2"/>
            <w:vAlign w:val="center"/>
          </w:tcPr>
          <w:p w14:paraId="1D0EA4EF">
            <w:pPr>
              <w:pStyle w:val="54"/>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355" w:type="pct"/>
            <w:tcBorders>
              <w:bottom w:val="single" w:color="auto" w:sz="4" w:space="0"/>
            </w:tcBorders>
            <w:vAlign w:val="center"/>
          </w:tcPr>
          <w:p w14:paraId="05FE3743">
            <w:pPr>
              <w:pStyle w:val="54"/>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=SUM(ABOVE)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分</w:t>
            </w:r>
          </w:p>
        </w:tc>
        <w:tc>
          <w:tcPr>
            <w:tcW w:w="3512" w:type="pct"/>
            <w:tcBorders>
              <w:bottom w:val="single" w:color="auto" w:sz="4" w:space="0"/>
            </w:tcBorders>
            <w:vAlign w:val="center"/>
          </w:tcPr>
          <w:p w14:paraId="16DD036E">
            <w:pPr>
              <w:pStyle w:val="54"/>
              <w:spacing w:line="240" w:lineRule="auto"/>
              <w:jc w:val="left"/>
              <w:rPr>
                <w:rFonts w:hint="eastAsia" w:ascii="宋体" w:hAnsi="宋体" w:eastAsia="宋体" w:cs="宋体"/>
                <w:color w:val="auto"/>
                <w:sz w:val="24"/>
                <w:szCs w:val="24"/>
                <w:highlight w:val="none"/>
              </w:rPr>
            </w:pPr>
          </w:p>
        </w:tc>
      </w:tr>
    </w:tbl>
    <w:p w14:paraId="0DEE66CB">
      <w:pPr>
        <w:rPr>
          <w:rFonts w:hint="eastAsia"/>
          <w:color w:val="auto"/>
          <w:highlight w:val="none"/>
        </w:rPr>
      </w:pPr>
      <w:r>
        <w:rPr>
          <w:rFonts w:hint="eastAsia"/>
          <w:color w:val="auto"/>
          <w:highlight w:val="none"/>
        </w:rPr>
        <w:br w:type="page"/>
      </w:r>
    </w:p>
    <w:p w14:paraId="203C6AA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429" w:name="_Toc155185918"/>
      <w:bookmarkStart w:id="430" w:name="_Toc1640"/>
      <w:bookmarkStart w:id="431" w:name="_Toc22127"/>
      <w:r>
        <w:rPr>
          <w:rFonts w:hint="eastAsia" w:ascii="宋体" w:hAnsi="宋体" w:eastAsia="宋体" w:cs="宋体"/>
          <w:b/>
          <w:bCs/>
          <w:color w:val="auto"/>
          <w:kern w:val="44"/>
          <w:sz w:val="36"/>
          <w:szCs w:val="36"/>
          <w:highlight w:val="none"/>
          <w:lang w:val="zh-CN" w:eastAsia="zh-CN" w:bidi="ar-SA"/>
        </w:rPr>
        <w:t>第六章 合同</w:t>
      </w:r>
      <w:bookmarkEnd w:id="429"/>
      <w:r>
        <w:rPr>
          <w:rFonts w:hint="eastAsia" w:ascii="宋体" w:hAnsi="宋体" w:eastAsia="宋体" w:cs="宋体"/>
          <w:b/>
          <w:bCs/>
          <w:color w:val="auto"/>
          <w:kern w:val="44"/>
          <w:sz w:val="36"/>
          <w:szCs w:val="36"/>
          <w:highlight w:val="none"/>
          <w:lang w:val="zh-CN" w:eastAsia="zh-CN" w:bidi="ar-SA"/>
        </w:rPr>
        <w:t>草案</w:t>
      </w:r>
      <w:bookmarkEnd w:id="430"/>
      <w:bookmarkEnd w:id="431"/>
    </w:p>
    <w:p w14:paraId="672E7107">
      <w:pPr>
        <w:pStyle w:val="14"/>
        <w:pageBreakBefore w:val="0"/>
        <w:kinsoku/>
        <w:wordWrap/>
        <w:topLinePunct w:val="0"/>
        <w:bidi w:val="0"/>
        <w:spacing w:before="229" w:line="227" w:lineRule="auto"/>
        <w:ind w:left="3029"/>
        <w:rPr>
          <w:rFonts w:hint="eastAsia" w:ascii="宋体" w:hAnsi="宋体" w:eastAsia="宋体" w:cs="宋体"/>
          <w:spacing w:val="7"/>
          <w:sz w:val="20"/>
          <w:szCs w:val="20"/>
        </w:rPr>
      </w:pPr>
      <w:bookmarkStart w:id="432" w:name="_Toc3995"/>
      <w:r>
        <w:rPr>
          <w:rFonts w:hint="eastAsia" w:ascii="宋体" w:hAnsi="宋体" w:eastAsia="宋体" w:cs="宋体"/>
          <w:spacing w:val="7"/>
          <w:sz w:val="20"/>
          <w:szCs w:val="20"/>
        </w:rPr>
        <w:t>（以最终签订合同模板为准）</w:t>
      </w:r>
    </w:p>
    <w:p w14:paraId="48FE9830">
      <w:pPr>
        <w:pageBreakBefore w:val="0"/>
        <w:kinsoku/>
        <w:wordWrap/>
        <w:topLinePunct w:val="0"/>
        <w:bidi w:val="0"/>
        <w:rPr>
          <w:rFonts w:hint="eastAsia" w:ascii="宋体" w:hAnsi="宋体" w:eastAsia="宋体" w:cs="宋体"/>
          <w:b/>
          <w:bCs/>
          <w:sz w:val="24"/>
          <w:highlight w:val="none"/>
          <w:u w:val="single"/>
        </w:rPr>
      </w:pPr>
      <w:r>
        <w:rPr>
          <w:rFonts w:hint="eastAsia" w:ascii="宋体" w:hAnsi="宋体" w:eastAsia="宋体" w:cs="宋体"/>
          <w:b/>
          <w:bCs/>
          <w:sz w:val="24"/>
          <w:highlight w:val="none"/>
        </w:rPr>
        <w:t>合同编号：</w:t>
      </w:r>
      <w:r>
        <w:rPr>
          <w:rFonts w:hint="eastAsia" w:ascii="宋体" w:hAnsi="宋体" w:eastAsia="宋体" w:cs="宋体"/>
          <w:b/>
          <w:bCs/>
          <w:sz w:val="24"/>
          <w:highlight w:val="none"/>
          <w:u w:val="single"/>
        </w:rPr>
        <w:t xml:space="preserve">           </w:t>
      </w:r>
    </w:p>
    <w:p w14:paraId="38A2C7FA">
      <w:pPr>
        <w:pageBreakBefore w:val="0"/>
        <w:kinsoku/>
        <w:wordWrap/>
        <w:topLinePunct w:val="0"/>
        <w:bidi w:val="0"/>
        <w:spacing w:line="480" w:lineRule="auto"/>
        <w:jc w:val="center"/>
        <w:rPr>
          <w:rFonts w:hint="eastAsia" w:ascii="宋体" w:hAnsi="宋体" w:eastAsia="宋体" w:cs="宋体"/>
          <w:b/>
          <w:sz w:val="28"/>
          <w:szCs w:val="28"/>
          <w:highlight w:val="none"/>
        </w:rPr>
      </w:pPr>
    </w:p>
    <w:p w14:paraId="6E8105EE">
      <w:pPr>
        <w:pageBreakBefore w:val="0"/>
        <w:kinsoku/>
        <w:wordWrap/>
        <w:topLinePunct w:val="0"/>
        <w:bidi w:val="0"/>
        <w:spacing w:line="480" w:lineRule="auto"/>
        <w:jc w:val="center"/>
        <w:rPr>
          <w:rFonts w:hint="eastAsia" w:ascii="宋体" w:hAnsi="宋体" w:eastAsia="宋体" w:cs="宋体"/>
          <w:b/>
          <w:sz w:val="28"/>
          <w:szCs w:val="28"/>
          <w:highlight w:val="none"/>
        </w:rPr>
      </w:pPr>
    </w:p>
    <w:p w14:paraId="06A8BF40">
      <w:pPr>
        <w:pageBreakBefore w:val="0"/>
        <w:kinsoku/>
        <w:wordWrap/>
        <w:topLinePunct w:val="0"/>
        <w:bidi w:val="0"/>
        <w:spacing w:line="480" w:lineRule="auto"/>
        <w:jc w:val="center"/>
        <w:outlineLvl w:val="1"/>
        <w:rPr>
          <w:rFonts w:hint="eastAsia" w:ascii="宋体" w:hAnsi="宋体" w:eastAsia="宋体" w:cs="宋体"/>
          <w:b/>
          <w:sz w:val="44"/>
          <w:szCs w:val="44"/>
          <w:highlight w:val="none"/>
        </w:rPr>
      </w:pPr>
      <w:r>
        <w:rPr>
          <w:rFonts w:hint="eastAsia" w:ascii="宋体" w:hAnsi="宋体" w:eastAsia="宋体" w:cs="宋体"/>
          <w:b/>
          <w:sz w:val="44"/>
          <w:szCs w:val="44"/>
          <w:highlight w:val="none"/>
        </w:rPr>
        <w:t>政府采购合同参考范本</w:t>
      </w:r>
    </w:p>
    <w:p w14:paraId="58D429E1">
      <w:pPr>
        <w:pageBreakBefore w:val="0"/>
        <w:kinsoku/>
        <w:wordWrap/>
        <w:topLinePunct w:val="0"/>
        <w:bidi w:val="0"/>
        <w:spacing w:line="48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（服务类）</w:t>
      </w:r>
    </w:p>
    <w:p w14:paraId="52B10DC4">
      <w:pPr>
        <w:pStyle w:val="77"/>
        <w:pageBreakBefore w:val="0"/>
        <w:kinsoku/>
        <w:wordWrap/>
        <w:topLinePunct w:val="0"/>
        <w:bidi w:val="0"/>
        <w:ind w:firstLine="0"/>
        <w:rPr>
          <w:rFonts w:hint="eastAsia" w:ascii="宋体" w:hAnsi="宋体" w:eastAsia="宋体" w:cs="宋体"/>
          <w:szCs w:val="24"/>
          <w:highlight w:val="none"/>
        </w:rPr>
      </w:pPr>
    </w:p>
    <w:p w14:paraId="4E7816A0">
      <w:pPr>
        <w:pStyle w:val="77"/>
        <w:pageBreakBefore w:val="0"/>
        <w:kinsoku/>
        <w:wordWrap/>
        <w:topLinePunct w:val="0"/>
        <w:bidi w:val="0"/>
        <w:ind w:firstLine="0"/>
        <w:rPr>
          <w:rFonts w:hint="eastAsia" w:ascii="宋体" w:hAnsi="宋体" w:eastAsia="宋体" w:cs="宋体"/>
          <w:szCs w:val="24"/>
          <w:highlight w:val="none"/>
        </w:rPr>
      </w:pPr>
    </w:p>
    <w:p w14:paraId="6A22ECB6">
      <w:pPr>
        <w:pStyle w:val="77"/>
        <w:pageBreakBefore w:val="0"/>
        <w:kinsoku/>
        <w:wordWrap/>
        <w:topLinePunct w:val="0"/>
        <w:bidi w:val="0"/>
        <w:ind w:firstLine="0"/>
        <w:rPr>
          <w:rFonts w:hint="eastAsia" w:ascii="宋体" w:hAnsi="宋体" w:eastAsia="宋体" w:cs="宋体"/>
          <w:szCs w:val="24"/>
          <w:highlight w:val="none"/>
        </w:rPr>
      </w:pPr>
    </w:p>
    <w:p w14:paraId="7E373194">
      <w:pPr>
        <w:pStyle w:val="77"/>
        <w:pageBreakBefore w:val="0"/>
        <w:kinsoku/>
        <w:wordWrap/>
        <w:topLinePunct w:val="0"/>
        <w:bidi w:val="0"/>
        <w:ind w:firstLine="0"/>
        <w:jc w:val="center"/>
        <w:outlineLvl w:val="1"/>
        <w:rPr>
          <w:rFonts w:hint="eastAsia" w:ascii="宋体" w:hAnsi="宋体" w:eastAsia="宋体" w:cs="宋体"/>
          <w:b/>
          <w:szCs w:val="24"/>
          <w:highlight w:val="none"/>
        </w:rPr>
      </w:pPr>
      <w:r>
        <w:rPr>
          <w:rFonts w:hint="eastAsia" w:ascii="宋体" w:hAnsi="宋体" w:eastAsia="宋体" w:cs="宋体"/>
          <w:b/>
          <w:szCs w:val="24"/>
          <w:highlight w:val="none"/>
        </w:rPr>
        <w:t>第一部分 合同书</w:t>
      </w:r>
    </w:p>
    <w:p w14:paraId="7FB3E4C5">
      <w:pPr>
        <w:pStyle w:val="77"/>
        <w:pageBreakBefore w:val="0"/>
        <w:kinsoku/>
        <w:wordWrap/>
        <w:topLinePunct w:val="0"/>
        <w:bidi w:val="0"/>
        <w:ind w:firstLine="0"/>
        <w:rPr>
          <w:rFonts w:hint="eastAsia" w:ascii="宋体" w:hAnsi="宋体" w:eastAsia="宋体" w:cs="宋体"/>
          <w:szCs w:val="24"/>
          <w:highlight w:val="none"/>
        </w:rPr>
      </w:pPr>
    </w:p>
    <w:p w14:paraId="7CBC9E81">
      <w:pPr>
        <w:pageBreakBefore w:val="0"/>
        <w:kinsoku/>
        <w:wordWrap/>
        <w:topLinePunct w:val="0"/>
        <w:bidi w:val="0"/>
        <w:spacing w:before="120" w:line="22" w:lineRule="atLeast"/>
        <w:rPr>
          <w:rFonts w:hint="eastAsia" w:ascii="宋体" w:hAnsi="宋体" w:eastAsia="宋体" w:cs="宋体"/>
          <w:sz w:val="24"/>
          <w:highlight w:val="none"/>
        </w:rPr>
      </w:pPr>
    </w:p>
    <w:p w14:paraId="07DC3909">
      <w:pPr>
        <w:pageBreakBefore w:val="0"/>
        <w:kinsoku/>
        <w:wordWrap/>
        <w:topLinePunct w:val="0"/>
        <w:bidi w:val="0"/>
        <w:spacing w:before="120" w:line="22" w:lineRule="atLeast"/>
        <w:ind w:left="960"/>
        <w:rPr>
          <w:rFonts w:hint="eastAsia" w:ascii="宋体" w:hAnsi="宋体" w:eastAsia="宋体" w:cs="宋体"/>
          <w:sz w:val="24"/>
          <w:highlight w:val="non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p>
    <w:p w14:paraId="4B187AF7">
      <w:pPr>
        <w:pageBreakBefore w:val="0"/>
        <w:kinsoku/>
        <w:wordWrap/>
        <w:topLinePunct w:val="0"/>
        <w:bidi w:val="0"/>
        <w:spacing w:before="120" w:line="22" w:lineRule="atLeast"/>
        <w:ind w:left="960"/>
        <w:rPr>
          <w:rFonts w:hint="eastAsia" w:ascii="宋体" w:hAnsi="宋体" w:eastAsia="宋体" w:cs="宋体"/>
          <w:sz w:val="24"/>
          <w:highlight w:val="none"/>
          <w:u w:val="single"/>
        </w:rPr>
      </w:pPr>
      <w:r>
        <w:rPr>
          <w:rFonts w:hint="eastAsia" w:ascii="宋体" w:hAnsi="宋体" w:eastAsia="宋体" w:cs="宋体"/>
          <w:sz w:val="24"/>
          <w:highlight w:val="none"/>
        </w:rPr>
        <w:t>甲方：</w:t>
      </w:r>
      <w:r>
        <w:rPr>
          <w:rFonts w:hint="eastAsia" w:ascii="宋体" w:hAnsi="宋体" w:eastAsia="宋体" w:cs="宋体"/>
          <w:sz w:val="24"/>
          <w:highlight w:val="none"/>
          <w:u w:val="single"/>
        </w:rPr>
        <w:t xml:space="preserve">                                       </w:t>
      </w:r>
    </w:p>
    <w:p w14:paraId="392A49C5">
      <w:pPr>
        <w:pageBreakBefore w:val="0"/>
        <w:kinsoku/>
        <w:wordWrap/>
        <w:topLinePunct w:val="0"/>
        <w:bidi w:val="0"/>
        <w:spacing w:before="120" w:line="22" w:lineRule="atLeast"/>
        <w:rPr>
          <w:rFonts w:hint="eastAsia" w:ascii="宋体" w:hAnsi="宋体" w:eastAsia="宋体" w:cs="宋体"/>
          <w:sz w:val="24"/>
          <w:highlight w:val="none"/>
        </w:rPr>
      </w:pPr>
    </w:p>
    <w:p w14:paraId="6AE0947A">
      <w:pPr>
        <w:pageBreakBefore w:val="0"/>
        <w:kinsoku/>
        <w:wordWrap/>
        <w:topLinePunct w:val="0"/>
        <w:bidi w:val="0"/>
        <w:spacing w:before="120" w:line="22" w:lineRule="atLeast"/>
        <w:ind w:left="960"/>
        <w:rPr>
          <w:rFonts w:hint="eastAsia" w:ascii="宋体" w:hAnsi="宋体" w:eastAsia="宋体" w:cs="宋体"/>
          <w:sz w:val="24"/>
          <w:highlight w:val="none"/>
          <w:u w:val="single"/>
        </w:rPr>
      </w:pPr>
      <w:r>
        <w:rPr>
          <w:rFonts w:hint="eastAsia" w:ascii="宋体" w:hAnsi="宋体" w:eastAsia="宋体" w:cs="宋体"/>
          <w:sz w:val="24"/>
          <w:highlight w:val="none"/>
        </w:rPr>
        <w:t>乙方：</w:t>
      </w:r>
      <w:r>
        <w:rPr>
          <w:rFonts w:hint="eastAsia" w:ascii="宋体" w:hAnsi="宋体" w:eastAsia="宋体" w:cs="宋体"/>
          <w:sz w:val="24"/>
          <w:highlight w:val="none"/>
          <w:u w:val="single"/>
        </w:rPr>
        <w:t xml:space="preserve">                                       </w:t>
      </w:r>
    </w:p>
    <w:p w14:paraId="45E4CEB6">
      <w:pPr>
        <w:pageBreakBefore w:val="0"/>
        <w:kinsoku/>
        <w:wordWrap/>
        <w:topLinePunct w:val="0"/>
        <w:bidi w:val="0"/>
        <w:spacing w:before="120" w:line="22" w:lineRule="atLeast"/>
        <w:rPr>
          <w:rFonts w:hint="eastAsia" w:ascii="宋体" w:hAnsi="宋体" w:eastAsia="宋体" w:cs="宋体"/>
          <w:sz w:val="24"/>
          <w:highlight w:val="none"/>
        </w:rPr>
      </w:pPr>
    </w:p>
    <w:p w14:paraId="594365D7">
      <w:pPr>
        <w:pageBreakBefore w:val="0"/>
        <w:kinsoku/>
        <w:wordWrap/>
        <w:topLinePunct w:val="0"/>
        <w:bidi w:val="0"/>
        <w:spacing w:before="120" w:line="22" w:lineRule="atLeast"/>
        <w:ind w:firstLine="960" w:firstLineChars="400"/>
        <w:rPr>
          <w:rFonts w:hint="eastAsia" w:ascii="宋体" w:hAnsi="宋体" w:eastAsia="宋体" w:cs="宋体"/>
          <w:sz w:val="24"/>
          <w:highlight w:val="none"/>
          <w:u w:val="single"/>
        </w:rPr>
      </w:pPr>
      <w:r>
        <w:rPr>
          <w:rFonts w:hint="eastAsia" w:ascii="宋体" w:hAnsi="宋体" w:eastAsia="宋体" w:cs="宋体"/>
          <w:sz w:val="24"/>
          <w:highlight w:val="none"/>
        </w:rPr>
        <w:t>签订地：</w:t>
      </w:r>
      <w:r>
        <w:rPr>
          <w:rFonts w:hint="eastAsia" w:ascii="宋体" w:hAnsi="宋体" w:eastAsia="宋体" w:cs="宋体"/>
          <w:sz w:val="24"/>
          <w:highlight w:val="none"/>
          <w:u w:val="single"/>
        </w:rPr>
        <w:t xml:space="preserve">                                     </w:t>
      </w:r>
    </w:p>
    <w:p w14:paraId="7888289D">
      <w:pPr>
        <w:pageBreakBefore w:val="0"/>
        <w:kinsoku/>
        <w:wordWrap/>
        <w:topLinePunct w:val="0"/>
        <w:bidi w:val="0"/>
        <w:spacing w:before="120" w:line="22" w:lineRule="atLeast"/>
        <w:rPr>
          <w:rFonts w:hint="eastAsia" w:ascii="宋体" w:hAnsi="宋体" w:eastAsia="宋体" w:cs="宋体"/>
          <w:sz w:val="24"/>
          <w:highlight w:val="none"/>
        </w:rPr>
      </w:pPr>
    </w:p>
    <w:p w14:paraId="59AFBC5F">
      <w:pPr>
        <w:pageBreakBefore w:val="0"/>
        <w:kinsoku/>
        <w:wordWrap/>
        <w:topLinePunct w:val="0"/>
        <w:bidi w:val="0"/>
        <w:spacing w:before="120" w:line="22" w:lineRule="atLeast"/>
        <w:ind w:firstLine="960" w:firstLineChars="400"/>
        <w:rPr>
          <w:rFonts w:hint="eastAsia" w:ascii="宋体" w:hAnsi="宋体" w:eastAsia="宋体" w:cs="宋体"/>
          <w:sz w:val="24"/>
          <w:highlight w:val="none"/>
          <w:u w:val="single"/>
        </w:rPr>
      </w:pPr>
      <w:r>
        <w:rPr>
          <w:rFonts w:hint="eastAsia" w:ascii="宋体" w:hAnsi="宋体" w:eastAsia="宋体" w:cs="宋体"/>
          <w:sz w:val="24"/>
          <w:highlight w:val="none"/>
        </w:rPr>
        <w:t>签订日期：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2A87F860">
      <w:pPr>
        <w:pageBreakBefore w:val="0"/>
        <w:kinsoku/>
        <w:wordWrap/>
        <w:topLinePunct w:val="0"/>
        <w:autoSpaceDE w:val="0"/>
        <w:autoSpaceDN w:val="0"/>
        <w:bidi w:val="0"/>
        <w:adjustRightInd w:val="0"/>
        <w:spacing w:line="600" w:lineRule="exact"/>
        <w:ind w:firstLine="640"/>
        <w:jc w:val="center"/>
        <w:rPr>
          <w:rFonts w:hint="eastAsia" w:ascii="宋体" w:hAnsi="宋体" w:eastAsia="宋体" w:cs="宋体"/>
          <w:sz w:val="24"/>
          <w:highlight w:val="none"/>
        </w:rPr>
        <w:sectPr>
          <w:footerReference r:id="rId8" w:type="default"/>
          <w:pgSz w:w="11907" w:h="16840"/>
          <w:pgMar w:top="1474" w:right="1814" w:bottom="1474" w:left="1814" w:header="851" w:footer="851" w:gutter="0"/>
          <w:pgNumType w:fmt="decimal" w:start="1"/>
          <w:cols w:space="720" w:num="1"/>
          <w:docGrid w:linePitch="462" w:charSpace="0"/>
        </w:sectPr>
      </w:pPr>
    </w:p>
    <w:p w14:paraId="5B042519">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年</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月</w:t>
      </w:r>
      <w:r>
        <w:rPr>
          <w:rFonts w:hint="eastAsia" w:ascii="宋体" w:hAnsi="宋体" w:eastAsia="宋体" w:cs="宋体"/>
          <w:sz w:val="24"/>
          <w:highlight w:val="none"/>
          <w:u w:val="single"/>
          <w:lang w:val="zh-CN"/>
        </w:rPr>
        <w:t xml:space="preserve">    </w:t>
      </w:r>
      <w:r>
        <w:rPr>
          <w:rFonts w:hint="eastAsia" w:ascii="宋体" w:hAnsi="宋体" w:eastAsia="宋体" w:cs="宋体"/>
          <w:sz w:val="24"/>
          <w:highlight w:val="none"/>
          <w:lang w:val="zh-CN"/>
        </w:rPr>
        <w:t>日</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（采购人名称）   </w:t>
      </w:r>
      <w:r>
        <w:rPr>
          <w:rFonts w:hint="eastAsia" w:ascii="宋体" w:hAnsi="宋体" w:eastAsia="宋体" w:cs="宋体"/>
          <w:sz w:val="24"/>
          <w:highlight w:val="none"/>
        </w:rPr>
        <w:t>以</w:t>
      </w:r>
      <w:r>
        <w:rPr>
          <w:rFonts w:hint="eastAsia" w:ascii="宋体" w:hAnsi="宋体" w:eastAsia="宋体" w:cs="宋体"/>
          <w:sz w:val="24"/>
          <w:highlight w:val="none"/>
          <w:u w:val="single"/>
        </w:rPr>
        <w:t xml:space="preserve">   （政府采购方式）  </w:t>
      </w:r>
      <w:r>
        <w:rPr>
          <w:rFonts w:hint="eastAsia" w:ascii="宋体" w:hAnsi="宋体" w:eastAsia="宋体" w:cs="宋体"/>
          <w:sz w:val="24"/>
          <w:highlight w:val="none"/>
        </w:rPr>
        <w:t>对</w:t>
      </w:r>
      <w:r>
        <w:rPr>
          <w:rFonts w:hint="eastAsia" w:ascii="宋体" w:hAnsi="宋体" w:eastAsia="宋体" w:cs="宋体"/>
          <w:sz w:val="24"/>
          <w:highlight w:val="none"/>
          <w:u w:val="single"/>
        </w:rPr>
        <w:t xml:space="preserve">   （同前页项目名称）   </w:t>
      </w:r>
      <w:r>
        <w:rPr>
          <w:rFonts w:hint="eastAsia" w:ascii="宋体" w:hAnsi="宋体" w:eastAsia="宋体" w:cs="宋体"/>
          <w:sz w:val="24"/>
          <w:highlight w:val="none"/>
        </w:rPr>
        <w:t>项目进行了采购。经</w:t>
      </w:r>
      <w:r>
        <w:rPr>
          <w:rFonts w:hint="eastAsia" w:ascii="宋体" w:hAnsi="宋体" w:eastAsia="宋体" w:cs="宋体"/>
          <w:sz w:val="24"/>
          <w:highlight w:val="none"/>
          <w:u w:val="single"/>
        </w:rPr>
        <w:t xml:space="preserve">   （相关评定主体名称）   </w:t>
      </w:r>
      <w:r>
        <w:rPr>
          <w:rFonts w:hint="eastAsia" w:ascii="宋体" w:hAnsi="宋体" w:eastAsia="宋体" w:cs="宋体"/>
          <w:sz w:val="24"/>
          <w:highlight w:val="none"/>
        </w:rPr>
        <w:t>评定，</w:t>
      </w:r>
      <w:r>
        <w:rPr>
          <w:rFonts w:hint="eastAsia" w:ascii="宋体" w:hAnsi="宋体" w:eastAsia="宋体" w:cs="宋体"/>
          <w:sz w:val="24"/>
          <w:highlight w:val="none"/>
          <w:u w:val="single"/>
        </w:rPr>
        <w:t xml:space="preserve">   （成交供应商名称） </w:t>
      </w:r>
      <w:r>
        <w:rPr>
          <w:rFonts w:hint="eastAsia" w:ascii="宋体" w:hAnsi="宋体" w:eastAsia="宋体" w:cs="宋体"/>
          <w:sz w:val="24"/>
          <w:highlight w:val="none"/>
        </w:rPr>
        <w:t>为该项目成交供应商。现于成交通知书发出之日起三十日内，按照采购文件确定的事项签订本合同。</w:t>
      </w:r>
    </w:p>
    <w:p w14:paraId="02704D59">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sz w:val="24"/>
          <w:highlight w:val="none"/>
          <w:u w:val="single"/>
        </w:rPr>
        <w:t xml:space="preserve">   （采购人名称）   </w:t>
      </w:r>
      <w:r>
        <w:rPr>
          <w:rFonts w:hint="eastAsia" w:ascii="宋体" w:hAnsi="宋体" w:eastAsia="宋体" w:cs="宋体"/>
          <w:sz w:val="24"/>
          <w:highlight w:val="none"/>
          <w:lang w:val="zh-CN"/>
        </w:rPr>
        <w:t>(以下简称：甲方)和</w:t>
      </w:r>
      <w:r>
        <w:rPr>
          <w:rFonts w:hint="eastAsia" w:ascii="宋体" w:hAnsi="宋体" w:eastAsia="宋体" w:cs="宋体"/>
          <w:sz w:val="24"/>
          <w:highlight w:val="none"/>
          <w:u w:val="single"/>
        </w:rPr>
        <w:t xml:space="preserve">   （成交供应商名称）   </w:t>
      </w:r>
      <w:r>
        <w:rPr>
          <w:rFonts w:hint="eastAsia" w:ascii="宋体" w:hAnsi="宋体" w:eastAsia="宋体" w:cs="宋体"/>
          <w:sz w:val="24"/>
          <w:highlight w:val="none"/>
          <w:lang w:val="zh-CN"/>
        </w:rPr>
        <w:t>(以下简称：乙方)协商一致，约定以下合同</w:t>
      </w:r>
      <w:r>
        <w:rPr>
          <w:rFonts w:hint="eastAsia" w:ascii="宋体" w:hAnsi="宋体" w:eastAsia="宋体" w:cs="宋体"/>
          <w:sz w:val="24"/>
          <w:highlight w:val="none"/>
        </w:rPr>
        <w:t>条款，以兹共同遵守、全面履行。</w:t>
      </w:r>
    </w:p>
    <w:p w14:paraId="2B56A34A">
      <w:pPr>
        <w:pageBreakBefore w:val="0"/>
        <w:kinsoku/>
        <w:wordWrap/>
        <w:topLinePunct w:val="0"/>
        <w:bidi w:val="0"/>
        <w:spacing w:line="560" w:lineRule="exact"/>
        <w:ind w:firstLine="482" w:firstLineChars="200"/>
        <w:outlineLvl w:val="2"/>
        <w:rPr>
          <w:rFonts w:hint="eastAsia" w:ascii="宋体" w:hAnsi="宋体" w:eastAsia="宋体" w:cs="宋体"/>
          <w:sz w:val="24"/>
          <w:highlight w:val="none"/>
        </w:rPr>
      </w:pPr>
      <w:bookmarkStart w:id="433" w:name="_Toc28855"/>
      <w:bookmarkStart w:id="434" w:name="_Toc15367"/>
      <w:bookmarkStart w:id="435" w:name="_Toc20421"/>
      <w:bookmarkStart w:id="436" w:name="_Toc19273"/>
      <w:bookmarkStart w:id="437" w:name="_Toc22967"/>
      <w:r>
        <w:rPr>
          <w:rFonts w:hint="eastAsia" w:ascii="宋体" w:hAnsi="宋体" w:eastAsia="宋体" w:cs="宋体"/>
          <w:b/>
          <w:sz w:val="24"/>
          <w:highlight w:val="none"/>
        </w:rPr>
        <w:t>1.1 合同组成部分</w:t>
      </w:r>
      <w:bookmarkEnd w:id="433"/>
      <w:bookmarkEnd w:id="434"/>
      <w:bookmarkEnd w:id="435"/>
      <w:bookmarkEnd w:id="436"/>
      <w:bookmarkEnd w:id="437"/>
    </w:p>
    <w:p w14:paraId="081DE703">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B3A57BE">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1.1.1 本合同及其补充合同、变更协议；</w:t>
      </w:r>
    </w:p>
    <w:p w14:paraId="7AC998DB">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1.1.2 成交通知书；</w:t>
      </w:r>
    </w:p>
    <w:p w14:paraId="43F2ECCC">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1.1.3 响应文件（含澄清或者说明文件）；</w:t>
      </w:r>
    </w:p>
    <w:p w14:paraId="4069BEA5">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1.1.4 采购文件（含澄清或者修改文件）；</w:t>
      </w:r>
    </w:p>
    <w:p w14:paraId="2955B392">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1.1.5 其他相关采购文件。</w:t>
      </w:r>
    </w:p>
    <w:p w14:paraId="43AE3CD1">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438" w:name="_Toc22185"/>
      <w:bookmarkStart w:id="439" w:name="_Toc6773"/>
      <w:bookmarkStart w:id="440" w:name="_Toc18585"/>
      <w:bookmarkStart w:id="441" w:name="_Toc2918"/>
      <w:bookmarkStart w:id="442" w:name="_Toc6311"/>
      <w:r>
        <w:rPr>
          <w:rFonts w:hint="eastAsia" w:ascii="宋体" w:hAnsi="宋体" w:eastAsia="宋体" w:cs="宋体"/>
          <w:b/>
          <w:sz w:val="24"/>
          <w:highlight w:val="none"/>
        </w:rPr>
        <w:t>1.2 标的</w:t>
      </w:r>
      <w:bookmarkEnd w:id="438"/>
      <w:bookmarkEnd w:id="439"/>
      <w:bookmarkEnd w:id="440"/>
      <w:bookmarkEnd w:id="441"/>
      <w:bookmarkEnd w:id="442"/>
    </w:p>
    <w:p w14:paraId="5B90CB22">
      <w:pPr>
        <w:pageBreakBefore w:val="0"/>
        <w:kinsoku/>
        <w:wordWrap/>
        <w:topLinePunct w:val="0"/>
        <w:bidi w:val="0"/>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1.2.1 标的名称：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7C2536B">
      <w:pPr>
        <w:pageBreakBefore w:val="0"/>
        <w:kinsoku/>
        <w:wordWrap/>
        <w:topLinePunct w:val="0"/>
        <w:bidi w:val="0"/>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1.2.2 标的数量：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DF9DCA4">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1.2.3 标的质量：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0FAC759F">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443" w:name="_Toc5635"/>
      <w:bookmarkStart w:id="444" w:name="_Toc13918"/>
      <w:bookmarkStart w:id="445" w:name="_Toc1386"/>
      <w:bookmarkStart w:id="446" w:name="_Toc21124"/>
      <w:bookmarkStart w:id="447" w:name="_Toc4929"/>
      <w:r>
        <w:rPr>
          <w:rFonts w:hint="eastAsia" w:ascii="宋体" w:hAnsi="宋体" w:eastAsia="宋体" w:cs="宋体"/>
          <w:b/>
          <w:sz w:val="24"/>
          <w:highlight w:val="none"/>
        </w:rPr>
        <w:t>1.3 价款</w:t>
      </w:r>
      <w:bookmarkEnd w:id="443"/>
      <w:bookmarkEnd w:id="444"/>
      <w:bookmarkEnd w:id="445"/>
      <w:bookmarkEnd w:id="446"/>
      <w:bookmarkEnd w:id="447"/>
    </w:p>
    <w:p w14:paraId="3D340204">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本合同总价为：￥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元（大写：</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元人民币）。</w:t>
      </w:r>
    </w:p>
    <w:p w14:paraId="1C2682AC">
      <w:pPr>
        <w:pageBreakBefore w:val="0"/>
        <w:kinsoku/>
        <w:wordWrap/>
        <w:topLinePunct w:val="0"/>
        <w:bidi w:val="0"/>
        <w:spacing w:line="560" w:lineRule="exact"/>
        <w:ind w:firstLine="480" w:firstLineChars="200"/>
        <w:rPr>
          <w:rFonts w:hint="eastAsia" w:ascii="宋体" w:hAnsi="宋体" w:eastAsia="宋体" w:cs="宋体"/>
          <w:sz w:val="24"/>
          <w:highlight w:val="none"/>
        </w:rPr>
      </w:pPr>
    </w:p>
    <w:p w14:paraId="0ED77E28">
      <w:pPr>
        <w:pageBreakBefore w:val="0"/>
        <w:kinsoku/>
        <w:wordWrap/>
        <w:topLinePunct w:val="0"/>
        <w:bidi w:val="0"/>
        <w:spacing w:line="560" w:lineRule="exact"/>
        <w:ind w:firstLine="480" w:firstLineChars="200"/>
        <w:rPr>
          <w:rFonts w:hint="eastAsia" w:ascii="宋体" w:hAnsi="宋体" w:eastAsia="宋体" w:cs="宋体"/>
          <w:sz w:val="24"/>
          <w:highlight w:val="none"/>
        </w:rPr>
      </w:pPr>
    </w:p>
    <w:p w14:paraId="52504174">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分项价格：</w:t>
      </w:r>
    </w:p>
    <w:p w14:paraId="2A7E9A00">
      <w:pPr>
        <w:pStyle w:val="10"/>
        <w:pageBreakBefore w:val="0"/>
        <w:kinsoku/>
        <w:wordWrap/>
        <w:topLinePunct w:val="0"/>
        <w:bidi w:val="0"/>
        <w:rPr>
          <w:rFonts w:hint="eastAsia" w:ascii="宋体" w:hAnsi="宋体" w:eastAsia="宋体" w:cs="宋体"/>
          <w:sz w:val="24"/>
          <w:highlight w:val="none"/>
        </w:rPr>
      </w:pPr>
    </w:p>
    <w:p w14:paraId="05EA3730">
      <w:pPr>
        <w:pStyle w:val="10"/>
        <w:pageBreakBefore w:val="0"/>
        <w:kinsoku/>
        <w:wordWrap/>
        <w:topLinePunct w:val="0"/>
        <w:bidi w:val="0"/>
        <w:rPr>
          <w:rFonts w:hint="eastAsia" w:ascii="宋体" w:hAnsi="宋体" w:eastAsia="宋体" w:cs="宋体"/>
          <w:sz w:val="24"/>
          <w:highlight w:val="none"/>
        </w:rPr>
      </w:pPr>
    </w:p>
    <w:tbl>
      <w:tblPr>
        <w:tblStyle w:val="3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733D5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455ACE1">
            <w:pPr>
              <w:pStyle w:val="89"/>
              <w:pageBreakBefore w:val="0"/>
              <w:kinsoku/>
              <w:wordWrap/>
              <w:topLinePunct w:val="0"/>
              <w:bidi w:val="0"/>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402" w:type="dxa"/>
            <w:noWrap w:val="0"/>
            <w:vAlign w:val="center"/>
          </w:tcPr>
          <w:p w14:paraId="5BAC5AF2">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分项名称</w:t>
            </w:r>
          </w:p>
        </w:tc>
        <w:tc>
          <w:tcPr>
            <w:tcW w:w="2552" w:type="dxa"/>
            <w:noWrap w:val="0"/>
            <w:vAlign w:val="center"/>
          </w:tcPr>
          <w:p w14:paraId="0F36F45C">
            <w:pPr>
              <w:pStyle w:val="89"/>
              <w:pageBreakBefore w:val="0"/>
              <w:kinsoku/>
              <w:wordWrap/>
              <w:topLinePunct w:val="0"/>
              <w:bidi w:val="0"/>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分项价格</w:t>
            </w:r>
          </w:p>
        </w:tc>
      </w:tr>
      <w:tr w14:paraId="0F42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5CB45F2">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17CAD9C2">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0496A320">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r>
      <w:tr w14:paraId="47D5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00D21D07">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79B51A30">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1F7C6F9B">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r>
      <w:tr w14:paraId="10C6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76A7611E">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77549559">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4A6176D9">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r>
      <w:tr w14:paraId="5B73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953FBF2">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29052169">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0582EE3A">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r>
      <w:tr w14:paraId="5D72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249EFE2F">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552" w:type="dxa"/>
            <w:noWrap w:val="0"/>
            <w:vAlign w:val="center"/>
          </w:tcPr>
          <w:p w14:paraId="527583E8">
            <w:pPr>
              <w:pStyle w:val="89"/>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r>
    </w:tbl>
    <w:p w14:paraId="6DE17163">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448" w:name="_Toc14993"/>
      <w:bookmarkStart w:id="449" w:name="_Toc26916"/>
      <w:bookmarkStart w:id="450" w:name="_Toc3654"/>
      <w:bookmarkStart w:id="451" w:name="_Toc30158"/>
      <w:r>
        <w:rPr>
          <w:rFonts w:hint="eastAsia" w:ascii="宋体" w:hAnsi="宋体" w:eastAsia="宋体" w:cs="宋体"/>
          <w:b/>
          <w:sz w:val="24"/>
          <w:highlight w:val="none"/>
        </w:rPr>
        <w:t>1.4 付款方式和发票开具方式</w:t>
      </w:r>
      <w:bookmarkEnd w:id="448"/>
      <w:bookmarkEnd w:id="449"/>
      <w:bookmarkEnd w:id="450"/>
      <w:bookmarkEnd w:id="451"/>
    </w:p>
    <w:p w14:paraId="273D0EE5">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1.4.1付款方式：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DAB0EC2">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1.4.2 发票开具方式：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3A44D75E">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452" w:name="_Toc11108"/>
      <w:bookmarkStart w:id="453" w:name="_Toc3625"/>
      <w:bookmarkStart w:id="454" w:name="_Toc4760"/>
      <w:bookmarkStart w:id="455" w:name="_Toc31421"/>
      <w:r>
        <w:rPr>
          <w:rFonts w:hint="eastAsia" w:ascii="宋体" w:hAnsi="宋体" w:eastAsia="宋体" w:cs="宋体"/>
          <w:b/>
          <w:sz w:val="24"/>
          <w:highlight w:val="none"/>
        </w:rPr>
        <w:t>1.5 履行期限、地点和方式</w:t>
      </w:r>
      <w:bookmarkEnd w:id="452"/>
      <w:bookmarkEnd w:id="453"/>
      <w:bookmarkEnd w:id="454"/>
      <w:bookmarkEnd w:id="455"/>
    </w:p>
    <w:p w14:paraId="54EEA6F0">
      <w:pPr>
        <w:pageBreakBefore w:val="0"/>
        <w:kinsoku/>
        <w:wordWrap/>
        <w:topLinePunct w:val="0"/>
        <w:bidi w:val="0"/>
        <w:spacing w:line="56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1.5.1 履行期限：</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720A25C2">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履行地点：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57DE9E99">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 履行方式：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1B2F5525">
      <w:pPr>
        <w:pageBreakBefore w:val="0"/>
        <w:kinsoku/>
        <w:wordWrap/>
        <w:topLinePunct w:val="0"/>
        <w:bidi w:val="0"/>
        <w:spacing w:line="560" w:lineRule="exact"/>
        <w:ind w:firstLine="482" w:firstLineChars="200"/>
        <w:outlineLvl w:val="2"/>
        <w:rPr>
          <w:rFonts w:hint="eastAsia" w:ascii="宋体" w:hAnsi="宋体" w:eastAsia="宋体" w:cs="宋体"/>
          <w:sz w:val="24"/>
          <w:highlight w:val="none"/>
          <w:u w:val="single"/>
        </w:rPr>
      </w:pPr>
      <w:bookmarkStart w:id="456" w:name="_Toc2375"/>
      <w:bookmarkStart w:id="457" w:name="_Toc8586"/>
      <w:bookmarkStart w:id="458" w:name="_Toc3079"/>
      <w:bookmarkStart w:id="459" w:name="_Toc5698"/>
      <w:bookmarkStart w:id="460" w:name="_Toc24662"/>
      <w:r>
        <w:rPr>
          <w:rFonts w:hint="eastAsia" w:ascii="宋体" w:hAnsi="宋体" w:eastAsia="宋体" w:cs="宋体"/>
          <w:b/>
          <w:sz w:val="24"/>
          <w:highlight w:val="none"/>
        </w:rPr>
        <w:t>1.6 违约责任</w:t>
      </w:r>
      <w:bookmarkEnd w:id="456"/>
      <w:bookmarkEnd w:id="457"/>
      <w:bookmarkEnd w:id="458"/>
      <w:bookmarkEnd w:id="459"/>
      <w:bookmarkEnd w:id="460"/>
    </w:p>
    <w:p w14:paraId="418E5A43">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%计算，最高限额为本合同总价的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%；迟延履行的违约金计算数额达到前述最高限额之日起，甲方有权在要求乙方支付违约金的同时，书面通知乙方解除本合同；</w:t>
      </w:r>
    </w:p>
    <w:p w14:paraId="7A6F4AFD">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%计算，最高限额为本合同总价的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%；迟延付款的违约金计算数额达到前述最高限额之日起，乙方有权在要求甲方支付违约金的同时，书面通知甲方解除本合同；</w:t>
      </w:r>
    </w:p>
    <w:p w14:paraId="097F61E2">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6BF98C97">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73709D8">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418FC9C">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1.6.6 如果出现政府采购监督管理部门在处理投诉事项期间，书面通知甲方暂停采购活动的情形，或者询问或质疑事项可能影响成交结果的，导致甲方中止履行合同的情形，均不视为甲方违约。</w:t>
      </w:r>
    </w:p>
    <w:p w14:paraId="29EE209D">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461" w:name="_Toc32454"/>
      <w:bookmarkStart w:id="462" w:name="_Toc9497"/>
      <w:bookmarkStart w:id="463" w:name="_Toc18683"/>
      <w:bookmarkStart w:id="464" w:name="_Toc30329"/>
      <w:bookmarkStart w:id="465" w:name="_Toc26807"/>
      <w:r>
        <w:rPr>
          <w:rFonts w:hint="eastAsia" w:ascii="宋体" w:hAnsi="宋体" w:eastAsia="宋体" w:cs="宋体"/>
          <w:b/>
          <w:sz w:val="24"/>
          <w:highlight w:val="none"/>
        </w:rPr>
        <w:t>1.7 合同争议的解决</w:t>
      </w:r>
      <w:bookmarkEnd w:id="461"/>
      <w:bookmarkEnd w:id="462"/>
      <w:bookmarkEnd w:id="463"/>
      <w:bookmarkEnd w:id="464"/>
      <w:bookmarkEnd w:id="465"/>
    </w:p>
    <w:p w14:paraId="2BC53111">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highlight w:val="none"/>
          <w:u w:val="single"/>
        </w:rPr>
        <w:t xml:space="preserve"> 2 </w:t>
      </w:r>
      <w:r>
        <w:rPr>
          <w:rFonts w:hint="eastAsia" w:ascii="宋体" w:hAnsi="宋体" w:eastAsia="宋体" w:cs="宋体"/>
          <w:sz w:val="24"/>
          <w:highlight w:val="none"/>
        </w:rPr>
        <w:t>种方式解决：</w:t>
      </w:r>
    </w:p>
    <w:p w14:paraId="69FAC18A">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1.7.1 将争议提交</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仲裁委员会依申请仲裁时其现行有效的仲裁规则裁决；</w:t>
      </w:r>
    </w:p>
    <w:p w14:paraId="615B182C">
      <w:pPr>
        <w:pageBreakBefore w:val="0"/>
        <w:kinsoku/>
        <w:wordWrap/>
        <w:topLinePunct w:val="0"/>
        <w:bidi w:val="0"/>
        <w:spacing w:line="560" w:lineRule="exact"/>
        <w:ind w:firstLine="480" w:firstLineChars="200"/>
        <w:outlineLvl w:val="3"/>
        <w:rPr>
          <w:rFonts w:hint="eastAsia" w:ascii="宋体" w:hAnsi="宋体" w:eastAsia="宋体" w:cs="宋体"/>
          <w:sz w:val="24"/>
          <w:highlight w:val="none"/>
        </w:rPr>
      </w:pPr>
      <w:r>
        <w:rPr>
          <w:rFonts w:hint="eastAsia" w:ascii="宋体" w:hAnsi="宋体" w:eastAsia="宋体" w:cs="宋体"/>
          <w:sz w:val="24"/>
          <w:highlight w:val="none"/>
        </w:rPr>
        <w:t>1.7.2 向</w:t>
      </w:r>
      <w:r>
        <w:rPr>
          <w:rFonts w:hint="eastAsia" w:ascii="宋体" w:hAnsi="宋体" w:eastAsia="宋体" w:cs="宋体"/>
          <w:sz w:val="24"/>
          <w:highlight w:val="none"/>
          <w:u w:val="single"/>
        </w:rPr>
        <w:t xml:space="preserve">合同履行地 </w:t>
      </w:r>
      <w:r>
        <w:rPr>
          <w:rFonts w:hint="eastAsia" w:ascii="宋体" w:hAnsi="宋体" w:eastAsia="宋体" w:cs="宋体"/>
          <w:sz w:val="24"/>
          <w:highlight w:val="none"/>
        </w:rPr>
        <w:t>人民法院起诉。</w:t>
      </w:r>
    </w:p>
    <w:p w14:paraId="33155889">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466" w:name="_Toc15827"/>
      <w:bookmarkStart w:id="467" w:name="_Toc26227"/>
      <w:bookmarkStart w:id="468" w:name="_Toc23784"/>
      <w:bookmarkStart w:id="469" w:name="_Toc12273"/>
      <w:bookmarkStart w:id="470" w:name="_Toc16417"/>
      <w:r>
        <w:rPr>
          <w:rFonts w:hint="eastAsia" w:ascii="宋体" w:hAnsi="宋体" w:eastAsia="宋体" w:cs="宋体"/>
          <w:b/>
          <w:sz w:val="24"/>
          <w:highlight w:val="none"/>
        </w:rPr>
        <w:t>1.8 合同生效</w:t>
      </w:r>
      <w:bookmarkEnd w:id="466"/>
      <w:bookmarkEnd w:id="467"/>
      <w:bookmarkEnd w:id="468"/>
      <w:bookmarkEnd w:id="469"/>
      <w:bookmarkEnd w:id="470"/>
    </w:p>
    <w:p w14:paraId="1E455BCD">
      <w:pPr>
        <w:pageBreakBefore w:val="0"/>
        <w:kinsoku/>
        <w:wordWrap/>
        <w:topLinePunct w:val="0"/>
        <w:bidi w:val="0"/>
        <w:spacing w:line="560" w:lineRule="exact"/>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本合同自双方当事人盖章或者签字时生效。</w:t>
      </w:r>
    </w:p>
    <w:p w14:paraId="224C261A">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lang w:val="zh-CN"/>
        </w:rPr>
      </w:pPr>
    </w:p>
    <w:p w14:paraId="1D604159">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b/>
          <w:sz w:val="24"/>
          <w:highlight w:val="none"/>
          <w:lang w:val="zh-CN"/>
        </w:rPr>
        <w:t>甲方</w:t>
      </w:r>
      <w:r>
        <w:rPr>
          <w:rFonts w:hint="eastAsia" w:ascii="宋体" w:hAnsi="宋体" w:eastAsia="宋体" w:cs="宋体"/>
          <w:sz w:val="24"/>
          <w:highlight w:val="none"/>
          <w:lang w:val="zh-CN"/>
        </w:rPr>
        <w:t xml:space="preserve">：                             </w:t>
      </w:r>
      <w:r>
        <w:rPr>
          <w:rFonts w:hint="eastAsia" w:ascii="宋体" w:hAnsi="宋体" w:eastAsia="宋体" w:cs="宋体"/>
          <w:b/>
          <w:sz w:val="24"/>
          <w:highlight w:val="none"/>
          <w:lang w:val="zh-CN"/>
        </w:rPr>
        <w:t xml:space="preserve">      乙方</w:t>
      </w:r>
      <w:r>
        <w:rPr>
          <w:rFonts w:hint="eastAsia" w:ascii="宋体" w:hAnsi="宋体" w:eastAsia="宋体" w:cs="宋体"/>
          <w:sz w:val="24"/>
          <w:highlight w:val="none"/>
          <w:lang w:val="zh-CN"/>
        </w:rPr>
        <w:t>：</w:t>
      </w:r>
    </w:p>
    <w:p w14:paraId="7AF802EC">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统一社会信用代码：                        统一社会信用代码或身份证号码：</w:t>
      </w:r>
    </w:p>
    <w:p w14:paraId="7FA8AA86">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lang w:val="zh-CN"/>
        </w:rPr>
      </w:pPr>
    </w:p>
    <w:p w14:paraId="0EFD1E4D">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住所：                                   住所：</w:t>
      </w:r>
    </w:p>
    <w:p w14:paraId="28496F44">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法定代表人或                             法定代表人</w:t>
      </w:r>
    </w:p>
    <w:p w14:paraId="7174D7FB">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授权代表（签字）：                        或授权代表（签字）: </w:t>
      </w:r>
    </w:p>
    <w:p w14:paraId="48E00160">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联系人：                                 联系人：</w:t>
      </w:r>
    </w:p>
    <w:p w14:paraId="61353EAE">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约定送达地址：                           约定送达地址：</w:t>
      </w:r>
    </w:p>
    <w:p w14:paraId="27BD6CF0">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邮政编码：                               邮政编码：</w:t>
      </w:r>
    </w:p>
    <w:p w14:paraId="77ED9967">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 xml:space="preserve">电话:                                    电话: </w:t>
      </w:r>
    </w:p>
    <w:p w14:paraId="7F8EFF3B">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lang w:val="zh-CN"/>
        </w:rPr>
      </w:pPr>
      <w:r>
        <w:rPr>
          <w:rFonts w:hint="eastAsia" w:ascii="宋体" w:hAnsi="宋体" w:eastAsia="宋体" w:cs="宋体"/>
          <w:sz w:val="24"/>
          <w:highlight w:val="none"/>
          <w:lang w:val="zh-CN"/>
        </w:rPr>
        <w:t>传真:                                    传真:</w:t>
      </w:r>
    </w:p>
    <w:p w14:paraId="4B8AB803">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lang w:val="zh-CN"/>
        </w:rPr>
        <w:t>电子邮箱：                               电子邮箱：</w:t>
      </w:r>
    </w:p>
    <w:p w14:paraId="17C0C9DA">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 xml:space="preserve">开户银行：                               开户银行： </w:t>
      </w:r>
    </w:p>
    <w:p w14:paraId="62F0C139">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 xml:space="preserve">开户名称：                               开户名称： </w:t>
      </w:r>
    </w:p>
    <w:p w14:paraId="3AFEFEA2">
      <w:pPr>
        <w:pageBreakBefore w:val="0"/>
        <w:kinsoku/>
        <w:wordWrap/>
        <w:topLinePunct w:val="0"/>
        <w:autoSpaceDE w:val="0"/>
        <w:autoSpaceDN w:val="0"/>
        <w:bidi w:val="0"/>
        <w:adjustRightIn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开户账号：</w:t>
      </w:r>
      <w:r>
        <w:rPr>
          <w:rFonts w:hint="eastAsia" w:ascii="宋体" w:hAnsi="宋体" w:eastAsia="宋体" w:cs="宋体"/>
          <w:sz w:val="24"/>
          <w:highlight w:val="none"/>
          <w:lang w:val="zh-CN"/>
        </w:rPr>
        <w:t xml:space="preserve">                               </w:t>
      </w:r>
      <w:r>
        <w:rPr>
          <w:rFonts w:hint="eastAsia" w:ascii="宋体" w:hAnsi="宋体" w:eastAsia="宋体" w:cs="宋体"/>
          <w:sz w:val="24"/>
          <w:highlight w:val="none"/>
        </w:rPr>
        <w:t>开户账号：</w:t>
      </w:r>
    </w:p>
    <w:p w14:paraId="435B84AC">
      <w:pPr>
        <w:pageBreakBefore w:val="0"/>
        <w:widowControl/>
        <w:kinsoku/>
        <w:wordWrap/>
        <w:topLinePunct w:val="0"/>
        <w:bidi w:val="0"/>
        <w:spacing w:line="560" w:lineRule="exact"/>
        <w:jc w:val="left"/>
        <w:rPr>
          <w:rFonts w:hint="eastAsia" w:ascii="宋体" w:hAnsi="宋体" w:eastAsia="宋体" w:cs="宋体"/>
          <w:b/>
          <w:highlight w:val="none"/>
        </w:rPr>
      </w:pPr>
      <w:bookmarkStart w:id="471" w:name="_Toc331685783"/>
    </w:p>
    <w:p w14:paraId="414C93FE">
      <w:pPr>
        <w:pageBreakBefore w:val="0"/>
        <w:widowControl/>
        <w:kinsoku/>
        <w:wordWrap/>
        <w:topLinePunct w:val="0"/>
        <w:bidi w:val="0"/>
        <w:spacing w:line="560" w:lineRule="exact"/>
        <w:jc w:val="left"/>
        <w:rPr>
          <w:rFonts w:hint="eastAsia" w:ascii="宋体" w:hAnsi="宋体" w:eastAsia="宋体" w:cs="宋体"/>
          <w:b/>
          <w:highlight w:val="none"/>
        </w:rPr>
      </w:pPr>
    </w:p>
    <w:p w14:paraId="2C740EC7">
      <w:pPr>
        <w:pageBreakBefore w:val="0"/>
        <w:widowControl/>
        <w:kinsoku/>
        <w:wordWrap/>
        <w:topLinePunct w:val="0"/>
        <w:bidi w:val="0"/>
        <w:spacing w:line="560" w:lineRule="exact"/>
        <w:jc w:val="left"/>
        <w:rPr>
          <w:rFonts w:hint="eastAsia" w:ascii="宋体" w:hAnsi="宋体" w:eastAsia="宋体" w:cs="宋体"/>
          <w:b/>
          <w:kern w:val="0"/>
          <w:sz w:val="24"/>
          <w:highlight w:val="none"/>
        </w:rPr>
      </w:pPr>
    </w:p>
    <w:p w14:paraId="7200872A">
      <w:pPr>
        <w:pageBreakBefore w:val="0"/>
        <w:widowControl/>
        <w:kinsoku/>
        <w:wordWrap/>
        <w:topLinePunct w:val="0"/>
        <w:bidi w:val="0"/>
        <w:spacing w:line="560" w:lineRule="exact"/>
        <w:jc w:val="left"/>
        <w:rPr>
          <w:rFonts w:hint="eastAsia" w:ascii="宋体" w:hAnsi="宋体" w:eastAsia="宋体" w:cs="宋体"/>
          <w:b/>
          <w:kern w:val="0"/>
          <w:sz w:val="24"/>
          <w:highlight w:val="none"/>
        </w:rPr>
      </w:pPr>
    </w:p>
    <w:p w14:paraId="1E905EFB">
      <w:pPr>
        <w:pStyle w:val="77"/>
        <w:rPr>
          <w:rFonts w:hint="eastAsia" w:ascii="宋体" w:hAnsi="宋体" w:eastAsia="宋体" w:cs="宋体"/>
          <w:b/>
          <w:kern w:val="0"/>
          <w:sz w:val="24"/>
          <w:highlight w:val="none"/>
        </w:rPr>
      </w:pPr>
    </w:p>
    <w:p w14:paraId="70E5B999">
      <w:pPr>
        <w:pStyle w:val="77"/>
        <w:pageBreakBefore w:val="0"/>
        <w:kinsoku/>
        <w:wordWrap/>
        <w:topLinePunct w:val="0"/>
        <w:bidi w:val="0"/>
        <w:spacing w:line="560" w:lineRule="exact"/>
        <w:ind w:left="0" w:leftChars="0" w:firstLine="0" w:firstLineChars="0"/>
        <w:jc w:val="center"/>
        <w:outlineLvl w:val="1"/>
        <w:rPr>
          <w:rFonts w:hint="eastAsia" w:ascii="宋体" w:hAnsi="宋体" w:eastAsia="宋体" w:cs="宋体"/>
          <w:b/>
          <w:szCs w:val="24"/>
          <w:highlight w:val="none"/>
        </w:rPr>
      </w:pPr>
      <w:r>
        <w:rPr>
          <w:rFonts w:hint="eastAsia" w:ascii="宋体" w:hAnsi="宋体" w:eastAsia="宋体" w:cs="宋体"/>
          <w:b/>
          <w:szCs w:val="24"/>
          <w:highlight w:val="none"/>
        </w:rPr>
        <w:t>第二部分 合同一般条款</w:t>
      </w:r>
      <w:bookmarkEnd w:id="471"/>
    </w:p>
    <w:p w14:paraId="22C273CA">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472" w:name="_Toc19680"/>
      <w:bookmarkStart w:id="473" w:name="_Ref467379195"/>
      <w:bookmarkStart w:id="474" w:name="_Ref467379094"/>
      <w:bookmarkStart w:id="475" w:name="_Toc31297"/>
      <w:bookmarkStart w:id="476" w:name="_Ref467378404"/>
      <w:bookmarkStart w:id="477" w:name="_Toc25079"/>
      <w:bookmarkStart w:id="478" w:name="_Ref467379109"/>
      <w:bookmarkStart w:id="479" w:name="_Toc14021"/>
      <w:bookmarkStart w:id="480" w:name="_Toc279701240"/>
      <w:bookmarkStart w:id="481" w:name="_Ref467379101"/>
      <w:bookmarkStart w:id="482" w:name="_Toc487900349"/>
      <w:bookmarkStart w:id="483" w:name="_Ref467378463"/>
      <w:bookmarkStart w:id="484" w:name="_Toc259093669"/>
      <w:bookmarkStart w:id="485" w:name="_Ref467379214"/>
      <w:bookmarkStart w:id="486" w:name="_Toc5228"/>
      <w:bookmarkStart w:id="487" w:name="_Ref467379205"/>
      <w:bookmarkStart w:id="488" w:name="_Ref467379225"/>
      <w:bookmarkStart w:id="489" w:name="_Ref467378499"/>
      <w:r>
        <w:rPr>
          <w:rFonts w:hint="eastAsia" w:ascii="宋体" w:hAnsi="宋体" w:eastAsia="宋体" w:cs="宋体"/>
          <w:b/>
          <w:sz w:val="24"/>
          <w:highlight w:val="none"/>
        </w:rPr>
        <w:t>2.1 定义</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235597E">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14:paraId="17C91F5B">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 “合同”系指采购人和成交供应商签订的载明双方当事人所达成的协议，并包括所有的附件、附录和构成合同的其他文件。</w:t>
      </w:r>
    </w:p>
    <w:p w14:paraId="2673BC39">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2.1.2 “合同价”系指根据合同约定，成交供应商在完全履行合同义务后，采购人应支付给成交供应商的价格。</w:t>
      </w:r>
    </w:p>
    <w:p w14:paraId="15D3F64E">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2.1.3 “服务”系指成交供应商根据合同约定应向采购人履行的除货物和工程以外的其他政府采购对象，包括采购人自身需要的服务和向社会公众提供的公共服务。</w:t>
      </w:r>
    </w:p>
    <w:p w14:paraId="1A4CCA5E">
      <w:pPr>
        <w:pageBreakBefore w:val="0"/>
        <w:kinsoku/>
        <w:wordWrap/>
        <w:topLinePunct w:val="0"/>
        <w:bidi w:val="0"/>
        <w:spacing w:line="560" w:lineRule="exact"/>
        <w:ind w:firstLine="480" w:firstLineChars="200"/>
        <w:rPr>
          <w:rFonts w:hint="eastAsia" w:ascii="宋体" w:hAnsi="宋体" w:eastAsia="宋体" w:cs="宋体"/>
          <w:sz w:val="24"/>
          <w:highlight w:val="none"/>
        </w:rPr>
      </w:pPr>
      <w:bookmarkStart w:id="490" w:name="_Ref467378840"/>
      <w:r>
        <w:rPr>
          <w:rFonts w:hint="eastAsia" w:ascii="宋体" w:hAnsi="宋体" w:eastAsia="宋体" w:cs="宋体"/>
          <w:sz w:val="24"/>
          <w:highlight w:val="none"/>
        </w:rPr>
        <w:t>2.1.4 “甲方”系指与成交供应商签署合同的采购人</w:t>
      </w:r>
      <w:bookmarkEnd w:id="490"/>
      <w:r>
        <w:rPr>
          <w:rFonts w:hint="eastAsia" w:ascii="宋体" w:hAnsi="宋体" w:eastAsia="宋体" w:cs="宋体"/>
          <w:sz w:val="24"/>
          <w:highlight w:val="none"/>
        </w:rPr>
        <w:t>；采购人委托采购代理机构代表其与乙方签订合同的，采购人的授权委托书作为合同附件。</w:t>
      </w:r>
    </w:p>
    <w:p w14:paraId="4B602FB3">
      <w:pPr>
        <w:pageBreakBefore w:val="0"/>
        <w:kinsoku/>
        <w:wordWrap/>
        <w:topLinePunct w:val="0"/>
        <w:bidi w:val="0"/>
        <w:spacing w:line="560" w:lineRule="exact"/>
        <w:ind w:firstLine="480" w:firstLineChars="200"/>
        <w:rPr>
          <w:rFonts w:hint="eastAsia" w:ascii="宋体" w:hAnsi="宋体" w:eastAsia="宋体" w:cs="宋体"/>
          <w:sz w:val="24"/>
          <w:highlight w:val="none"/>
        </w:rPr>
      </w:pPr>
      <w:bookmarkStart w:id="491" w:name="_Ref467379400"/>
      <w:r>
        <w:rPr>
          <w:rFonts w:hint="eastAsia" w:ascii="宋体" w:hAnsi="宋体" w:eastAsia="宋体" w:cs="宋体"/>
          <w:sz w:val="24"/>
          <w:highlight w:val="none"/>
        </w:rPr>
        <w:t>2.1.5 “乙方”系指根据合同约定提供服务的成交供应商</w:t>
      </w:r>
      <w:bookmarkEnd w:id="491"/>
      <w:r>
        <w:rPr>
          <w:rFonts w:hint="eastAsia" w:ascii="宋体" w:hAnsi="宋体" w:eastAsia="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1D29C7C">
      <w:pPr>
        <w:pageBreakBefore w:val="0"/>
        <w:kinsoku/>
        <w:wordWrap/>
        <w:topLinePunct w:val="0"/>
        <w:bidi w:val="0"/>
        <w:spacing w:line="560" w:lineRule="exact"/>
        <w:ind w:firstLine="480" w:firstLineChars="200"/>
        <w:outlineLvl w:val="3"/>
        <w:rPr>
          <w:rFonts w:hint="eastAsia" w:ascii="宋体" w:hAnsi="宋体" w:eastAsia="宋体" w:cs="宋体"/>
          <w:sz w:val="24"/>
          <w:highlight w:val="none"/>
        </w:rPr>
      </w:pPr>
      <w:bookmarkStart w:id="492" w:name="_Ref467379436"/>
      <w:r>
        <w:rPr>
          <w:rFonts w:hint="eastAsia" w:ascii="宋体" w:hAnsi="宋体" w:eastAsia="宋体" w:cs="宋体"/>
          <w:sz w:val="24"/>
          <w:highlight w:val="none"/>
        </w:rPr>
        <w:t>2.1.6 “现场”系指合同约定提供服务的地点。</w:t>
      </w:r>
      <w:bookmarkEnd w:id="492"/>
    </w:p>
    <w:p w14:paraId="69429AE0">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493" w:name="_Toc19539"/>
      <w:bookmarkStart w:id="494" w:name="_Toc487900350"/>
      <w:bookmarkStart w:id="495" w:name="_Toc23289"/>
      <w:bookmarkStart w:id="496" w:name="_Toc279701241"/>
      <w:bookmarkStart w:id="497" w:name="_Toc259093670"/>
      <w:bookmarkStart w:id="498" w:name="_Toc3769"/>
      <w:bookmarkStart w:id="499" w:name="_Toc16752"/>
      <w:bookmarkStart w:id="500" w:name="_Toc31402"/>
      <w:r>
        <w:rPr>
          <w:rFonts w:hint="eastAsia" w:ascii="宋体" w:hAnsi="宋体" w:eastAsia="宋体" w:cs="宋体"/>
          <w:b/>
          <w:sz w:val="24"/>
          <w:highlight w:val="none"/>
        </w:rPr>
        <w:t>2.2 技术规范</w:t>
      </w:r>
      <w:bookmarkEnd w:id="493"/>
      <w:bookmarkEnd w:id="494"/>
      <w:bookmarkEnd w:id="495"/>
      <w:bookmarkEnd w:id="496"/>
      <w:bookmarkEnd w:id="497"/>
      <w:bookmarkEnd w:id="498"/>
      <w:bookmarkEnd w:id="499"/>
      <w:bookmarkEnd w:id="500"/>
    </w:p>
    <w:p w14:paraId="3E89E9BA">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82C1B11">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01" w:name="_Toc4133"/>
      <w:bookmarkStart w:id="502" w:name="_Toc487900351"/>
      <w:bookmarkStart w:id="503" w:name="_Toc259093671"/>
      <w:bookmarkStart w:id="504" w:name="_Toc9161"/>
      <w:bookmarkStart w:id="505" w:name="_Toc13673"/>
      <w:bookmarkStart w:id="506" w:name="_Toc12412"/>
      <w:bookmarkStart w:id="507" w:name="_Toc27945"/>
      <w:bookmarkStart w:id="508" w:name="_Toc279701242"/>
      <w:r>
        <w:rPr>
          <w:rFonts w:hint="eastAsia" w:ascii="宋体" w:hAnsi="宋体" w:eastAsia="宋体" w:cs="宋体"/>
          <w:b/>
          <w:sz w:val="24"/>
          <w:highlight w:val="none"/>
        </w:rPr>
        <w:t>2.3 知识产权</w:t>
      </w:r>
      <w:bookmarkEnd w:id="501"/>
      <w:bookmarkEnd w:id="502"/>
      <w:bookmarkEnd w:id="503"/>
      <w:bookmarkEnd w:id="504"/>
      <w:bookmarkEnd w:id="505"/>
      <w:bookmarkEnd w:id="506"/>
      <w:bookmarkEnd w:id="507"/>
      <w:bookmarkEnd w:id="508"/>
    </w:p>
    <w:p w14:paraId="390EDE6A">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4B4A8C2">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2.3.2 合同涉及技术成果的归属和收益的分成办法的，详见</w:t>
      </w:r>
      <w:r>
        <w:rPr>
          <w:rFonts w:hint="eastAsia" w:ascii="宋体" w:hAnsi="宋体" w:eastAsia="宋体" w:cs="宋体"/>
          <w:b/>
          <w:i w:val="0"/>
          <w:iCs/>
          <w:sz w:val="24"/>
          <w:highlight w:val="none"/>
          <w:u w:val="single"/>
        </w:rPr>
        <w:t>合同专用条款</w:t>
      </w:r>
      <w:r>
        <w:rPr>
          <w:rFonts w:hint="eastAsia" w:ascii="宋体" w:hAnsi="宋体" w:eastAsia="宋体" w:cs="宋体"/>
          <w:sz w:val="24"/>
          <w:highlight w:val="none"/>
        </w:rPr>
        <w:t>。</w:t>
      </w:r>
    </w:p>
    <w:p w14:paraId="5BD9552C">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r>
        <w:rPr>
          <w:rFonts w:hint="eastAsia" w:ascii="宋体" w:hAnsi="宋体" w:eastAsia="宋体" w:cs="宋体"/>
          <w:b/>
          <w:sz w:val="24"/>
          <w:highlight w:val="none"/>
        </w:rPr>
        <w:t>2.4 履约检查和问题反馈</w:t>
      </w:r>
    </w:p>
    <w:p w14:paraId="4A4A9FB4">
      <w:pPr>
        <w:pageBreakBefore w:val="0"/>
        <w:kinsoku/>
        <w:wordWrap/>
        <w:topLinePunct w:val="0"/>
        <w:bidi w:val="0"/>
        <w:spacing w:line="560" w:lineRule="exact"/>
        <w:ind w:firstLine="480" w:firstLineChars="200"/>
        <w:rPr>
          <w:rFonts w:hint="eastAsia" w:ascii="宋体" w:hAnsi="宋体" w:eastAsia="宋体" w:cs="宋体"/>
          <w:sz w:val="24"/>
          <w:highlight w:val="none"/>
        </w:rPr>
      </w:pPr>
      <w:bookmarkStart w:id="509" w:name="_Ref467379657"/>
      <w:r>
        <w:rPr>
          <w:rFonts w:hint="eastAsia" w:ascii="宋体" w:hAnsi="宋体" w:eastAsia="宋体" w:cs="宋体"/>
          <w:sz w:val="24"/>
          <w:highlight w:val="none"/>
        </w:rPr>
        <w:t>2.4.1</w:t>
      </w:r>
      <w:bookmarkEnd w:id="509"/>
      <w:bookmarkStart w:id="510" w:name="_Toc186431854"/>
      <w:bookmarkStart w:id="511" w:name="_Toc279701247"/>
      <w:bookmarkStart w:id="512" w:name="_Toc487900357"/>
      <w:bookmarkStart w:id="513" w:name="_Ref467379807"/>
      <w:bookmarkStart w:id="514" w:name="_Ref467379793"/>
      <w:bookmarkStart w:id="515" w:name="_Toc259093676"/>
      <w:r>
        <w:rPr>
          <w:rFonts w:hint="eastAsia" w:ascii="宋体" w:hAnsi="宋体" w:eastAsia="宋体" w:cs="宋体"/>
          <w:sz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4E36DFCB">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2.4.2 合同履行期间，甲方有权将履行过程中出现的问题反馈给乙方，双方当事人应以书面形式约定需要完善和改进的内容</w:t>
      </w:r>
      <w:bookmarkEnd w:id="510"/>
      <w:bookmarkStart w:id="516" w:name="_Toc186431855"/>
      <w:r>
        <w:rPr>
          <w:rFonts w:hint="eastAsia" w:ascii="宋体" w:hAnsi="宋体" w:eastAsia="宋体" w:cs="宋体"/>
          <w:sz w:val="24"/>
          <w:highlight w:val="none"/>
        </w:rPr>
        <w:t>。</w:t>
      </w:r>
    </w:p>
    <w:bookmarkEnd w:id="516"/>
    <w:p w14:paraId="7DEB8191">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17" w:name="_Toc26555"/>
      <w:bookmarkStart w:id="518" w:name="_Toc22011"/>
      <w:bookmarkStart w:id="519" w:name="_Toc32670"/>
      <w:r>
        <w:rPr>
          <w:rFonts w:hint="eastAsia" w:ascii="宋体" w:hAnsi="宋体" w:eastAsia="宋体" w:cs="宋体"/>
          <w:b/>
          <w:sz w:val="24"/>
          <w:highlight w:val="none"/>
        </w:rPr>
        <w:t>2.5 结算方式和付款条件</w:t>
      </w:r>
      <w:bookmarkEnd w:id="511"/>
      <w:bookmarkEnd w:id="512"/>
      <w:bookmarkEnd w:id="513"/>
      <w:bookmarkEnd w:id="514"/>
      <w:bookmarkEnd w:id="515"/>
      <w:bookmarkEnd w:id="517"/>
      <w:bookmarkEnd w:id="518"/>
      <w:bookmarkEnd w:id="519"/>
    </w:p>
    <w:p w14:paraId="3B75A61D">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详见</w:t>
      </w:r>
      <w:r>
        <w:rPr>
          <w:rFonts w:hint="eastAsia" w:ascii="宋体" w:hAnsi="宋体" w:eastAsia="宋体" w:cs="宋体"/>
          <w:b/>
          <w:i w:val="0"/>
          <w:iCs/>
          <w:sz w:val="24"/>
          <w:highlight w:val="none"/>
          <w:u w:val="single"/>
        </w:rPr>
        <w:t>合同专用条款</w:t>
      </w:r>
      <w:r>
        <w:rPr>
          <w:rFonts w:hint="eastAsia" w:ascii="宋体" w:hAnsi="宋体" w:eastAsia="宋体" w:cs="宋体"/>
          <w:sz w:val="24"/>
          <w:highlight w:val="none"/>
        </w:rPr>
        <w:t>。</w:t>
      </w:r>
    </w:p>
    <w:p w14:paraId="3284C2E1">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20" w:name="_Ref467379852"/>
      <w:bookmarkStart w:id="521" w:name="_Toc279701248"/>
      <w:bookmarkStart w:id="522" w:name="_Ref467379923"/>
      <w:bookmarkStart w:id="523" w:name="_Toc259093677"/>
      <w:bookmarkStart w:id="524" w:name="_Toc487900358"/>
      <w:bookmarkStart w:id="525" w:name="_Ref467379863"/>
      <w:bookmarkStart w:id="526" w:name="_Toc13154"/>
      <w:bookmarkStart w:id="527" w:name="_Toc18990"/>
      <w:bookmarkStart w:id="528" w:name="_Toc16163"/>
      <w:bookmarkStart w:id="529" w:name="_Toc13467"/>
      <w:bookmarkStart w:id="530" w:name="_Toc30507"/>
      <w:r>
        <w:rPr>
          <w:rFonts w:hint="eastAsia" w:ascii="宋体" w:hAnsi="宋体" w:eastAsia="宋体" w:cs="宋体"/>
          <w:b/>
          <w:sz w:val="24"/>
          <w:highlight w:val="none"/>
        </w:rPr>
        <w:t>2.6 技术资料</w:t>
      </w:r>
      <w:bookmarkEnd w:id="520"/>
      <w:bookmarkEnd w:id="521"/>
      <w:bookmarkEnd w:id="522"/>
      <w:bookmarkEnd w:id="523"/>
      <w:bookmarkEnd w:id="524"/>
      <w:bookmarkEnd w:id="525"/>
      <w:r>
        <w:rPr>
          <w:rFonts w:hint="eastAsia" w:ascii="宋体" w:hAnsi="宋体" w:eastAsia="宋体" w:cs="宋体"/>
          <w:b/>
          <w:sz w:val="24"/>
          <w:highlight w:val="none"/>
        </w:rPr>
        <w:t>和保密义务</w:t>
      </w:r>
      <w:bookmarkEnd w:id="526"/>
      <w:bookmarkEnd w:id="527"/>
      <w:bookmarkEnd w:id="528"/>
      <w:bookmarkEnd w:id="529"/>
      <w:bookmarkEnd w:id="530"/>
    </w:p>
    <w:p w14:paraId="02C7092D">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2.6.1 乙方有权依据合同约定和项目需要，向甲方了解有关情况，调阅有关资料等，甲方应予积极配合；</w:t>
      </w:r>
    </w:p>
    <w:p w14:paraId="4D4A097D">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2.6.2 乙方有义务妥善保管和保护由甲方提供的前款信息和资料等；</w:t>
      </w:r>
    </w:p>
    <w:p w14:paraId="72A7962A">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16E38430">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31" w:name="_Toc19069"/>
      <w:bookmarkStart w:id="532" w:name="_Toc259093681"/>
      <w:bookmarkStart w:id="533" w:name="_Toc487900362"/>
      <w:bookmarkStart w:id="534" w:name="_Toc279701252"/>
      <w:r>
        <w:rPr>
          <w:rFonts w:hint="eastAsia" w:ascii="宋体" w:hAnsi="宋体" w:eastAsia="宋体" w:cs="宋体"/>
          <w:b/>
          <w:sz w:val="24"/>
          <w:highlight w:val="none"/>
        </w:rPr>
        <w:t>2.7 质量保证</w:t>
      </w:r>
      <w:bookmarkEnd w:id="531"/>
    </w:p>
    <w:p w14:paraId="5BB1358F">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2.7.1 乙方应建立和完善履行合同的内部质量保证体系，并提供相关内部规章制度给甲方，以便甲方进行监督检查；</w:t>
      </w:r>
    </w:p>
    <w:p w14:paraId="100A3775">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2.7.2 乙方应保证履行合同的人员数量和素质、软件和硬件设备的配置、场地、环境和设施等满足全面履行合同的要求，并应接受甲方的监督检查。</w:t>
      </w:r>
    </w:p>
    <w:p w14:paraId="091FD2D6">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35" w:name="_Toc22267"/>
      <w:r>
        <w:rPr>
          <w:rFonts w:hint="eastAsia" w:ascii="宋体" w:hAnsi="宋体" w:eastAsia="宋体" w:cs="宋体"/>
          <w:b/>
          <w:sz w:val="24"/>
          <w:highlight w:val="none"/>
        </w:rPr>
        <w:t>2.8 延迟</w:t>
      </w:r>
      <w:bookmarkEnd w:id="532"/>
      <w:bookmarkEnd w:id="533"/>
      <w:bookmarkEnd w:id="534"/>
      <w:r>
        <w:rPr>
          <w:rFonts w:hint="eastAsia" w:ascii="宋体" w:hAnsi="宋体" w:eastAsia="宋体" w:cs="宋体"/>
          <w:b/>
          <w:sz w:val="24"/>
          <w:highlight w:val="none"/>
        </w:rPr>
        <w:t>履行</w:t>
      </w:r>
      <w:bookmarkEnd w:id="535"/>
    </w:p>
    <w:p w14:paraId="4ED0EAED">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49CE8FA">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36" w:name="_Toc10611"/>
      <w:bookmarkStart w:id="537" w:name="_Toc487900364"/>
      <w:bookmarkStart w:id="538" w:name="_Toc279701254"/>
      <w:bookmarkStart w:id="539" w:name="_Ref467378121"/>
      <w:bookmarkStart w:id="540" w:name="_Toc259093683"/>
      <w:r>
        <w:rPr>
          <w:rFonts w:hint="eastAsia" w:ascii="宋体" w:hAnsi="宋体" w:eastAsia="宋体" w:cs="宋体"/>
          <w:b/>
          <w:sz w:val="24"/>
          <w:highlight w:val="none"/>
        </w:rPr>
        <w:t>2.9 合同变更</w:t>
      </w:r>
      <w:bookmarkEnd w:id="536"/>
    </w:p>
    <w:p w14:paraId="58F7D3B4">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3C4D282E">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2.9.2 合同继续履行将损害国家利益和社会公共利益的，双方当事人应当以书面形式变更合同。有过错的一方应当承担赔偿责任，双方当事人都有过错的，各自承担相应的责任。</w:t>
      </w:r>
      <w:bookmarkStart w:id="541" w:name="_Toc259093688"/>
      <w:bookmarkStart w:id="542" w:name="_Toc279701259"/>
      <w:bookmarkStart w:id="543" w:name="_Toc487900369"/>
    </w:p>
    <w:p w14:paraId="084A4EAE">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44" w:name="_Toc10663"/>
      <w:bookmarkStart w:id="545" w:name="_Toc23368"/>
      <w:bookmarkStart w:id="546" w:name="_Toc26689"/>
      <w:bookmarkStart w:id="547" w:name="_Toc21830"/>
      <w:bookmarkStart w:id="548" w:name="_Toc42"/>
      <w:r>
        <w:rPr>
          <w:rFonts w:hint="eastAsia" w:ascii="宋体" w:hAnsi="宋体" w:eastAsia="宋体" w:cs="宋体"/>
          <w:b/>
          <w:sz w:val="24"/>
          <w:highlight w:val="none"/>
        </w:rPr>
        <w:t>2.10 合同转让</w:t>
      </w:r>
      <w:bookmarkEnd w:id="541"/>
      <w:bookmarkEnd w:id="542"/>
      <w:bookmarkEnd w:id="543"/>
      <w:r>
        <w:rPr>
          <w:rFonts w:hint="eastAsia" w:ascii="宋体" w:hAnsi="宋体" w:eastAsia="宋体" w:cs="宋体"/>
          <w:b/>
          <w:sz w:val="24"/>
          <w:highlight w:val="none"/>
        </w:rPr>
        <w:t>和分包</w:t>
      </w:r>
      <w:bookmarkEnd w:id="544"/>
      <w:bookmarkEnd w:id="545"/>
      <w:bookmarkEnd w:id="546"/>
      <w:bookmarkEnd w:id="547"/>
      <w:bookmarkEnd w:id="548"/>
    </w:p>
    <w:p w14:paraId="2F4ED6E9">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8D3E6AC">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49" w:name="_Toc32494"/>
      <w:bookmarkStart w:id="550" w:name="_Toc14371"/>
      <w:bookmarkStart w:id="551" w:name="_Toc4720"/>
      <w:bookmarkStart w:id="552" w:name="_Toc26633"/>
      <w:bookmarkStart w:id="553" w:name="_Toc25571"/>
      <w:r>
        <w:rPr>
          <w:rFonts w:hint="eastAsia" w:ascii="宋体" w:hAnsi="宋体" w:eastAsia="宋体" w:cs="宋体"/>
          <w:b/>
          <w:sz w:val="24"/>
          <w:highlight w:val="none"/>
        </w:rPr>
        <w:t>2.11 不可抗力</w:t>
      </w:r>
      <w:bookmarkEnd w:id="549"/>
      <w:bookmarkEnd w:id="550"/>
      <w:bookmarkEnd w:id="551"/>
      <w:bookmarkEnd w:id="552"/>
      <w:bookmarkEnd w:id="553"/>
    </w:p>
    <w:p w14:paraId="20ED50A2">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2.11.1如果任何一方遭遇法律规定的不可抗力，致使合同履行受阻时，履行合同的期限应予延长，延长的期限应相当于不可抗力所影响的时间；</w:t>
      </w:r>
    </w:p>
    <w:p w14:paraId="07B5D877">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2.11.2 因不可抗力致使不能实现合同目的的，当事人可以解除合同；</w:t>
      </w:r>
    </w:p>
    <w:p w14:paraId="29903D32">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2.11.3 因不可抗力致使合同有变更必要的，双方当事人应在</w:t>
      </w:r>
      <w:r>
        <w:rPr>
          <w:rFonts w:hint="eastAsia" w:ascii="宋体" w:hAnsi="宋体" w:eastAsia="宋体" w:cs="宋体"/>
          <w:b/>
          <w:i w:val="0"/>
          <w:iCs/>
          <w:sz w:val="24"/>
          <w:highlight w:val="none"/>
          <w:u w:val="single"/>
        </w:rPr>
        <w:t>合同专用条款</w:t>
      </w:r>
      <w:r>
        <w:rPr>
          <w:rFonts w:hint="eastAsia" w:ascii="宋体" w:hAnsi="宋体" w:eastAsia="宋体" w:cs="宋体"/>
          <w:sz w:val="24"/>
          <w:highlight w:val="none"/>
        </w:rPr>
        <w:t>约定时间内以书面形式变更合同；</w:t>
      </w:r>
    </w:p>
    <w:p w14:paraId="6A352816">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2.11.4受不可抗力影响的一方在不可抗力发生后，应在</w:t>
      </w:r>
      <w:r>
        <w:rPr>
          <w:rFonts w:hint="eastAsia" w:ascii="宋体" w:hAnsi="宋体" w:eastAsia="宋体" w:cs="宋体"/>
          <w:b/>
          <w:i w:val="0"/>
          <w:iCs/>
          <w:sz w:val="24"/>
          <w:highlight w:val="none"/>
          <w:u w:val="single"/>
        </w:rPr>
        <w:t>合同专用条款</w:t>
      </w:r>
      <w:r>
        <w:rPr>
          <w:rFonts w:hint="eastAsia" w:ascii="宋体" w:hAnsi="宋体" w:eastAsia="宋体" w:cs="宋体"/>
          <w:sz w:val="24"/>
          <w:highlight w:val="none"/>
        </w:rPr>
        <w:t>约定时间内以书面形式通知对方当事人，并在</w:t>
      </w:r>
      <w:r>
        <w:rPr>
          <w:rFonts w:hint="eastAsia" w:ascii="宋体" w:hAnsi="宋体" w:eastAsia="宋体" w:cs="宋体"/>
          <w:b/>
          <w:i w:val="0"/>
          <w:iCs/>
          <w:sz w:val="24"/>
          <w:highlight w:val="none"/>
          <w:u w:val="single"/>
        </w:rPr>
        <w:t>合同专用条款</w:t>
      </w:r>
      <w:r>
        <w:rPr>
          <w:rFonts w:hint="eastAsia" w:ascii="宋体" w:hAnsi="宋体" w:eastAsia="宋体" w:cs="宋体"/>
          <w:sz w:val="24"/>
          <w:highlight w:val="none"/>
        </w:rPr>
        <w:t>约定时间内，将有关部门出具的证明文件送达对方当事人。</w:t>
      </w:r>
    </w:p>
    <w:p w14:paraId="10874E05">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54" w:name="_Toc259093684"/>
      <w:bookmarkStart w:id="555" w:name="_Toc25783"/>
      <w:bookmarkStart w:id="556" w:name="_Toc3638"/>
      <w:bookmarkStart w:id="557" w:name="_Toc14115"/>
      <w:bookmarkStart w:id="558" w:name="_Toc23854"/>
      <w:bookmarkStart w:id="559" w:name="_Toc279701255"/>
      <w:bookmarkStart w:id="560" w:name="_Toc487900365"/>
      <w:bookmarkStart w:id="561" w:name="_Toc24465"/>
      <w:r>
        <w:rPr>
          <w:rFonts w:hint="eastAsia" w:ascii="宋体" w:hAnsi="宋体" w:eastAsia="宋体" w:cs="宋体"/>
          <w:b/>
          <w:sz w:val="24"/>
          <w:highlight w:val="none"/>
        </w:rPr>
        <w:t>2.12 税费</w:t>
      </w:r>
      <w:bookmarkEnd w:id="554"/>
      <w:bookmarkEnd w:id="555"/>
      <w:bookmarkEnd w:id="556"/>
      <w:bookmarkEnd w:id="557"/>
      <w:bookmarkEnd w:id="558"/>
      <w:bookmarkEnd w:id="559"/>
      <w:bookmarkEnd w:id="560"/>
      <w:bookmarkEnd w:id="561"/>
    </w:p>
    <w:p w14:paraId="0B77E801">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14:paraId="03A134B5">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62" w:name="_Toc14814"/>
      <w:bookmarkStart w:id="563" w:name="_Toc26883"/>
      <w:bookmarkStart w:id="564" w:name="_Toc7315"/>
      <w:bookmarkStart w:id="565" w:name="_Toc279701258"/>
      <w:bookmarkStart w:id="566" w:name="_Toc487900368"/>
      <w:bookmarkStart w:id="567" w:name="_Toc25525"/>
      <w:bookmarkStart w:id="568" w:name="_Toc259093687"/>
      <w:bookmarkStart w:id="569" w:name="_Toc30105"/>
      <w:r>
        <w:rPr>
          <w:rFonts w:hint="eastAsia" w:ascii="宋体" w:hAnsi="宋体" w:eastAsia="宋体" w:cs="宋体"/>
          <w:b/>
          <w:sz w:val="24"/>
          <w:highlight w:val="none"/>
        </w:rPr>
        <w:t>2.13 乙方破产</w:t>
      </w:r>
      <w:bookmarkEnd w:id="562"/>
      <w:bookmarkEnd w:id="563"/>
      <w:bookmarkEnd w:id="564"/>
      <w:bookmarkEnd w:id="565"/>
      <w:bookmarkEnd w:id="566"/>
      <w:bookmarkEnd w:id="567"/>
      <w:bookmarkEnd w:id="568"/>
      <w:bookmarkEnd w:id="569"/>
    </w:p>
    <w:p w14:paraId="5EA9EC86">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D8A569E">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70" w:name="_Toc2016"/>
      <w:bookmarkStart w:id="571" w:name="_Toc1123"/>
      <w:bookmarkStart w:id="572" w:name="_Toc23323"/>
      <w:r>
        <w:rPr>
          <w:rFonts w:hint="eastAsia" w:ascii="宋体" w:hAnsi="宋体" w:eastAsia="宋体" w:cs="宋体"/>
          <w:b/>
          <w:sz w:val="24"/>
          <w:highlight w:val="none"/>
        </w:rPr>
        <w:t>2.14 合同中止、终止</w:t>
      </w:r>
      <w:bookmarkEnd w:id="570"/>
      <w:bookmarkEnd w:id="571"/>
      <w:bookmarkEnd w:id="572"/>
    </w:p>
    <w:p w14:paraId="70A37526">
      <w:pPr>
        <w:pageBreakBefore w:val="0"/>
        <w:kinsoku/>
        <w:wordWrap/>
        <w:topLinePunct w:val="0"/>
        <w:bidi w:val="0"/>
        <w:spacing w:line="560" w:lineRule="exact"/>
        <w:ind w:firstLine="480" w:firstLineChars="200"/>
        <w:outlineLvl w:val="3"/>
        <w:rPr>
          <w:rFonts w:hint="eastAsia" w:ascii="宋体" w:hAnsi="宋体" w:eastAsia="宋体" w:cs="宋体"/>
          <w:sz w:val="24"/>
          <w:highlight w:val="none"/>
        </w:rPr>
      </w:pPr>
      <w:r>
        <w:rPr>
          <w:rFonts w:hint="eastAsia" w:ascii="宋体" w:hAnsi="宋体" w:eastAsia="宋体" w:cs="宋体"/>
          <w:sz w:val="24"/>
          <w:highlight w:val="none"/>
        </w:rPr>
        <w:t>2.14.1 双方当事人不得擅自中止或者终止合同；</w:t>
      </w:r>
    </w:p>
    <w:p w14:paraId="7B24AA2E">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2.14.2合同继续履行将损害国家利益和社会公共利益的，双方当事人应当中止或者终止合同。有过错的一方应当承担赔偿责任，双方当事人都有过错的，各自承担相应的责任。</w:t>
      </w:r>
    </w:p>
    <w:p w14:paraId="05307636">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73" w:name="_Toc14525"/>
      <w:bookmarkStart w:id="574" w:name="_Toc1969"/>
      <w:bookmarkStart w:id="575" w:name="_Toc17363"/>
      <w:r>
        <w:rPr>
          <w:rFonts w:hint="eastAsia" w:ascii="宋体" w:hAnsi="宋体" w:eastAsia="宋体" w:cs="宋体"/>
          <w:b/>
          <w:sz w:val="24"/>
          <w:highlight w:val="none"/>
        </w:rPr>
        <w:t>2.15 检验和验收</w:t>
      </w:r>
      <w:bookmarkEnd w:id="573"/>
      <w:bookmarkEnd w:id="574"/>
      <w:bookmarkEnd w:id="575"/>
    </w:p>
    <w:p w14:paraId="2DBF50A0">
      <w:pPr>
        <w:pageBreakBefore w:val="0"/>
        <w:tabs>
          <w:tab w:val="left" w:pos="360"/>
          <w:tab w:val="left" w:pos="540"/>
          <w:tab w:val="left" w:pos="1080"/>
        </w:tabs>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2.15.1 乙方按照</w:t>
      </w:r>
      <w:r>
        <w:rPr>
          <w:rFonts w:hint="eastAsia" w:ascii="宋体" w:hAnsi="宋体" w:eastAsia="宋体" w:cs="宋体"/>
          <w:b/>
          <w:i w:val="0"/>
          <w:iCs/>
          <w:sz w:val="24"/>
          <w:highlight w:val="none"/>
          <w:u w:val="single"/>
        </w:rPr>
        <w:t>合同专用条款</w:t>
      </w:r>
      <w:r>
        <w:rPr>
          <w:rFonts w:hint="eastAsia" w:ascii="宋体" w:hAnsi="宋体" w:eastAsia="宋体" w:cs="宋体"/>
          <w:sz w:val="24"/>
          <w:highlight w:val="none"/>
        </w:rPr>
        <w:t>的约定，定期提交服务报告，甲方按照</w:t>
      </w:r>
      <w:r>
        <w:rPr>
          <w:rFonts w:hint="eastAsia" w:ascii="宋体" w:hAnsi="宋体" w:eastAsia="宋体" w:cs="宋体"/>
          <w:b/>
          <w:i w:val="0"/>
          <w:iCs/>
          <w:sz w:val="24"/>
          <w:highlight w:val="none"/>
          <w:u w:val="single"/>
        </w:rPr>
        <w:t>合同专用条款</w:t>
      </w:r>
      <w:r>
        <w:rPr>
          <w:rFonts w:hint="eastAsia" w:ascii="宋体" w:hAnsi="宋体" w:eastAsia="宋体" w:cs="宋体"/>
          <w:sz w:val="24"/>
          <w:highlight w:val="none"/>
        </w:rPr>
        <w:t>的约定进行定期验收；</w:t>
      </w:r>
    </w:p>
    <w:p w14:paraId="4BEB7B33">
      <w:pPr>
        <w:pageBreakBefore w:val="0"/>
        <w:tabs>
          <w:tab w:val="left" w:pos="360"/>
          <w:tab w:val="left" w:pos="540"/>
          <w:tab w:val="left" w:pos="1080"/>
        </w:tabs>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2430CC3">
      <w:pPr>
        <w:pageBreakBefore w:val="0"/>
        <w:tabs>
          <w:tab w:val="left" w:pos="360"/>
          <w:tab w:val="left" w:pos="540"/>
          <w:tab w:val="left" w:pos="1080"/>
        </w:tabs>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2.15.3 检验和验收标准、程序等具体内容以及前述验收书的效力详见</w:t>
      </w:r>
      <w:r>
        <w:rPr>
          <w:rFonts w:hint="eastAsia" w:ascii="宋体" w:hAnsi="宋体" w:eastAsia="宋体" w:cs="宋体"/>
          <w:b/>
          <w:i w:val="0"/>
          <w:iCs/>
          <w:sz w:val="24"/>
          <w:highlight w:val="none"/>
          <w:u w:val="single"/>
        </w:rPr>
        <w:t>合同专用条款</w:t>
      </w:r>
      <w:r>
        <w:rPr>
          <w:rFonts w:hint="eastAsia" w:ascii="宋体" w:hAnsi="宋体" w:eastAsia="宋体" w:cs="宋体"/>
          <w:i/>
          <w:sz w:val="24"/>
          <w:highlight w:val="none"/>
        </w:rPr>
        <w:t>。</w:t>
      </w:r>
    </w:p>
    <w:bookmarkEnd w:id="537"/>
    <w:bookmarkEnd w:id="538"/>
    <w:bookmarkEnd w:id="539"/>
    <w:bookmarkEnd w:id="540"/>
    <w:p w14:paraId="2BE7335E">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76" w:name="_Toc279701261"/>
      <w:bookmarkStart w:id="577" w:name="_Toc259093690"/>
      <w:bookmarkStart w:id="578" w:name="_Toc487900371"/>
      <w:bookmarkStart w:id="579" w:name="_Toc31892"/>
      <w:bookmarkStart w:id="580" w:name="_Toc2308"/>
      <w:bookmarkStart w:id="581" w:name="_Toc9808"/>
      <w:bookmarkStart w:id="582" w:name="_Toc25198"/>
      <w:bookmarkStart w:id="583" w:name="_Toc12666"/>
      <w:r>
        <w:rPr>
          <w:rFonts w:hint="eastAsia" w:ascii="宋体" w:hAnsi="宋体" w:eastAsia="宋体" w:cs="宋体"/>
          <w:b/>
          <w:sz w:val="24"/>
          <w:highlight w:val="none"/>
        </w:rPr>
        <w:t>2.16 通知</w:t>
      </w:r>
      <w:bookmarkEnd w:id="576"/>
      <w:bookmarkEnd w:id="577"/>
      <w:bookmarkEnd w:id="578"/>
      <w:r>
        <w:rPr>
          <w:rFonts w:hint="eastAsia" w:ascii="宋体" w:hAnsi="宋体" w:eastAsia="宋体" w:cs="宋体"/>
          <w:b/>
          <w:sz w:val="24"/>
          <w:highlight w:val="none"/>
        </w:rPr>
        <w:t>和送达</w:t>
      </w:r>
      <w:bookmarkEnd w:id="579"/>
      <w:bookmarkEnd w:id="580"/>
      <w:bookmarkEnd w:id="581"/>
      <w:bookmarkEnd w:id="582"/>
      <w:bookmarkEnd w:id="583"/>
    </w:p>
    <w:p w14:paraId="55E21BA9">
      <w:pPr>
        <w:pageBreakBefore w:val="0"/>
        <w:kinsoku/>
        <w:wordWrap/>
        <w:topLinePunct w:val="0"/>
        <w:bidi w:val="0"/>
        <w:spacing w:line="560" w:lineRule="exact"/>
        <w:ind w:firstLine="480" w:firstLineChars="200"/>
        <w:rPr>
          <w:rFonts w:hint="eastAsia" w:ascii="宋体" w:hAnsi="宋体" w:eastAsia="宋体" w:cs="宋体"/>
          <w:sz w:val="24"/>
          <w:highlight w:val="none"/>
        </w:rPr>
      </w:pPr>
      <w:bookmarkStart w:id="584" w:name="_Toc7073"/>
      <w:bookmarkStart w:id="585" w:name="_Toc29220"/>
      <w:bookmarkStart w:id="586" w:name="_Toc259093691"/>
      <w:bookmarkStart w:id="587" w:name="_Toc487900372"/>
      <w:bookmarkStart w:id="588" w:name="_Toc279701262"/>
      <w:r>
        <w:rPr>
          <w:rFonts w:hint="eastAsia" w:ascii="宋体" w:hAnsi="宋体" w:eastAsia="宋体" w:cs="宋体"/>
          <w:sz w:val="24"/>
          <w:highlight w:val="none"/>
        </w:rPr>
        <w:t>2.16.1 任何一方因履行合同而以合同第一部分尾部所列明的</w:t>
      </w:r>
      <w:r>
        <w:rPr>
          <w:rFonts w:hint="eastAsia" w:ascii="宋体" w:hAnsi="宋体" w:eastAsia="宋体" w:cs="宋体"/>
          <w:sz w:val="24"/>
          <w:highlight w:val="none"/>
          <w:u w:val="single"/>
        </w:rPr>
        <w:t>合同履行地</w:t>
      </w:r>
      <w:r>
        <w:rPr>
          <w:rFonts w:hint="eastAsia" w:ascii="宋体" w:hAnsi="宋体" w:eastAsia="宋体" w:cs="宋体"/>
          <w:sz w:val="24"/>
          <w:highlight w:val="none"/>
        </w:rPr>
        <w:t>发出的所有通知、文件、材料，均视为已向对方当事人送达；任何一方变更上述送达方式或者地址的，应于</w:t>
      </w:r>
      <w:r>
        <w:rPr>
          <w:rFonts w:hint="eastAsia" w:ascii="宋体" w:hAnsi="宋体" w:eastAsia="宋体" w:cs="宋体"/>
          <w:sz w:val="24"/>
          <w:highlight w:val="none"/>
          <w:u w:val="single"/>
        </w:rPr>
        <w:t xml:space="preserve"> 7 </w:t>
      </w:r>
      <w:r>
        <w:rPr>
          <w:rFonts w:hint="eastAsia" w:ascii="宋体" w:hAnsi="宋体" w:eastAsia="宋体" w:cs="宋体"/>
          <w:sz w:val="24"/>
          <w:highlight w:val="none"/>
        </w:rPr>
        <w:t>个工作日内书面通知对方当事人，在对方当事人收到有关变更通知之前，变更前的约定送达方式或者地址仍视为有效。</w:t>
      </w:r>
      <w:bookmarkEnd w:id="584"/>
      <w:bookmarkEnd w:id="585"/>
    </w:p>
    <w:p w14:paraId="2F1D60D1">
      <w:pPr>
        <w:pageBreakBefore w:val="0"/>
        <w:kinsoku/>
        <w:wordWrap/>
        <w:topLinePunct w:val="0"/>
        <w:bidi w:val="0"/>
        <w:spacing w:line="560" w:lineRule="exact"/>
        <w:ind w:firstLine="480" w:firstLineChars="200"/>
        <w:rPr>
          <w:rFonts w:hint="eastAsia" w:ascii="宋体" w:hAnsi="宋体" w:eastAsia="宋体" w:cs="宋体"/>
          <w:sz w:val="24"/>
          <w:highlight w:val="none"/>
        </w:rPr>
      </w:pPr>
      <w:bookmarkStart w:id="589" w:name="_Toc27674"/>
      <w:bookmarkStart w:id="590" w:name="_Toc18401"/>
      <w:r>
        <w:rPr>
          <w:rFonts w:hint="eastAsia" w:ascii="宋体" w:hAnsi="宋体" w:eastAsia="宋体" w:cs="宋体"/>
          <w:sz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589"/>
      <w:bookmarkEnd w:id="590"/>
    </w:p>
    <w:bookmarkEnd w:id="586"/>
    <w:bookmarkEnd w:id="587"/>
    <w:bookmarkEnd w:id="588"/>
    <w:p w14:paraId="27061343">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91" w:name="_Toc20808"/>
      <w:bookmarkStart w:id="592" w:name="_Toc27644"/>
      <w:bookmarkStart w:id="593" w:name="_Toc279701263"/>
      <w:bookmarkStart w:id="594" w:name="_Toc12254"/>
      <w:bookmarkStart w:id="595" w:name="_Toc5063"/>
      <w:bookmarkStart w:id="596" w:name="_Toc487900373"/>
      <w:bookmarkStart w:id="597" w:name="_Toc28906"/>
      <w:bookmarkStart w:id="598" w:name="_Toc259093692"/>
      <w:r>
        <w:rPr>
          <w:rFonts w:hint="eastAsia" w:ascii="宋体" w:hAnsi="宋体" w:eastAsia="宋体" w:cs="宋体"/>
          <w:b/>
          <w:sz w:val="24"/>
          <w:highlight w:val="none"/>
        </w:rPr>
        <w:t>2.17 合同使用的文字和适用的法律</w:t>
      </w:r>
      <w:bookmarkEnd w:id="591"/>
      <w:bookmarkEnd w:id="592"/>
      <w:bookmarkEnd w:id="593"/>
      <w:bookmarkEnd w:id="594"/>
      <w:bookmarkEnd w:id="595"/>
      <w:bookmarkEnd w:id="596"/>
      <w:bookmarkEnd w:id="597"/>
      <w:bookmarkEnd w:id="598"/>
    </w:p>
    <w:p w14:paraId="11562906">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2.17.1 合同使用汉语书就、变更和解释；</w:t>
      </w:r>
    </w:p>
    <w:p w14:paraId="5EF64FE3">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2.17.2 合同适用中华人民共和国法律。</w:t>
      </w:r>
    </w:p>
    <w:p w14:paraId="346BA7BD">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bookmarkStart w:id="599" w:name="_Toc22266"/>
      <w:bookmarkStart w:id="600" w:name="_Toc30096"/>
      <w:bookmarkStart w:id="601" w:name="_Toc259093693"/>
      <w:bookmarkStart w:id="602" w:name="_Toc1492"/>
      <w:bookmarkStart w:id="603" w:name="_Toc27127"/>
      <w:bookmarkStart w:id="604" w:name="_Toc27403"/>
      <w:bookmarkStart w:id="605" w:name="_Toc279701264"/>
      <w:bookmarkStart w:id="606" w:name="_Toc487900374"/>
      <w:r>
        <w:rPr>
          <w:rFonts w:hint="eastAsia" w:ascii="宋体" w:hAnsi="宋体" w:eastAsia="宋体" w:cs="宋体"/>
          <w:b/>
          <w:sz w:val="24"/>
          <w:highlight w:val="none"/>
        </w:rPr>
        <w:t>2.18 履约保证金</w:t>
      </w:r>
      <w:bookmarkEnd w:id="599"/>
      <w:bookmarkEnd w:id="600"/>
      <w:bookmarkEnd w:id="601"/>
      <w:bookmarkEnd w:id="602"/>
      <w:bookmarkEnd w:id="603"/>
      <w:bookmarkEnd w:id="604"/>
      <w:bookmarkEnd w:id="605"/>
    </w:p>
    <w:p w14:paraId="0E78A35C">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2.18.1 采购文件要求乙方提交履约保证金的，乙方应按</w:t>
      </w:r>
      <w:r>
        <w:rPr>
          <w:rFonts w:hint="eastAsia" w:ascii="宋体" w:hAnsi="宋体" w:eastAsia="宋体" w:cs="宋体"/>
          <w:b/>
          <w:i w:val="0"/>
          <w:iCs/>
          <w:sz w:val="24"/>
          <w:highlight w:val="none"/>
          <w:u w:val="single"/>
        </w:rPr>
        <w:t>合同专用条款</w:t>
      </w:r>
      <w:r>
        <w:rPr>
          <w:rFonts w:hint="eastAsia" w:ascii="宋体" w:hAnsi="宋体" w:eastAsia="宋体" w:cs="宋体"/>
          <w:sz w:val="24"/>
          <w:highlight w:val="none"/>
        </w:rPr>
        <w:t>约定的方式，以支票、汇票、本票或者金融机构、担保机构出具的保函等非现金形式，提交不超过合同价10%的履约保证金；</w:t>
      </w:r>
    </w:p>
    <w:p w14:paraId="3ADEA74C">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2.18.2 履约保证金在</w:t>
      </w:r>
      <w:r>
        <w:rPr>
          <w:rFonts w:hint="eastAsia" w:ascii="宋体" w:hAnsi="宋体" w:eastAsia="宋体" w:cs="宋体"/>
          <w:b/>
          <w:i w:val="0"/>
          <w:iCs/>
          <w:sz w:val="24"/>
          <w:highlight w:val="none"/>
          <w:u w:val="single"/>
        </w:rPr>
        <w:t>合同专用条款</w:t>
      </w:r>
      <w:r>
        <w:rPr>
          <w:rFonts w:hint="eastAsia" w:ascii="宋体" w:hAnsi="宋体" w:eastAsia="宋体" w:cs="宋体"/>
          <w:sz w:val="24"/>
          <w:highlight w:val="none"/>
        </w:rPr>
        <w:t>约定期间内不予退还或者应完全有效，前述约定期间届满之日起</w:t>
      </w:r>
      <w:r>
        <w:rPr>
          <w:rFonts w:hint="eastAsia" w:ascii="宋体" w:hAnsi="宋体" w:eastAsia="宋体" w:cs="宋体"/>
          <w:sz w:val="24"/>
          <w:highlight w:val="none"/>
          <w:u w:val="single"/>
        </w:rPr>
        <w:t xml:space="preserve"> 30</w:t>
      </w:r>
      <w:r>
        <w:rPr>
          <w:rFonts w:hint="eastAsia" w:ascii="宋体" w:hAnsi="宋体" w:eastAsia="宋体" w:cs="宋体"/>
          <w:sz w:val="24"/>
          <w:highlight w:val="none"/>
        </w:rPr>
        <w:t>个工作日内，甲方应将履约保证金退还乙方；</w:t>
      </w:r>
    </w:p>
    <w:p w14:paraId="00184427">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06"/>
    <w:p w14:paraId="26E8BA28">
      <w:pPr>
        <w:pageBreakBefore w:val="0"/>
        <w:kinsoku/>
        <w:wordWrap/>
        <w:topLinePunct w:val="0"/>
        <w:bidi w:val="0"/>
        <w:spacing w:line="560" w:lineRule="exact"/>
        <w:ind w:firstLine="482" w:firstLineChars="200"/>
        <w:outlineLvl w:val="2"/>
        <w:rPr>
          <w:rFonts w:hint="eastAsia" w:ascii="宋体" w:hAnsi="宋体" w:eastAsia="宋体" w:cs="宋体"/>
          <w:b/>
          <w:sz w:val="24"/>
          <w:highlight w:val="none"/>
        </w:rPr>
      </w:pPr>
      <w:r>
        <w:rPr>
          <w:rFonts w:hint="eastAsia" w:ascii="宋体" w:hAnsi="宋体" w:eastAsia="宋体" w:cs="宋体"/>
          <w:b/>
          <w:sz w:val="24"/>
          <w:highlight w:val="none"/>
        </w:rPr>
        <w:t>2.19 合同份数</w:t>
      </w:r>
    </w:p>
    <w:p w14:paraId="73D68571">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合同份数按</w:t>
      </w:r>
      <w:r>
        <w:rPr>
          <w:rFonts w:hint="eastAsia" w:ascii="宋体" w:hAnsi="宋体" w:eastAsia="宋体" w:cs="宋体"/>
          <w:b/>
          <w:i w:val="0"/>
          <w:iCs/>
          <w:sz w:val="24"/>
          <w:highlight w:val="none"/>
          <w:u w:val="single"/>
        </w:rPr>
        <w:t>合同专用条款</w:t>
      </w:r>
      <w:r>
        <w:rPr>
          <w:rFonts w:hint="eastAsia" w:ascii="宋体" w:hAnsi="宋体" w:eastAsia="宋体" w:cs="宋体"/>
          <w:sz w:val="24"/>
          <w:highlight w:val="none"/>
        </w:rPr>
        <w:t>规定，每份均具有同等法律效力。</w:t>
      </w:r>
    </w:p>
    <w:p w14:paraId="79D19FA5">
      <w:pPr>
        <w:pStyle w:val="77"/>
        <w:pageBreakBefore w:val="0"/>
        <w:kinsoku/>
        <w:wordWrap/>
        <w:topLinePunct w:val="0"/>
        <w:bidi w:val="0"/>
        <w:spacing w:line="560" w:lineRule="exact"/>
        <w:ind w:firstLine="0"/>
        <w:jc w:val="center"/>
        <w:outlineLvl w:val="1"/>
        <w:rPr>
          <w:rFonts w:hint="eastAsia" w:ascii="宋体" w:hAnsi="宋体" w:eastAsia="宋体" w:cs="宋体"/>
          <w:b/>
          <w:szCs w:val="24"/>
          <w:highlight w:val="none"/>
        </w:rPr>
      </w:pPr>
      <w:r>
        <w:rPr>
          <w:rFonts w:hint="eastAsia" w:ascii="宋体" w:hAnsi="宋体" w:eastAsia="宋体" w:cs="宋体"/>
          <w:szCs w:val="24"/>
          <w:highlight w:val="none"/>
        </w:rPr>
        <w:br w:type="page"/>
      </w:r>
      <w:bookmarkStart w:id="607" w:name="_Toc331685784"/>
      <w:r>
        <w:rPr>
          <w:rFonts w:hint="eastAsia" w:ascii="宋体" w:hAnsi="宋体" w:eastAsia="宋体" w:cs="宋体"/>
          <w:b/>
          <w:szCs w:val="24"/>
          <w:highlight w:val="none"/>
        </w:rPr>
        <w:t>第三部分  合同专用条款</w:t>
      </w:r>
      <w:bookmarkEnd w:id="607"/>
    </w:p>
    <w:p w14:paraId="22772EDF">
      <w:pPr>
        <w:pageBreakBefore w:val="0"/>
        <w:kinsoku/>
        <w:wordWrap/>
        <w:topLinePunct w:val="0"/>
        <w:bidi w:val="0"/>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44CF728">
      <w:pPr>
        <w:widowControl/>
        <w:jc w:val="left"/>
        <w:rPr>
          <w:rFonts w:hint="eastAsia" w:ascii="宋体" w:hAnsi="宋体" w:eastAsia="宋体" w:cs="宋体"/>
          <w:sz w:val="24"/>
          <w:highlight w:val="none"/>
        </w:rPr>
      </w:pPr>
      <w:r>
        <w:rPr>
          <w:rFonts w:hint="eastAsia" w:ascii="宋体" w:hAnsi="宋体" w:eastAsia="宋体" w:cs="宋体"/>
          <w:sz w:val="24"/>
          <w:highlight w:val="none"/>
        </w:rPr>
        <w:t>合同专用条款其未明确的内容与供应商须知前附表、第三章采购需求一致。此处不再赘述。</w:t>
      </w:r>
    </w:p>
    <w:p w14:paraId="2DCE9A75">
      <w:pPr>
        <w:pStyle w:val="32"/>
        <w:rPr>
          <w:rFonts w:hint="eastAsia" w:ascii="宋体" w:hAnsi="宋体" w:eastAsia="宋体" w:cs="宋体"/>
          <w:sz w:val="24"/>
          <w:highlight w:val="none"/>
        </w:rPr>
      </w:pPr>
    </w:p>
    <w:p w14:paraId="18A9ACB9">
      <w:pPr>
        <w:pStyle w:val="32"/>
        <w:rPr>
          <w:rFonts w:hint="eastAsia" w:ascii="宋体" w:hAnsi="宋体" w:eastAsia="宋体" w:cs="宋体"/>
          <w:sz w:val="24"/>
          <w:highlight w:val="none"/>
        </w:rPr>
      </w:pPr>
    </w:p>
    <w:p w14:paraId="578534B7">
      <w:pPr>
        <w:pStyle w:val="32"/>
        <w:rPr>
          <w:rFonts w:hint="eastAsia" w:ascii="宋体" w:hAnsi="宋体" w:eastAsia="宋体" w:cs="宋体"/>
          <w:sz w:val="24"/>
          <w:highlight w:val="none"/>
        </w:rPr>
      </w:pPr>
    </w:p>
    <w:p w14:paraId="37F27137">
      <w:pPr>
        <w:pStyle w:val="32"/>
        <w:rPr>
          <w:rFonts w:hint="eastAsia" w:ascii="宋体" w:hAnsi="宋体" w:eastAsia="宋体" w:cs="宋体"/>
          <w:sz w:val="24"/>
          <w:highlight w:val="none"/>
        </w:rPr>
      </w:pPr>
    </w:p>
    <w:p w14:paraId="58194354">
      <w:pPr>
        <w:pStyle w:val="32"/>
        <w:rPr>
          <w:rFonts w:hint="eastAsia" w:ascii="宋体" w:hAnsi="宋体" w:eastAsia="宋体" w:cs="宋体"/>
          <w:sz w:val="24"/>
          <w:highlight w:val="none"/>
        </w:rPr>
      </w:pPr>
    </w:p>
    <w:p w14:paraId="56639292">
      <w:pPr>
        <w:pStyle w:val="32"/>
        <w:rPr>
          <w:rFonts w:hint="eastAsia" w:ascii="宋体" w:hAnsi="宋体" w:eastAsia="宋体" w:cs="宋体"/>
          <w:sz w:val="24"/>
          <w:highlight w:val="none"/>
        </w:rPr>
      </w:pPr>
    </w:p>
    <w:p w14:paraId="6AA009A3">
      <w:pPr>
        <w:pStyle w:val="32"/>
        <w:rPr>
          <w:rFonts w:hint="eastAsia" w:ascii="宋体" w:hAnsi="宋体" w:eastAsia="宋体" w:cs="宋体"/>
          <w:sz w:val="24"/>
          <w:highlight w:val="none"/>
        </w:rPr>
      </w:pPr>
    </w:p>
    <w:p w14:paraId="2474823E">
      <w:pPr>
        <w:pStyle w:val="32"/>
        <w:rPr>
          <w:rFonts w:hint="eastAsia" w:ascii="宋体" w:hAnsi="宋体" w:eastAsia="宋体" w:cs="宋体"/>
          <w:sz w:val="24"/>
          <w:highlight w:val="none"/>
        </w:rPr>
      </w:pPr>
    </w:p>
    <w:p w14:paraId="7FDB3FD6">
      <w:pPr>
        <w:pStyle w:val="32"/>
        <w:rPr>
          <w:rFonts w:hint="eastAsia" w:ascii="宋体" w:hAnsi="宋体" w:eastAsia="宋体" w:cs="宋体"/>
          <w:sz w:val="24"/>
          <w:highlight w:val="none"/>
        </w:rPr>
      </w:pPr>
    </w:p>
    <w:p w14:paraId="1E9A20DE">
      <w:pPr>
        <w:pStyle w:val="32"/>
        <w:rPr>
          <w:rFonts w:hint="eastAsia" w:ascii="宋体" w:hAnsi="宋体" w:eastAsia="宋体" w:cs="宋体"/>
          <w:sz w:val="24"/>
          <w:highlight w:val="none"/>
        </w:rPr>
      </w:pPr>
    </w:p>
    <w:p w14:paraId="6D7BD240">
      <w:pPr>
        <w:pStyle w:val="32"/>
        <w:rPr>
          <w:rFonts w:hint="eastAsia" w:ascii="宋体" w:hAnsi="宋体" w:eastAsia="宋体" w:cs="宋体"/>
          <w:sz w:val="24"/>
          <w:highlight w:val="none"/>
        </w:rPr>
      </w:pPr>
    </w:p>
    <w:p w14:paraId="1EF19545">
      <w:pPr>
        <w:pStyle w:val="32"/>
        <w:rPr>
          <w:rFonts w:hint="eastAsia" w:ascii="宋体" w:hAnsi="宋体" w:eastAsia="宋体" w:cs="宋体"/>
          <w:sz w:val="24"/>
          <w:highlight w:val="none"/>
        </w:rPr>
      </w:pPr>
    </w:p>
    <w:p w14:paraId="28E1B6BC">
      <w:pPr>
        <w:pStyle w:val="32"/>
        <w:rPr>
          <w:rFonts w:hint="eastAsia" w:ascii="宋体" w:hAnsi="宋体" w:eastAsia="宋体" w:cs="宋体"/>
          <w:sz w:val="24"/>
          <w:highlight w:val="none"/>
        </w:rPr>
      </w:pPr>
    </w:p>
    <w:p w14:paraId="284A50FA">
      <w:pPr>
        <w:pStyle w:val="32"/>
        <w:rPr>
          <w:rFonts w:hint="eastAsia" w:ascii="宋体" w:hAnsi="宋体" w:eastAsia="宋体" w:cs="宋体"/>
          <w:sz w:val="24"/>
          <w:highlight w:val="none"/>
        </w:rPr>
      </w:pPr>
    </w:p>
    <w:p w14:paraId="57417FE9">
      <w:pPr>
        <w:pStyle w:val="32"/>
        <w:rPr>
          <w:rFonts w:hint="eastAsia" w:ascii="宋体" w:hAnsi="宋体" w:eastAsia="宋体" w:cs="宋体"/>
          <w:sz w:val="24"/>
          <w:highlight w:val="none"/>
        </w:rPr>
      </w:pPr>
    </w:p>
    <w:p w14:paraId="610A387B">
      <w:pPr>
        <w:pStyle w:val="32"/>
        <w:rPr>
          <w:rFonts w:hint="eastAsia" w:ascii="宋体" w:hAnsi="宋体" w:eastAsia="宋体" w:cs="宋体"/>
          <w:sz w:val="24"/>
          <w:highlight w:val="none"/>
        </w:rPr>
      </w:pPr>
    </w:p>
    <w:p w14:paraId="5608E79A">
      <w:pPr>
        <w:pStyle w:val="32"/>
        <w:rPr>
          <w:rFonts w:hint="eastAsia" w:ascii="宋体" w:hAnsi="宋体" w:eastAsia="宋体" w:cs="宋体"/>
          <w:sz w:val="24"/>
          <w:highlight w:val="none"/>
        </w:rPr>
      </w:pPr>
    </w:p>
    <w:p w14:paraId="62EF645F">
      <w:pPr>
        <w:pStyle w:val="32"/>
        <w:rPr>
          <w:rFonts w:hint="eastAsia" w:ascii="宋体" w:hAnsi="宋体" w:eastAsia="宋体" w:cs="宋体"/>
          <w:sz w:val="24"/>
          <w:highlight w:val="none"/>
        </w:rPr>
      </w:pPr>
    </w:p>
    <w:p w14:paraId="065FD050">
      <w:pPr>
        <w:pStyle w:val="32"/>
        <w:rPr>
          <w:rFonts w:hint="eastAsia" w:ascii="宋体" w:hAnsi="宋体" w:eastAsia="宋体" w:cs="宋体"/>
          <w:sz w:val="24"/>
          <w:highlight w:val="none"/>
        </w:rPr>
      </w:pPr>
    </w:p>
    <w:p w14:paraId="6B40A71D">
      <w:pPr>
        <w:pStyle w:val="32"/>
        <w:rPr>
          <w:rFonts w:hint="eastAsia" w:ascii="宋体" w:hAnsi="宋体" w:eastAsia="宋体" w:cs="宋体"/>
          <w:sz w:val="24"/>
          <w:highlight w:val="none"/>
        </w:rPr>
      </w:pPr>
    </w:p>
    <w:p w14:paraId="1C28A738">
      <w:pPr>
        <w:pStyle w:val="32"/>
        <w:rPr>
          <w:rFonts w:hint="eastAsia" w:ascii="宋体" w:hAnsi="宋体" w:eastAsia="宋体" w:cs="宋体"/>
          <w:sz w:val="24"/>
          <w:highlight w:val="none"/>
        </w:rPr>
      </w:pPr>
    </w:p>
    <w:p w14:paraId="68CB534A">
      <w:pPr>
        <w:pStyle w:val="32"/>
        <w:rPr>
          <w:rFonts w:hint="eastAsia" w:ascii="宋体" w:hAnsi="宋体" w:eastAsia="宋体" w:cs="宋体"/>
          <w:sz w:val="24"/>
          <w:highlight w:val="none"/>
        </w:rPr>
      </w:pPr>
    </w:p>
    <w:p w14:paraId="3F0FBBAB">
      <w:pPr>
        <w:pStyle w:val="32"/>
        <w:rPr>
          <w:rFonts w:hint="eastAsia" w:ascii="宋体" w:hAnsi="宋体" w:eastAsia="宋体" w:cs="宋体"/>
          <w:sz w:val="24"/>
          <w:highlight w:val="none"/>
        </w:rPr>
      </w:pPr>
    </w:p>
    <w:bookmarkEnd w:id="432"/>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08" w:name="_Toc20007"/>
      <w:bookmarkStart w:id="609" w:name="_Toc155185919"/>
      <w:bookmarkStart w:id="610" w:name="_Toc15871"/>
      <w:r>
        <w:rPr>
          <w:rFonts w:hint="eastAsia" w:ascii="宋体" w:hAnsi="宋体" w:eastAsia="宋体" w:cs="宋体"/>
          <w:b/>
          <w:bCs/>
          <w:color w:val="auto"/>
          <w:kern w:val="44"/>
          <w:sz w:val="36"/>
          <w:szCs w:val="36"/>
          <w:highlight w:val="none"/>
          <w:lang w:val="en-US" w:eastAsia="zh-CN" w:bidi="ar-SA"/>
        </w:rPr>
        <w:t>第七章 投标文件格式</w:t>
      </w:r>
      <w:bookmarkEnd w:id="608"/>
      <w:bookmarkEnd w:id="609"/>
      <w:bookmarkEnd w:id="610"/>
    </w:p>
    <w:p w14:paraId="20B1063D">
      <w:pPr>
        <w:ind w:left="240" w:leftChars="100" w:firstLine="480" w:firstLineChars="200"/>
        <w:rPr>
          <w:rFonts w:cs="仿宋_GB2312"/>
          <w:color w:val="auto"/>
          <w:szCs w:val="24"/>
          <w:highlight w:val="none"/>
        </w:rPr>
      </w:pPr>
    </w:p>
    <w:p w14:paraId="29D44C55">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44DD0F1">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9EDECB5">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5F9B001">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2E1D158">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E6822E5">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2CA045B">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893E9FD">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95452EF">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A66CC1">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69FA17D">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72E3CAE">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565C3EB">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7DA079A">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E15166A">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3A9983C">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48F8DEC">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F52A8AF">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2FC05CF">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61F2B5A">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99474F0">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390F1A2">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A93A46C">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C290983">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55D68F1">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0B75AF6">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AE1CCDB">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FF24946">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3B8C759">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025489F">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08F138C">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CDCE37B">
      <w:pPr>
        <w:ind w:firstLine="480" w:firstLineChars="200"/>
        <w:rPr>
          <w:rFonts w:hint="eastAsia" w:cs="仿宋_GB2312"/>
          <w:color w:val="auto"/>
          <w:szCs w:val="24"/>
          <w:highlight w:val="none"/>
          <w:lang w:val="zh-CN"/>
        </w:rPr>
      </w:pPr>
    </w:p>
    <w:p w14:paraId="3D40132F">
      <w:pPr>
        <w:ind w:firstLine="480" w:firstLineChars="200"/>
        <w:rPr>
          <w:rFonts w:hint="eastAsia" w:cs="仿宋_GB2312"/>
          <w:color w:val="auto"/>
          <w:szCs w:val="24"/>
          <w:highlight w:val="none"/>
          <w:lang w:val="zh-CN"/>
        </w:rPr>
      </w:pPr>
    </w:p>
    <w:p w14:paraId="375DA88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466A4DC">
      <w:pPr>
        <w:autoSpaceDE w:val="0"/>
        <w:autoSpaceDN w:val="0"/>
        <w:adjustRightInd w:val="0"/>
        <w:rPr>
          <w:color w:val="auto"/>
          <w:sz w:val="21"/>
          <w:szCs w:val="24"/>
          <w:highlight w:val="none"/>
        </w:rPr>
      </w:pPr>
    </w:p>
    <w:p w14:paraId="445E5BF7">
      <w:pPr>
        <w:autoSpaceDE w:val="0"/>
        <w:autoSpaceDN w:val="0"/>
        <w:adjustRightInd w:val="0"/>
        <w:rPr>
          <w:color w:val="auto"/>
          <w:sz w:val="21"/>
          <w:szCs w:val="24"/>
          <w:highlight w:val="none"/>
        </w:rPr>
      </w:pPr>
    </w:p>
    <w:p w14:paraId="4BD0E164">
      <w:pPr>
        <w:autoSpaceDE w:val="0"/>
        <w:autoSpaceDN w:val="0"/>
        <w:adjustRightInd w:val="0"/>
        <w:jc w:val="center"/>
        <w:rPr>
          <w:color w:val="auto"/>
          <w:sz w:val="21"/>
          <w:szCs w:val="24"/>
          <w:highlight w:val="none"/>
        </w:rPr>
      </w:pPr>
    </w:p>
    <w:p w14:paraId="2280C3BA">
      <w:pPr>
        <w:pStyle w:val="2"/>
        <w:bidi w:val="0"/>
        <w:spacing w:line="360" w:lineRule="auto"/>
        <w:rPr>
          <w:rFonts w:hint="eastAsia"/>
          <w:color w:val="auto"/>
          <w:sz w:val="56"/>
          <w:szCs w:val="56"/>
          <w:highlight w:val="none"/>
        </w:rPr>
      </w:pPr>
      <w:bookmarkStart w:id="611" w:name="_Toc20344"/>
      <w:r>
        <w:rPr>
          <w:rFonts w:hint="eastAsia"/>
          <w:color w:val="auto"/>
          <w:sz w:val="56"/>
          <w:szCs w:val="56"/>
          <w:highlight w:val="none"/>
        </w:rPr>
        <w:t>投 标 文 件</w:t>
      </w:r>
      <w:bookmarkEnd w:id="611"/>
    </w:p>
    <w:p w14:paraId="0FA5F802">
      <w:pPr>
        <w:pStyle w:val="2"/>
        <w:bidi w:val="0"/>
        <w:spacing w:line="360" w:lineRule="auto"/>
        <w:rPr>
          <w:rFonts w:hint="eastAsia"/>
          <w:color w:val="auto"/>
          <w:sz w:val="56"/>
          <w:szCs w:val="56"/>
          <w:highlight w:val="none"/>
        </w:rPr>
      </w:pPr>
      <w:bookmarkStart w:id="612" w:name="_Toc17637"/>
      <w:r>
        <w:rPr>
          <w:rFonts w:hint="eastAsia"/>
          <w:color w:val="auto"/>
          <w:sz w:val="56"/>
          <w:szCs w:val="56"/>
          <w:highlight w:val="none"/>
        </w:rPr>
        <w:t>资格证明文件</w:t>
      </w:r>
      <w:bookmarkEnd w:id="612"/>
    </w:p>
    <w:p w14:paraId="66E88D4F">
      <w:pPr>
        <w:autoSpaceDE w:val="0"/>
        <w:autoSpaceDN w:val="0"/>
        <w:adjustRightInd w:val="0"/>
        <w:rPr>
          <w:b/>
          <w:bCs/>
          <w:color w:val="auto"/>
          <w:sz w:val="22"/>
          <w:highlight w:val="none"/>
        </w:rPr>
      </w:pPr>
    </w:p>
    <w:p w14:paraId="537F8D86">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26E8C70">
      <w:pPr>
        <w:autoSpaceDE w:val="0"/>
        <w:autoSpaceDN w:val="0"/>
        <w:adjustRightInd w:val="0"/>
        <w:rPr>
          <w:color w:val="auto"/>
          <w:sz w:val="21"/>
          <w:szCs w:val="21"/>
          <w:highlight w:val="none"/>
        </w:rPr>
      </w:pPr>
    </w:p>
    <w:p w14:paraId="2874C375">
      <w:pPr>
        <w:pStyle w:val="3"/>
        <w:rPr>
          <w:color w:val="auto"/>
          <w:highlight w:val="none"/>
        </w:rPr>
      </w:pPr>
    </w:p>
    <w:p w14:paraId="2085130F">
      <w:pPr>
        <w:autoSpaceDE w:val="0"/>
        <w:autoSpaceDN w:val="0"/>
        <w:adjustRightInd w:val="0"/>
        <w:rPr>
          <w:color w:val="auto"/>
          <w:sz w:val="21"/>
          <w:szCs w:val="21"/>
          <w:highlight w:val="none"/>
        </w:rPr>
      </w:pPr>
    </w:p>
    <w:p w14:paraId="39700BDA">
      <w:pPr>
        <w:autoSpaceDE w:val="0"/>
        <w:autoSpaceDN w:val="0"/>
        <w:adjustRightInd w:val="0"/>
        <w:rPr>
          <w:color w:val="auto"/>
          <w:sz w:val="21"/>
          <w:szCs w:val="21"/>
          <w:highlight w:val="none"/>
        </w:rPr>
      </w:pPr>
    </w:p>
    <w:p w14:paraId="6334E3E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643116">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710CA78">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39596D">
      <w:pPr>
        <w:ind w:left="840" w:firstLine="420"/>
        <w:rPr>
          <w:b/>
          <w:bCs/>
          <w:color w:val="auto"/>
          <w:sz w:val="28"/>
          <w:szCs w:val="28"/>
          <w:highlight w:val="none"/>
        </w:rPr>
      </w:pPr>
    </w:p>
    <w:p w14:paraId="528FBB22">
      <w:pPr>
        <w:ind w:left="840" w:firstLine="420"/>
        <w:rPr>
          <w:b/>
          <w:bCs/>
          <w:color w:val="auto"/>
          <w:sz w:val="28"/>
          <w:szCs w:val="28"/>
          <w:highlight w:val="none"/>
        </w:rPr>
      </w:pPr>
    </w:p>
    <w:p w14:paraId="0613F091">
      <w:pPr>
        <w:ind w:left="840" w:firstLine="420"/>
        <w:rPr>
          <w:b/>
          <w:bCs/>
          <w:color w:val="auto"/>
          <w:sz w:val="28"/>
          <w:szCs w:val="28"/>
          <w:highlight w:val="none"/>
        </w:rPr>
      </w:pPr>
    </w:p>
    <w:p w14:paraId="2330D405">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6447D651">
      <w:pPr>
        <w:rPr>
          <w:color w:val="auto"/>
          <w:highlight w:val="none"/>
          <w:lang w:val="zh-CN"/>
        </w:rPr>
      </w:pPr>
      <w:r>
        <w:rPr>
          <w:color w:val="auto"/>
          <w:highlight w:val="none"/>
          <w:lang w:val="zh-CN"/>
        </w:rPr>
        <w:br w:type="page"/>
      </w:r>
    </w:p>
    <w:p w14:paraId="215FC2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613" w:name="_Toc6767"/>
      <w:bookmarkStart w:id="614" w:name="_Toc325"/>
      <w:bookmarkStart w:id="615" w:name="_Toc155185927"/>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613"/>
      <w:bookmarkEnd w:id="614"/>
    </w:p>
    <w:bookmarkEnd w:id="615"/>
    <w:p w14:paraId="10697F2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color w:val="auto"/>
          <w:kern w:val="0"/>
          <w:sz w:val="24"/>
          <w:szCs w:val="24"/>
          <w:highlight w:val="none"/>
          <w:lang w:val="en-US" w:eastAsia="zh-CN"/>
        </w:rPr>
      </w:pPr>
      <w:bookmarkStart w:id="616" w:name="_Toc155185928"/>
      <w:bookmarkStart w:id="617" w:name="_Toc163492922"/>
      <w:r>
        <w:rPr>
          <w:rFonts w:hint="eastAsia" w:ascii="宋体" w:hAnsi="宋体" w:eastAsia="宋体" w:cs="宋体"/>
          <w:b/>
          <w:bCs/>
          <w:color w:val="auto"/>
          <w:kern w:val="2"/>
          <w:sz w:val="24"/>
          <w:szCs w:val="24"/>
          <w:highlight w:val="none"/>
          <w:lang w:val="en-US" w:eastAsia="zh-CN" w:bidi="ar-SA"/>
        </w:rPr>
        <w:t>（一）具有独立承担民事责任的能力；（提供合法有效的营业执照复印件/扫描件，并加盖单位公章）</w:t>
      </w:r>
    </w:p>
    <w:p w14:paraId="14496D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DEF0351">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616"/>
    <w:bookmarkEnd w:id="617"/>
    <w:p w14:paraId="38A70C4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4C0BFE16">
      <w:pPr>
        <w:pStyle w:val="54"/>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val="0"/>
          <w:bCs w:val="0"/>
          <w:i w:val="0"/>
          <w:iCs w:val="0"/>
          <w:color w:val="auto"/>
          <w:kern w:val="2"/>
          <w:sz w:val="24"/>
          <w:szCs w:val="24"/>
          <w:highlight w:val="none"/>
          <w:lang w:val="en-US" w:eastAsia="zh-CN" w:bidi="ar-SA"/>
        </w:rPr>
      </w:pPr>
      <w:bookmarkStart w:id="618" w:name="_Toc11370"/>
      <w:bookmarkStart w:id="619" w:name="_Toc28292"/>
      <w:r>
        <w:rPr>
          <w:rFonts w:hint="eastAsia" w:ascii="宋体" w:hAnsi="宋体" w:eastAsia="宋体" w:cs="宋体"/>
          <w:b w:val="0"/>
          <w:bCs w:val="0"/>
          <w:i w:val="0"/>
          <w:iCs w:val="0"/>
          <w:color w:val="auto"/>
          <w:kern w:val="2"/>
          <w:sz w:val="24"/>
          <w:szCs w:val="24"/>
          <w:highlight w:val="none"/>
          <w:lang w:val="en-US" w:eastAsia="zh-CN" w:bidi="ar-SA"/>
        </w:rPr>
        <w:t>提供2024或2025年度经审计的年度财务审计报告或财务报表，新成立不满一年的单位需提供基本开户银行出具的资信证明</w:t>
      </w:r>
    </w:p>
    <w:p w14:paraId="04CEBAD8">
      <w:pPr>
        <w:pStyle w:val="54"/>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br w:type="page"/>
      </w:r>
    </w:p>
    <w:p w14:paraId="3823595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618"/>
      <w:bookmarkEnd w:id="619"/>
    </w:p>
    <w:p w14:paraId="02AF0C6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sz w:val="21"/>
          <w:szCs w:val="21"/>
          <w:highlight w:val="none"/>
        </w:rPr>
      </w:pPr>
      <w:bookmarkStart w:id="620" w:name="_Toc7342"/>
      <w:bookmarkStart w:id="621" w:name="_Toc19442"/>
      <w:r>
        <w:rPr>
          <w:rFonts w:hint="eastAsia" w:ascii="宋体" w:hAnsi="宋体" w:cs="宋体"/>
          <w:color w:val="auto"/>
          <w:sz w:val="21"/>
          <w:szCs w:val="21"/>
          <w:highlight w:val="none"/>
        </w:rPr>
        <w:t>提供本企业近一年任意3个月完税证明及缴纳社保记录</w:t>
      </w:r>
    </w:p>
    <w:p w14:paraId="56C2DFC6">
      <w:pPr>
        <w:rPr>
          <w:rFonts w:hint="eastAsia" w:ascii="宋体" w:hAnsi="宋体" w:cs="宋体"/>
          <w:color w:val="auto"/>
          <w:sz w:val="21"/>
          <w:szCs w:val="21"/>
          <w:highlight w:val="none"/>
        </w:rPr>
      </w:pPr>
      <w:r>
        <w:rPr>
          <w:rFonts w:hint="eastAsia" w:ascii="宋体" w:hAnsi="宋体" w:cs="宋体"/>
          <w:color w:val="auto"/>
          <w:sz w:val="21"/>
          <w:szCs w:val="21"/>
          <w:highlight w:val="none"/>
        </w:rPr>
        <w:br w:type="page"/>
      </w:r>
    </w:p>
    <w:p w14:paraId="6F316A7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（四）</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须具有履行合同所必需的设备和专业技术能力</w:t>
      </w:r>
      <w:bookmarkEnd w:id="620"/>
      <w:bookmarkEnd w:id="621"/>
    </w:p>
    <w:p w14:paraId="53C20464">
      <w:pPr>
        <w:pStyle w:val="83"/>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14:paraId="2ABBF4C1">
      <w:pPr>
        <w:pStyle w:val="83"/>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郑重声明：</w:t>
      </w:r>
    </w:p>
    <w:p w14:paraId="5A7AF1E5">
      <w:pPr>
        <w:pStyle w:val="83"/>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14:paraId="2928CD51">
      <w:pPr>
        <w:pStyle w:val="84"/>
        <w:adjustRightInd w:val="0"/>
        <w:snapToGrid w:val="0"/>
        <w:spacing w:line="500" w:lineRule="exact"/>
        <w:rPr>
          <w:rFonts w:hint="eastAsia" w:ascii="宋体" w:hAnsi="宋体" w:cs="宋体"/>
          <w:color w:val="auto"/>
          <w:sz w:val="24"/>
          <w:szCs w:val="24"/>
          <w:highlight w:val="none"/>
        </w:rPr>
      </w:pPr>
    </w:p>
    <w:p w14:paraId="0A8E487C">
      <w:pPr>
        <w:pStyle w:val="84"/>
        <w:adjustRightInd w:val="0"/>
        <w:snapToGrid w:val="0"/>
        <w:spacing w:line="500" w:lineRule="exact"/>
        <w:rPr>
          <w:rFonts w:hint="eastAsia" w:ascii="宋体" w:hAnsi="宋体" w:cs="宋体"/>
          <w:color w:val="auto"/>
          <w:sz w:val="24"/>
          <w:szCs w:val="24"/>
          <w:highlight w:val="none"/>
        </w:rPr>
      </w:pPr>
    </w:p>
    <w:p w14:paraId="3B4E0D78">
      <w:pPr>
        <w:pStyle w:val="84"/>
        <w:adjustRightInd w:val="0"/>
        <w:snapToGrid w:val="0"/>
        <w:spacing w:line="500" w:lineRule="exact"/>
        <w:rPr>
          <w:rFonts w:hint="eastAsia" w:ascii="宋体" w:hAnsi="宋体" w:cs="宋体"/>
          <w:color w:val="auto"/>
          <w:sz w:val="24"/>
          <w:szCs w:val="24"/>
          <w:highlight w:val="none"/>
        </w:rPr>
      </w:pPr>
    </w:p>
    <w:p w14:paraId="0055C44D">
      <w:pPr>
        <w:pStyle w:val="84"/>
        <w:adjustRightInd w:val="0"/>
        <w:snapToGrid w:val="0"/>
        <w:spacing w:line="500" w:lineRule="exact"/>
        <w:rPr>
          <w:rFonts w:hint="eastAsia" w:ascii="宋体" w:hAnsi="宋体" w:cs="宋体"/>
          <w:color w:val="auto"/>
          <w:sz w:val="24"/>
          <w:szCs w:val="24"/>
          <w:highlight w:val="none"/>
        </w:rPr>
      </w:pPr>
    </w:p>
    <w:p w14:paraId="748C6A17">
      <w:pPr>
        <w:pStyle w:val="84"/>
        <w:adjustRightInd w:val="0"/>
        <w:snapToGrid w:val="0"/>
        <w:spacing w:line="500" w:lineRule="exact"/>
        <w:rPr>
          <w:rFonts w:hint="eastAsia" w:ascii="宋体" w:hAnsi="宋体" w:cs="宋体"/>
          <w:color w:val="auto"/>
          <w:sz w:val="24"/>
          <w:szCs w:val="24"/>
          <w:highlight w:val="none"/>
        </w:rPr>
      </w:pPr>
    </w:p>
    <w:p w14:paraId="03367046">
      <w:pPr>
        <w:pStyle w:val="84"/>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986A136">
      <w:pPr>
        <w:pStyle w:val="84"/>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56D46087">
      <w:pPr>
        <w:pStyle w:val="84"/>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5B78C284">
      <w:pPr>
        <w:pStyle w:val="83"/>
        <w:adjustRightInd w:val="0"/>
        <w:snapToGrid w:val="0"/>
        <w:spacing w:line="360" w:lineRule="auto"/>
        <w:jc w:val="left"/>
        <w:rPr>
          <w:rFonts w:hint="eastAsia" w:ascii="宋体" w:hAnsi="宋体" w:cs="宋体"/>
          <w:b/>
          <w:color w:val="auto"/>
          <w:sz w:val="24"/>
          <w:szCs w:val="24"/>
          <w:highlight w:val="none"/>
        </w:rPr>
      </w:pPr>
    </w:p>
    <w:p w14:paraId="6D9497CF">
      <w:pPr>
        <w:pStyle w:val="85"/>
        <w:outlineLvl w:val="2"/>
        <w:rPr>
          <w:rFonts w:hint="eastAsia" w:ascii="宋体" w:hAnsi="宋体" w:eastAsia="宋体" w:cs="宋体"/>
          <w:color w:val="auto"/>
          <w:highlight w:val="none"/>
        </w:rPr>
        <w:sectPr>
          <w:headerReference r:id="rId9" w:type="default"/>
          <w:footerReference r:id="rId10"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23FA26F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622" w:name="_Toc16347"/>
      <w:bookmarkStart w:id="623" w:name="_Toc21544"/>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622"/>
      <w:bookmarkEnd w:id="623"/>
    </w:p>
    <w:p w14:paraId="0A14BF44">
      <w:pPr>
        <w:pStyle w:val="83"/>
        <w:adjustRightInd w:val="0"/>
        <w:snapToGrid w:val="0"/>
        <w:spacing w:line="360" w:lineRule="auto"/>
        <w:rPr>
          <w:rFonts w:hint="eastAsia" w:ascii="宋体" w:hAnsi="宋体" w:cs="宋体"/>
          <w:color w:val="auto"/>
          <w:sz w:val="24"/>
          <w:szCs w:val="24"/>
          <w:highlight w:val="none"/>
        </w:rPr>
      </w:pPr>
    </w:p>
    <w:p w14:paraId="5EF637EE">
      <w:pPr>
        <w:pStyle w:val="83"/>
        <w:adjustRightInd w:val="0"/>
        <w:snapToGrid w:val="0"/>
        <w:spacing w:line="360" w:lineRule="auto"/>
        <w:rPr>
          <w:rFonts w:hint="eastAsia" w:ascii="宋体" w:hAnsi="宋体" w:cs="宋体"/>
          <w:color w:val="auto"/>
          <w:sz w:val="24"/>
          <w:szCs w:val="24"/>
          <w:highlight w:val="none"/>
        </w:rPr>
      </w:pPr>
    </w:p>
    <w:p w14:paraId="263AE696">
      <w:pPr>
        <w:pStyle w:val="83"/>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14:paraId="692666CD">
      <w:pPr>
        <w:pStyle w:val="86"/>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14:paraId="5C6DD82E">
      <w:pPr>
        <w:pStyle w:val="83"/>
        <w:adjustRightInd w:val="0"/>
        <w:snapToGrid w:val="0"/>
        <w:spacing w:line="360" w:lineRule="auto"/>
        <w:rPr>
          <w:rFonts w:hint="eastAsia" w:ascii="宋体" w:hAnsi="宋体" w:cs="宋体"/>
          <w:color w:val="auto"/>
          <w:sz w:val="24"/>
          <w:szCs w:val="24"/>
          <w:highlight w:val="none"/>
        </w:rPr>
      </w:pPr>
    </w:p>
    <w:p w14:paraId="147754F7">
      <w:pPr>
        <w:pStyle w:val="83"/>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14:paraId="7E221E8F">
      <w:pPr>
        <w:pStyle w:val="83"/>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4CDE75D2">
      <w:pPr>
        <w:pStyle w:val="83"/>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14:paraId="2EEA8437">
      <w:pPr>
        <w:pStyle w:val="84"/>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01CD48AC">
      <w:pPr>
        <w:pStyle w:val="84"/>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5A5017F6">
      <w:pPr>
        <w:pStyle w:val="84"/>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38428A86">
      <w:pPr>
        <w:pStyle w:val="83"/>
        <w:adjustRightInd w:val="0"/>
        <w:snapToGrid w:val="0"/>
        <w:spacing w:line="360" w:lineRule="auto"/>
        <w:jc w:val="left"/>
        <w:rPr>
          <w:rFonts w:hint="eastAsia" w:ascii="宋体" w:hAnsi="宋体" w:cs="宋体"/>
          <w:color w:val="auto"/>
          <w:sz w:val="24"/>
          <w:szCs w:val="24"/>
          <w:highlight w:val="none"/>
        </w:rPr>
      </w:pPr>
    </w:p>
    <w:p w14:paraId="753B8142">
      <w:pPr>
        <w:pStyle w:val="83"/>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1EB4AC7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624" w:name="_Toc32053"/>
      <w:bookmarkStart w:id="625" w:name="_Toc31574"/>
      <w:r>
        <w:rPr>
          <w:rFonts w:hint="eastAsia" w:ascii="宋体" w:hAnsi="宋体" w:eastAsia="宋体" w:cs="宋体"/>
          <w:b/>
          <w:bCs/>
          <w:i w:val="0"/>
          <w:iCs w:val="0"/>
          <w:color w:val="auto"/>
          <w:kern w:val="2"/>
          <w:sz w:val="24"/>
          <w:szCs w:val="24"/>
          <w:highlight w:val="none"/>
          <w:lang w:val="en-US" w:eastAsia="zh-CN" w:bidi="ar-SA"/>
        </w:rPr>
        <w:t>（六）</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未列入失信被执行人、重大税收违法案件当事人名单、政府采购严重违法失信行为记录名单</w:t>
      </w:r>
      <w:bookmarkEnd w:id="624"/>
      <w:bookmarkEnd w:id="625"/>
    </w:p>
    <w:p w14:paraId="4A6E5D9B">
      <w:pPr>
        <w:pStyle w:val="87"/>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0131AED7">
      <w:pPr>
        <w:pStyle w:val="87"/>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14:paraId="654D1120">
      <w:pPr>
        <w:pStyle w:val="87"/>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②不是重大税收违法案件当事人名单的</w:t>
      </w:r>
      <w:r>
        <w:rPr>
          <w:rFonts w:hint="eastAsia" w:ascii="宋体" w:hAnsi="宋体" w:cs="宋体"/>
          <w:color w:val="auto"/>
          <w:spacing w:val="6"/>
          <w:kern w:val="0"/>
          <w:sz w:val="24"/>
          <w:szCs w:val="24"/>
          <w:highlight w:val="none"/>
          <w:lang w:eastAsia="zh-CN"/>
        </w:rPr>
        <w:t>投标人</w:t>
      </w:r>
      <w:r>
        <w:rPr>
          <w:rFonts w:hint="eastAsia" w:ascii="宋体" w:hAnsi="宋体" w:cs="宋体"/>
          <w:color w:val="auto"/>
          <w:spacing w:val="6"/>
          <w:kern w:val="0"/>
          <w:sz w:val="24"/>
          <w:szCs w:val="24"/>
          <w:highlight w:val="none"/>
        </w:rPr>
        <w:t xml:space="preserve">； </w:t>
      </w:r>
    </w:p>
    <w:p w14:paraId="5FF9390F">
      <w:pPr>
        <w:pStyle w:val="87"/>
        <w:spacing w:line="360" w:lineRule="auto"/>
        <w:ind w:firstLine="504" w:firstLineChars="200"/>
        <w:jc w:val="left"/>
        <w:rPr>
          <w:rFonts w:hint="eastAsia" w:ascii="宋体" w:hAnsi="宋体" w:cs="宋体"/>
          <w:color w:val="auto"/>
          <w:spacing w:val="6"/>
          <w:kern w:val="0"/>
          <w:sz w:val="24"/>
          <w:szCs w:val="24"/>
          <w:highlight w:val="none"/>
        </w:rPr>
      </w:pPr>
    </w:p>
    <w:p w14:paraId="787D24E0">
      <w:pPr>
        <w:pStyle w:val="87"/>
        <w:spacing w:line="360" w:lineRule="auto"/>
        <w:ind w:firstLine="504" w:firstLineChars="200"/>
        <w:jc w:val="left"/>
        <w:rPr>
          <w:rFonts w:hint="eastAsia" w:ascii="宋体" w:hAnsi="宋体" w:cs="宋体"/>
          <w:color w:val="auto"/>
          <w:spacing w:val="6"/>
          <w:kern w:val="0"/>
          <w:sz w:val="24"/>
          <w:szCs w:val="24"/>
          <w:highlight w:val="none"/>
        </w:rPr>
      </w:pPr>
    </w:p>
    <w:p w14:paraId="3E784B0D">
      <w:pPr>
        <w:pStyle w:val="87"/>
        <w:spacing w:line="360" w:lineRule="auto"/>
        <w:ind w:firstLine="504" w:firstLineChars="200"/>
        <w:jc w:val="left"/>
        <w:rPr>
          <w:rFonts w:hint="eastAsia" w:ascii="宋体" w:hAnsi="宋体" w:cs="宋体"/>
          <w:color w:val="auto"/>
          <w:spacing w:val="6"/>
          <w:kern w:val="0"/>
          <w:sz w:val="24"/>
          <w:szCs w:val="24"/>
          <w:highlight w:val="none"/>
        </w:rPr>
      </w:pPr>
    </w:p>
    <w:p w14:paraId="27311A63">
      <w:pPr>
        <w:pStyle w:val="87"/>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 xml:space="preserve"> </w:t>
      </w:r>
    </w:p>
    <w:p w14:paraId="017F6BDB">
      <w:pPr>
        <w:pStyle w:val="87"/>
        <w:spacing w:line="360" w:lineRule="auto"/>
        <w:ind w:firstLine="756" w:firstLineChars="300"/>
        <w:jc w:val="left"/>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rPr>
        <w:t>“中国政府采购网”查询信息</w:t>
      </w:r>
      <w:r>
        <w:rPr>
          <w:rFonts w:hint="eastAsia" w:ascii="宋体" w:hAnsi="宋体" w:cs="宋体"/>
          <w:color w:val="auto"/>
          <w:spacing w:val="6"/>
          <w:kern w:val="0"/>
          <w:sz w:val="24"/>
          <w:szCs w:val="24"/>
          <w:highlight w:val="none"/>
          <w:lang w:eastAsia="zh-CN"/>
        </w:rPr>
        <w:t>：</w:t>
      </w:r>
    </w:p>
    <w:p w14:paraId="0ECAD3B0">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cs="宋体"/>
          <w:color w:val="auto"/>
          <w:sz w:val="24"/>
          <w:szCs w:val="24"/>
          <w:highlight w:val="none"/>
          <w:lang w:eastAsia="zh-CN"/>
        </w:rPr>
        <w:t>：</w:t>
      </w:r>
    </w:p>
    <w:p w14:paraId="7FA1B22F">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4C5A5395">
      <w:pPr>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（七）法律、行政法规规定的其他条件</w:t>
      </w:r>
    </w:p>
    <w:p w14:paraId="6BD9FB26">
      <w:pPr>
        <w:rPr>
          <w:rFonts w:hint="eastAsia" w:ascii="Arial" w:hAnsi="Arial" w:cs="Arial"/>
          <w:color w:val="auto"/>
          <w:szCs w:val="21"/>
          <w:highlight w:val="none"/>
          <w:lang w:val="en-US" w:eastAsia="zh-CN"/>
        </w:rPr>
      </w:pPr>
    </w:p>
    <w:p w14:paraId="02103427">
      <w:pPr>
        <w:jc w:val="center"/>
        <w:rPr>
          <w:rFonts w:hint="eastAsia" w:ascii="Arial" w:hAnsi="Arial" w:cs="Arial"/>
          <w:color w:val="auto"/>
          <w:szCs w:val="21"/>
          <w:highlight w:val="none"/>
          <w:lang w:val="en-US" w:eastAsia="zh-CN"/>
        </w:rPr>
      </w:pPr>
      <w:r>
        <w:rPr>
          <w:rFonts w:hint="eastAsia" w:ascii="Arial" w:hAnsi="Arial" w:cs="Arial"/>
          <w:color w:val="auto"/>
          <w:szCs w:val="21"/>
          <w:highlight w:val="none"/>
          <w:lang w:val="en-US" w:eastAsia="zh-CN"/>
        </w:rPr>
        <w:t>供应商可自行做出承诺，格式自拟。</w:t>
      </w:r>
    </w:p>
    <w:p w14:paraId="64B795E0">
      <w:pPr>
        <w:pStyle w:val="32"/>
        <w:rPr>
          <w:rFonts w:hint="eastAsia" w:ascii="Arial" w:hAnsi="Arial" w:cs="Arial"/>
          <w:color w:val="auto"/>
          <w:szCs w:val="21"/>
          <w:highlight w:val="none"/>
          <w:lang w:val="en-US" w:eastAsia="zh-CN"/>
        </w:rPr>
      </w:pPr>
    </w:p>
    <w:p w14:paraId="20CCD522">
      <w:pPr>
        <w:pStyle w:val="32"/>
        <w:rPr>
          <w:rFonts w:hint="eastAsia" w:ascii="Arial" w:hAnsi="Arial" w:cs="Arial"/>
          <w:color w:val="auto"/>
          <w:szCs w:val="21"/>
          <w:highlight w:val="none"/>
          <w:lang w:val="en-US" w:eastAsia="zh-CN"/>
        </w:rPr>
      </w:pPr>
    </w:p>
    <w:p w14:paraId="452E5EF7">
      <w:pPr>
        <w:pStyle w:val="32"/>
        <w:rPr>
          <w:rFonts w:hint="eastAsia" w:ascii="Arial" w:hAnsi="Arial" w:cs="Arial"/>
          <w:color w:val="auto"/>
          <w:szCs w:val="21"/>
          <w:highlight w:val="none"/>
          <w:lang w:val="en-US" w:eastAsia="zh-CN"/>
        </w:rPr>
      </w:pPr>
    </w:p>
    <w:p w14:paraId="12240AFA">
      <w:pPr>
        <w:pStyle w:val="32"/>
        <w:rPr>
          <w:rFonts w:hint="eastAsia" w:ascii="Arial" w:hAnsi="Arial" w:cs="Arial"/>
          <w:color w:val="auto"/>
          <w:szCs w:val="21"/>
          <w:highlight w:val="none"/>
          <w:lang w:val="en-US" w:eastAsia="zh-CN"/>
        </w:rPr>
      </w:pPr>
    </w:p>
    <w:p w14:paraId="39CB8BA8">
      <w:pPr>
        <w:pStyle w:val="32"/>
        <w:rPr>
          <w:rFonts w:hint="eastAsia" w:ascii="Arial" w:hAnsi="Arial" w:cs="Arial"/>
          <w:color w:val="auto"/>
          <w:szCs w:val="21"/>
          <w:highlight w:val="none"/>
          <w:lang w:val="en-US" w:eastAsia="zh-CN"/>
        </w:rPr>
      </w:pPr>
    </w:p>
    <w:p w14:paraId="65FAE79B">
      <w:pPr>
        <w:pStyle w:val="32"/>
        <w:rPr>
          <w:rFonts w:hint="eastAsia" w:ascii="Arial" w:hAnsi="Arial" w:cs="Arial"/>
          <w:color w:val="auto"/>
          <w:szCs w:val="21"/>
          <w:highlight w:val="none"/>
          <w:lang w:val="en-US" w:eastAsia="zh-CN"/>
        </w:rPr>
      </w:pPr>
    </w:p>
    <w:p w14:paraId="21168F49">
      <w:pPr>
        <w:pStyle w:val="32"/>
        <w:rPr>
          <w:rFonts w:hint="eastAsia" w:ascii="Arial" w:hAnsi="Arial" w:cs="Arial"/>
          <w:color w:val="auto"/>
          <w:szCs w:val="21"/>
          <w:highlight w:val="none"/>
          <w:lang w:val="en-US" w:eastAsia="zh-CN"/>
        </w:rPr>
      </w:pPr>
    </w:p>
    <w:p w14:paraId="70FC3B4E">
      <w:pPr>
        <w:pStyle w:val="32"/>
        <w:rPr>
          <w:rFonts w:hint="eastAsia" w:ascii="Arial" w:hAnsi="Arial" w:cs="Arial"/>
          <w:color w:val="auto"/>
          <w:szCs w:val="21"/>
          <w:highlight w:val="none"/>
          <w:lang w:val="en-US" w:eastAsia="zh-CN"/>
        </w:rPr>
      </w:pPr>
    </w:p>
    <w:p w14:paraId="0B59A627">
      <w:pPr>
        <w:pStyle w:val="32"/>
        <w:rPr>
          <w:rFonts w:hint="eastAsia" w:ascii="Arial" w:hAnsi="Arial" w:cs="Arial"/>
          <w:color w:val="auto"/>
          <w:szCs w:val="21"/>
          <w:highlight w:val="none"/>
          <w:lang w:val="en-US" w:eastAsia="zh-CN"/>
        </w:rPr>
      </w:pPr>
    </w:p>
    <w:p w14:paraId="671EAA9B">
      <w:pPr>
        <w:pStyle w:val="32"/>
        <w:rPr>
          <w:rFonts w:hint="eastAsia" w:ascii="Arial" w:hAnsi="Arial" w:cs="Arial"/>
          <w:color w:val="auto"/>
          <w:szCs w:val="21"/>
          <w:highlight w:val="none"/>
          <w:lang w:val="en-US" w:eastAsia="zh-CN"/>
        </w:rPr>
      </w:pPr>
    </w:p>
    <w:p w14:paraId="097BE8B0">
      <w:pPr>
        <w:pStyle w:val="32"/>
        <w:rPr>
          <w:rFonts w:hint="eastAsia" w:ascii="Arial" w:hAnsi="Arial" w:cs="Arial"/>
          <w:color w:val="auto"/>
          <w:szCs w:val="21"/>
          <w:highlight w:val="none"/>
          <w:lang w:val="en-US" w:eastAsia="zh-CN"/>
        </w:rPr>
      </w:pPr>
    </w:p>
    <w:p w14:paraId="39C8B077">
      <w:pPr>
        <w:pStyle w:val="32"/>
        <w:rPr>
          <w:rFonts w:hint="eastAsia" w:ascii="Arial" w:hAnsi="Arial" w:cs="Arial"/>
          <w:color w:val="auto"/>
          <w:szCs w:val="21"/>
          <w:highlight w:val="none"/>
          <w:lang w:val="en-US" w:eastAsia="zh-CN"/>
        </w:rPr>
      </w:pPr>
    </w:p>
    <w:p w14:paraId="6B1C15DC">
      <w:pPr>
        <w:pStyle w:val="32"/>
        <w:rPr>
          <w:rFonts w:hint="eastAsia" w:ascii="Arial" w:hAnsi="Arial" w:cs="Arial"/>
          <w:color w:val="auto"/>
          <w:szCs w:val="21"/>
          <w:highlight w:val="none"/>
          <w:lang w:val="en-US" w:eastAsia="zh-CN"/>
        </w:rPr>
      </w:pPr>
    </w:p>
    <w:p w14:paraId="50431307">
      <w:pPr>
        <w:pStyle w:val="32"/>
        <w:rPr>
          <w:rFonts w:hint="eastAsia" w:ascii="Arial" w:hAnsi="Arial" w:cs="Arial"/>
          <w:color w:val="auto"/>
          <w:szCs w:val="21"/>
          <w:highlight w:val="none"/>
          <w:lang w:val="en-US" w:eastAsia="zh-CN"/>
        </w:rPr>
      </w:pPr>
    </w:p>
    <w:p w14:paraId="713B86AA">
      <w:pPr>
        <w:pStyle w:val="32"/>
        <w:rPr>
          <w:rFonts w:hint="eastAsia" w:ascii="Arial" w:hAnsi="Arial" w:cs="Arial"/>
          <w:color w:val="auto"/>
          <w:szCs w:val="21"/>
          <w:highlight w:val="none"/>
          <w:lang w:val="en-US" w:eastAsia="zh-CN"/>
        </w:rPr>
      </w:pPr>
    </w:p>
    <w:p w14:paraId="7B945D81">
      <w:pPr>
        <w:pStyle w:val="32"/>
        <w:rPr>
          <w:rFonts w:hint="eastAsia" w:ascii="Arial" w:hAnsi="Arial" w:cs="Arial"/>
          <w:color w:val="auto"/>
          <w:szCs w:val="21"/>
          <w:highlight w:val="none"/>
          <w:lang w:val="en-US" w:eastAsia="zh-CN"/>
        </w:rPr>
      </w:pPr>
    </w:p>
    <w:p w14:paraId="54D1FD2C">
      <w:pPr>
        <w:pStyle w:val="32"/>
        <w:rPr>
          <w:rFonts w:hint="eastAsia" w:ascii="Arial" w:hAnsi="Arial" w:cs="Arial"/>
          <w:color w:val="auto"/>
          <w:szCs w:val="21"/>
          <w:highlight w:val="none"/>
          <w:lang w:val="en-US" w:eastAsia="zh-CN"/>
        </w:rPr>
      </w:pPr>
    </w:p>
    <w:p w14:paraId="7B8F2EF0">
      <w:pPr>
        <w:pStyle w:val="32"/>
        <w:rPr>
          <w:rFonts w:hint="eastAsia" w:ascii="Arial" w:hAnsi="Arial" w:cs="Arial"/>
          <w:color w:val="auto"/>
          <w:szCs w:val="21"/>
          <w:highlight w:val="none"/>
          <w:lang w:val="en-US" w:eastAsia="zh-CN"/>
        </w:rPr>
      </w:pPr>
    </w:p>
    <w:p w14:paraId="4E8AD5C5">
      <w:pPr>
        <w:pStyle w:val="32"/>
        <w:rPr>
          <w:rFonts w:hint="eastAsia" w:ascii="Arial" w:hAnsi="Arial" w:cs="Arial"/>
          <w:color w:val="auto"/>
          <w:szCs w:val="21"/>
          <w:highlight w:val="none"/>
          <w:lang w:val="en-US" w:eastAsia="zh-CN"/>
        </w:rPr>
      </w:pPr>
    </w:p>
    <w:p w14:paraId="54E4B70F">
      <w:pPr>
        <w:pStyle w:val="32"/>
        <w:rPr>
          <w:rFonts w:hint="eastAsia" w:ascii="Arial" w:hAnsi="Arial" w:cs="Arial"/>
          <w:color w:val="auto"/>
          <w:szCs w:val="21"/>
          <w:highlight w:val="none"/>
          <w:lang w:val="en-US" w:eastAsia="zh-CN"/>
        </w:rPr>
      </w:pPr>
    </w:p>
    <w:p w14:paraId="29E3368B">
      <w:pPr>
        <w:pStyle w:val="32"/>
        <w:rPr>
          <w:rFonts w:hint="eastAsia" w:ascii="Arial" w:hAnsi="Arial" w:cs="Arial"/>
          <w:color w:val="auto"/>
          <w:szCs w:val="21"/>
          <w:highlight w:val="none"/>
          <w:lang w:val="en-US" w:eastAsia="zh-CN"/>
        </w:rPr>
      </w:pPr>
    </w:p>
    <w:p w14:paraId="36AE5578">
      <w:pPr>
        <w:pStyle w:val="32"/>
        <w:rPr>
          <w:rFonts w:hint="eastAsia" w:ascii="Arial" w:hAnsi="Arial" w:cs="Arial"/>
          <w:color w:val="auto"/>
          <w:szCs w:val="21"/>
          <w:highlight w:val="none"/>
          <w:lang w:val="en-US" w:eastAsia="zh-CN"/>
        </w:rPr>
      </w:pPr>
    </w:p>
    <w:p w14:paraId="62A73415">
      <w:pPr>
        <w:pStyle w:val="32"/>
        <w:rPr>
          <w:rFonts w:hint="eastAsia" w:ascii="Arial" w:hAnsi="Arial" w:cs="Arial"/>
          <w:color w:val="auto"/>
          <w:szCs w:val="21"/>
          <w:highlight w:val="none"/>
          <w:lang w:val="en-US" w:eastAsia="zh-CN"/>
        </w:rPr>
      </w:pPr>
    </w:p>
    <w:p w14:paraId="39CB749F">
      <w:pPr>
        <w:pStyle w:val="32"/>
        <w:rPr>
          <w:rFonts w:hint="eastAsia" w:ascii="Arial" w:hAnsi="Arial" w:cs="Arial"/>
          <w:color w:val="auto"/>
          <w:szCs w:val="21"/>
          <w:highlight w:val="none"/>
          <w:lang w:val="en-US" w:eastAsia="zh-CN"/>
        </w:rPr>
      </w:pPr>
    </w:p>
    <w:p w14:paraId="3B85BAAB">
      <w:pPr>
        <w:pStyle w:val="32"/>
        <w:rPr>
          <w:rFonts w:hint="eastAsia" w:ascii="Arial" w:hAnsi="Arial" w:cs="Arial"/>
          <w:color w:val="auto"/>
          <w:szCs w:val="21"/>
          <w:highlight w:val="none"/>
          <w:lang w:val="en-US" w:eastAsia="zh-CN"/>
        </w:rPr>
      </w:pPr>
    </w:p>
    <w:p w14:paraId="28E55E04">
      <w:pPr>
        <w:pStyle w:val="32"/>
        <w:rPr>
          <w:rFonts w:hint="eastAsia" w:ascii="Arial" w:hAnsi="Arial" w:cs="Arial"/>
          <w:color w:val="auto"/>
          <w:szCs w:val="21"/>
          <w:highlight w:val="none"/>
          <w:lang w:val="en-US" w:eastAsia="zh-CN"/>
        </w:rPr>
      </w:pPr>
    </w:p>
    <w:p w14:paraId="4EAE4396">
      <w:pPr>
        <w:pStyle w:val="32"/>
        <w:rPr>
          <w:rFonts w:hint="eastAsia" w:ascii="Arial" w:hAnsi="Arial" w:cs="Arial"/>
          <w:color w:val="auto"/>
          <w:szCs w:val="21"/>
          <w:highlight w:val="none"/>
          <w:lang w:val="en-US" w:eastAsia="zh-CN"/>
        </w:rPr>
      </w:pPr>
    </w:p>
    <w:p w14:paraId="2B98DF96">
      <w:pPr>
        <w:pStyle w:val="32"/>
        <w:rPr>
          <w:rFonts w:hint="eastAsia" w:ascii="Arial" w:hAnsi="Arial" w:cs="Arial"/>
          <w:color w:val="auto"/>
          <w:szCs w:val="21"/>
          <w:highlight w:val="none"/>
          <w:lang w:val="en-US" w:eastAsia="zh-CN"/>
        </w:rPr>
      </w:pPr>
    </w:p>
    <w:p w14:paraId="68300DDC">
      <w:pPr>
        <w:pStyle w:val="32"/>
        <w:rPr>
          <w:rFonts w:hint="eastAsia" w:ascii="Arial" w:hAnsi="Arial" w:cs="Arial"/>
          <w:color w:val="auto"/>
          <w:szCs w:val="21"/>
          <w:highlight w:val="none"/>
          <w:lang w:val="en-US" w:eastAsia="zh-CN"/>
        </w:rPr>
      </w:pPr>
    </w:p>
    <w:p w14:paraId="5BE279DC">
      <w:pPr>
        <w:pStyle w:val="32"/>
        <w:rPr>
          <w:rFonts w:hint="eastAsia" w:ascii="Arial" w:hAnsi="Arial" w:cs="Arial"/>
          <w:color w:val="auto"/>
          <w:szCs w:val="21"/>
          <w:highlight w:val="none"/>
          <w:lang w:val="en-US" w:eastAsia="zh-CN"/>
        </w:rPr>
      </w:pPr>
    </w:p>
    <w:p w14:paraId="2776949E">
      <w:pPr>
        <w:pStyle w:val="32"/>
        <w:rPr>
          <w:rFonts w:hint="eastAsia" w:ascii="Arial" w:hAnsi="Arial" w:cs="Arial"/>
          <w:color w:val="auto"/>
          <w:szCs w:val="21"/>
          <w:highlight w:val="none"/>
          <w:lang w:val="en-US" w:eastAsia="zh-CN"/>
        </w:rPr>
      </w:pPr>
    </w:p>
    <w:p w14:paraId="23E88B27">
      <w:pPr>
        <w:pStyle w:val="32"/>
        <w:rPr>
          <w:rFonts w:hint="eastAsia" w:ascii="Arial" w:hAnsi="Arial" w:cs="Arial"/>
          <w:color w:val="auto"/>
          <w:szCs w:val="21"/>
          <w:highlight w:val="none"/>
          <w:lang w:val="en-US" w:eastAsia="zh-CN"/>
        </w:rPr>
      </w:pPr>
    </w:p>
    <w:p w14:paraId="40542898">
      <w:pPr>
        <w:pStyle w:val="32"/>
        <w:rPr>
          <w:rFonts w:hint="eastAsia" w:ascii="Arial" w:hAnsi="Arial" w:cs="Arial"/>
          <w:color w:val="auto"/>
          <w:szCs w:val="21"/>
          <w:highlight w:val="none"/>
          <w:lang w:val="en-US" w:eastAsia="zh-CN"/>
        </w:rPr>
      </w:pPr>
    </w:p>
    <w:p w14:paraId="6B2F8374">
      <w:pPr>
        <w:pStyle w:val="32"/>
        <w:rPr>
          <w:rFonts w:hint="eastAsia" w:ascii="Arial" w:hAnsi="Arial" w:cs="Arial"/>
          <w:color w:val="auto"/>
          <w:szCs w:val="21"/>
          <w:highlight w:val="none"/>
          <w:lang w:val="en-US" w:eastAsia="zh-CN"/>
        </w:rPr>
      </w:pPr>
    </w:p>
    <w:p w14:paraId="28BC217A">
      <w:pPr>
        <w:pStyle w:val="32"/>
        <w:rPr>
          <w:rFonts w:hint="default" w:ascii="Arial" w:hAnsi="Arial" w:cs="Arial"/>
          <w:color w:val="auto"/>
          <w:szCs w:val="21"/>
          <w:highlight w:val="none"/>
          <w:lang w:val="en-US" w:eastAsia="zh-CN"/>
        </w:rPr>
      </w:pPr>
    </w:p>
    <w:p w14:paraId="0D761CF7">
      <w:pPr>
        <w:numPr>
          <w:ilvl w:val="0"/>
          <w:numId w:val="0"/>
        </w:numPr>
        <w:spacing w:line="360" w:lineRule="auto"/>
        <w:ind w:left="420" w:lef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（八）关于满足《中华人民共和国政府采购法》第二十二条的承诺</w:t>
      </w:r>
    </w:p>
    <w:p w14:paraId="7F5542E8">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lang w:val="en-US" w:eastAsia="zh-CN" w:bidi="ar-SA"/>
        </w:rPr>
      </w:pPr>
    </w:p>
    <w:p w14:paraId="7D0F041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我公司作为本次采购项目的投标人，根据招标文件要求，现郑重承诺如下：</w:t>
      </w:r>
    </w:p>
    <w:p w14:paraId="6C45DF5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一、具备《中华人民共和国政府采购法》第二十二条的条件：</w:t>
      </w:r>
    </w:p>
    <w:p w14:paraId="36E3E6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（一）具有独立承担民事责任的能力； </w:t>
      </w:r>
    </w:p>
    <w:p w14:paraId="09916F0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（二）具有良好的商业信誉和健全的财务会计制度； </w:t>
      </w:r>
    </w:p>
    <w:p w14:paraId="359A696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（三）具有履行合同所必需的设备和专业技术能力； </w:t>
      </w:r>
    </w:p>
    <w:p w14:paraId="45BDC7B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（四）有依法缴纳税收和社会保障资金的良好记录； </w:t>
      </w:r>
    </w:p>
    <w:p w14:paraId="0B7768B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（五）在经营活动中没有重大违法记录；</w:t>
      </w:r>
    </w:p>
    <w:p w14:paraId="5C48A3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（六）法律、行政法规规定的其他条件；</w:t>
      </w:r>
    </w:p>
    <w:p w14:paraId="303A869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本公司对上述承诺的内容事项真实性负责。如经查实上述承诺的内容事项存在虚假，我公司愿意接受以提供虚假材料谋取中标追究法律责任。</w:t>
      </w:r>
    </w:p>
    <w:p w14:paraId="1C179E6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企业名称(盖公章):</w:t>
      </w:r>
    </w:p>
    <w:p w14:paraId="4567E7B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法定代表人(负责人)或其授权代表(签字</w:t>
      </w:r>
      <w:r>
        <w:rPr>
          <w:rFonts w:hint="eastAsia" w:ascii="宋体" w:hAnsi="宋体" w:cs="宋体"/>
          <w:kern w:val="0"/>
          <w:sz w:val="24"/>
          <w:szCs w:val="24"/>
          <w:lang w:val="en-US" w:eastAsia="zh-CN" w:bidi="ar-SA"/>
        </w:rPr>
        <w:t>或盖章</w:t>
      </w:r>
      <w:r>
        <w:rPr>
          <w:rFonts w:hint="eastAsia" w:ascii="宋体" w:hAnsi="宋体" w:eastAsia="宋体" w:cs="宋体"/>
          <w:kern w:val="0"/>
          <w:sz w:val="24"/>
          <w:szCs w:val="24"/>
          <w:lang w:val="en-US" w:eastAsia="zh-CN" w:bidi="ar-SA"/>
        </w:rPr>
        <w:t>):</w:t>
      </w:r>
    </w:p>
    <w:p w14:paraId="52667F5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日期:</w:t>
      </w:r>
    </w:p>
    <w:p w14:paraId="0FD91FA0">
      <w:pPr>
        <w:widowControl/>
        <w:spacing w:line="560" w:lineRule="exact"/>
        <w:ind w:firstLine="630"/>
        <w:jc w:val="left"/>
        <w:rPr>
          <w:rFonts w:hint="eastAsia" w:ascii="宋体" w:hAnsi="宋体" w:eastAsia="宋体" w:cs="宋体"/>
          <w:color w:val="auto"/>
          <w:kern w:val="0"/>
          <w:sz w:val="24"/>
          <w:szCs w:val="24"/>
          <w:highlight w:val="none"/>
          <w:lang w:eastAsia="zh-CN"/>
        </w:rPr>
      </w:pPr>
    </w:p>
    <w:p w14:paraId="67DF1B87">
      <w:pPr>
        <w:rPr>
          <w:rFonts w:ascii="Arial" w:hAnsi="Arial" w:cs="Arial"/>
          <w:color w:val="auto"/>
          <w:szCs w:val="21"/>
          <w:highlight w:val="none"/>
        </w:rPr>
      </w:pPr>
      <w:r>
        <w:rPr>
          <w:rFonts w:ascii="Arial" w:hAnsi="Arial" w:cs="Arial"/>
          <w:color w:val="auto"/>
          <w:szCs w:val="21"/>
          <w:highlight w:val="none"/>
        </w:rPr>
        <w:br w:type="page"/>
      </w:r>
    </w:p>
    <w:p w14:paraId="70BE810B">
      <w:pPr>
        <w:pStyle w:val="3"/>
        <w:bidi w:val="0"/>
        <w:rPr>
          <w:rFonts w:hint="eastAsia"/>
          <w:color w:val="auto"/>
          <w:sz w:val="28"/>
          <w:szCs w:val="28"/>
          <w:highlight w:val="none"/>
          <w:lang w:val="zh-CN" w:eastAsia="zh-CN"/>
        </w:rPr>
      </w:pPr>
      <w:bookmarkStart w:id="626" w:name="_Toc163492923"/>
      <w:bookmarkStart w:id="627" w:name="_Toc109899917"/>
      <w:bookmarkStart w:id="628" w:name="_Toc140132840"/>
      <w:bookmarkStart w:id="629" w:name="_Toc109899498"/>
      <w:bookmarkStart w:id="630" w:name="_Toc109900336"/>
      <w:bookmarkStart w:id="631" w:name="_Toc155185930"/>
      <w:bookmarkStart w:id="632" w:name="_Toc3502"/>
      <w:bookmarkStart w:id="633" w:name="_Toc21134"/>
      <w:r>
        <w:rPr>
          <w:rFonts w:hint="eastAsia"/>
          <w:color w:val="auto"/>
          <w:sz w:val="28"/>
          <w:szCs w:val="28"/>
          <w:highlight w:val="none"/>
          <w:lang w:val="en-US" w:eastAsia="zh-CN"/>
        </w:rPr>
        <w:t>二、</w:t>
      </w:r>
      <w:bookmarkEnd w:id="626"/>
      <w:bookmarkEnd w:id="627"/>
      <w:bookmarkEnd w:id="628"/>
      <w:bookmarkEnd w:id="629"/>
      <w:bookmarkEnd w:id="630"/>
      <w:bookmarkEnd w:id="631"/>
      <w:bookmarkStart w:id="634" w:name="_Toc155185931"/>
      <w:r>
        <w:rPr>
          <w:rFonts w:hint="eastAsia"/>
          <w:color w:val="auto"/>
          <w:sz w:val="28"/>
          <w:szCs w:val="28"/>
          <w:highlight w:val="none"/>
          <w:lang w:val="zh-CN" w:eastAsia="zh-CN"/>
        </w:rPr>
        <w:t>联合体协议书</w:t>
      </w:r>
      <w:bookmarkEnd w:id="634"/>
      <w:r>
        <w:rPr>
          <w:rFonts w:hint="eastAsia"/>
          <w:color w:val="auto"/>
          <w:sz w:val="28"/>
          <w:szCs w:val="28"/>
          <w:highlight w:val="none"/>
          <w:lang w:val="zh-CN" w:eastAsia="zh-CN"/>
        </w:rPr>
        <w:t>【如适用】</w:t>
      </w:r>
      <w:bookmarkEnd w:id="632"/>
      <w:bookmarkEnd w:id="633"/>
    </w:p>
    <w:p w14:paraId="23E3BC9F">
      <w:pPr>
        <w:snapToGrid w:val="0"/>
        <w:spacing w:line="360" w:lineRule="auto"/>
        <w:jc w:val="center"/>
        <w:outlineLvl w:val="0"/>
        <w:rPr>
          <w:rFonts w:hint="eastAsia" w:ascii="宋体" w:hAnsi="宋体" w:cs="宋体"/>
          <w:b/>
          <w:color w:val="auto"/>
          <w:kern w:val="0"/>
          <w:sz w:val="32"/>
          <w:szCs w:val="32"/>
          <w:highlight w:val="none"/>
        </w:rPr>
      </w:pPr>
      <w:bookmarkStart w:id="635" w:name="_Toc24531"/>
      <w:bookmarkStart w:id="636" w:name="_Toc12650"/>
      <w:bookmarkStart w:id="637" w:name="_Toc919"/>
      <w:r>
        <w:rPr>
          <w:rFonts w:hint="eastAsia" w:ascii="宋体" w:hAnsi="宋体" w:cs="宋体"/>
          <w:b/>
          <w:color w:val="auto"/>
          <w:kern w:val="0"/>
          <w:sz w:val="32"/>
          <w:szCs w:val="32"/>
          <w:highlight w:val="none"/>
        </w:rPr>
        <w:t>联合体协议书</w:t>
      </w:r>
      <w:bookmarkEnd w:id="635"/>
      <w:bookmarkEnd w:id="636"/>
      <w:bookmarkEnd w:id="637"/>
    </w:p>
    <w:p w14:paraId="6795462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14187E6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682E874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FA3C7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794C756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5742291A">
      <w:pPr>
        <w:snapToGrid w:val="0"/>
        <w:spacing w:line="360" w:lineRule="auto"/>
        <w:ind w:firstLine="576"/>
        <w:rPr>
          <w:rFonts w:ascii="宋体" w:hAnsi="宋体" w:cs="宋体"/>
          <w:color w:val="auto"/>
          <w:kern w:val="0"/>
          <w:sz w:val="24"/>
          <w:highlight w:val="none"/>
          <w:lang w:val="zh-CN"/>
        </w:rPr>
      </w:pPr>
      <w:bookmarkStart w:id="638"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51F758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E4350A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638"/>
    <w:p w14:paraId="417425E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40493970">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C0B64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1EC462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0B6A8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18CE91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23C062C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0DAC400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B29320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3009373">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580F475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ABC4BD">
      <w:pPr>
        <w:snapToGrid w:val="0"/>
        <w:spacing w:line="360" w:lineRule="auto"/>
        <w:ind w:firstLine="576"/>
        <w:rPr>
          <w:rFonts w:hint="eastAsia" w:ascii="宋体" w:hAnsi="宋体" w:cs="宋体"/>
          <w:color w:val="auto"/>
          <w:kern w:val="0"/>
          <w:sz w:val="24"/>
          <w:highlight w:val="none"/>
          <w:lang w:val="zh-CN"/>
        </w:rPr>
      </w:pPr>
    </w:p>
    <w:p w14:paraId="4D791421">
      <w:pPr>
        <w:snapToGrid w:val="0"/>
        <w:spacing w:line="360" w:lineRule="auto"/>
        <w:ind w:firstLine="576"/>
        <w:rPr>
          <w:rFonts w:hint="eastAsia" w:ascii="宋体" w:hAnsi="宋体" w:cs="宋体"/>
          <w:color w:val="auto"/>
          <w:kern w:val="0"/>
          <w:sz w:val="24"/>
          <w:highlight w:val="none"/>
          <w:lang w:val="zh-CN"/>
        </w:rPr>
      </w:pPr>
    </w:p>
    <w:p w14:paraId="1BE31DA1">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F94648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C01AA77">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64D03F6B">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69BB115A">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054D30BD">
      <w:pPr>
        <w:pStyle w:val="3"/>
        <w:bidi w:val="0"/>
        <w:rPr>
          <w:rFonts w:hint="eastAsia"/>
          <w:color w:val="auto"/>
          <w:sz w:val="28"/>
          <w:szCs w:val="28"/>
          <w:highlight w:val="none"/>
          <w:lang w:val="zh-CN" w:eastAsia="zh-CN"/>
        </w:rPr>
      </w:pPr>
      <w:bookmarkStart w:id="639" w:name="_Toc162299566"/>
      <w:bookmarkStart w:id="640" w:name="_Toc156490356"/>
      <w:bookmarkStart w:id="641" w:name="_Toc20320"/>
      <w:bookmarkStart w:id="642" w:name="_Toc10975"/>
      <w:bookmarkStart w:id="643" w:name="_Hlk101169080"/>
      <w:r>
        <w:rPr>
          <w:rFonts w:hint="eastAsia"/>
          <w:color w:val="auto"/>
          <w:sz w:val="28"/>
          <w:szCs w:val="28"/>
          <w:highlight w:val="none"/>
          <w:lang w:val="en-US" w:eastAsia="zh-CN"/>
        </w:rPr>
        <w:t>三、</w:t>
      </w:r>
      <w:r>
        <w:rPr>
          <w:rFonts w:hint="eastAsia"/>
          <w:color w:val="auto"/>
          <w:sz w:val="28"/>
          <w:szCs w:val="28"/>
          <w:highlight w:val="none"/>
          <w:lang w:val="zh-CN" w:eastAsia="zh-CN"/>
        </w:rPr>
        <w:t>分包意向协议书【如适用】</w:t>
      </w:r>
      <w:bookmarkEnd w:id="639"/>
      <w:bookmarkEnd w:id="640"/>
      <w:bookmarkEnd w:id="641"/>
      <w:bookmarkEnd w:id="642"/>
    </w:p>
    <w:p w14:paraId="7214AD2B">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644" w:name="_Toc3174"/>
      <w:bookmarkStart w:id="645" w:name="_Toc14674"/>
      <w:bookmarkStart w:id="646" w:name="_Toc18859"/>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644"/>
      <w:bookmarkEnd w:id="645"/>
      <w:bookmarkEnd w:id="646"/>
    </w:p>
    <w:p w14:paraId="4E9F0BF4">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5791A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545E90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E08737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37B916C5">
      <w:pPr>
        <w:pStyle w:val="3"/>
        <w:tabs>
          <w:tab w:val="left" w:pos="432"/>
        </w:tabs>
        <w:ind w:left="758" w:leftChars="316" w:firstLine="229" w:firstLineChars="95"/>
        <w:rPr>
          <w:rFonts w:ascii="宋体" w:hAnsi="宋体" w:eastAsia="宋体" w:cs="宋体"/>
          <w:color w:val="auto"/>
          <w:kern w:val="0"/>
          <w:sz w:val="24"/>
          <w:szCs w:val="24"/>
          <w:highlight w:val="none"/>
        </w:rPr>
      </w:pPr>
      <w:bookmarkStart w:id="647" w:name="_Toc7532"/>
      <w:bookmarkStart w:id="648" w:name="_Toc9911"/>
      <w:bookmarkStart w:id="649" w:name="_Toc20300"/>
      <w:r>
        <w:rPr>
          <w:rFonts w:hint="eastAsia" w:ascii="宋体" w:hAnsi="宋体" w:eastAsia="宋体" w:cs="宋体"/>
          <w:color w:val="auto"/>
          <w:kern w:val="0"/>
          <w:sz w:val="24"/>
          <w:szCs w:val="24"/>
          <w:highlight w:val="none"/>
        </w:rPr>
        <w:t>……</w:t>
      </w:r>
      <w:bookmarkEnd w:id="647"/>
      <w:bookmarkEnd w:id="648"/>
      <w:bookmarkEnd w:id="649"/>
    </w:p>
    <w:p w14:paraId="0426889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145FF207">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650"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650"/>
    </w:p>
    <w:p w14:paraId="51C56E7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F26E4A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7925029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369B1B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E7AB0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632B92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C79FAF7">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17F77B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CBB9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5D83C45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DC21D17">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286910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3AD0D69">
      <w:pPr>
        <w:snapToGrid w:val="0"/>
        <w:spacing w:line="360" w:lineRule="auto"/>
        <w:jc w:val="right"/>
        <w:rPr>
          <w:rFonts w:ascii="宋体" w:hAnsi="宋体" w:cs="宋体"/>
          <w:color w:val="auto"/>
          <w:kern w:val="0"/>
          <w:sz w:val="24"/>
          <w:highlight w:val="none"/>
          <w:lang w:val="zh-CN"/>
        </w:rPr>
      </w:pPr>
    </w:p>
    <w:p w14:paraId="102F6BD9">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2C38D7A">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9A2F910">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7F0D76CC">
      <w:pPr>
        <w:topLinePunct/>
        <w:ind w:firstLine="480" w:firstLineChars="200"/>
        <w:rPr>
          <w:rFonts w:hint="eastAsia"/>
          <w:color w:val="auto"/>
          <w:szCs w:val="32"/>
          <w:highlight w:val="none"/>
        </w:rPr>
      </w:pPr>
    </w:p>
    <w:p w14:paraId="5F400CB9">
      <w:pPr>
        <w:topLinePunct/>
        <w:ind w:firstLine="480" w:firstLineChars="200"/>
        <w:rPr>
          <w:rFonts w:hint="eastAsia"/>
          <w:color w:val="auto"/>
          <w:szCs w:val="32"/>
          <w:highlight w:val="none"/>
        </w:rPr>
      </w:pPr>
    </w:p>
    <w:p w14:paraId="11CAF290">
      <w:pPr>
        <w:topLinePunct/>
        <w:ind w:firstLine="480" w:firstLineChars="200"/>
        <w:rPr>
          <w:rFonts w:hint="eastAsia"/>
          <w:color w:val="auto"/>
          <w:szCs w:val="32"/>
          <w:highlight w:val="none"/>
        </w:rPr>
      </w:pPr>
    </w:p>
    <w:p w14:paraId="35CFE103">
      <w:pPr>
        <w:topLinePunct/>
        <w:ind w:firstLine="480" w:firstLineChars="200"/>
        <w:rPr>
          <w:rFonts w:hint="eastAsia"/>
          <w:color w:val="auto"/>
          <w:szCs w:val="32"/>
          <w:highlight w:val="none"/>
        </w:rPr>
      </w:pPr>
    </w:p>
    <w:bookmarkEnd w:id="643"/>
    <w:p w14:paraId="5775F461">
      <w:pPr>
        <w:ind w:left="2520" w:leftChars="1050"/>
        <w:rPr>
          <w:color w:val="auto"/>
          <w:highlight w:val="none"/>
        </w:rPr>
      </w:pPr>
      <w:r>
        <w:rPr>
          <w:rFonts w:cs="Courier New"/>
          <w:color w:val="auto"/>
          <w:szCs w:val="24"/>
          <w:highlight w:val="none"/>
        </w:rPr>
        <w:br w:type="page"/>
      </w:r>
    </w:p>
    <w:p w14:paraId="6C745F3D">
      <w:pPr>
        <w:pStyle w:val="3"/>
        <w:bidi w:val="0"/>
        <w:rPr>
          <w:rFonts w:hint="eastAsia"/>
          <w:color w:val="auto"/>
          <w:sz w:val="28"/>
          <w:szCs w:val="28"/>
          <w:highlight w:val="none"/>
          <w:lang w:val="en-US" w:eastAsia="zh-CN"/>
        </w:rPr>
      </w:pPr>
      <w:bookmarkStart w:id="651" w:name="_Toc155185932"/>
      <w:bookmarkStart w:id="652" w:name="_Toc163492926"/>
      <w:bookmarkStart w:id="653" w:name="_Toc30866"/>
      <w:bookmarkStart w:id="654" w:name="_Toc14524"/>
      <w:r>
        <w:rPr>
          <w:rFonts w:hint="eastAsia"/>
          <w:color w:val="auto"/>
          <w:sz w:val="28"/>
          <w:szCs w:val="28"/>
          <w:highlight w:val="none"/>
          <w:lang w:val="en-US" w:eastAsia="zh-CN"/>
        </w:rPr>
        <w:t>四、</w:t>
      </w:r>
      <w:bookmarkEnd w:id="651"/>
      <w:bookmarkEnd w:id="652"/>
      <w:r>
        <w:rPr>
          <w:rFonts w:hint="eastAsia"/>
          <w:color w:val="auto"/>
          <w:sz w:val="28"/>
          <w:szCs w:val="28"/>
          <w:highlight w:val="none"/>
          <w:lang w:val="en-US" w:eastAsia="zh-CN"/>
        </w:rPr>
        <w:t>落实政府采购政策相关证明文件</w:t>
      </w:r>
      <w:bookmarkEnd w:id="653"/>
      <w:bookmarkEnd w:id="654"/>
    </w:p>
    <w:p w14:paraId="0076F407">
      <w:pPr>
        <w:pStyle w:val="4"/>
        <w:bidi w:val="0"/>
        <w:rPr>
          <w:rFonts w:hint="eastAsia"/>
          <w:color w:val="auto"/>
          <w:sz w:val="24"/>
          <w:szCs w:val="24"/>
          <w:highlight w:val="none"/>
          <w:lang w:val="en-US" w:eastAsia="zh-CN"/>
        </w:rPr>
      </w:pPr>
      <w:bookmarkStart w:id="655" w:name="_Toc163492938"/>
      <w:bookmarkStart w:id="656" w:name="_Toc18227"/>
      <w:r>
        <w:rPr>
          <w:rFonts w:hint="eastAsia"/>
          <w:color w:val="auto"/>
          <w:sz w:val="24"/>
          <w:szCs w:val="24"/>
          <w:highlight w:val="none"/>
          <w:lang w:val="en-US" w:eastAsia="zh-CN"/>
        </w:rPr>
        <w:t>（一）节能环保产品清单及证明材料【如适用】</w:t>
      </w:r>
      <w:bookmarkEnd w:id="655"/>
      <w:bookmarkEnd w:id="656"/>
    </w:p>
    <w:p w14:paraId="129366EF">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51FADA0E">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4B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BA53A1">
            <w:pPr>
              <w:pStyle w:val="54"/>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33C66ABB">
            <w:pPr>
              <w:pStyle w:val="54"/>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0A6767B6">
            <w:pPr>
              <w:pStyle w:val="54"/>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1DEE91E">
            <w:pPr>
              <w:pStyle w:val="54"/>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5BB11F42">
            <w:pPr>
              <w:pStyle w:val="54"/>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46CD78D">
            <w:pPr>
              <w:pStyle w:val="54"/>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ABF9B6">
            <w:pPr>
              <w:pStyle w:val="54"/>
              <w:jc w:val="center"/>
              <w:rPr>
                <w:color w:val="auto"/>
                <w:sz w:val="21"/>
                <w:szCs w:val="21"/>
                <w:highlight w:val="none"/>
              </w:rPr>
            </w:pPr>
            <w:r>
              <w:rPr>
                <w:rFonts w:hint="eastAsia"/>
                <w:color w:val="auto"/>
                <w:sz w:val="21"/>
                <w:szCs w:val="21"/>
                <w:highlight w:val="none"/>
              </w:rPr>
              <w:t>单价</w:t>
            </w:r>
          </w:p>
          <w:p w14:paraId="022A35EE">
            <w:pPr>
              <w:pStyle w:val="54"/>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47F9C89C">
            <w:pPr>
              <w:pStyle w:val="54"/>
              <w:jc w:val="center"/>
              <w:rPr>
                <w:color w:val="auto"/>
                <w:sz w:val="21"/>
                <w:szCs w:val="21"/>
                <w:highlight w:val="none"/>
              </w:rPr>
            </w:pPr>
            <w:r>
              <w:rPr>
                <w:rFonts w:hint="eastAsia"/>
                <w:color w:val="auto"/>
                <w:sz w:val="21"/>
                <w:szCs w:val="21"/>
                <w:highlight w:val="none"/>
              </w:rPr>
              <w:t>总价</w:t>
            </w:r>
          </w:p>
          <w:p w14:paraId="13E39665">
            <w:pPr>
              <w:pStyle w:val="54"/>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EF1CA54">
            <w:pPr>
              <w:pStyle w:val="54"/>
              <w:jc w:val="center"/>
              <w:rPr>
                <w:color w:val="auto"/>
                <w:sz w:val="21"/>
                <w:szCs w:val="21"/>
                <w:highlight w:val="none"/>
              </w:rPr>
            </w:pPr>
            <w:r>
              <w:rPr>
                <w:rFonts w:hint="eastAsia"/>
                <w:color w:val="auto"/>
                <w:sz w:val="21"/>
                <w:szCs w:val="21"/>
                <w:highlight w:val="none"/>
              </w:rPr>
              <w:t>属强制采购或优先采购</w:t>
            </w:r>
          </w:p>
        </w:tc>
      </w:tr>
      <w:tr w14:paraId="2E90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ADB00D2">
            <w:pPr>
              <w:pStyle w:val="54"/>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3FEE94B">
            <w:pPr>
              <w:pStyle w:val="54"/>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10BB06E">
            <w:pPr>
              <w:pStyle w:val="54"/>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C5A5920">
            <w:pPr>
              <w:pStyle w:val="54"/>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5E1910D">
            <w:pPr>
              <w:pStyle w:val="54"/>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648ECA9">
            <w:pPr>
              <w:pStyle w:val="54"/>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64C2E61">
            <w:pPr>
              <w:pStyle w:val="54"/>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25FE785">
            <w:pPr>
              <w:pStyle w:val="54"/>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64D763D">
            <w:pPr>
              <w:pStyle w:val="54"/>
              <w:jc w:val="center"/>
              <w:rPr>
                <w:color w:val="auto"/>
                <w:sz w:val="21"/>
                <w:szCs w:val="21"/>
                <w:highlight w:val="none"/>
              </w:rPr>
            </w:pPr>
          </w:p>
        </w:tc>
      </w:tr>
      <w:tr w14:paraId="37C9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FEF61DD">
            <w:pPr>
              <w:pStyle w:val="54"/>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416B1F1">
            <w:pPr>
              <w:pStyle w:val="54"/>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C36B510">
            <w:pPr>
              <w:pStyle w:val="54"/>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AC0C7C">
            <w:pPr>
              <w:pStyle w:val="54"/>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67CCBE2">
            <w:pPr>
              <w:pStyle w:val="54"/>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2BBEE273">
            <w:pPr>
              <w:pStyle w:val="54"/>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202F913">
            <w:pPr>
              <w:pStyle w:val="54"/>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965158B">
            <w:pPr>
              <w:pStyle w:val="54"/>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778C7D9">
            <w:pPr>
              <w:pStyle w:val="54"/>
              <w:jc w:val="center"/>
              <w:rPr>
                <w:color w:val="auto"/>
                <w:sz w:val="21"/>
                <w:szCs w:val="21"/>
                <w:highlight w:val="none"/>
              </w:rPr>
            </w:pPr>
          </w:p>
        </w:tc>
      </w:tr>
      <w:tr w14:paraId="54DDF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48CCAB2">
            <w:pPr>
              <w:pStyle w:val="54"/>
              <w:numPr>
                <w:ilvl w:val="0"/>
                <w:numId w:val="5"/>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25CCB97">
            <w:pPr>
              <w:pStyle w:val="54"/>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0FBEE7F">
            <w:pPr>
              <w:pStyle w:val="54"/>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FABF0FD">
            <w:pPr>
              <w:pStyle w:val="54"/>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41EE4F1">
            <w:pPr>
              <w:pStyle w:val="54"/>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4758BE8">
            <w:pPr>
              <w:pStyle w:val="54"/>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503622">
            <w:pPr>
              <w:pStyle w:val="54"/>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3CD9502">
            <w:pPr>
              <w:pStyle w:val="54"/>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1E5F4FE">
            <w:pPr>
              <w:pStyle w:val="54"/>
              <w:jc w:val="center"/>
              <w:rPr>
                <w:color w:val="auto"/>
                <w:sz w:val="21"/>
                <w:szCs w:val="21"/>
                <w:highlight w:val="none"/>
              </w:rPr>
            </w:pPr>
          </w:p>
        </w:tc>
      </w:tr>
    </w:tbl>
    <w:p w14:paraId="0BF4E52B">
      <w:pPr>
        <w:spacing w:line="300" w:lineRule="auto"/>
        <w:rPr>
          <w:rFonts w:ascii="Arial" w:hAnsi="Arial" w:cs="Arial"/>
          <w:color w:val="auto"/>
          <w:szCs w:val="21"/>
          <w:highlight w:val="none"/>
        </w:rPr>
      </w:pPr>
    </w:p>
    <w:p w14:paraId="37B13C23">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5A5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E1C37F0">
            <w:pPr>
              <w:pStyle w:val="54"/>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1FD081C">
            <w:pPr>
              <w:pStyle w:val="54"/>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9856322">
            <w:pPr>
              <w:pStyle w:val="54"/>
              <w:jc w:val="center"/>
              <w:rPr>
                <w:color w:val="auto"/>
                <w:sz w:val="21"/>
                <w:szCs w:val="21"/>
                <w:highlight w:val="none"/>
              </w:rPr>
            </w:pPr>
            <w:r>
              <w:rPr>
                <w:rFonts w:hint="eastAsia"/>
                <w:color w:val="auto"/>
                <w:sz w:val="21"/>
                <w:szCs w:val="21"/>
                <w:highlight w:val="none"/>
              </w:rPr>
              <w:t>制造商</w:t>
            </w:r>
          </w:p>
          <w:p w14:paraId="43D7ECA8">
            <w:pPr>
              <w:pStyle w:val="54"/>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DA2F666">
            <w:pPr>
              <w:pStyle w:val="54"/>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C041C3A">
            <w:pPr>
              <w:pStyle w:val="54"/>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EC682A5">
            <w:pPr>
              <w:pStyle w:val="54"/>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112D1F1">
            <w:pPr>
              <w:pStyle w:val="54"/>
              <w:jc w:val="center"/>
              <w:rPr>
                <w:color w:val="auto"/>
                <w:sz w:val="21"/>
                <w:szCs w:val="21"/>
                <w:highlight w:val="none"/>
              </w:rPr>
            </w:pPr>
            <w:r>
              <w:rPr>
                <w:rFonts w:hint="eastAsia"/>
                <w:color w:val="auto"/>
                <w:sz w:val="21"/>
                <w:szCs w:val="21"/>
                <w:highlight w:val="none"/>
              </w:rPr>
              <w:t>单价</w:t>
            </w:r>
          </w:p>
          <w:p w14:paraId="0270B2E8">
            <w:pPr>
              <w:pStyle w:val="54"/>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D01C53">
            <w:pPr>
              <w:pStyle w:val="54"/>
              <w:jc w:val="center"/>
              <w:rPr>
                <w:color w:val="auto"/>
                <w:sz w:val="21"/>
                <w:szCs w:val="21"/>
                <w:highlight w:val="none"/>
              </w:rPr>
            </w:pPr>
            <w:r>
              <w:rPr>
                <w:rFonts w:hint="eastAsia"/>
                <w:color w:val="auto"/>
                <w:sz w:val="21"/>
                <w:szCs w:val="21"/>
                <w:highlight w:val="none"/>
              </w:rPr>
              <w:t>总价</w:t>
            </w:r>
          </w:p>
          <w:p w14:paraId="461D4258">
            <w:pPr>
              <w:pStyle w:val="54"/>
              <w:jc w:val="center"/>
              <w:rPr>
                <w:color w:val="auto"/>
                <w:sz w:val="21"/>
                <w:szCs w:val="21"/>
                <w:highlight w:val="none"/>
              </w:rPr>
            </w:pPr>
            <w:r>
              <w:rPr>
                <w:rFonts w:hint="eastAsia"/>
                <w:color w:val="auto"/>
                <w:sz w:val="21"/>
                <w:szCs w:val="21"/>
                <w:highlight w:val="none"/>
              </w:rPr>
              <w:t>（万元）</w:t>
            </w:r>
          </w:p>
        </w:tc>
      </w:tr>
      <w:tr w14:paraId="3C06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7FEDD7F">
            <w:pPr>
              <w:pStyle w:val="54"/>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E411FCE">
            <w:pPr>
              <w:pStyle w:val="54"/>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F21DE2B">
            <w:pPr>
              <w:pStyle w:val="54"/>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C5EDF09">
            <w:pPr>
              <w:pStyle w:val="54"/>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72516A">
            <w:pPr>
              <w:pStyle w:val="54"/>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6E3E6DE">
            <w:pPr>
              <w:pStyle w:val="54"/>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8F18718">
            <w:pPr>
              <w:pStyle w:val="54"/>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4FAA2A4">
            <w:pPr>
              <w:pStyle w:val="54"/>
              <w:jc w:val="center"/>
              <w:rPr>
                <w:color w:val="auto"/>
                <w:sz w:val="21"/>
                <w:szCs w:val="21"/>
                <w:highlight w:val="none"/>
              </w:rPr>
            </w:pPr>
          </w:p>
        </w:tc>
      </w:tr>
      <w:tr w14:paraId="507C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CEE92A2">
            <w:pPr>
              <w:pStyle w:val="54"/>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7004DF9">
            <w:pPr>
              <w:pStyle w:val="54"/>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7819FE1">
            <w:pPr>
              <w:pStyle w:val="54"/>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DD8FC99">
            <w:pPr>
              <w:pStyle w:val="54"/>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FB45CEE">
            <w:pPr>
              <w:pStyle w:val="54"/>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552F00C">
            <w:pPr>
              <w:pStyle w:val="54"/>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0679DB2">
            <w:pPr>
              <w:pStyle w:val="54"/>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241F95D">
            <w:pPr>
              <w:pStyle w:val="54"/>
              <w:jc w:val="center"/>
              <w:rPr>
                <w:color w:val="auto"/>
                <w:sz w:val="21"/>
                <w:szCs w:val="21"/>
                <w:highlight w:val="none"/>
              </w:rPr>
            </w:pPr>
          </w:p>
        </w:tc>
      </w:tr>
      <w:tr w14:paraId="5757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FF9C542">
            <w:pPr>
              <w:pStyle w:val="54"/>
              <w:numPr>
                <w:ilvl w:val="0"/>
                <w:numId w:val="6"/>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56190D9">
            <w:pPr>
              <w:pStyle w:val="54"/>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29185C8">
            <w:pPr>
              <w:pStyle w:val="54"/>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278FA62">
            <w:pPr>
              <w:pStyle w:val="54"/>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DC75679">
            <w:pPr>
              <w:pStyle w:val="54"/>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EAC5B30">
            <w:pPr>
              <w:pStyle w:val="54"/>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8F02ED0">
            <w:pPr>
              <w:pStyle w:val="54"/>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1916AC5">
            <w:pPr>
              <w:pStyle w:val="54"/>
              <w:jc w:val="center"/>
              <w:rPr>
                <w:color w:val="auto"/>
                <w:sz w:val="21"/>
                <w:szCs w:val="21"/>
                <w:highlight w:val="none"/>
              </w:rPr>
            </w:pPr>
          </w:p>
        </w:tc>
      </w:tr>
    </w:tbl>
    <w:p w14:paraId="04CE5F65">
      <w:pPr>
        <w:spacing w:line="300" w:lineRule="auto"/>
        <w:rPr>
          <w:rFonts w:ascii="Arial" w:hAnsi="Arial" w:cs="Arial"/>
          <w:color w:val="auto"/>
          <w:szCs w:val="21"/>
          <w:highlight w:val="none"/>
        </w:rPr>
      </w:pPr>
    </w:p>
    <w:p w14:paraId="4FDC8CEF">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hint="eastAsia" w:ascii="Arial" w:hAnsi="Arial" w:cs="Arial"/>
          <w:b/>
          <w:color w:val="auto"/>
          <w:sz w:val="21"/>
          <w:szCs w:val="21"/>
          <w:highlight w:val="none"/>
          <w:lang w:val="en-US" w:eastAsia="zh-CN"/>
        </w:rPr>
        <w:t>评审优惠</w:t>
      </w:r>
      <w:r>
        <w:rPr>
          <w:rFonts w:hint="eastAsia" w:ascii="Arial" w:hAnsi="Arial" w:cs="Arial"/>
          <w:b/>
          <w:color w:val="auto"/>
          <w:sz w:val="21"/>
          <w:szCs w:val="21"/>
          <w:highlight w:val="none"/>
        </w:rPr>
        <w:t>。</w:t>
      </w:r>
    </w:p>
    <w:p w14:paraId="4AE49928">
      <w:pPr>
        <w:spacing w:line="300" w:lineRule="auto"/>
        <w:rPr>
          <w:rFonts w:ascii="Arial" w:hAnsi="Arial" w:cs="Arial"/>
          <w:color w:val="auto"/>
          <w:szCs w:val="21"/>
          <w:highlight w:val="none"/>
        </w:rPr>
      </w:pPr>
    </w:p>
    <w:p w14:paraId="054561C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1A4D567">
      <w:pPr>
        <w:rPr>
          <w:rFonts w:ascii="Arial" w:hAnsi="Arial" w:cs="Arial"/>
          <w:color w:val="auto"/>
          <w:szCs w:val="21"/>
          <w:highlight w:val="none"/>
        </w:rPr>
      </w:pPr>
      <w:r>
        <w:rPr>
          <w:rFonts w:ascii="Arial" w:hAnsi="Arial" w:cs="Arial"/>
          <w:color w:val="auto"/>
          <w:szCs w:val="21"/>
          <w:highlight w:val="none"/>
        </w:rPr>
        <w:t>日期：</w:t>
      </w:r>
    </w:p>
    <w:p w14:paraId="0A67E61C">
      <w:pPr>
        <w:rPr>
          <w:rFonts w:ascii="Arial" w:hAnsi="Arial" w:cs="Arial"/>
          <w:color w:val="auto"/>
          <w:szCs w:val="21"/>
          <w:highlight w:val="none"/>
        </w:rPr>
      </w:pPr>
    </w:p>
    <w:p w14:paraId="70617D68">
      <w:pPr>
        <w:rPr>
          <w:rFonts w:ascii="Arial" w:hAnsi="Arial" w:cs="Arial"/>
          <w:color w:val="auto"/>
          <w:szCs w:val="21"/>
          <w:highlight w:val="none"/>
        </w:rPr>
      </w:pPr>
      <w:r>
        <w:rPr>
          <w:rFonts w:ascii="Arial" w:hAnsi="Arial" w:cs="Arial"/>
          <w:color w:val="auto"/>
          <w:szCs w:val="21"/>
          <w:highlight w:val="none"/>
        </w:rPr>
        <w:br w:type="page"/>
      </w:r>
    </w:p>
    <w:p w14:paraId="2A9F81A4">
      <w:pPr>
        <w:pStyle w:val="4"/>
        <w:bidi w:val="0"/>
        <w:rPr>
          <w:rFonts w:hint="eastAsia"/>
          <w:color w:val="auto"/>
          <w:sz w:val="24"/>
          <w:szCs w:val="24"/>
          <w:highlight w:val="none"/>
          <w:lang w:val="en-US" w:eastAsia="zh-CN"/>
        </w:rPr>
      </w:pPr>
      <w:bookmarkStart w:id="657" w:name="_Toc163492939"/>
      <w:bookmarkStart w:id="658" w:name="_Toc20772"/>
      <w:r>
        <w:rPr>
          <w:rFonts w:hint="eastAsia"/>
          <w:color w:val="auto"/>
          <w:sz w:val="24"/>
          <w:szCs w:val="24"/>
          <w:highlight w:val="none"/>
          <w:lang w:val="en-US" w:eastAsia="zh-CN"/>
        </w:rPr>
        <w:t>（二）中小企业声明函【如专门面向中小企业采购的项目，此函可放于此处，否则，应后置于“其他资格证明文件”】</w:t>
      </w:r>
      <w:bookmarkEnd w:id="657"/>
      <w:bookmarkEnd w:id="658"/>
    </w:p>
    <w:p w14:paraId="16CFCD4A">
      <w:pPr>
        <w:pStyle w:val="44"/>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0D7CD940">
      <w:pPr>
        <w:pStyle w:val="44"/>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5688740A">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57A088D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222AFB4D">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39DCDC52">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708F1D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2D6F1D3">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1ADB2C8D">
      <w:pPr>
        <w:ind w:firstLine="504" w:firstLineChars="200"/>
        <w:rPr>
          <w:rFonts w:cs="宋体"/>
          <w:color w:val="auto"/>
          <w:spacing w:val="6"/>
          <w:szCs w:val="24"/>
          <w:highlight w:val="none"/>
        </w:rPr>
      </w:pP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13E0A5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EA8D88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5190A2D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62EF0AA4">
      <w:pPr>
        <w:keepNext w:val="0"/>
        <w:keepLines w:val="0"/>
        <w:widowControl/>
        <w:suppressLineNumbers w:val="0"/>
        <w:ind w:firstLine="482" w:firstLineChars="200"/>
        <w:jc w:val="left"/>
        <w:rPr>
          <w:rStyle w:val="36"/>
          <w:rFonts w:hint="eastAsia" w:ascii="宋体" w:hAnsi="宋体" w:eastAsia="宋体" w:cs="宋体"/>
          <w:color w:val="auto"/>
          <w:kern w:val="0"/>
          <w:sz w:val="28"/>
          <w:szCs w:val="28"/>
          <w:highlight w:val="none"/>
          <w:lang w:val="en-US" w:eastAsia="zh-CN" w:bidi="ar"/>
        </w:rPr>
      </w:pPr>
      <w:r>
        <w:rPr>
          <w:rStyle w:val="36"/>
          <w:rFonts w:hint="eastAsia" w:ascii="宋体" w:hAnsi="宋体" w:eastAsia="宋体" w:cs="宋体"/>
          <w:color w:val="auto"/>
          <w:kern w:val="0"/>
          <w:sz w:val="24"/>
          <w:szCs w:val="24"/>
          <w:highlight w:val="none"/>
          <w:lang w:val="en-US" w:eastAsia="zh-CN" w:bidi="ar"/>
        </w:rPr>
        <w:t>（一）关于</w:t>
      </w:r>
      <w:r>
        <w:rPr>
          <w:rStyle w:val="36"/>
          <w:rFonts w:hint="eastAsia" w:cs="宋体"/>
          <w:color w:val="auto"/>
          <w:kern w:val="0"/>
          <w:sz w:val="24"/>
          <w:szCs w:val="24"/>
          <w:highlight w:val="none"/>
          <w:lang w:val="en-US" w:eastAsia="zh-CN" w:bidi="ar"/>
        </w:rPr>
        <w:t>“</w:t>
      </w:r>
      <w:r>
        <w:rPr>
          <w:rStyle w:val="36"/>
          <w:rFonts w:hint="eastAsia" w:ascii="宋体" w:hAnsi="宋体" w:eastAsia="宋体" w:cs="宋体"/>
          <w:color w:val="auto"/>
          <w:kern w:val="0"/>
          <w:sz w:val="24"/>
          <w:szCs w:val="24"/>
          <w:highlight w:val="none"/>
          <w:lang w:val="en-US" w:eastAsia="zh-CN" w:bidi="ar"/>
        </w:rPr>
        <w:t>中小企业声明函</w:t>
      </w:r>
      <w:r>
        <w:rPr>
          <w:rStyle w:val="36"/>
          <w:rFonts w:hint="eastAsia" w:cs="宋体"/>
          <w:color w:val="auto"/>
          <w:kern w:val="0"/>
          <w:sz w:val="24"/>
          <w:szCs w:val="24"/>
          <w:highlight w:val="none"/>
          <w:lang w:val="en-US" w:eastAsia="zh-CN" w:bidi="ar"/>
        </w:rPr>
        <w:t>”</w:t>
      </w:r>
      <w:r>
        <w:rPr>
          <w:rStyle w:val="36"/>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6"/>
          <w:rFonts w:hint="eastAsia" w:ascii="宋体" w:hAnsi="宋体" w:eastAsia="宋体" w:cs="宋体"/>
          <w:color w:val="auto"/>
          <w:kern w:val="0"/>
          <w:sz w:val="24"/>
          <w:szCs w:val="24"/>
          <w:highlight w:val="none"/>
          <w:lang w:val="en-US" w:eastAsia="zh-CN" w:bidi="ar"/>
        </w:rPr>
      </w:pPr>
      <w:r>
        <w:rPr>
          <w:rStyle w:val="36"/>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1.投标（响应）供应商对</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8"/>
          <w:highlight w:val="none"/>
          <w:lang w:val="en-US" w:eastAsia="zh-CN" w:bidi="ar"/>
        </w:rPr>
      </w:pPr>
      <w:r>
        <w:rPr>
          <w:rFonts w:hint="eastAsia" w:ascii="宋体" w:hAnsi="宋体" w:eastAsia="宋体" w:cs="宋体"/>
          <w:color w:val="auto"/>
          <w:kern w:val="0"/>
          <w:sz w:val="24"/>
          <w:szCs w:val="28"/>
          <w:highlight w:val="none"/>
          <w:lang w:val="en-US" w:eastAsia="zh-CN" w:bidi="ar"/>
        </w:rPr>
        <w:t>3.如供应商提供的</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中小企业声明函</w:t>
      </w:r>
      <w:r>
        <w:rPr>
          <w:rFonts w:hint="eastAsia" w:cs="宋体"/>
          <w:color w:val="auto"/>
          <w:kern w:val="0"/>
          <w:sz w:val="24"/>
          <w:szCs w:val="28"/>
          <w:highlight w:val="none"/>
          <w:lang w:val="en-US" w:eastAsia="zh-CN" w:bidi="ar"/>
        </w:rPr>
        <w:t>”</w:t>
      </w:r>
      <w:r>
        <w:rPr>
          <w:rFonts w:hint="eastAsia" w:ascii="宋体" w:hAnsi="宋体" w:eastAsia="宋体" w:cs="宋体"/>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r>
        <w:rPr>
          <w:rFonts w:cs="宋体"/>
          <w:color w:val="auto"/>
          <w:spacing w:val="6"/>
          <w:sz w:val="21"/>
          <w:szCs w:val="21"/>
          <w:highlight w:val="none"/>
        </w:rPr>
        <w:br w:type="page"/>
      </w: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639A9CC2">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25922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6"/>
          <w:rFonts w:hint="eastAsia" w:ascii="宋体" w:hAnsi="宋体" w:eastAsia="宋体" w:cs="宋体"/>
          <w:b w:val="0"/>
          <w:color w:val="auto"/>
          <w:sz w:val="24"/>
          <w:szCs w:val="24"/>
          <w:highlight w:val="none"/>
        </w:rPr>
      </w:pPr>
      <w:r>
        <w:rPr>
          <w:rStyle w:val="36"/>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6"/>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6"/>
          <w:rFonts w:hint="eastAsia" w:ascii="宋体" w:hAnsi="宋体" w:eastAsia="宋体" w:cs="宋体"/>
          <w:b w:val="0"/>
          <w:color w:val="auto"/>
          <w:sz w:val="24"/>
          <w:szCs w:val="24"/>
          <w:highlight w:val="none"/>
        </w:rPr>
      </w:pPr>
      <w:r>
        <w:rPr>
          <w:rStyle w:val="36"/>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6"/>
          <w:rFonts w:hint="eastAsia" w:ascii="宋体" w:hAnsi="宋体" w:eastAsia="宋体" w:cs="宋体"/>
          <w:b/>
          <w:bCs w:val="0"/>
          <w:color w:val="auto"/>
          <w:sz w:val="28"/>
          <w:szCs w:val="28"/>
          <w:highlight w:val="none"/>
        </w:rPr>
      </w:pPr>
      <w:r>
        <w:rPr>
          <w:rStyle w:val="36"/>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（十六）</w:t>
      </w:r>
      <w:r>
        <w:rPr>
          <w:rStyle w:val="36"/>
          <w:rFonts w:hint="eastAsia" w:ascii="宋体" w:hAnsi="宋体" w:eastAsia="宋体" w:cs="宋体"/>
          <w:b/>
          <w:bCs/>
          <w:color w:val="auto"/>
          <w:sz w:val="24"/>
          <w:szCs w:val="24"/>
          <w:highlight w:val="none"/>
        </w:rPr>
        <w:t>其他未列明行业。从业人员300人以下的为中小微型企业。其中，从业人员100人及以上的为中型企业；从业人员10人及以上的为小型企业；从业人员10人以下的为微型企业。</w:t>
      </w:r>
      <w:r>
        <w:rPr>
          <w:rStyle w:val="36"/>
          <w:rFonts w:hint="eastAsia" w:ascii="宋体" w:hAnsi="宋体" w:eastAsia="宋体" w:cs="宋体"/>
          <w:b w:val="0"/>
          <w:bCs w:val="0"/>
          <w:color w:val="auto"/>
          <w:sz w:val="24"/>
          <w:szCs w:val="24"/>
          <w:highlight w:val="none"/>
        </w:rPr>
        <w:t>　　</w:t>
      </w:r>
    </w:p>
    <w:p w14:paraId="509B953B">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color w:val="auto"/>
          <w:spacing w:val="6"/>
          <w:sz w:val="21"/>
          <w:szCs w:val="21"/>
          <w:highlight w:val="none"/>
        </w:rPr>
      </w:pPr>
      <w:r>
        <w:rPr>
          <w:rFonts w:cs="宋体"/>
          <w:color w:val="auto"/>
          <w:spacing w:val="6"/>
          <w:sz w:val="21"/>
          <w:szCs w:val="21"/>
          <w:highlight w:val="none"/>
        </w:rPr>
        <w:br w:type="page"/>
      </w:r>
    </w:p>
    <w:p w14:paraId="07DD59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bookmarkStart w:id="659" w:name="_Toc163492940"/>
      <w:r>
        <w:rPr>
          <w:rFonts w:hint="eastAsia"/>
          <w:b/>
          <w:bCs/>
          <w:color w:val="auto"/>
          <w:highlight w:val="none"/>
          <w:lang w:val="en-US" w:eastAsia="zh-CN"/>
        </w:rPr>
        <w:t>附件3：</w:t>
      </w:r>
    </w:p>
    <w:p w14:paraId="754A877D">
      <w:pPr>
        <w:rPr>
          <w:rFonts w:hint="eastAsia" w:cs="宋体"/>
          <w:color w:val="auto"/>
          <w:spacing w:val="6"/>
          <w:sz w:val="21"/>
          <w:szCs w:val="21"/>
          <w:highlight w:val="none"/>
        </w:rPr>
      </w:pPr>
    </w:p>
    <w:p w14:paraId="36D4DB1B">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46F847F3">
      <w:pPr>
        <w:jc w:val="center"/>
        <w:rPr>
          <w:rStyle w:val="36"/>
          <w:rFonts w:hint="eastAsia" w:ascii="宋体" w:hAnsi="宋体" w:eastAsia="宋体" w:cs="宋体"/>
          <w:b w:val="0"/>
          <w:color w:val="auto"/>
          <w:sz w:val="24"/>
          <w:szCs w:val="24"/>
          <w:highlight w:val="none"/>
        </w:rPr>
      </w:pPr>
      <w:r>
        <w:rPr>
          <w:rStyle w:val="36"/>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6"/>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6"/>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6"/>
          <w:rFonts w:hint="eastAsia" w:ascii="宋体" w:hAnsi="宋体" w:eastAsia="宋体" w:cs="宋体"/>
          <w:b w:val="0"/>
          <w:bCs w:val="0"/>
          <w:color w:val="auto"/>
          <w:sz w:val="24"/>
          <w:szCs w:val="24"/>
          <w:highlight w:val="none"/>
        </w:rPr>
        <w:t>       </w:t>
      </w:r>
      <w:r>
        <w:rPr>
          <w:rStyle w:val="36"/>
          <w:rFonts w:hint="eastAsia" w:cs="宋体"/>
          <w:b w:val="0"/>
          <w:bCs w:val="0"/>
          <w:color w:val="auto"/>
          <w:sz w:val="24"/>
          <w:szCs w:val="24"/>
          <w:highlight w:val="none"/>
          <w:lang w:val="en-US" w:eastAsia="zh-CN"/>
        </w:rPr>
        <w:t xml:space="preserve">                            </w:t>
      </w:r>
      <w:r>
        <w:rPr>
          <w:rStyle w:val="36"/>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                                                     </w:t>
      </w:r>
      <w:r>
        <w:rPr>
          <w:rStyle w:val="36"/>
          <w:rFonts w:hint="eastAsia" w:cs="宋体"/>
          <w:b w:val="0"/>
          <w:bCs w:val="0"/>
          <w:color w:val="auto"/>
          <w:sz w:val="24"/>
          <w:szCs w:val="24"/>
          <w:highlight w:val="none"/>
          <w:lang w:val="en-US" w:eastAsia="zh-CN"/>
        </w:rPr>
        <w:t xml:space="preserve">     </w:t>
      </w:r>
      <w:r>
        <w:rPr>
          <w:rStyle w:val="36"/>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22DC8AB1">
      <w:pPr>
        <w:rPr>
          <w:rFonts w:hint="eastAsia" w:cs="宋体"/>
          <w:color w:val="auto"/>
          <w:spacing w:val="6"/>
          <w:sz w:val="21"/>
          <w:szCs w:val="21"/>
          <w:highlight w:val="none"/>
          <w:lang w:val="en-US" w:eastAsia="zh-CN"/>
        </w:rPr>
      </w:pPr>
    </w:p>
    <w:p w14:paraId="62A6A0C9">
      <w:pPr>
        <w:rPr>
          <w:rFonts w:hint="eastAsia" w:cs="宋体"/>
          <w:color w:val="auto"/>
          <w:spacing w:val="6"/>
          <w:sz w:val="21"/>
          <w:szCs w:val="21"/>
          <w:highlight w:val="none"/>
          <w:lang w:val="en-US" w:eastAsia="zh-CN"/>
        </w:rPr>
      </w:pPr>
    </w:p>
    <w:p w14:paraId="10A8E63C">
      <w:pPr>
        <w:rPr>
          <w:rFonts w:hint="eastAsia" w:cs="宋体"/>
          <w:color w:val="auto"/>
          <w:spacing w:val="6"/>
          <w:sz w:val="21"/>
          <w:szCs w:val="21"/>
          <w:highlight w:val="none"/>
          <w:lang w:val="en-US" w:eastAsia="zh-CN"/>
        </w:rPr>
      </w:pPr>
    </w:p>
    <w:p w14:paraId="422FF70F">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E48D324">
      <w:pPr>
        <w:pStyle w:val="20"/>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5AB18E4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D87CEE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405839B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199C178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7793BE6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520E443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3C947BA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6D9795B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76FAEF4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9CAA27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C3C005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158B91F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78FD5B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lang w:eastAsia="zh-CN"/>
        </w:rPr>
      </w:pPr>
      <w:r>
        <w:rPr>
          <w:rStyle w:val="36"/>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6"/>
          <w:rFonts w:hint="eastAsia" w:cs="宋体"/>
          <w:b w:val="0"/>
          <w:bCs w:val="0"/>
          <w:color w:val="auto"/>
          <w:sz w:val="24"/>
          <w:szCs w:val="24"/>
          <w:highlight w:val="none"/>
          <w:lang w:eastAsia="zh-CN"/>
        </w:rPr>
        <w:t>。</w:t>
      </w:r>
    </w:p>
    <w:p w14:paraId="064C9A6D">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6"/>
          <w:rFonts w:hint="eastAsia" w:cs="宋体"/>
          <w:b w:val="0"/>
          <w:bCs w:val="0"/>
          <w:color w:val="auto"/>
          <w:sz w:val="24"/>
          <w:szCs w:val="24"/>
          <w:highlight w:val="none"/>
          <w:lang w:eastAsia="zh-CN"/>
        </w:rPr>
        <w:t>，</w:t>
      </w:r>
      <w:r>
        <w:rPr>
          <w:rStyle w:val="36"/>
          <w:rFonts w:hint="eastAsia" w:ascii="宋体" w:hAnsi="宋体" w:eastAsia="宋体" w:cs="宋体"/>
          <w:b w:val="0"/>
          <w:bCs w:val="0"/>
          <w:color w:val="auto"/>
          <w:sz w:val="24"/>
          <w:szCs w:val="24"/>
          <w:highlight w:val="none"/>
        </w:rPr>
        <w:t>方便政府部门和社会各界查询使用。</w:t>
      </w:r>
    </w:p>
    <w:p w14:paraId="2C50E64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350BE40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lang w:eastAsia="zh-CN"/>
        </w:rPr>
      </w:pPr>
      <w:r>
        <w:rPr>
          <w:rStyle w:val="36"/>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6"/>
          <w:rFonts w:hint="eastAsia" w:cs="宋体"/>
          <w:b w:val="0"/>
          <w:bCs w:val="0"/>
          <w:color w:val="auto"/>
          <w:sz w:val="24"/>
          <w:szCs w:val="24"/>
          <w:highlight w:val="none"/>
          <w:lang w:eastAsia="zh-CN"/>
        </w:rPr>
        <w:t>。</w:t>
      </w:r>
    </w:p>
    <w:p w14:paraId="61D82EC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lang w:eastAsia="zh-CN"/>
        </w:rPr>
      </w:pPr>
      <w:r>
        <w:rPr>
          <w:rStyle w:val="36"/>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6"/>
          <w:rFonts w:hint="eastAsia" w:cs="宋体"/>
          <w:b w:val="0"/>
          <w:bCs w:val="0"/>
          <w:color w:val="auto"/>
          <w:sz w:val="24"/>
          <w:szCs w:val="24"/>
          <w:highlight w:val="none"/>
          <w:lang w:eastAsia="zh-CN"/>
        </w:rPr>
        <w:t>。</w:t>
      </w:r>
    </w:p>
    <w:p w14:paraId="63FF348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十、本规定由人民银行会同银监会、证监会、保监会和统计局负责解释。</w:t>
      </w:r>
    </w:p>
    <w:p w14:paraId="01147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lang w:eastAsia="zh-CN"/>
        </w:rPr>
      </w:pPr>
      <w:r>
        <w:rPr>
          <w:rStyle w:val="36"/>
          <w:rFonts w:hint="eastAsia" w:ascii="宋体" w:hAnsi="宋体" w:eastAsia="宋体" w:cs="宋体"/>
          <w:b w:val="0"/>
          <w:bCs w:val="0"/>
          <w:color w:val="auto"/>
          <w:sz w:val="24"/>
          <w:szCs w:val="24"/>
          <w:highlight w:val="none"/>
        </w:rPr>
        <w:t>十一、本规定自发布之日起实施</w:t>
      </w:r>
      <w:r>
        <w:rPr>
          <w:rStyle w:val="36"/>
          <w:rFonts w:hint="eastAsia" w:cs="宋体"/>
          <w:b w:val="0"/>
          <w:bCs w:val="0"/>
          <w:color w:val="auto"/>
          <w:sz w:val="24"/>
          <w:szCs w:val="24"/>
          <w:highlight w:val="none"/>
          <w:lang w:eastAsia="zh-CN"/>
        </w:rPr>
        <w:t>。</w:t>
      </w:r>
    </w:p>
    <w:p w14:paraId="74D81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p>
    <w:p w14:paraId="4033EFE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6"/>
          <w:rFonts w:hint="eastAsia" w:ascii="宋体" w:hAnsi="宋体" w:eastAsia="宋体" w:cs="宋体"/>
          <w:b w:val="0"/>
          <w:bCs w:val="0"/>
          <w:color w:val="auto"/>
          <w:sz w:val="24"/>
          <w:szCs w:val="24"/>
          <w:highlight w:val="none"/>
        </w:rPr>
      </w:pPr>
      <w:r>
        <w:rPr>
          <w:rStyle w:val="36"/>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568CB75F">
      <w:pPr>
        <w:rPr>
          <w:rFonts w:hint="eastAsia" w:cs="宋体"/>
          <w:color w:val="auto"/>
          <w:spacing w:val="6"/>
          <w:sz w:val="24"/>
          <w:szCs w:val="24"/>
          <w:highlight w:val="none"/>
          <w:lang w:val="en-US" w:eastAsia="zh-CN"/>
        </w:rPr>
      </w:pPr>
    </w:p>
    <w:p w14:paraId="46228B00">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20"/>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4"/>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76252C9C">
      <w:pPr>
        <w:pStyle w:val="20"/>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0711552D">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60" w:name="_Toc4673"/>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659"/>
      <w:bookmarkEnd w:id="660"/>
    </w:p>
    <w:p w14:paraId="744F56E2">
      <w:pPr>
        <w:rPr>
          <w:rFonts w:cs="仿宋_GB2312"/>
          <w:b/>
          <w:color w:val="auto"/>
          <w:sz w:val="24"/>
          <w:szCs w:val="24"/>
          <w:highlight w:val="none"/>
        </w:rPr>
      </w:pPr>
    </w:p>
    <w:p w14:paraId="23D1BFC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5238DB1">
      <w:pPr>
        <w:pStyle w:val="20"/>
        <w:spacing w:line="360" w:lineRule="auto"/>
        <w:jc w:val="center"/>
        <w:rPr>
          <w:rFonts w:hint="eastAsia" w:ascii="宋体" w:hAnsi="宋体" w:eastAsia="宋体" w:cs="宋体"/>
          <w:b/>
          <w:bCs w:val="0"/>
          <w:color w:val="auto"/>
          <w:sz w:val="32"/>
          <w:szCs w:val="32"/>
          <w:highlight w:val="none"/>
        </w:rPr>
      </w:pPr>
    </w:p>
    <w:p w14:paraId="3EAA5E2A">
      <w:pPr>
        <w:pStyle w:val="20"/>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3EFA9C1">
      <w:pPr>
        <w:spacing w:line="360" w:lineRule="auto"/>
        <w:rPr>
          <w:rFonts w:hint="eastAsia" w:ascii="仿宋_GB2312" w:hAnsi="仿宋_GB2312" w:eastAsia="仿宋_GB2312" w:cs="仿宋_GB2312"/>
          <w:color w:val="auto"/>
          <w:sz w:val="32"/>
          <w:szCs w:val="32"/>
          <w:highlight w:val="none"/>
        </w:rPr>
      </w:pPr>
    </w:p>
    <w:p w14:paraId="7E6FDB3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3C2CE4C6">
      <w:pPr>
        <w:spacing w:line="360" w:lineRule="auto"/>
        <w:rPr>
          <w:rFonts w:hint="eastAsia" w:ascii="宋体" w:hAnsi="宋体" w:eastAsia="宋体" w:cs="宋体"/>
          <w:color w:val="auto"/>
          <w:sz w:val="24"/>
          <w:szCs w:val="24"/>
          <w:highlight w:val="none"/>
        </w:rPr>
      </w:pPr>
    </w:p>
    <w:p w14:paraId="25406F97">
      <w:pPr>
        <w:ind w:firstLine="4440" w:firstLineChars="1850"/>
        <w:rPr>
          <w:rFonts w:hint="eastAsia" w:ascii="宋体" w:hAnsi="宋体" w:eastAsia="宋体" w:cs="宋体"/>
          <w:color w:val="auto"/>
          <w:sz w:val="24"/>
          <w:szCs w:val="24"/>
          <w:highlight w:val="none"/>
        </w:rPr>
      </w:pPr>
    </w:p>
    <w:p w14:paraId="44FF352C">
      <w:pPr>
        <w:ind w:firstLine="4440" w:firstLineChars="1850"/>
        <w:rPr>
          <w:rFonts w:hint="eastAsia" w:ascii="宋体" w:hAnsi="宋体" w:eastAsia="宋体" w:cs="宋体"/>
          <w:color w:val="auto"/>
          <w:sz w:val="24"/>
          <w:szCs w:val="24"/>
          <w:highlight w:val="none"/>
        </w:rPr>
      </w:pPr>
    </w:p>
    <w:p w14:paraId="0841D36F">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3678CEA7">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color w:val="auto"/>
          <w:sz w:val="24"/>
          <w:szCs w:val="24"/>
          <w:highlight w:val="none"/>
        </w:rPr>
      </w:pPr>
    </w:p>
    <w:p w14:paraId="7B8735C9">
      <w:pPr>
        <w:spacing w:line="360" w:lineRule="auto"/>
        <w:ind w:firstLine="240" w:firstLineChars="100"/>
        <w:rPr>
          <w:rFonts w:hint="eastAsia" w:ascii="宋体" w:hAnsi="宋体" w:eastAsia="宋体" w:cs="宋体"/>
          <w:color w:val="auto"/>
          <w:sz w:val="24"/>
          <w:szCs w:val="24"/>
          <w:highlight w:val="none"/>
        </w:rPr>
      </w:pPr>
    </w:p>
    <w:p w14:paraId="32722C7E">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20204BC0">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4A414B41">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3ACDD48E">
      <w:pPr>
        <w:widowControl/>
        <w:spacing w:before="100" w:beforeAutospacing="1" w:after="100" w:afterAutospacing="1"/>
        <w:rPr>
          <w:rFonts w:ascii="Arial" w:hAnsi="Arial" w:cs="Arial"/>
          <w:color w:val="auto"/>
          <w:sz w:val="21"/>
          <w:szCs w:val="21"/>
          <w:highlight w:val="none"/>
        </w:rPr>
      </w:pPr>
    </w:p>
    <w:p w14:paraId="22F7A202">
      <w:pPr>
        <w:widowControl/>
        <w:spacing w:before="100" w:beforeAutospacing="1" w:after="100" w:afterAutospacing="1"/>
        <w:rPr>
          <w:rFonts w:ascii="Arial" w:hAnsi="Arial" w:cs="Arial"/>
          <w:color w:val="auto"/>
          <w:sz w:val="21"/>
          <w:szCs w:val="21"/>
          <w:highlight w:val="none"/>
        </w:rPr>
      </w:pPr>
    </w:p>
    <w:p w14:paraId="05E6EFA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661" w:name="_Toc163492941"/>
      <w:bookmarkStart w:id="662" w:name="_Toc12492"/>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661"/>
      <w:bookmarkEnd w:id="662"/>
    </w:p>
    <w:p w14:paraId="0EAC9468">
      <w:pPr>
        <w:pStyle w:val="44"/>
        <w:numPr>
          <w:ilvl w:val="0"/>
          <w:numId w:val="0"/>
        </w:numPr>
        <w:ind w:left="420" w:leftChars="0" w:hanging="420" w:firstLineChars="0"/>
        <w:jc w:val="center"/>
        <w:rPr>
          <w:rFonts w:hint="eastAsia"/>
          <w:b/>
          <w:bCs/>
          <w:color w:val="auto"/>
          <w:sz w:val="32"/>
          <w:szCs w:val="32"/>
          <w:highlight w:val="none"/>
        </w:rPr>
      </w:pPr>
    </w:p>
    <w:p w14:paraId="091B47EA">
      <w:pPr>
        <w:pStyle w:val="44"/>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44C7A080">
      <w:pPr>
        <w:wordWrap w:val="0"/>
        <w:ind w:left="1091" w:hanging="1091" w:hangingChars="453"/>
        <w:rPr>
          <w:b/>
          <w:bCs/>
          <w:color w:val="auto"/>
          <w:szCs w:val="24"/>
          <w:highlight w:val="none"/>
        </w:rPr>
      </w:pPr>
    </w:p>
    <w:p w14:paraId="43523196">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2288B711">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71983F83">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A972AC9">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6F5F8DCA">
      <w:pPr>
        <w:ind w:left="4620" w:firstLine="281" w:firstLineChars="100"/>
        <w:rPr>
          <w:rFonts w:cs="仿宋_GB2312"/>
          <w:b/>
          <w:color w:val="auto"/>
          <w:sz w:val="28"/>
          <w:szCs w:val="28"/>
          <w:highlight w:val="none"/>
        </w:rPr>
      </w:pPr>
    </w:p>
    <w:p w14:paraId="7BDD1A80">
      <w:pPr>
        <w:rPr>
          <w:color w:val="auto"/>
          <w:highlight w:val="none"/>
        </w:rPr>
      </w:pPr>
      <w:r>
        <w:rPr>
          <w:color w:val="auto"/>
          <w:highlight w:val="none"/>
        </w:rPr>
        <w:br w:type="page"/>
      </w:r>
    </w:p>
    <w:p w14:paraId="4B9EE2D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663" w:name="_Toc29560"/>
      <w:bookmarkStart w:id="664" w:name="_Toc18110"/>
      <w:r>
        <w:rPr>
          <w:rFonts w:hint="eastAsia" w:cstheme="majorBidi"/>
          <w:b/>
          <w:bCs/>
          <w:color w:val="auto"/>
          <w:kern w:val="2"/>
          <w:sz w:val="28"/>
          <w:szCs w:val="28"/>
          <w:highlight w:val="none"/>
          <w:lang w:val="en-US" w:eastAsia="zh-CN" w:bidi="ar-SA"/>
        </w:rPr>
        <w:t>五、不参与围标串标承诺书</w:t>
      </w:r>
      <w:bookmarkEnd w:id="663"/>
      <w:bookmarkEnd w:id="664"/>
    </w:p>
    <w:p w14:paraId="70D7F20B">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75FF23AC">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B233C07">
      <w:pPr>
        <w:rPr>
          <w:rFonts w:hint="eastAsia"/>
          <w:color w:val="auto"/>
          <w:highlight w:val="none"/>
          <w:lang w:val="en-US" w:eastAsia="zh-CN"/>
        </w:rPr>
      </w:pPr>
      <w:r>
        <w:rPr>
          <w:rFonts w:hint="eastAsia"/>
          <w:color w:val="auto"/>
          <w:highlight w:val="none"/>
          <w:lang w:val="en-US" w:eastAsia="zh-CN"/>
        </w:rPr>
        <w:t>  </w:t>
      </w:r>
    </w:p>
    <w:p w14:paraId="1ACC5C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398E60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26BB11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10BBFC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1A7E347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9E3C848">
      <w:pPr>
        <w:pStyle w:val="14"/>
        <w:rPr>
          <w:rFonts w:hint="eastAsia"/>
          <w:color w:val="auto"/>
          <w:highlight w:val="none"/>
          <w:lang w:val="en-US" w:eastAsia="zh-CN"/>
        </w:rPr>
      </w:pPr>
    </w:p>
    <w:p w14:paraId="39CB3E48">
      <w:pPr>
        <w:spacing w:line="560" w:lineRule="exact"/>
        <w:rPr>
          <w:rFonts w:hint="eastAsia" w:ascii="宋体" w:hAnsi="宋体" w:eastAsia="宋体" w:cs="宋体"/>
          <w:color w:val="auto"/>
          <w:kern w:val="0"/>
          <w:sz w:val="24"/>
          <w:szCs w:val="24"/>
          <w:highlight w:val="none"/>
        </w:rPr>
      </w:pPr>
    </w:p>
    <w:p w14:paraId="19648C53">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rPr>
        <w:t>：</w:t>
      </w:r>
    </w:p>
    <w:p w14:paraId="2CCE383A">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或授权代表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692B3277">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13DA43E0">
      <w:pPr>
        <w:widowControl/>
        <w:spacing w:line="560" w:lineRule="exact"/>
        <w:ind w:firstLine="630"/>
        <w:jc w:val="left"/>
        <w:rPr>
          <w:rFonts w:hint="eastAsia" w:ascii="宋体" w:hAnsi="宋体" w:eastAsia="宋体" w:cs="宋体"/>
          <w:color w:val="auto"/>
          <w:kern w:val="0"/>
          <w:sz w:val="24"/>
          <w:szCs w:val="24"/>
          <w:highlight w:val="none"/>
        </w:rPr>
      </w:pPr>
    </w:p>
    <w:p w14:paraId="7CD72A88">
      <w:pPr>
        <w:pStyle w:val="14"/>
        <w:rPr>
          <w:rFonts w:hint="eastAsia"/>
          <w:color w:val="auto"/>
          <w:highlight w:val="none"/>
          <w:lang w:val="en-US" w:eastAsia="zh-CN"/>
        </w:rPr>
      </w:pPr>
    </w:p>
    <w:p w14:paraId="6FC519D1">
      <w:pPr>
        <w:pStyle w:val="14"/>
        <w:rPr>
          <w:rFonts w:hint="eastAsia"/>
          <w:color w:val="auto"/>
          <w:highlight w:val="none"/>
          <w:lang w:val="en-US" w:eastAsia="zh-CN"/>
        </w:rPr>
      </w:pPr>
    </w:p>
    <w:p w14:paraId="7500053D">
      <w:pPr>
        <w:pStyle w:val="14"/>
        <w:rPr>
          <w:rFonts w:hint="eastAsia"/>
          <w:color w:val="auto"/>
          <w:highlight w:val="none"/>
          <w:lang w:val="en-US" w:eastAsia="zh-CN"/>
        </w:rPr>
      </w:pPr>
    </w:p>
    <w:p w14:paraId="5BF64493">
      <w:pPr>
        <w:pStyle w:val="14"/>
        <w:rPr>
          <w:rFonts w:hint="eastAsia"/>
          <w:color w:val="auto"/>
          <w:highlight w:val="none"/>
          <w:lang w:val="en-US" w:eastAsia="zh-CN"/>
        </w:rPr>
      </w:pPr>
    </w:p>
    <w:p w14:paraId="5CA01A8B">
      <w:pPr>
        <w:pStyle w:val="14"/>
        <w:rPr>
          <w:rFonts w:hint="eastAsia"/>
          <w:color w:val="auto"/>
          <w:highlight w:val="none"/>
          <w:lang w:val="en-US" w:eastAsia="zh-CN"/>
        </w:rPr>
      </w:pPr>
    </w:p>
    <w:p w14:paraId="029F743D">
      <w:pPr>
        <w:pStyle w:val="14"/>
        <w:rPr>
          <w:rFonts w:hint="eastAsia"/>
          <w:color w:val="auto"/>
          <w:highlight w:val="none"/>
          <w:lang w:val="en-US" w:eastAsia="zh-CN"/>
        </w:rPr>
      </w:pPr>
    </w:p>
    <w:p w14:paraId="41587146">
      <w:pPr>
        <w:pStyle w:val="14"/>
        <w:rPr>
          <w:rFonts w:hint="eastAsia"/>
          <w:color w:val="auto"/>
          <w:highlight w:val="none"/>
          <w:lang w:val="en-US" w:eastAsia="zh-CN"/>
        </w:rPr>
      </w:pPr>
    </w:p>
    <w:p w14:paraId="7CD2757F">
      <w:pPr>
        <w:pStyle w:val="14"/>
        <w:rPr>
          <w:rFonts w:hint="eastAsia"/>
          <w:color w:val="auto"/>
          <w:highlight w:val="none"/>
          <w:lang w:val="en-US" w:eastAsia="zh-CN"/>
        </w:rPr>
      </w:pPr>
    </w:p>
    <w:p w14:paraId="7EE0D7C2">
      <w:pPr>
        <w:pStyle w:val="14"/>
        <w:rPr>
          <w:rFonts w:hint="eastAsia"/>
          <w:color w:val="auto"/>
          <w:highlight w:val="none"/>
          <w:lang w:val="en-US" w:eastAsia="zh-CN"/>
        </w:rPr>
      </w:pPr>
    </w:p>
    <w:p w14:paraId="34406338">
      <w:pPr>
        <w:pStyle w:val="14"/>
        <w:rPr>
          <w:rFonts w:hint="eastAsia"/>
          <w:color w:val="auto"/>
          <w:highlight w:val="none"/>
          <w:lang w:val="en-US" w:eastAsia="zh-CN"/>
        </w:rPr>
      </w:pPr>
    </w:p>
    <w:p w14:paraId="30C8D33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665" w:name="_Toc17591"/>
      <w:bookmarkStart w:id="666" w:name="_Toc6223"/>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665"/>
      <w:bookmarkEnd w:id="666"/>
    </w:p>
    <w:p w14:paraId="0C24F0AE">
      <w:pPr>
        <w:pStyle w:val="42"/>
        <w:rPr>
          <w:rFonts w:hint="eastAsia"/>
          <w:color w:val="auto"/>
          <w:highlight w:val="none"/>
        </w:rPr>
      </w:pPr>
      <w:r>
        <w:rPr>
          <w:rFonts w:hint="eastAsia" w:cs="Courier New"/>
          <w:color w:val="auto"/>
          <w:szCs w:val="24"/>
          <w:highlight w:val="none"/>
        </w:rPr>
        <w:t>投标人认为需提供的其它相关资格证明材料</w:t>
      </w:r>
    </w:p>
    <w:p w14:paraId="7C2C3E83">
      <w:pPr>
        <w:pStyle w:val="42"/>
        <w:rPr>
          <w:rFonts w:hint="eastAsia"/>
          <w:color w:val="auto"/>
          <w:highlight w:val="none"/>
        </w:rPr>
      </w:pPr>
    </w:p>
    <w:p w14:paraId="58A36194">
      <w:pPr>
        <w:pStyle w:val="42"/>
        <w:rPr>
          <w:rFonts w:hint="eastAsia"/>
          <w:color w:val="auto"/>
          <w:highlight w:val="none"/>
        </w:rPr>
      </w:pPr>
    </w:p>
    <w:p w14:paraId="3553B395">
      <w:pPr>
        <w:pStyle w:val="42"/>
        <w:rPr>
          <w:rFonts w:hint="eastAsia"/>
          <w:color w:val="auto"/>
          <w:highlight w:val="none"/>
        </w:rPr>
      </w:pPr>
    </w:p>
    <w:p w14:paraId="49D404FC">
      <w:pPr>
        <w:pStyle w:val="42"/>
        <w:rPr>
          <w:rFonts w:hint="eastAsia"/>
          <w:color w:val="auto"/>
          <w:highlight w:val="none"/>
        </w:rPr>
      </w:pPr>
    </w:p>
    <w:p w14:paraId="4B98E4B6">
      <w:pPr>
        <w:pStyle w:val="42"/>
        <w:rPr>
          <w:rFonts w:hint="eastAsia"/>
          <w:color w:val="auto"/>
          <w:highlight w:val="none"/>
        </w:rPr>
      </w:pPr>
    </w:p>
    <w:p w14:paraId="737FEDD3">
      <w:pPr>
        <w:pStyle w:val="42"/>
        <w:rPr>
          <w:rFonts w:hint="eastAsia"/>
          <w:color w:val="auto"/>
          <w:highlight w:val="none"/>
        </w:rPr>
      </w:pPr>
    </w:p>
    <w:p w14:paraId="1C876135">
      <w:pPr>
        <w:pStyle w:val="42"/>
        <w:rPr>
          <w:rFonts w:hint="eastAsia"/>
          <w:color w:val="auto"/>
          <w:highlight w:val="none"/>
        </w:rPr>
      </w:pPr>
    </w:p>
    <w:p w14:paraId="7E85C842">
      <w:pPr>
        <w:pStyle w:val="42"/>
        <w:rPr>
          <w:rFonts w:hint="eastAsia"/>
          <w:color w:val="auto"/>
          <w:highlight w:val="none"/>
        </w:rPr>
      </w:pPr>
    </w:p>
    <w:p w14:paraId="4CBE3B0D">
      <w:pPr>
        <w:pStyle w:val="42"/>
        <w:rPr>
          <w:rFonts w:hint="eastAsia"/>
          <w:color w:val="auto"/>
          <w:highlight w:val="none"/>
        </w:rPr>
      </w:pPr>
    </w:p>
    <w:p w14:paraId="2E6E451F">
      <w:pPr>
        <w:pStyle w:val="42"/>
        <w:rPr>
          <w:rFonts w:hint="eastAsia"/>
          <w:color w:val="auto"/>
          <w:highlight w:val="none"/>
        </w:rPr>
      </w:pPr>
    </w:p>
    <w:p w14:paraId="38DC2C55">
      <w:pPr>
        <w:pStyle w:val="42"/>
        <w:rPr>
          <w:rFonts w:hint="eastAsia"/>
          <w:color w:val="auto"/>
          <w:highlight w:val="none"/>
        </w:rPr>
      </w:pPr>
    </w:p>
    <w:p w14:paraId="04DAFD3C">
      <w:pPr>
        <w:pStyle w:val="42"/>
        <w:rPr>
          <w:rFonts w:hint="eastAsia"/>
          <w:color w:val="auto"/>
          <w:highlight w:val="none"/>
        </w:rPr>
      </w:pPr>
    </w:p>
    <w:p w14:paraId="51E24CDC">
      <w:pPr>
        <w:pStyle w:val="42"/>
        <w:rPr>
          <w:rFonts w:hint="eastAsia"/>
          <w:color w:val="auto"/>
          <w:highlight w:val="none"/>
        </w:rPr>
      </w:pPr>
    </w:p>
    <w:p w14:paraId="1AC1942E">
      <w:pPr>
        <w:pStyle w:val="42"/>
        <w:rPr>
          <w:rFonts w:hint="eastAsia"/>
          <w:color w:val="auto"/>
          <w:highlight w:val="none"/>
        </w:rPr>
      </w:pPr>
    </w:p>
    <w:p w14:paraId="4722E259">
      <w:pPr>
        <w:pStyle w:val="42"/>
        <w:rPr>
          <w:rFonts w:hint="eastAsia"/>
          <w:color w:val="auto"/>
          <w:highlight w:val="none"/>
        </w:rPr>
      </w:pPr>
    </w:p>
    <w:p w14:paraId="07033BD3">
      <w:pPr>
        <w:pStyle w:val="42"/>
        <w:rPr>
          <w:rFonts w:hint="eastAsia"/>
          <w:color w:val="auto"/>
          <w:highlight w:val="none"/>
        </w:rPr>
      </w:pPr>
    </w:p>
    <w:p w14:paraId="6E1D094D">
      <w:pPr>
        <w:pStyle w:val="42"/>
        <w:rPr>
          <w:rFonts w:hint="eastAsia"/>
          <w:color w:val="auto"/>
          <w:highlight w:val="none"/>
        </w:rPr>
      </w:pPr>
    </w:p>
    <w:p w14:paraId="23B0DB54">
      <w:pPr>
        <w:pStyle w:val="42"/>
        <w:rPr>
          <w:rFonts w:hint="eastAsia"/>
          <w:color w:val="auto"/>
          <w:highlight w:val="none"/>
        </w:rPr>
      </w:pPr>
    </w:p>
    <w:p w14:paraId="07159DF6">
      <w:pPr>
        <w:pStyle w:val="42"/>
        <w:rPr>
          <w:rFonts w:hint="eastAsia"/>
          <w:color w:val="auto"/>
          <w:highlight w:val="none"/>
        </w:rPr>
      </w:pPr>
    </w:p>
    <w:p w14:paraId="44B3A5AA">
      <w:pPr>
        <w:pStyle w:val="42"/>
        <w:rPr>
          <w:rFonts w:hint="eastAsia"/>
          <w:color w:val="auto"/>
          <w:highlight w:val="none"/>
        </w:rPr>
      </w:pPr>
    </w:p>
    <w:p w14:paraId="05BB178A">
      <w:pPr>
        <w:pStyle w:val="42"/>
        <w:rPr>
          <w:rFonts w:hint="eastAsia"/>
          <w:color w:val="auto"/>
          <w:highlight w:val="none"/>
        </w:rPr>
      </w:pPr>
    </w:p>
    <w:p w14:paraId="0E7980AB">
      <w:pPr>
        <w:pStyle w:val="42"/>
        <w:rPr>
          <w:rFonts w:hint="eastAsia"/>
          <w:color w:val="auto"/>
          <w:highlight w:val="none"/>
        </w:rPr>
      </w:pPr>
    </w:p>
    <w:p w14:paraId="5A09B930">
      <w:pPr>
        <w:pStyle w:val="42"/>
        <w:rPr>
          <w:rFonts w:hint="eastAsia"/>
          <w:color w:val="auto"/>
          <w:highlight w:val="none"/>
        </w:rPr>
      </w:pPr>
    </w:p>
    <w:p w14:paraId="3FB1F62E">
      <w:pPr>
        <w:pStyle w:val="42"/>
        <w:rPr>
          <w:rFonts w:hint="eastAsia"/>
          <w:color w:val="auto"/>
          <w:highlight w:val="none"/>
        </w:rPr>
      </w:pPr>
    </w:p>
    <w:p w14:paraId="69D25AC1">
      <w:pPr>
        <w:pStyle w:val="42"/>
        <w:rPr>
          <w:rFonts w:hint="eastAsia"/>
          <w:color w:val="auto"/>
          <w:highlight w:val="none"/>
        </w:rPr>
      </w:pPr>
    </w:p>
    <w:p w14:paraId="3E9AC4C9">
      <w:pPr>
        <w:pStyle w:val="42"/>
        <w:rPr>
          <w:rFonts w:hint="eastAsia"/>
          <w:color w:val="auto"/>
          <w:highlight w:val="none"/>
        </w:rPr>
      </w:pPr>
    </w:p>
    <w:p w14:paraId="7FB9AF51">
      <w:pPr>
        <w:pStyle w:val="65"/>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02CB8C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73A003D2">
      <w:pPr>
        <w:autoSpaceDE w:val="0"/>
        <w:autoSpaceDN w:val="0"/>
        <w:adjustRightInd w:val="0"/>
        <w:rPr>
          <w:color w:val="auto"/>
          <w:sz w:val="21"/>
          <w:szCs w:val="24"/>
          <w:highlight w:val="none"/>
        </w:rPr>
      </w:pPr>
    </w:p>
    <w:p w14:paraId="7773B439">
      <w:pPr>
        <w:autoSpaceDE w:val="0"/>
        <w:autoSpaceDN w:val="0"/>
        <w:adjustRightInd w:val="0"/>
        <w:rPr>
          <w:color w:val="auto"/>
          <w:sz w:val="21"/>
          <w:szCs w:val="24"/>
          <w:highlight w:val="none"/>
        </w:rPr>
      </w:pPr>
    </w:p>
    <w:p w14:paraId="2E04646F">
      <w:pPr>
        <w:autoSpaceDE w:val="0"/>
        <w:autoSpaceDN w:val="0"/>
        <w:adjustRightInd w:val="0"/>
        <w:jc w:val="center"/>
        <w:rPr>
          <w:color w:val="auto"/>
          <w:sz w:val="21"/>
          <w:szCs w:val="24"/>
          <w:highlight w:val="none"/>
        </w:rPr>
      </w:pPr>
    </w:p>
    <w:p w14:paraId="71180696">
      <w:pPr>
        <w:pStyle w:val="2"/>
        <w:bidi w:val="0"/>
        <w:spacing w:line="360" w:lineRule="auto"/>
        <w:rPr>
          <w:color w:val="auto"/>
          <w:sz w:val="56"/>
          <w:szCs w:val="56"/>
          <w:highlight w:val="none"/>
        </w:rPr>
      </w:pPr>
      <w:bookmarkStart w:id="667" w:name="_Toc16701"/>
      <w:r>
        <w:rPr>
          <w:rFonts w:hint="eastAsia"/>
          <w:color w:val="auto"/>
          <w:sz w:val="56"/>
          <w:szCs w:val="56"/>
          <w:highlight w:val="none"/>
        </w:rPr>
        <w:t>投 标 文 件</w:t>
      </w:r>
      <w:bookmarkEnd w:id="667"/>
    </w:p>
    <w:p w14:paraId="31C74C30">
      <w:pPr>
        <w:pStyle w:val="2"/>
        <w:bidi w:val="0"/>
        <w:spacing w:line="360" w:lineRule="auto"/>
        <w:rPr>
          <w:rFonts w:hint="eastAsia"/>
          <w:color w:val="auto"/>
          <w:sz w:val="56"/>
          <w:szCs w:val="56"/>
          <w:highlight w:val="none"/>
          <w:lang w:val="en-US" w:eastAsia="zh-CN"/>
        </w:rPr>
      </w:pPr>
      <w:bookmarkStart w:id="668" w:name="_Toc30374"/>
      <w:r>
        <w:rPr>
          <w:rFonts w:hint="eastAsia"/>
          <w:color w:val="auto"/>
          <w:sz w:val="56"/>
          <w:szCs w:val="56"/>
          <w:highlight w:val="none"/>
          <w:lang w:val="en-US" w:eastAsia="zh-CN"/>
        </w:rPr>
        <w:t>报价文件</w:t>
      </w:r>
      <w:bookmarkEnd w:id="668"/>
    </w:p>
    <w:p w14:paraId="2C10D33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01ADA03">
      <w:pPr>
        <w:pStyle w:val="3"/>
        <w:rPr>
          <w:color w:val="auto"/>
          <w:sz w:val="21"/>
          <w:szCs w:val="21"/>
          <w:highlight w:val="none"/>
        </w:rPr>
      </w:pPr>
    </w:p>
    <w:p w14:paraId="4800F1E7">
      <w:pPr>
        <w:rPr>
          <w:color w:val="auto"/>
          <w:sz w:val="21"/>
          <w:szCs w:val="21"/>
          <w:highlight w:val="none"/>
        </w:rPr>
      </w:pPr>
    </w:p>
    <w:p w14:paraId="4053884F">
      <w:pPr>
        <w:rPr>
          <w:color w:val="auto"/>
          <w:highlight w:val="none"/>
        </w:rPr>
      </w:pPr>
    </w:p>
    <w:p w14:paraId="5EABB570">
      <w:pPr>
        <w:autoSpaceDE w:val="0"/>
        <w:autoSpaceDN w:val="0"/>
        <w:adjustRightInd w:val="0"/>
        <w:rPr>
          <w:color w:val="auto"/>
          <w:sz w:val="21"/>
          <w:szCs w:val="21"/>
          <w:highlight w:val="none"/>
        </w:rPr>
      </w:pPr>
    </w:p>
    <w:p w14:paraId="4C687ECE">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01F64B59">
      <w:pPr>
        <w:ind w:left="840" w:firstLine="420"/>
        <w:rPr>
          <w:b/>
          <w:bCs/>
          <w:color w:val="auto"/>
          <w:sz w:val="28"/>
          <w:szCs w:val="28"/>
          <w:highlight w:val="none"/>
        </w:rPr>
      </w:pPr>
    </w:p>
    <w:p w14:paraId="1DC21250">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2B025C97">
      <w:pPr>
        <w:rPr>
          <w:color w:val="auto"/>
          <w:highlight w:val="none"/>
          <w:lang w:val="zh-CN"/>
        </w:rPr>
      </w:pPr>
      <w:r>
        <w:rPr>
          <w:color w:val="auto"/>
          <w:highlight w:val="none"/>
          <w:lang w:val="zh-CN"/>
        </w:rPr>
        <w:br w:type="page"/>
      </w:r>
    </w:p>
    <w:p w14:paraId="5A6B771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730DA0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69" w:name="_Toc26789"/>
      <w:bookmarkStart w:id="670" w:name="_Toc2238"/>
      <w:r>
        <w:rPr>
          <w:rFonts w:hint="eastAsia" w:cstheme="majorBidi"/>
          <w:b/>
          <w:bCs/>
          <w:color w:val="auto"/>
          <w:kern w:val="2"/>
          <w:sz w:val="32"/>
          <w:szCs w:val="32"/>
          <w:highlight w:val="none"/>
          <w:lang w:val="en-US" w:eastAsia="zh-CN" w:bidi="ar-SA"/>
        </w:rPr>
        <w:t>一、开标一览表</w:t>
      </w:r>
      <w:bookmarkEnd w:id="669"/>
      <w:bookmarkEnd w:id="670"/>
    </w:p>
    <w:p w14:paraId="2AB3D72A">
      <w:pPr>
        <w:spacing w:line="300" w:lineRule="auto"/>
        <w:rPr>
          <w:rFonts w:cs="仿宋_GB2312"/>
          <w:color w:val="auto"/>
          <w:szCs w:val="24"/>
          <w:highlight w:val="none"/>
        </w:rPr>
      </w:pPr>
    </w:p>
    <w:p w14:paraId="33486E3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940ECBC">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p w14:paraId="434DA9A6">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07F13D9A">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p w14:paraId="0ABAA95C">
      <w:pPr>
        <w:spacing w:line="300" w:lineRule="auto"/>
        <w:rPr>
          <w:rFonts w:ascii="Arial" w:hAnsi="Arial" w:cs="Arial"/>
          <w:color w:val="auto"/>
          <w:szCs w:val="21"/>
          <w:highlight w:val="none"/>
          <w:u w:val="singl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6325"/>
      </w:tblGrid>
      <w:tr w14:paraId="78E5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2202" w:type="dxa"/>
            <w:noWrap w:val="0"/>
            <w:vAlign w:val="center"/>
          </w:tcPr>
          <w:p w14:paraId="4E1035B7">
            <w:pPr>
              <w:keepNext w:val="0"/>
              <w:keepLines w:val="0"/>
              <w:widowControl/>
              <w:suppressLineNumbers w:val="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kern w:val="0"/>
                <w:sz w:val="22"/>
                <w:szCs w:val="22"/>
                <w:highlight w:val="none"/>
                <w:lang w:val="en-US" w:eastAsia="zh-CN" w:bidi="ar"/>
              </w:rPr>
              <w:t>总报价</w:t>
            </w:r>
          </w:p>
        </w:tc>
        <w:tc>
          <w:tcPr>
            <w:tcW w:w="6325" w:type="dxa"/>
            <w:noWrap w:val="0"/>
            <w:vAlign w:val="top"/>
          </w:tcPr>
          <w:p w14:paraId="0C416CEE">
            <w:pPr>
              <w:keepNext w:val="0"/>
              <w:keepLines w:val="0"/>
              <w:widowControl/>
              <w:suppressLineNumbers w:val="0"/>
              <w:jc w:val="left"/>
              <w:rPr>
                <w:rFonts w:hint="eastAsia" w:ascii="宋体" w:hAnsi="宋体" w:eastAsia="宋体" w:cs="宋体"/>
                <w:b/>
                <w:bCs/>
                <w:color w:val="auto"/>
                <w:kern w:val="0"/>
                <w:sz w:val="22"/>
                <w:szCs w:val="22"/>
                <w:highlight w:val="none"/>
                <w:lang w:val="en-US" w:eastAsia="zh-CN" w:bidi="ar"/>
              </w:rPr>
            </w:pPr>
            <w:r>
              <w:rPr>
                <w:rFonts w:hint="eastAsia" w:ascii="宋体" w:hAnsi="宋体" w:eastAsia="宋体" w:cs="宋体"/>
                <w:b/>
                <w:bCs/>
                <w:color w:val="auto"/>
                <w:kern w:val="0"/>
                <w:sz w:val="22"/>
                <w:szCs w:val="22"/>
                <w:highlight w:val="none"/>
                <w:lang w:val="en-US" w:eastAsia="zh-CN" w:bidi="ar"/>
              </w:rPr>
              <w:t>大写：</w:t>
            </w:r>
            <w:r>
              <w:rPr>
                <w:rFonts w:hint="eastAsia" w:ascii="宋体" w:hAnsi="宋体" w:eastAsia="宋体" w:cs="宋体"/>
                <w:b/>
                <w:bCs/>
                <w:color w:val="auto"/>
                <w:kern w:val="0"/>
                <w:sz w:val="22"/>
                <w:szCs w:val="22"/>
                <w:highlight w:val="none"/>
                <w:u w:val="single"/>
                <w:lang w:val="en-US" w:eastAsia="zh-CN" w:bidi="ar"/>
              </w:rPr>
              <w:t xml:space="preserve">                                       </w:t>
            </w:r>
            <w:r>
              <w:rPr>
                <w:rFonts w:hint="eastAsia" w:ascii="宋体" w:hAnsi="宋体" w:eastAsia="宋体" w:cs="宋体"/>
                <w:b/>
                <w:bCs/>
                <w:color w:val="auto"/>
                <w:kern w:val="0"/>
                <w:sz w:val="22"/>
                <w:szCs w:val="22"/>
                <w:highlight w:val="none"/>
                <w:lang w:val="en-US" w:eastAsia="zh-CN" w:bidi="ar"/>
              </w:rPr>
              <w:t xml:space="preserve">                                      </w:t>
            </w:r>
          </w:p>
          <w:p w14:paraId="3C8904C8">
            <w:pPr>
              <w:keepNext w:val="0"/>
              <w:keepLines w:val="0"/>
              <w:widowControl/>
              <w:suppressLineNumbers w:val="0"/>
              <w:jc w:val="left"/>
              <w:rPr>
                <w:rFonts w:hint="eastAsia" w:ascii="宋体" w:hAnsi="宋体" w:eastAsia="宋体" w:cs="宋体"/>
                <w:b/>
                <w:bCs/>
                <w:color w:val="auto"/>
                <w:sz w:val="24"/>
                <w:szCs w:val="24"/>
                <w:highlight w:val="none"/>
                <w:vertAlign w:val="baseline"/>
              </w:rPr>
            </w:pPr>
            <w:r>
              <w:rPr>
                <w:rFonts w:hint="eastAsia" w:ascii="宋体" w:hAnsi="宋体" w:eastAsia="宋体" w:cs="宋体"/>
                <w:b/>
                <w:bCs/>
                <w:color w:val="auto"/>
                <w:kern w:val="0"/>
                <w:sz w:val="22"/>
                <w:szCs w:val="22"/>
                <w:highlight w:val="none"/>
                <w:lang w:val="en-US" w:eastAsia="zh-CN" w:bidi="ar"/>
              </w:rPr>
              <w:t>小写：</w:t>
            </w:r>
            <w:r>
              <w:rPr>
                <w:rFonts w:hint="eastAsia" w:ascii="宋体" w:hAnsi="宋体" w:eastAsia="宋体" w:cs="宋体"/>
                <w:b/>
                <w:bCs/>
                <w:color w:val="auto"/>
                <w:kern w:val="0"/>
                <w:sz w:val="22"/>
                <w:szCs w:val="22"/>
                <w:highlight w:val="none"/>
                <w:u w:val="single"/>
                <w:lang w:val="en-US" w:eastAsia="zh-CN" w:bidi="ar"/>
              </w:rPr>
              <w:t xml:space="preserve">                                       </w:t>
            </w:r>
            <w:r>
              <w:rPr>
                <w:rFonts w:hint="eastAsia" w:ascii="宋体" w:hAnsi="宋体" w:eastAsia="宋体" w:cs="宋体"/>
                <w:b/>
                <w:bCs/>
                <w:color w:val="auto"/>
                <w:kern w:val="0"/>
                <w:sz w:val="22"/>
                <w:szCs w:val="22"/>
                <w:highlight w:val="none"/>
                <w:lang w:val="en-US" w:eastAsia="zh-CN" w:bidi="ar"/>
              </w:rPr>
              <w:t xml:space="preserve">                                     </w:t>
            </w:r>
          </w:p>
        </w:tc>
      </w:tr>
      <w:tr w14:paraId="09C9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202" w:type="dxa"/>
            <w:noWrap w:val="0"/>
            <w:vAlign w:val="center"/>
          </w:tcPr>
          <w:p w14:paraId="19941010">
            <w:pPr>
              <w:keepNext w:val="0"/>
              <w:keepLines w:val="0"/>
              <w:widowControl/>
              <w:suppressLineNumbers w:val="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color w:val="auto"/>
                <w:sz w:val="22"/>
                <w:szCs w:val="22"/>
                <w:highlight w:val="none"/>
                <w:lang w:val="en-US" w:eastAsia="zh-CN"/>
              </w:rPr>
              <w:t>服务</w:t>
            </w:r>
            <w:r>
              <w:rPr>
                <w:rFonts w:hint="eastAsia" w:ascii="宋体" w:hAnsi="宋体" w:eastAsia="宋体" w:cs="宋体"/>
                <w:color w:val="auto"/>
                <w:sz w:val="22"/>
                <w:szCs w:val="22"/>
                <w:highlight w:val="none"/>
              </w:rPr>
              <w:t>期限</w:t>
            </w:r>
          </w:p>
        </w:tc>
        <w:tc>
          <w:tcPr>
            <w:tcW w:w="6325" w:type="dxa"/>
            <w:noWrap w:val="0"/>
            <w:vAlign w:val="top"/>
          </w:tcPr>
          <w:p w14:paraId="5D0EE9ED">
            <w:pPr>
              <w:jc w:val="center"/>
              <w:outlineLvl w:val="1"/>
              <w:rPr>
                <w:rFonts w:hint="eastAsia" w:ascii="宋体" w:hAnsi="宋体" w:eastAsia="宋体" w:cs="宋体"/>
                <w:b/>
                <w:bCs/>
                <w:color w:val="auto"/>
                <w:sz w:val="24"/>
                <w:szCs w:val="24"/>
                <w:highlight w:val="none"/>
                <w:vertAlign w:val="baseline"/>
              </w:rPr>
            </w:pPr>
          </w:p>
        </w:tc>
      </w:tr>
      <w:tr w14:paraId="2EBB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202" w:type="dxa"/>
            <w:noWrap w:val="0"/>
            <w:vAlign w:val="center"/>
          </w:tcPr>
          <w:p w14:paraId="7388FCE7">
            <w:pPr>
              <w:keepNext w:val="0"/>
              <w:keepLines w:val="0"/>
              <w:widowControl/>
              <w:suppressLineNumbers w:val="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color w:val="auto"/>
                <w:kern w:val="0"/>
                <w:sz w:val="22"/>
                <w:szCs w:val="22"/>
                <w:highlight w:val="none"/>
                <w:lang w:val="en-US" w:eastAsia="zh-CN" w:bidi="ar"/>
              </w:rPr>
              <w:t>项目负责人</w:t>
            </w:r>
          </w:p>
        </w:tc>
        <w:tc>
          <w:tcPr>
            <w:tcW w:w="6325" w:type="dxa"/>
            <w:noWrap w:val="0"/>
            <w:vAlign w:val="top"/>
          </w:tcPr>
          <w:p w14:paraId="4FF48C9C">
            <w:pPr>
              <w:jc w:val="center"/>
              <w:outlineLvl w:val="1"/>
              <w:rPr>
                <w:rFonts w:hint="eastAsia" w:ascii="宋体" w:hAnsi="宋体" w:eastAsia="宋体" w:cs="宋体"/>
                <w:b/>
                <w:bCs/>
                <w:color w:val="auto"/>
                <w:sz w:val="24"/>
                <w:szCs w:val="24"/>
                <w:highlight w:val="none"/>
                <w:vertAlign w:val="baseline"/>
              </w:rPr>
            </w:pPr>
          </w:p>
        </w:tc>
      </w:tr>
      <w:tr w14:paraId="1A22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2202" w:type="dxa"/>
            <w:noWrap w:val="0"/>
            <w:vAlign w:val="center"/>
          </w:tcPr>
          <w:p w14:paraId="159B5C59">
            <w:pPr>
              <w:keepNext w:val="0"/>
              <w:keepLines w:val="0"/>
              <w:widowControl/>
              <w:suppressLineNumbers w:val="0"/>
              <w:jc w:val="center"/>
              <w:rPr>
                <w:rFonts w:hint="eastAsia" w:ascii="宋体" w:hAnsi="宋体" w:eastAsia="宋体" w:cs="宋体"/>
                <w:b/>
                <w:bCs/>
                <w:color w:val="auto"/>
                <w:sz w:val="24"/>
                <w:szCs w:val="24"/>
                <w:highlight w:val="none"/>
                <w:vertAlign w:val="baseline"/>
              </w:rPr>
            </w:pPr>
            <w:r>
              <w:rPr>
                <w:rFonts w:hint="eastAsia" w:ascii="宋体" w:hAnsi="宋体" w:eastAsia="宋体" w:cs="宋体"/>
                <w:color w:val="auto"/>
                <w:kern w:val="0"/>
                <w:sz w:val="22"/>
                <w:szCs w:val="22"/>
                <w:highlight w:val="none"/>
                <w:lang w:val="en-US" w:eastAsia="zh-CN" w:bidi="ar"/>
              </w:rPr>
              <w:t>备注</w:t>
            </w:r>
          </w:p>
        </w:tc>
        <w:tc>
          <w:tcPr>
            <w:tcW w:w="6325" w:type="dxa"/>
            <w:noWrap w:val="0"/>
            <w:vAlign w:val="top"/>
          </w:tcPr>
          <w:p w14:paraId="03F9121B">
            <w:pPr>
              <w:jc w:val="center"/>
              <w:outlineLvl w:val="1"/>
              <w:rPr>
                <w:rFonts w:hint="eastAsia" w:ascii="宋体" w:hAnsi="宋体" w:eastAsia="宋体" w:cs="宋体"/>
                <w:b/>
                <w:bCs/>
                <w:color w:val="auto"/>
                <w:sz w:val="24"/>
                <w:szCs w:val="24"/>
                <w:highlight w:val="none"/>
                <w:vertAlign w:val="baseline"/>
              </w:rPr>
            </w:pPr>
          </w:p>
        </w:tc>
      </w:tr>
    </w:tbl>
    <w:p w14:paraId="618551D6">
      <w:pPr>
        <w:spacing w:line="300" w:lineRule="auto"/>
        <w:rPr>
          <w:rFonts w:ascii="Arial" w:hAnsi="Arial" w:cs="Arial"/>
          <w:color w:val="auto"/>
          <w:szCs w:val="21"/>
          <w:highlight w:val="none"/>
          <w:u w:val="single"/>
        </w:rPr>
      </w:pPr>
    </w:p>
    <w:p w14:paraId="0270EFB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6302F8A6">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722CC087">
      <w:pPr>
        <w:rPr>
          <w:rFonts w:cs="Arial"/>
          <w:color w:val="auto"/>
          <w:szCs w:val="24"/>
          <w:highlight w:val="none"/>
        </w:rPr>
      </w:pPr>
    </w:p>
    <w:p w14:paraId="21BB3A26">
      <w:pPr>
        <w:pStyle w:val="14"/>
        <w:rPr>
          <w:rFonts w:cs="Arial"/>
          <w:color w:val="auto"/>
          <w:szCs w:val="24"/>
          <w:highlight w:val="none"/>
        </w:rPr>
      </w:pP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77B2915F">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77B91C14">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4.总报价中包括但不限于服务人员基本工资、工龄工资、学历工资、社会保险费、工会经费、残保金、雇主责任险、服务费用及税费等所有相关费用，最终达到采购人（业主）使用要求。</w:t>
      </w:r>
    </w:p>
    <w:p w14:paraId="705A94F1">
      <w:pPr>
        <w:pStyle w:val="14"/>
        <w:ind w:firstLine="420" w:firstLineChars="200"/>
        <w:rPr>
          <w:rFonts w:hint="eastAsia" w:ascii="宋体" w:hAnsi="宋体" w:eastAsia="宋体" w:cs="宋体"/>
          <w:color w:val="auto"/>
          <w:sz w:val="21"/>
          <w:szCs w:val="21"/>
          <w:highlight w:val="none"/>
          <w:lang w:val="en-US" w:eastAsia="zh-CN"/>
        </w:rPr>
      </w:pPr>
    </w:p>
    <w:p w14:paraId="784ACD5B">
      <w:pPr>
        <w:pStyle w:val="14"/>
        <w:ind w:firstLine="420" w:firstLineChars="200"/>
        <w:rPr>
          <w:rFonts w:hint="eastAsia" w:ascii="宋体" w:hAnsi="宋体" w:eastAsia="宋体" w:cs="宋体"/>
          <w:color w:val="auto"/>
          <w:sz w:val="21"/>
          <w:szCs w:val="21"/>
          <w:highlight w:val="none"/>
          <w:lang w:val="en-US" w:eastAsia="zh-CN"/>
        </w:rPr>
        <w:sectPr>
          <w:headerReference r:id="rId11" w:type="default"/>
          <w:footerReference r:id="rId12" w:type="default"/>
          <w:pgSz w:w="11905" w:h="16840"/>
          <w:pgMar w:top="1440" w:right="1797" w:bottom="1440" w:left="1797" w:header="851" w:footer="850" w:gutter="0"/>
          <w:pgBorders>
            <w:top w:val="none" w:sz="0" w:space="0"/>
            <w:left w:val="none" w:sz="0" w:space="0"/>
            <w:bottom w:val="none" w:sz="0" w:space="0"/>
            <w:right w:val="none" w:sz="0" w:space="0"/>
          </w:pgBorders>
          <w:pgNumType w:fmt="decimal"/>
          <w:cols w:space="720" w:num="1"/>
        </w:sectPr>
      </w:pPr>
    </w:p>
    <w:p w14:paraId="7B2B178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71" w:name="_Toc12971"/>
      <w:bookmarkStart w:id="672" w:name="_Toc19342"/>
      <w:r>
        <w:rPr>
          <w:rFonts w:hint="eastAsia" w:cstheme="majorBidi"/>
          <w:b/>
          <w:bCs/>
          <w:color w:val="auto"/>
          <w:kern w:val="2"/>
          <w:sz w:val="32"/>
          <w:szCs w:val="32"/>
          <w:highlight w:val="none"/>
          <w:lang w:val="en-US" w:eastAsia="zh-CN" w:bidi="ar-SA"/>
        </w:rPr>
        <w:t>二、分项报价表</w:t>
      </w:r>
      <w:bookmarkEnd w:id="671"/>
      <w:bookmarkEnd w:id="672"/>
      <w:r>
        <w:rPr>
          <w:rFonts w:hint="eastAsia" w:cstheme="majorBidi"/>
          <w:b/>
          <w:bCs/>
          <w:color w:val="auto"/>
          <w:kern w:val="2"/>
          <w:sz w:val="32"/>
          <w:szCs w:val="32"/>
          <w:highlight w:val="none"/>
          <w:lang w:val="en-US" w:eastAsia="zh-CN" w:bidi="ar-SA"/>
        </w:rPr>
        <w:t>（如有）</w:t>
      </w:r>
    </w:p>
    <w:p w14:paraId="25D833CC">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6FFFD51E">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3"/>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088C5C1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73E9587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46AE39CD">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39D5688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7A26779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07A38CC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D2CE28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7A98B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39055D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3350EE9">
            <w:pPr>
              <w:adjustRightInd w:val="0"/>
              <w:snapToGrid w:val="0"/>
              <w:spacing w:line="240" w:lineRule="auto"/>
              <w:jc w:val="center"/>
              <w:rPr>
                <w:rFonts w:hint="eastAsia" w:ascii="宋体" w:hAnsi="宋体" w:eastAsia="宋体" w:cs="宋体"/>
                <w:color w:val="auto"/>
                <w:sz w:val="21"/>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19F1753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FA2A25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4862ED">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04070D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5B52869">
            <w:pPr>
              <w:adjustRightInd w:val="0"/>
              <w:snapToGrid w:val="0"/>
              <w:spacing w:line="240" w:lineRule="auto"/>
              <w:jc w:val="center"/>
              <w:rPr>
                <w:rFonts w:hint="eastAsia" w:ascii="宋体" w:hAnsi="宋体" w:eastAsia="宋体" w:cs="宋体"/>
                <w:color w:val="auto"/>
                <w:sz w:val="21"/>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7605B56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DB12A2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17BFF7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4B6F17D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E8ED10E">
            <w:pPr>
              <w:adjustRightInd w:val="0"/>
              <w:snapToGrid w:val="0"/>
              <w:spacing w:line="240" w:lineRule="auto"/>
              <w:jc w:val="center"/>
              <w:rPr>
                <w:rFonts w:hint="eastAsia" w:ascii="宋体" w:hAnsi="宋体" w:eastAsia="宋体" w:cs="宋体"/>
                <w:color w:val="auto"/>
                <w:sz w:val="21"/>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0B0031F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A9AB905">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C40B8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FDFD67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C259360">
            <w:pPr>
              <w:adjustRightInd w:val="0"/>
              <w:snapToGrid w:val="0"/>
              <w:spacing w:line="240" w:lineRule="auto"/>
              <w:jc w:val="center"/>
              <w:rPr>
                <w:rFonts w:hint="eastAsia" w:ascii="宋体" w:hAnsi="宋体" w:eastAsia="宋体" w:cs="宋体"/>
                <w:color w:val="auto"/>
                <w:sz w:val="21"/>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2B6E9910">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4E951A1">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D9FC8D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745BDE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F20BA25">
            <w:pPr>
              <w:adjustRightInd w:val="0"/>
              <w:snapToGrid w:val="0"/>
              <w:spacing w:line="240" w:lineRule="auto"/>
              <w:jc w:val="center"/>
              <w:rPr>
                <w:rFonts w:hint="eastAsia" w:ascii="宋体" w:hAnsi="宋体" w:eastAsia="宋体" w:cs="宋体"/>
                <w:color w:val="auto"/>
                <w:sz w:val="21"/>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E776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BA61A9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DCA522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8A27993">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3A904F9">
            <w:pPr>
              <w:adjustRightInd w:val="0"/>
              <w:snapToGrid w:val="0"/>
              <w:spacing w:line="240" w:lineRule="auto"/>
              <w:jc w:val="center"/>
              <w:rPr>
                <w:rFonts w:hint="eastAsia" w:ascii="宋体" w:hAnsi="宋体" w:eastAsia="宋体" w:cs="宋体"/>
                <w:color w:val="auto"/>
                <w:sz w:val="21"/>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64625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B4D906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A8DF27F">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54C5FBF7">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690F475">
            <w:pPr>
              <w:adjustRightInd w:val="0"/>
              <w:snapToGrid w:val="0"/>
              <w:spacing w:line="240" w:lineRule="auto"/>
              <w:jc w:val="center"/>
              <w:rPr>
                <w:rFonts w:hint="eastAsia" w:ascii="宋体" w:hAnsi="宋体" w:eastAsia="宋体" w:cs="宋体"/>
                <w:color w:val="auto"/>
                <w:sz w:val="21"/>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7C3908AC">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62E8E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F2704AB">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9394E0B">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A8DCEE1">
            <w:pPr>
              <w:adjustRightInd w:val="0"/>
              <w:snapToGrid w:val="0"/>
              <w:spacing w:line="240" w:lineRule="auto"/>
              <w:jc w:val="center"/>
              <w:rPr>
                <w:rFonts w:hint="eastAsia" w:ascii="宋体" w:hAnsi="宋体" w:eastAsia="宋体" w:cs="宋体"/>
                <w:color w:val="auto"/>
                <w:sz w:val="21"/>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547CA859">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7B9DBE1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851C226">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505459">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14D910E3">
            <w:pPr>
              <w:adjustRightInd w:val="0"/>
              <w:snapToGrid w:val="0"/>
              <w:spacing w:line="240" w:lineRule="auto"/>
              <w:jc w:val="center"/>
              <w:rPr>
                <w:rFonts w:hint="eastAsia" w:ascii="宋体" w:hAnsi="宋体" w:eastAsia="宋体" w:cs="宋体"/>
                <w:color w:val="auto"/>
                <w:sz w:val="21"/>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6E3D4C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34269FA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46717F9">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1629B6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7F337C52">
            <w:pPr>
              <w:adjustRightInd w:val="0"/>
              <w:snapToGrid w:val="0"/>
              <w:spacing w:line="240" w:lineRule="auto"/>
              <w:jc w:val="center"/>
              <w:rPr>
                <w:rFonts w:hint="eastAsia" w:ascii="宋体" w:hAnsi="宋体" w:eastAsia="宋体" w:cs="宋体"/>
                <w:color w:val="auto"/>
                <w:sz w:val="21"/>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5D4BF5AE">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3E6B6F3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2B6CE3C">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5025601">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9116035">
            <w:pPr>
              <w:adjustRightInd w:val="0"/>
              <w:snapToGrid w:val="0"/>
              <w:spacing w:line="240" w:lineRule="auto"/>
              <w:jc w:val="center"/>
              <w:rPr>
                <w:rFonts w:hint="eastAsia" w:ascii="宋体" w:hAnsi="宋体" w:eastAsia="宋体" w:cs="宋体"/>
                <w:color w:val="auto"/>
                <w:sz w:val="21"/>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0609C717">
            <w:pPr>
              <w:adjustRightInd w:val="0"/>
              <w:snapToGrid w:val="0"/>
              <w:spacing w:line="240" w:lineRule="auto"/>
              <w:jc w:val="center"/>
              <w:rPr>
                <w:rFonts w:hint="eastAsia" w:ascii="宋体" w:hAnsi="宋体" w:eastAsia="宋体" w:cs="宋体"/>
                <w:color w:val="auto"/>
                <w:sz w:val="21"/>
                <w:szCs w:val="21"/>
                <w:highlight w:val="none"/>
              </w:rPr>
            </w:pPr>
          </w:p>
        </w:tc>
      </w:tr>
    </w:tbl>
    <w:p w14:paraId="62480CF8">
      <w:pPr>
        <w:spacing w:line="300" w:lineRule="auto"/>
        <w:rPr>
          <w:rFonts w:ascii="Arial" w:hAnsi="Arial" w:cs="Arial"/>
          <w:color w:val="auto"/>
          <w:szCs w:val="21"/>
          <w:highlight w:val="none"/>
        </w:rPr>
      </w:pPr>
    </w:p>
    <w:p w14:paraId="51101AF7">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宋体" w:hAnsi="宋体" w:cs="宋体"/>
          <w:color w:val="auto"/>
          <w:kern w:val="0"/>
          <w:sz w:val="24"/>
          <w:highlight w:val="none"/>
          <w:lang w:val="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rPr>
          <w:rFonts w:ascii="Arial" w:hAnsi="Arial" w:cs="Arial"/>
          <w:color w:val="auto"/>
          <w:szCs w:val="21"/>
          <w:highlight w:val="none"/>
        </w:rPr>
      </w:pPr>
      <w:r>
        <w:rPr>
          <w:rFonts w:ascii="Arial" w:hAnsi="Arial" w:cs="Arial"/>
          <w:color w:val="auto"/>
          <w:szCs w:val="21"/>
          <w:highlight w:val="none"/>
        </w:rPr>
        <w:t>日期：</w:t>
      </w:r>
    </w:p>
    <w:p w14:paraId="28F15BC4">
      <w:pPr>
        <w:spacing w:line="300" w:lineRule="auto"/>
        <w:rPr>
          <w:rFonts w:ascii="Arial" w:hAnsi="Arial" w:cs="Arial"/>
          <w:color w:val="auto"/>
          <w:szCs w:val="21"/>
          <w:highlight w:val="none"/>
        </w:rPr>
      </w:pPr>
    </w:p>
    <w:p w14:paraId="19373AA9">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4681585F">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25B9431E">
      <w:pPr>
        <w:spacing w:line="360" w:lineRule="auto"/>
        <w:ind w:firstLine="435"/>
        <w:rPr>
          <w:rFonts w:hint="eastAsia" w:ascii="宋体" w:hAnsi="宋体" w:eastAsia="宋体" w:cs="宋体"/>
          <w:color w:val="auto"/>
          <w:sz w:val="24"/>
          <w:szCs w:val="24"/>
          <w:highlight w:val="none"/>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2C323B6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73" w:name="_Toc28343"/>
      <w:bookmarkStart w:id="674" w:name="_Toc4379"/>
      <w:r>
        <w:rPr>
          <w:rFonts w:hint="eastAsia" w:cstheme="majorBidi"/>
          <w:b/>
          <w:bCs/>
          <w:color w:val="auto"/>
          <w:kern w:val="2"/>
          <w:sz w:val="32"/>
          <w:szCs w:val="32"/>
          <w:highlight w:val="none"/>
          <w:lang w:val="en-US" w:eastAsia="zh-CN" w:bidi="ar-SA"/>
        </w:rPr>
        <w:t>三、关于符合本国产品标准的声明函或财政部规定的其他</w:t>
      </w:r>
      <w:bookmarkEnd w:id="673"/>
      <w:r>
        <w:rPr>
          <w:rFonts w:hint="eastAsia" w:cstheme="majorBidi"/>
          <w:b/>
          <w:bCs/>
          <w:color w:val="auto"/>
          <w:kern w:val="2"/>
          <w:sz w:val="32"/>
          <w:szCs w:val="32"/>
          <w:highlight w:val="none"/>
          <w:lang w:val="en-US" w:eastAsia="zh-CN" w:bidi="ar-SA"/>
        </w:rPr>
        <w:t>【如适用】</w:t>
      </w:r>
    </w:p>
    <w:p w14:paraId="478C52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75" w:name="_Toc15816"/>
      <w:r>
        <w:rPr>
          <w:rFonts w:hint="eastAsia" w:cstheme="majorBidi"/>
          <w:b/>
          <w:bCs/>
          <w:color w:val="auto"/>
          <w:kern w:val="2"/>
          <w:sz w:val="32"/>
          <w:szCs w:val="32"/>
          <w:highlight w:val="none"/>
          <w:lang w:val="en-US" w:eastAsia="zh-CN" w:bidi="ar-SA"/>
        </w:rPr>
        <w:t>证明文件</w:t>
      </w:r>
      <w:bookmarkEnd w:id="674"/>
      <w:bookmarkEnd w:id="675"/>
    </w:p>
    <w:p w14:paraId="27D77DB3">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3FA7A7">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42253C07">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1369E9F7">
      <w:pPr>
        <w:autoSpaceDE w:val="0"/>
        <w:autoSpaceDN w:val="0"/>
        <w:adjustRightInd w:val="0"/>
        <w:rPr>
          <w:color w:val="auto"/>
          <w:sz w:val="21"/>
          <w:szCs w:val="24"/>
          <w:highlight w:val="none"/>
        </w:rPr>
      </w:pPr>
    </w:p>
    <w:p w14:paraId="7545DFD8">
      <w:pPr>
        <w:autoSpaceDE w:val="0"/>
        <w:autoSpaceDN w:val="0"/>
        <w:adjustRightInd w:val="0"/>
        <w:rPr>
          <w:color w:val="auto"/>
          <w:sz w:val="21"/>
          <w:szCs w:val="24"/>
          <w:highlight w:val="none"/>
        </w:rPr>
      </w:pPr>
    </w:p>
    <w:p w14:paraId="6E9DF04D">
      <w:pPr>
        <w:autoSpaceDE w:val="0"/>
        <w:autoSpaceDN w:val="0"/>
        <w:adjustRightInd w:val="0"/>
        <w:jc w:val="center"/>
        <w:rPr>
          <w:color w:val="auto"/>
          <w:sz w:val="21"/>
          <w:szCs w:val="24"/>
          <w:highlight w:val="none"/>
        </w:rPr>
      </w:pPr>
    </w:p>
    <w:p w14:paraId="4A09F0AA">
      <w:pPr>
        <w:pStyle w:val="2"/>
        <w:bidi w:val="0"/>
        <w:rPr>
          <w:color w:val="auto"/>
          <w:sz w:val="56"/>
          <w:szCs w:val="56"/>
          <w:highlight w:val="none"/>
        </w:rPr>
      </w:pPr>
      <w:bookmarkStart w:id="676" w:name="_Toc29933"/>
      <w:r>
        <w:rPr>
          <w:rFonts w:hint="eastAsia"/>
          <w:color w:val="auto"/>
          <w:sz w:val="56"/>
          <w:szCs w:val="56"/>
          <w:highlight w:val="none"/>
        </w:rPr>
        <w:t>投 标 文 件</w:t>
      </w:r>
      <w:bookmarkEnd w:id="676"/>
    </w:p>
    <w:p w14:paraId="4E8ADE01">
      <w:pPr>
        <w:pStyle w:val="2"/>
        <w:bidi w:val="0"/>
        <w:rPr>
          <w:rFonts w:hint="eastAsia"/>
          <w:color w:val="auto"/>
          <w:sz w:val="56"/>
          <w:szCs w:val="56"/>
          <w:highlight w:val="none"/>
          <w:lang w:val="en-US" w:eastAsia="zh-CN"/>
        </w:rPr>
      </w:pPr>
      <w:bookmarkStart w:id="677" w:name="_Toc6309"/>
      <w:r>
        <w:rPr>
          <w:rFonts w:hint="eastAsia"/>
          <w:color w:val="auto"/>
          <w:sz w:val="56"/>
          <w:szCs w:val="56"/>
          <w:highlight w:val="none"/>
          <w:lang w:val="en-US" w:eastAsia="zh-CN"/>
        </w:rPr>
        <w:t>商务技术文件</w:t>
      </w:r>
      <w:bookmarkEnd w:id="677"/>
    </w:p>
    <w:p w14:paraId="570FB9DD">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3BFF9900">
      <w:pPr>
        <w:pStyle w:val="3"/>
        <w:rPr>
          <w:color w:val="auto"/>
          <w:sz w:val="21"/>
          <w:szCs w:val="21"/>
          <w:highlight w:val="none"/>
        </w:rPr>
      </w:pPr>
    </w:p>
    <w:p w14:paraId="3304790D">
      <w:pPr>
        <w:rPr>
          <w:color w:val="auto"/>
          <w:sz w:val="21"/>
          <w:szCs w:val="21"/>
          <w:highlight w:val="none"/>
        </w:rPr>
      </w:pPr>
    </w:p>
    <w:p w14:paraId="414CC1ED">
      <w:pPr>
        <w:rPr>
          <w:color w:val="auto"/>
          <w:highlight w:val="none"/>
        </w:rPr>
      </w:pPr>
    </w:p>
    <w:p w14:paraId="789512AB">
      <w:pPr>
        <w:autoSpaceDE w:val="0"/>
        <w:autoSpaceDN w:val="0"/>
        <w:adjustRightInd w:val="0"/>
        <w:rPr>
          <w:color w:val="auto"/>
          <w:sz w:val="21"/>
          <w:szCs w:val="21"/>
          <w:highlight w:val="none"/>
        </w:rPr>
      </w:pPr>
    </w:p>
    <w:p w14:paraId="4BE21783">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70A32CAD">
      <w:pPr>
        <w:ind w:left="840" w:firstLine="420"/>
        <w:rPr>
          <w:b/>
          <w:bCs/>
          <w:color w:val="auto"/>
          <w:sz w:val="28"/>
          <w:szCs w:val="28"/>
          <w:highlight w:val="none"/>
        </w:rPr>
      </w:pPr>
    </w:p>
    <w:p w14:paraId="25D3DD60">
      <w:pPr>
        <w:ind w:left="840" w:firstLine="420"/>
        <w:rPr>
          <w:b/>
          <w:bCs/>
          <w:color w:val="auto"/>
          <w:sz w:val="28"/>
          <w:szCs w:val="28"/>
          <w:highlight w:val="none"/>
        </w:rPr>
      </w:pPr>
    </w:p>
    <w:p w14:paraId="2F9296DD">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78" w:name="_Toc13736"/>
      <w:bookmarkStart w:id="679" w:name="_Toc109900327"/>
      <w:bookmarkStart w:id="680" w:name="_Toc109899489"/>
      <w:bookmarkStart w:id="681" w:name="_Toc28532"/>
      <w:bookmarkStart w:id="682" w:name="_Toc3577"/>
      <w:bookmarkStart w:id="683" w:name="_Toc25402"/>
      <w:bookmarkStart w:id="684" w:name="_Toc109899908"/>
      <w:bookmarkStart w:id="685" w:name="_Toc140132831"/>
      <w:bookmarkStart w:id="686" w:name="_Toc155185921"/>
      <w:r>
        <w:rPr>
          <w:rFonts w:hint="eastAsia" w:eastAsia="宋体" w:asciiTheme="majorHAnsi" w:hAnsiTheme="majorHAnsi" w:cstheme="majorBidi"/>
          <w:b/>
          <w:bCs/>
          <w:color w:val="auto"/>
          <w:kern w:val="2"/>
          <w:sz w:val="32"/>
          <w:szCs w:val="32"/>
          <w:highlight w:val="none"/>
          <w:lang w:val="en-US" w:eastAsia="zh-CN" w:bidi="ar-SA"/>
        </w:rPr>
        <w:t>一、投标函</w:t>
      </w:r>
      <w:bookmarkEnd w:id="678"/>
      <w:bookmarkEnd w:id="679"/>
      <w:bookmarkEnd w:id="680"/>
      <w:bookmarkEnd w:id="681"/>
      <w:bookmarkEnd w:id="682"/>
      <w:bookmarkEnd w:id="683"/>
      <w:bookmarkEnd w:id="684"/>
      <w:bookmarkEnd w:id="685"/>
      <w:bookmarkEnd w:id="686"/>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687" w:name="_Hlk161604053"/>
      <w:r>
        <w:rPr>
          <w:rFonts w:hint="eastAsia"/>
          <w:color w:val="auto"/>
          <w:szCs w:val="24"/>
          <w:highlight w:val="none"/>
        </w:rPr>
        <w:t>我方承诺本《投标函》的签章对本投标文件全部内容具有约束力并承担法律责任。</w:t>
      </w:r>
      <w:bookmarkEnd w:id="687"/>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2DB608AC">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B632FC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法定代表人或授权代表</w:t>
      </w:r>
      <w:r>
        <w:rPr>
          <w:rFonts w:hint="eastAsia" w:cs="宋体"/>
          <w:color w:val="auto"/>
          <w:highlight w:val="none"/>
          <w:lang w:eastAsia="zh-CN"/>
        </w:rPr>
        <w:t>（</w:t>
      </w:r>
      <w:r>
        <w:rPr>
          <w:rFonts w:hint="eastAsia" w:cs="宋体"/>
          <w:color w:val="auto"/>
          <w:highlight w:val="none"/>
        </w:rPr>
        <w:t>签字或印章</w:t>
      </w:r>
      <w:r>
        <w:rPr>
          <w:rFonts w:hint="eastAsia" w:cs="宋体"/>
          <w:color w:val="auto"/>
          <w:highlight w:val="none"/>
          <w:lang w:eastAsia="zh-CN"/>
        </w:rPr>
        <w:t>）</w:t>
      </w:r>
      <w:r>
        <w:rPr>
          <w:rFonts w:hint="eastAsia" w:cs="宋体"/>
          <w:color w:val="auto"/>
          <w:highlight w:val="none"/>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88" w:name="_Toc518"/>
      <w:bookmarkStart w:id="689" w:name="_Toc3285"/>
      <w:bookmarkStart w:id="690"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688"/>
      <w:bookmarkEnd w:id="689"/>
      <w:bookmarkEnd w:id="69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91" w:name="_Toc22585"/>
      <w:bookmarkStart w:id="692" w:name="_Toc29531"/>
      <w:bookmarkStart w:id="693" w:name="_Toc155185925"/>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691"/>
      <w:bookmarkEnd w:id="692"/>
      <w:bookmarkEnd w:id="693"/>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3"/>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94" w:name="_Toc155185934"/>
      <w:bookmarkStart w:id="695" w:name="_Toc163492928"/>
      <w:bookmarkStart w:id="696" w:name="_Toc12455"/>
      <w:bookmarkStart w:id="697" w:name="_Toc30910"/>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694"/>
      <w:bookmarkEnd w:id="695"/>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696"/>
      <w:bookmarkEnd w:id="697"/>
    </w:p>
    <w:p w14:paraId="2AB445CF">
      <w:pPr>
        <w:pStyle w:val="14"/>
        <w:rPr>
          <w:color w:val="auto"/>
          <w:highlight w:val="none"/>
        </w:rPr>
      </w:pPr>
    </w:p>
    <w:p w14:paraId="2CE177B4">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w:t>
      </w:r>
      <w:r>
        <w:rPr>
          <w:rFonts w:hint="eastAsia" w:ascii="宋体" w:hAnsi="宋体" w:cs="宋体"/>
          <w:color w:val="auto"/>
          <w:kern w:val="0"/>
          <w:sz w:val="24"/>
          <w:szCs w:val="24"/>
          <w:highlight w:val="none"/>
          <w:lang w:val="en-US" w:eastAsia="zh-CN"/>
        </w:rPr>
        <w:t>文件</w:t>
      </w:r>
      <w:r>
        <w:rPr>
          <w:rFonts w:hint="eastAsia" w:ascii="宋体" w:hAnsi="宋体" w:cs="宋体"/>
          <w:color w:val="auto"/>
          <w:kern w:val="0"/>
          <w:sz w:val="24"/>
          <w:szCs w:val="24"/>
          <w:highlight w:val="none"/>
          <w:lang w:val="zh-CN"/>
        </w:rPr>
        <w:t>要求参加投标。在这次投标过程中和中标后，我们将严格遵守国家法律法规要求，并郑重承诺：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新疆财政厅</w:t>
      </w:r>
      <w:r>
        <w:rPr>
          <w:rFonts w:hint="eastAsia" w:ascii="宋体" w:hAnsi="宋体" w:cs="宋体"/>
          <w:color w:val="auto"/>
          <w:kern w:val="0"/>
          <w:sz w:val="24"/>
          <w:szCs w:val="24"/>
          <w:highlight w:val="none"/>
          <w:lang w:val="zh-CN"/>
        </w:rPr>
        <w:t>。由此引起的相应损失均由我单位承担。</w:t>
      </w:r>
    </w:p>
    <w:p w14:paraId="5E22ECB4">
      <w:pPr>
        <w:autoSpaceDE w:val="0"/>
        <w:autoSpaceDN w:val="0"/>
        <w:spacing w:line="360" w:lineRule="auto"/>
        <w:ind w:left="2"/>
        <w:jc w:val="left"/>
        <w:rPr>
          <w:rFonts w:ascii="宋体" w:hAnsi="宋体" w:cs="宋体"/>
          <w:color w:val="auto"/>
          <w:kern w:val="0"/>
          <w:sz w:val="24"/>
          <w:szCs w:val="24"/>
          <w:highlight w:val="none"/>
          <w:lang w:val="zh-CN"/>
        </w:rPr>
      </w:pPr>
    </w:p>
    <w:p w14:paraId="0914ACDE">
      <w:pPr>
        <w:autoSpaceDE w:val="0"/>
        <w:autoSpaceDN w:val="0"/>
        <w:spacing w:line="360" w:lineRule="auto"/>
        <w:ind w:left="2"/>
        <w:jc w:val="left"/>
        <w:rPr>
          <w:rFonts w:ascii="宋体" w:hAnsi="宋体" w:cs="宋体"/>
          <w:color w:val="auto"/>
          <w:kern w:val="0"/>
          <w:sz w:val="24"/>
          <w:szCs w:val="24"/>
          <w:highlight w:val="none"/>
          <w:lang w:val="zh-CN"/>
        </w:rPr>
      </w:pPr>
    </w:p>
    <w:p w14:paraId="02E01AF0">
      <w:pPr>
        <w:autoSpaceDE w:val="0"/>
        <w:autoSpaceDN w:val="0"/>
        <w:spacing w:line="360" w:lineRule="auto"/>
        <w:ind w:left="2"/>
        <w:jc w:val="left"/>
        <w:rPr>
          <w:rFonts w:ascii="宋体" w:hAnsi="宋体" w:cs="宋体"/>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cs="宋体"/>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5AA40BF9">
      <w:pPr>
        <w:rPr>
          <w:rFonts w:hint="eastAsia" w:eastAsia="宋体" w:asciiTheme="majorHAnsi" w:hAnsiTheme="majorHAnsi" w:cstheme="majorBidi"/>
          <w:b/>
          <w:bCs/>
          <w:color w:val="auto"/>
          <w:kern w:val="2"/>
          <w:sz w:val="24"/>
          <w:szCs w:val="24"/>
          <w:highlight w:val="none"/>
          <w:lang w:val="en-US" w:eastAsia="zh-CN" w:bidi="ar-SA"/>
        </w:rPr>
      </w:pPr>
    </w:p>
    <w:p w14:paraId="2917743B">
      <w:pPr>
        <w:pStyle w:val="14"/>
        <w:rPr>
          <w:rFonts w:hint="eastAsia" w:eastAsia="宋体" w:asciiTheme="majorHAnsi" w:hAnsiTheme="majorHAnsi" w:cstheme="majorBidi"/>
          <w:b/>
          <w:bCs/>
          <w:color w:val="auto"/>
          <w:kern w:val="2"/>
          <w:sz w:val="24"/>
          <w:szCs w:val="24"/>
          <w:highlight w:val="none"/>
          <w:lang w:val="en-US" w:eastAsia="zh-CN" w:bidi="ar-SA"/>
        </w:rPr>
      </w:pPr>
    </w:p>
    <w:p w14:paraId="2CC927CA">
      <w:pPr>
        <w:pStyle w:val="14"/>
        <w:rPr>
          <w:rFonts w:hint="eastAsia" w:eastAsia="宋体" w:asciiTheme="majorHAnsi" w:hAnsiTheme="majorHAnsi" w:cstheme="majorBidi"/>
          <w:b/>
          <w:bCs/>
          <w:color w:val="auto"/>
          <w:kern w:val="2"/>
          <w:sz w:val="24"/>
          <w:szCs w:val="24"/>
          <w:highlight w:val="none"/>
          <w:lang w:val="en-US" w:eastAsia="zh-CN" w:bidi="ar-SA"/>
        </w:rPr>
      </w:pPr>
    </w:p>
    <w:p w14:paraId="18FDCDE0">
      <w:pPr>
        <w:pStyle w:val="14"/>
        <w:rPr>
          <w:rFonts w:hint="eastAsia" w:eastAsia="宋体" w:asciiTheme="majorHAnsi" w:hAnsiTheme="majorHAnsi" w:cstheme="majorBidi"/>
          <w:b/>
          <w:bCs/>
          <w:color w:val="auto"/>
          <w:kern w:val="2"/>
          <w:sz w:val="24"/>
          <w:szCs w:val="24"/>
          <w:highlight w:val="none"/>
          <w:lang w:val="en-US" w:eastAsia="zh-CN" w:bidi="ar-SA"/>
        </w:rPr>
      </w:pPr>
    </w:p>
    <w:p w14:paraId="626EF50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698" w:name="_Toc17991"/>
      <w:bookmarkStart w:id="699" w:name="_Toc28344"/>
      <w:r>
        <w:rPr>
          <w:rFonts w:hint="eastAsia" w:cstheme="majorBidi"/>
          <w:b/>
          <w:bCs/>
          <w:color w:val="auto"/>
          <w:kern w:val="2"/>
          <w:sz w:val="32"/>
          <w:szCs w:val="32"/>
          <w:highlight w:val="none"/>
          <w:lang w:val="en-US" w:eastAsia="zh-CN" w:bidi="ar-SA"/>
        </w:rPr>
        <w:t>五</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698"/>
      <w:bookmarkEnd w:id="699"/>
    </w:p>
    <w:p w14:paraId="1D186498">
      <w:pPr>
        <w:rPr>
          <w:rFonts w:cs="仿宋_GB2312"/>
          <w:color w:val="auto"/>
          <w:szCs w:val="24"/>
          <w:highlight w:val="none"/>
        </w:rPr>
      </w:pPr>
      <w:r>
        <w:rPr>
          <w:rFonts w:hint="eastAsia" w:cs="仿宋_GB2312"/>
          <w:color w:val="auto"/>
          <w:szCs w:val="24"/>
          <w:highlight w:val="none"/>
        </w:rPr>
        <w:t xml:space="preserve">项目名称：                                         </w:t>
      </w:r>
    </w:p>
    <w:p w14:paraId="49D93B1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3"/>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3312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61EA1055">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49200A2F">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2B47A594">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0A22DBCC">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030997F0">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2C90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F94D579">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4BC6C9AE">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5FBB3652">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0BE3ED73">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38155B65">
            <w:pPr>
              <w:pStyle w:val="54"/>
              <w:jc w:val="center"/>
              <w:rPr>
                <w:rFonts w:hint="eastAsia" w:ascii="宋体" w:hAnsi="宋体" w:eastAsia="宋体" w:cs="宋体"/>
                <w:color w:val="auto"/>
                <w:sz w:val="21"/>
                <w:szCs w:val="21"/>
                <w:highlight w:val="none"/>
              </w:rPr>
            </w:pPr>
          </w:p>
        </w:tc>
      </w:tr>
      <w:tr w14:paraId="2C680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A99A42">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45C9EA13">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78716E39">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FF2D014">
            <w:pPr>
              <w:pStyle w:val="54"/>
              <w:jc w:val="center"/>
              <w:rPr>
                <w:rFonts w:hint="eastAsia" w:ascii="宋体" w:hAnsi="宋体" w:eastAsia="宋体" w:cs="宋体"/>
                <w:color w:val="auto"/>
                <w:sz w:val="21"/>
                <w:szCs w:val="21"/>
                <w:highlight w:val="none"/>
              </w:rPr>
            </w:pPr>
          </w:p>
        </w:tc>
        <w:tc>
          <w:tcPr>
            <w:tcW w:w="1090" w:type="pct"/>
            <w:vAlign w:val="center"/>
          </w:tcPr>
          <w:p w14:paraId="4FD2DF22">
            <w:pPr>
              <w:pStyle w:val="54"/>
              <w:jc w:val="center"/>
              <w:rPr>
                <w:rFonts w:hint="eastAsia" w:ascii="宋体" w:hAnsi="宋体" w:eastAsia="宋体" w:cs="宋体"/>
                <w:color w:val="auto"/>
                <w:sz w:val="21"/>
                <w:szCs w:val="21"/>
                <w:highlight w:val="none"/>
              </w:rPr>
            </w:pPr>
          </w:p>
        </w:tc>
      </w:tr>
      <w:tr w14:paraId="3CF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DCD2EC">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69CD6442">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8A482">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4CBAA73E">
            <w:pPr>
              <w:pStyle w:val="54"/>
              <w:jc w:val="center"/>
              <w:rPr>
                <w:rFonts w:hint="eastAsia" w:ascii="宋体" w:hAnsi="宋体" w:eastAsia="宋体" w:cs="宋体"/>
                <w:color w:val="auto"/>
                <w:sz w:val="21"/>
                <w:szCs w:val="21"/>
                <w:highlight w:val="none"/>
              </w:rPr>
            </w:pPr>
          </w:p>
        </w:tc>
        <w:tc>
          <w:tcPr>
            <w:tcW w:w="1090" w:type="pct"/>
            <w:vAlign w:val="center"/>
          </w:tcPr>
          <w:p w14:paraId="7E83BCC4">
            <w:pPr>
              <w:pStyle w:val="54"/>
              <w:jc w:val="center"/>
              <w:rPr>
                <w:rFonts w:hint="eastAsia" w:ascii="宋体" w:hAnsi="宋体" w:eastAsia="宋体" w:cs="宋体"/>
                <w:color w:val="auto"/>
                <w:sz w:val="21"/>
                <w:szCs w:val="21"/>
                <w:highlight w:val="none"/>
              </w:rPr>
            </w:pPr>
          </w:p>
        </w:tc>
      </w:tr>
      <w:tr w14:paraId="15C0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F30B680">
            <w:pPr>
              <w:pStyle w:val="54"/>
              <w:jc w:val="center"/>
              <w:rPr>
                <w:rFonts w:hint="eastAsia" w:ascii="宋体" w:hAnsi="宋体" w:eastAsia="宋体" w:cs="宋体"/>
                <w:color w:val="auto"/>
                <w:sz w:val="21"/>
                <w:szCs w:val="21"/>
                <w:highlight w:val="none"/>
              </w:rPr>
            </w:pPr>
          </w:p>
        </w:tc>
        <w:tc>
          <w:tcPr>
            <w:tcW w:w="1395" w:type="pct"/>
            <w:vAlign w:val="center"/>
          </w:tcPr>
          <w:p w14:paraId="4AADEA29">
            <w:pPr>
              <w:pStyle w:val="54"/>
              <w:jc w:val="center"/>
              <w:rPr>
                <w:rFonts w:hint="eastAsia" w:ascii="宋体" w:hAnsi="宋体" w:eastAsia="宋体" w:cs="宋体"/>
                <w:color w:val="auto"/>
                <w:sz w:val="21"/>
                <w:szCs w:val="21"/>
                <w:highlight w:val="none"/>
              </w:rPr>
            </w:pPr>
          </w:p>
        </w:tc>
        <w:tc>
          <w:tcPr>
            <w:tcW w:w="1002" w:type="pct"/>
            <w:vAlign w:val="center"/>
          </w:tcPr>
          <w:p w14:paraId="38D5F739">
            <w:pPr>
              <w:pStyle w:val="54"/>
              <w:jc w:val="center"/>
              <w:rPr>
                <w:rFonts w:hint="eastAsia" w:ascii="宋体" w:hAnsi="宋体" w:eastAsia="宋体" w:cs="宋体"/>
                <w:color w:val="auto"/>
                <w:sz w:val="21"/>
                <w:szCs w:val="21"/>
                <w:highlight w:val="none"/>
              </w:rPr>
            </w:pPr>
          </w:p>
        </w:tc>
        <w:tc>
          <w:tcPr>
            <w:tcW w:w="1090" w:type="pct"/>
            <w:vAlign w:val="center"/>
          </w:tcPr>
          <w:p w14:paraId="225853EF">
            <w:pPr>
              <w:pStyle w:val="54"/>
              <w:jc w:val="center"/>
              <w:rPr>
                <w:rFonts w:hint="eastAsia" w:ascii="宋体" w:hAnsi="宋体" w:eastAsia="宋体" w:cs="宋体"/>
                <w:color w:val="auto"/>
                <w:sz w:val="21"/>
                <w:szCs w:val="21"/>
                <w:highlight w:val="none"/>
              </w:rPr>
            </w:pPr>
          </w:p>
        </w:tc>
        <w:tc>
          <w:tcPr>
            <w:tcW w:w="1090" w:type="pct"/>
            <w:vAlign w:val="center"/>
          </w:tcPr>
          <w:p w14:paraId="701964E1">
            <w:pPr>
              <w:pStyle w:val="54"/>
              <w:jc w:val="center"/>
              <w:rPr>
                <w:rFonts w:hint="eastAsia" w:ascii="宋体" w:hAnsi="宋体" w:eastAsia="宋体" w:cs="宋体"/>
                <w:color w:val="auto"/>
                <w:sz w:val="21"/>
                <w:szCs w:val="21"/>
                <w:highlight w:val="none"/>
              </w:rPr>
            </w:pPr>
          </w:p>
        </w:tc>
      </w:tr>
      <w:tr w14:paraId="0D3DF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5F3EE02">
            <w:pPr>
              <w:pStyle w:val="54"/>
              <w:jc w:val="center"/>
              <w:rPr>
                <w:rFonts w:hint="eastAsia" w:ascii="宋体" w:hAnsi="宋体" w:eastAsia="宋体" w:cs="宋体"/>
                <w:color w:val="auto"/>
                <w:sz w:val="21"/>
                <w:szCs w:val="21"/>
                <w:highlight w:val="none"/>
              </w:rPr>
            </w:pPr>
          </w:p>
        </w:tc>
        <w:tc>
          <w:tcPr>
            <w:tcW w:w="1395" w:type="pct"/>
            <w:vAlign w:val="center"/>
          </w:tcPr>
          <w:p w14:paraId="4393079D">
            <w:pPr>
              <w:pStyle w:val="54"/>
              <w:jc w:val="center"/>
              <w:rPr>
                <w:rFonts w:hint="eastAsia" w:ascii="宋体" w:hAnsi="宋体" w:eastAsia="宋体" w:cs="宋体"/>
                <w:color w:val="auto"/>
                <w:sz w:val="21"/>
                <w:szCs w:val="21"/>
                <w:highlight w:val="none"/>
              </w:rPr>
            </w:pPr>
          </w:p>
        </w:tc>
        <w:tc>
          <w:tcPr>
            <w:tcW w:w="1002" w:type="pct"/>
            <w:vAlign w:val="center"/>
          </w:tcPr>
          <w:p w14:paraId="25A3A5BC">
            <w:pPr>
              <w:pStyle w:val="54"/>
              <w:jc w:val="center"/>
              <w:rPr>
                <w:rFonts w:hint="eastAsia" w:ascii="宋体" w:hAnsi="宋体" w:eastAsia="宋体" w:cs="宋体"/>
                <w:color w:val="auto"/>
                <w:sz w:val="21"/>
                <w:szCs w:val="21"/>
                <w:highlight w:val="none"/>
              </w:rPr>
            </w:pPr>
          </w:p>
        </w:tc>
        <w:tc>
          <w:tcPr>
            <w:tcW w:w="1090" w:type="pct"/>
            <w:vAlign w:val="center"/>
          </w:tcPr>
          <w:p w14:paraId="1B49FF8B">
            <w:pPr>
              <w:pStyle w:val="54"/>
              <w:jc w:val="center"/>
              <w:rPr>
                <w:rFonts w:hint="eastAsia" w:ascii="宋体" w:hAnsi="宋体" w:eastAsia="宋体" w:cs="宋体"/>
                <w:color w:val="auto"/>
                <w:sz w:val="21"/>
                <w:szCs w:val="21"/>
                <w:highlight w:val="none"/>
              </w:rPr>
            </w:pPr>
          </w:p>
        </w:tc>
        <w:tc>
          <w:tcPr>
            <w:tcW w:w="1090" w:type="pct"/>
            <w:vAlign w:val="center"/>
          </w:tcPr>
          <w:p w14:paraId="7AD8A67B">
            <w:pPr>
              <w:pStyle w:val="54"/>
              <w:jc w:val="center"/>
              <w:rPr>
                <w:rFonts w:hint="eastAsia" w:ascii="宋体" w:hAnsi="宋体" w:eastAsia="宋体" w:cs="宋体"/>
                <w:color w:val="auto"/>
                <w:sz w:val="21"/>
                <w:szCs w:val="21"/>
                <w:highlight w:val="none"/>
              </w:rPr>
            </w:pPr>
          </w:p>
        </w:tc>
      </w:tr>
      <w:tr w14:paraId="193F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8504A9">
            <w:pPr>
              <w:pStyle w:val="54"/>
              <w:jc w:val="center"/>
              <w:rPr>
                <w:rFonts w:hint="eastAsia" w:ascii="宋体" w:hAnsi="宋体" w:eastAsia="宋体" w:cs="宋体"/>
                <w:color w:val="auto"/>
                <w:sz w:val="21"/>
                <w:szCs w:val="21"/>
                <w:highlight w:val="none"/>
              </w:rPr>
            </w:pPr>
          </w:p>
        </w:tc>
        <w:tc>
          <w:tcPr>
            <w:tcW w:w="1395" w:type="pct"/>
            <w:vAlign w:val="center"/>
          </w:tcPr>
          <w:p w14:paraId="0B05BA21">
            <w:pPr>
              <w:pStyle w:val="54"/>
              <w:jc w:val="center"/>
              <w:rPr>
                <w:rFonts w:hint="eastAsia" w:ascii="宋体" w:hAnsi="宋体" w:eastAsia="宋体" w:cs="宋体"/>
                <w:color w:val="auto"/>
                <w:sz w:val="21"/>
                <w:szCs w:val="21"/>
                <w:highlight w:val="none"/>
              </w:rPr>
            </w:pPr>
          </w:p>
        </w:tc>
        <w:tc>
          <w:tcPr>
            <w:tcW w:w="1002" w:type="pct"/>
            <w:vAlign w:val="center"/>
          </w:tcPr>
          <w:p w14:paraId="6EE2FD7A">
            <w:pPr>
              <w:pStyle w:val="54"/>
              <w:jc w:val="center"/>
              <w:rPr>
                <w:rFonts w:hint="eastAsia" w:ascii="宋体" w:hAnsi="宋体" w:eastAsia="宋体" w:cs="宋体"/>
                <w:color w:val="auto"/>
                <w:sz w:val="21"/>
                <w:szCs w:val="21"/>
                <w:highlight w:val="none"/>
              </w:rPr>
            </w:pPr>
          </w:p>
        </w:tc>
        <w:tc>
          <w:tcPr>
            <w:tcW w:w="1090" w:type="pct"/>
            <w:vAlign w:val="center"/>
          </w:tcPr>
          <w:p w14:paraId="3C3EE3D6">
            <w:pPr>
              <w:pStyle w:val="54"/>
              <w:jc w:val="center"/>
              <w:rPr>
                <w:rFonts w:hint="eastAsia" w:ascii="宋体" w:hAnsi="宋体" w:eastAsia="宋体" w:cs="宋体"/>
                <w:color w:val="auto"/>
                <w:sz w:val="21"/>
                <w:szCs w:val="21"/>
                <w:highlight w:val="none"/>
              </w:rPr>
            </w:pPr>
          </w:p>
        </w:tc>
        <w:tc>
          <w:tcPr>
            <w:tcW w:w="1090" w:type="pct"/>
            <w:vAlign w:val="center"/>
          </w:tcPr>
          <w:p w14:paraId="0D0213B3">
            <w:pPr>
              <w:pStyle w:val="54"/>
              <w:jc w:val="center"/>
              <w:rPr>
                <w:rFonts w:hint="eastAsia" w:ascii="宋体" w:hAnsi="宋体" w:eastAsia="宋体" w:cs="宋体"/>
                <w:color w:val="auto"/>
                <w:sz w:val="21"/>
                <w:szCs w:val="21"/>
                <w:highlight w:val="none"/>
              </w:rPr>
            </w:pPr>
          </w:p>
        </w:tc>
      </w:tr>
      <w:tr w14:paraId="05BC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DE1BBEB">
            <w:pPr>
              <w:pStyle w:val="54"/>
              <w:jc w:val="center"/>
              <w:rPr>
                <w:rFonts w:hint="eastAsia" w:ascii="宋体" w:hAnsi="宋体" w:eastAsia="宋体" w:cs="宋体"/>
                <w:color w:val="auto"/>
                <w:sz w:val="21"/>
                <w:szCs w:val="21"/>
                <w:highlight w:val="none"/>
              </w:rPr>
            </w:pPr>
          </w:p>
        </w:tc>
        <w:tc>
          <w:tcPr>
            <w:tcW w:w="1395" w:type="pct"/>
            <w:vAlign w:val="center"/>
          </w:tcPr>
          <w:p w14:paraId="2369E7CE">
            <w:pPr>
              <w:pStyle w:val="54"/>
              <w:jc w:val="center"/>
              <w:rPr>
                <w:rFonts w:hint="eastAsia" w:ascii="宋体" w:hAnsi="宋体" w:eastAsia="宋体" w:cs="宋体"/>
                <w:color w:val="auto"/>
                <w:sz w:val="21"/>
                <w:szCs w:val="21"/>
                <w:highlight w:val="none"/>
              </w:rPr>
            </w:pPr>
          </w:p>
        </w:tc>
        <w:tc>
          <w:tcPr>
            <w:tcW w:w="1002" w:type="pct"/>
            <w:vAlign w:val="center"/>
          </w:tcPr>
          <w:p w14:paraId="1C290511">
            <w:pPr>
              <w:pStyle w:val="54"/>
              <w:jc w:val="center"/>
              <w:rPr>
                <w:rFonts w:hint="eastAsia" w:ascii="宋体" w:hAnsi="宋体" w:eastAsia="宋体" w:cs="宋体"/>
                <w:color w:val="auto"/>
                <w:sz w:val="21"/>
                <w:szCs w:val="21"/>
                <w:highlight w:val="none"/>
              </w:rPr>
            </w:pPr>
          </w:p>
        </w:tc>
        <w:tc>
          <w:tcPr>
            <w:tcW w:w="1090" w:type="pct"/>
            <w:vAlign w:val="center"/>
          </w:tcPr>
          <w:p w14:paraId="2E4702A6">
            <w:pPr>
              <w:pStyle w:val="54"/>
              <w:jc w:val="center"/>
              <w:rPr>
                <w:rFonts w:hint="eastAsia" w:ascii="宋体" w:hAnsi="宋体" w:eastAsia="宋体" w:cs="宋体"/>
                <w:color w:val="auto"/>
                <w:sz w:val="21"/>
                <w:szCs w:val="21"/>
                <w:highlight w:val="none"/>
              </w:rPr>
            </w:pPr>
          </w:p>
        </w:tc>
        <w:tc>
          <w:tcPr>
            <w:tcW w:w="1090" w:type="pct"/>
            <w:vAlign w:val="center"/>
          </w:tcPr>
          <w:p w14:paraId="65DCC158">
            <w:pPr>
              <w:pStyle w:val="54"/>
              <w:jc w:val="center"/>
              <w:rPr>
                <w:rFonts w:hint="eastAsia" w:ascii="宋体" w:hAnsi="宋体" w:eastAsia="宋体" w:cs="宋体"/>
                <w:color w:val="auto"/>
                <w:sz w:val="21"/>
                <w:szCs w:val="21"/>
                <w:highlight w:val="none"/>
              </w:rPr>
            </w:pPr>
          </w:p>
        </w:tc>
      </w:tr>
      <w:tr w14:paraId="086E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A27D4B4">
            <w:pPr>
              <w:pStyle w:val="54"/>
              <w:jc w:val="center"/>
              <w:rPr>
                <w:rFonts w:hint="eastAsia" w:ascii="宋体" w:hAnsi="宋体" w:eastAsia="宋体" w:cs="宋体"/>
                <w:color w:val="auto"/>
                <w:sz w:val="21"/>
                <w:szCs w:val="21"/>
                <w:highlight w:val="none"/>
              </w:rPr>
            </w:pPr>
          </w:p>
        </w:tc>
        <w:tc>
          <w:tcPr>
            <w:tcW w:w="1395" w:type="pct"/>
            <w:vAlign w:val="center"/>
          </w:tcPr>
          <w:p w14:paraId="15CE8362">
            <w:pPr>
              <w:pStyle w:val="54"/>
              <w:jc w:val="center"/>
              <w:rPr>
                <w:rFonts w:hint="eastAsia" w:ascii="宋体" w:hAnsi="宋体" w:eastAsia="宋体" w:cs="宋体"/>
                <w:color w:val="auto"/>
                <w:sz w:val="21"/>
                <w:szCs w:val="21"/>
                <w:highlight w:val="none"/>
              </w:rPr>
            </w:pPr>
          </w:p>
        </w:tc>
        <w:tc>
          <w:tcPr>
            <w:tcW w:w="1002" w:type="pct"/>
            <w:vAlign w:val="center"/>
          </w:tcPr>
          <w:p w14:paraId="78520959">
            <w:pPr>
              <w:pStyle w:val="54"/>
              <w:jc w:val="center"/>
              <w:rPr>
                <w:rFonts w:hint="eastAsia" w:ascii="宋体" w:hAnsi="宋体" w:eastAsia="宋体" w:cs="宋体"/>
                <w:color w:val="auto"/>
                <w:sz w:val="21"/>
                <w:szCs w:val="21"/>
                <w:highlight w:val="none"/>
              </w:rPr>
            </w:pPr>
          </w:p>
        </w:tc>
        <w:tc>
          <w:tcPr>
            <w:tcW w:w="1090" w:type="pct"/>
            <w:vAlign w:val="center"/>
          </w:tcPr>
          <w:p w14:paraId="6B647A83">
            <w:pPr>
              <w:pStyle w:val="54"/>
              <w:jc w:val="center"/>
              <w:rPr>
                <w:rFonts w:hint="eastAsia" w:ascii="宋体" w:hAnsi="宋体" w:eastAsia="宋体" w:cs="宋体"/>
                <w:color w:val="auto"/>
                <w:sz w:val="21"/>
                <w:szCs w:val="21"/>
                <w:highlight w:val="none"/>
              </w:rPr>
            </w:pPr>
          </w:p>
        </w:tc>
        <w:tc>
          <w:tcPr>
            <w:tcW w:w="1090" w:type="pct"/>
            <w:vAlign w:val="center"/>
          </w:tcPr>
          <w:p w14:paraId="53ABE546">
            <w:pPr>
              <w:pStyle w:val="54"/>
              <w:jc w:val="center"/>
              <w:rPr>
                <w:rFonts w:hint="eastAsia" w:ascii="宋体" w:hAnsi="宋体" w:eastAsia="宋体" w:cs="宋体"/>
                <w:color w:val="auto"/>
                <w:sz w:val="21"/>
                <w:szCs w:val="21"/>
                <w:highlight w:val="none"/>
              </w:rPr>
            </w:pPr>
          </w:p>
        </w:tc>
      </w:tr>
      <w:tr w14:paraId="2CD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BECA690">
            <w:pPr>
              <w:pStyle w:val="54"/>
              <w:jc w:val="center"/>
              <w:rPr>
                <w:rFonts w:hint="eastAsia" w:ascii="宋体" w:hAnsi="宋体" w:eastAsia="宋体" w:cs="宋体"/>
                <w:color w:val="auto"/>
                <w:sz w:val="21"/>
                <w:szCs w:val="21"/>
                <w:highlight w:val="none"/>
              </w:rPr>
            </w:pPr>
          </w:p>
        </w:tc>
        <w:tc>
          <w:tcPr>
            <w:tcW w:w="1395" w:type="pct"/>
            <w:vAlign w:val="center"/>
          </w:tcPr>
          <w:p w14:paraId="1376A9AF">
            <w:pPr>
              <w:pStyle w:val="54"/>
              <w:jc w:val="center"/>
              <w:rPr>
                <w:rFonts w:hint="eastAsia" w:ascii="宋体" w:hAnsi="宋体" w:eastAsia="宋体" w:cs="宋体"/>
                <w:color w:val="auto"/>
                <w:sz w:val="21"/>
                <w:szCs w:val="21"/>
                <w:highlight w:val="none"/>
              </w:rPr>
            </w:pPr>
          </w:p>
        </w:tc>
        <w:tc>
          <w:tcPr>
            <w:tcW w:w="1002" w:type="pct"/>
            <w:vAlign w:val="center"/>
          </w:tcPr>
          <w:p w14:paraId="021889CB">
            <w:pPr>
              <w:pStyle w:val="54"/>
              <w:jc w:val="center"/>
              <w:rPr>
                <w:rFonts w:hint="eastAsia" w:ascii="宋体" w:hAnsi="宋体" w:eastAsia="宋体" w:cs="宋体"/>
                <w:color w:val="auto"/>
                <w:sz w:val="21"/>
                <w:szCs w:val="21"/>
                <w:highlight w:val="none"/>
              </w:rPr>
            </w:pPr>
          </w:p>
        </w:tc>
        <w:tc>
          <w:tcPr>
            <w:tcW w:w="1090" w:type="pct"/>
            <w:vAlign w:val="center"/>
          </w:tcPr>
          <w:p w14:paraId="1AA6C389">
            <w:pPr>
              <w:pStyle w:val="54"/>
              <w:jc w:val="center"/>
              <w:rPr>
                <w:rFonts w:hint="eastAsia" w:ascii="宋体" w:hAnsi="宋体" w:eastAsia="宋体" w:cs="宋体"/>
                <w:color w:val="auto"/>
                <w:sz w:val="21"/>
                <w:szCs w:val="21"/>
                <w:highlight w:val="none"/>
              </w:rPr>
            </w:pPr>
          </w:p>
        </w:tc>
        <w:tc>
          <w:tcPr>
            <w:tcW w:w="1090" w:type="pct"/>
            <w:vAlign w:val="center"/>
          </w:tcPr>
          <w:p w14:paraId="326386ED">
            <w:pPr>
              <w:pStyle w:val="54"/>
              <w:jc w:val="center"/>
              <w:rPr>
                <w:rFonts w:hint="eastAsia" w:ascii="宋体" w:hAnsi="宋体" w:eastAsia="宋体" w:cs="宋体"/>
                <w:color w:val="auto"/>
                <w:sz w:val="21"/>
                <w:szCs w:val="21"/>
                <w:highlight w:val="none"/>
              </w:rPr>
            </w:pPr>
          </w:p>
        </w:tc>
      </w:tr>
      <w:tr w14:paraId="53B1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06D2AB52">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7994701">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460CD4A3">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A230043">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68EC7DE5">
            <w:pPr>
              <w:pStyle w:val="54"/>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258EF608">
      <w:pPr>
        <w:ind w:firstLine="420"/>
        <w:rPr>
          <w:rFonts w:cs="仿宋_GB2312"/>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3.“响应情况”栏应据实填写“响应”、“正偏离”或“负偏离”。 ★为实质性条款，不允许偏离，偏离按无效投标处理。</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color w:val="auto"/>
          <w:szCs w:val="24"/>
          <w:highlight w:val="none"/>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r>
        <w:rPr>
          <w:rFonts w:cs="仿宋_GB2312"/>
          <w:color w:val="auto"/>
          <w:szCs w:val="24"/>
          <w:highlight w:val="none"/>
        </w:rPr>
        <w:br w:type="page"/>
      </w:r>
    </w:p>
    <w:p w14:paraId="287724F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00" w:name="_Toc17815"/>
      <w:bookmarkStart w:id="701" w:name="_Toc2100"/>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700"/>
      <w:bookmarkEnd w:id="701"/>
    </w:p>
    <w:p w14:paraId="7DB08DA5">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A687997">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3"/>
        <w:tblW w:w="8722"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80"/>
        <w:gridCol w:w="1364"/>
        <w:gridCol w:w="1419"/>
        <w:gridCol w:w="1402"/>
        <w:gridCol w:w="1495"/>
        <w:gridCol w:w="1049"/>
      </w:tblGrid>
      <w:tr w14:paraId="0BB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813" w:type="dxa"/>
            <w:vAlign w:val="center"/>
          </w:tcPr>
          <w:p w14:paraId="37278D52">
            <w:pPr>
              <w:jc w:val="center"/>
              <w:rPr>
                <w:rFonts w:hint="eastAsia" w:ascii="宋体" w:hAnsi="宋体" w:eastAsia="宋体" w:cs="宋体"/>
                <w:color w:val="auto"/>
                <w:sz w:val="21"/>
                <w:szCs w:val="21"/>
                <w:highlight w:val="none"/>
              </w:rPr>
            </w:pPr>
            <w:bookmarkStart w:id="702" w:name="_Hlk46779239"/>
            <w:r>
              <w:rPr>
                <w:rFonts w:hint="eastAsia" w:ascii="宋体" w:hAnsi="宋体" w:eastAsia="宋体" w:cs="宋体"/>
                <w:color w:val="auto"/>
                <w:sz w:val="21"/>
                <w:szCs w:val="21"/>
                <w:highlight w:val="none"/>
              </w:rPr>
              <w:t>序号</w:t>
            </w:r>
          </w:p>
        </w:tc>
        <w:tc>
          <w:tcPr>
            <w:tcW w:w="1180" w:type="dxa"/>
            <w:shd w:val="clear" w:color="auto" w:fill="auto"/>
            <w:vAlign w:val="center"/>
          </w:tcPr>
          <w:p w14:paraId="5EA65C0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64" w:type="dxa"/>
            <w:shd w:val="clear" w:color="auto" w:fill="auto"/>
            <w:vAlign w:val="center"/>
          </w:tcPr>
          <w:p w14:paraId="15F71199">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419" w:type="dxa"/>
            <w:shd w:val="clear" w:color="auto" w:fill="auto"/>
            <w:vAlign w:val="center"/>
          </w:tcPr>
          <w:p w14:paraId="7F2B957F">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02" w:type="dxa"/>
            <w:shd w:val="clear" w:color="auto" w:fill="auto"/>
            <w:vAlign w:val="center"/>
          </w:tcPr>
          <w:p w14:paraId="56A8775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495" w:type="dxa"/>
            <w:shd w:val="clear" w:color="auto" w:fill="auto"/>
            <w:vAlign w:val="center"/>
          </w:tcPr>
          <w:p w14:paraId="55D436A5">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49" w:type="dxa"/>
            <w:shd w:val="clear" w:color="auto" w:fill="auto"/>
            <w:vAlign w:val="center"/>
          </w:tcPr>
          <w:p w14:paraId="0DD0D2D4">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49BD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1F1D1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0" w:type="dxa"/>
            <w:vAlign w:val="center"/>
          </w:tcPr>
          <w:p w14:paraId="25A72089">
            <w:pPr>
              <w:rPr>
                <w:rFonts w:hint="eastAsia" w:ascii="宋体" w:hAnsi="宋体" w:eastAsia="宋体" w:cs="宋体"/>
                <w:color w:val="auto"/>
                <w:sz w:val="21"/>
                <w:szCs w:val="21"/>
                <w:highlight w:val="none"/>
              </w:rPr>
            </w:pPr>
          </w:p>
        </w:tc>
        <w:tc>
          <w:tcPr>
            <w:tcW w:w="1364" w:type="dxa"/>
            <w:vAlign w:val="center"/>
          </w:tcPr>
          <w:p w14:paraId="6F3805E3">
            <w:pPr>
              <w:rPr>
                <w:rFonts w:hint="eastAsia" w:ascii="宋体" w:hAnsi="宋体" w:eastAsia="宋体" w:cs="宋体"/>
                <w:color w:val="auto"/>
                <w:sz w:val="21"/>
                <w:szCs w:val="21"/>
                <w:highlight w:val="none"/>
              </w:rPr>
            </w:pPr>
          </w:p>
        </w:tc>
        <w:tc>
          <w:tcPr>
            <w:tcW w:w="1419" w:type="dxa"/>
            <w:vAlign w:val="center"/>
          </w:tcPr>
          <w:p w14:paraId="7CB7C00C">
            <w:pPr>
              <w:rPr>
                <w:rFonts w:hint="eastAsia" w:ascii="宋体" w:hAnsi="宋体" w:eastAsia="宋体" w:cs="宋体"/>
                <w:color w:val="auto"/>
                <w:sz w:val="21"/>
                <w:szCs w:val="21"/>
                <w:highlight w:val="none"/>
              </w:rPr>
            </w:pPr>
          </w:p>
        </w:tc>
        <w:tc>
          <w:tcPr>
            <w:tcW w:w="1402" w:type="dxa"/>
            <w:vAlign w:val="center"/>
          </w:tcPr>
          <w:p w14:paraId="60DAC622">
            <w:pPr>
              <w:rPr>
                <w:rFonts w:hint="eastAsia" w:ascii="宋体" w:hAnsi="宋体" w:eastAsia="宋体" w:cs="宋体"/>
                <w:color w:val="auto"/>
                <w:sz w:val="21"/>
                <w:szCs w:val="21"/>
                <w:highlight w:val="none"/>
              </w:rPr>
            </w:pPr>
          </w:p>
        </w:tc>
        <w:tc>
          <w:tcPr>
            <w:tcW w:w="1495" w:type="dxa"/>
            <w:vAlign w:val="center"/>
          </w:tcPr>
          <w:p w14:paraId="5436BEC1">
            <w:pPr>
              <w:rPr>
                <w:rFonts w:hint="eastAsia" w:ascii="宋体" w:hAnsi="宋体" w:eastAsia="宋体" w:cs="宋体"/>
                <w:color w:val="auto"/>
                <w:sz w:val="21"/>
                <w:szCs w:val="21"/>
                <w:highlight w:val="none"/>
              </w:rPr>
            </w:pPr>
          </w:p>
        </w:tc>
        <w:tc>
          <w:tcPr>
            <w:tcW w:w="1049" w:type="dxa"/>
            <w:vAlign w:val="center"/>
          </w:tcPr>
          <w:p w14:paraId="4A8D26BB">
            <w:pPr>
              <w:rPr>
                <w:rFonts w:hint="eastAsia" w:ascii="宋体" w:hAnsi="宋体" w:eastAsia="宋体" w:cs="宋体"/>
                <w:color w:val="auto"/>
                <w:sz w:val="21"/>
                <w:szCs w:val="21"/>
                <w:highlight w:val="none"/>
              </w:rPr>
            </w:pPr>
          </w:p>
        </w:tc>
      </w:tr>
      <w:tr w14:paraId="4367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0317484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80" w:type="dxa"/>
            <w:vAlign w:val="center"/>
          </w:tcPr>
          <w:p w14:paraId="3C7437EA">
            <w:pPr>
              <w:rPr>
                <w:rFonts w:hint="eastAsia" w:ascii="宋体" w:hAnsi="宋体" w:eastAsia="宋体" w:cs="宋体"/>
                <w:color w:val="auto"/>
                <w:sz w:val="21"/>
                <w:szCs w:val="21"/>
                <w:highlight w:val="none"/>
              </w:rPr>
            </w:pPr>
          </w:p>
        </w:tc>
        <w:tc>
          <w:tcPr>
            <w:tcW w:w="1364" w:type="dxa"/>
            <w:vAlign w:val="center"/>
          </w:tcPr>
          <w:p w14:paraId="753A8A2D">
            <w:pPr>
              <w:rPr>
                <w:rFonts w:hint="eastAsia" w:ascii="宋体" w:hAnsi="宋体" w:eastAsia="宋体" w:cs="宋体"/>
                <w:color w:val="auto"/>
                <w:sz w:val="21"/>
                <w:szCs w:val="21"/>
                <w:highlight w:val="none"/>
              </w:rPr>
            </w:pPr>
          </w:p>
        </w:tc>
        <w:tc>
          <w:tcPr>
            <w:tcW w:w="1419" w:type="dxa"/>
            <w:vAlign w:val="center"/>
          </w:tcPr>
          <w:p w14:paraId="02634890">
            <w:pPr>
              <w:rPr>
                <w:rFonts w:hint="eastAsia" w:ascii="宋体" w:hAnsi="宋体" w:eastAsia="宋体" w:cs="宋体"/>
                <w:color w:val="auto"/>
                <w:sz w:val="21"/>
                <w:szCs w:val="21"/>
                <w:highlight w:val="none"/>
              </w:rPr>
            </w:pPr>
          </w:p>
        </w:tc>
        <w:tc>
          <w:tcPr>
            <w:tcW w:w="1402" w:type="dxa"/>
            <w:vAlign w:val="center"/>
          </w:tcPr>
          <w:p w14:paraId="3563AED4">
            <w:pPr>
              <w:rPr>
                <w:rFonts w:hint="eastAsia" w:ascii="宋体" w:hAnsi="宋体" w:eastAsia="宋体" w:cs="宋体"/>
                <w:color w:val="auto"/>
                <w:sz w:val="21"/>
                <w:szCs w:val="21"/>
                <w:highlight w:val="none"/>
              </w:rPr>
            </w:pPr>
          </w:p>
        </w:tc>
        <w:tc>
          <w:tcPr>
            <w:tcW w:w="1495" w:type="dxa"/>
            <w:vAlign w:val="center"/>
          </w:tcPr>
          <w:p w14:paraId="4ED6DFCE">
            <w:pPr>
              <w:rPr>
                <w:rFonts w:hint="eastAsia" w:ascii="宋体" w:hAnsi="宋体" w:eastAsia="宋体" w:cs="宋体"/>
                <w:color w:val="auto"/>
                <w:sz w:val="21"/>
                <w:szCs w:val="21"/>
                <w:highlight w:val="none"/>
              </w:rPr>
            </w:pPr>
          </w:p>
        </w:tc>
        <w:tc>
          <w:tcPr>
            <w:tcW w:w="1049" w:type="dxa"/>
            <w:vAlign w:val="center"/>
          </w:tcPr>
          <w:p w14:paraId="3DDF15B1">
            <w:pPr>
              <w:rPr>
                <w:rFonts w:hint="eastAsia" w:ascii="宋体" w:hAnsi="宋体" w:eastAsia="宋体" w:cs="宋体"/>
                <w:color w:val="auto"/>
                <w:sz w:val="21"/>
                <w:szCs w:val="21"/>
                <w:highlight w:val="none"/>
              </w:rPr>
            </w:pPr>
          </w:p>
        </w:tc>
      </w:tr>
      <w:tr w14:paraId="026FE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6CB6EA9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80" w:type="dxa"/>
            <w:vAlign w:val="center"/>
          </w:tcPr>
          <w:p w14:paraId="5AFF132B">
            <w:pPr>
              <w:rPr>
                <w:rFonts w:hint="eastAsia" w:ascii="宋体" w:hAnsi="宋体" w:eastAsia="宋体" w:cs="宋体"/>
                <w:color w:val="auto"/>
                <w:sz w:val="21"/>
                <w:szCs w:val="21"/>
                <w:highlight w:val="none"/>
              </w:rPr>
            </w:pPr>
          </w:p>
        </w:tc>
        <w:tc>
          <w:tcPr>
            <w:tcW w:w="1364" w:type="dxa"/>
            <w:vAlign w:val="center"/>
          </w:tcPr>
          <w:p w14:paraId="40DFA463">
            <w:pPr>
              <w:rPr>
                <w:rFonts w:hint="eastAsia" w:ascii="宋体" w:hAnsi="宋体" w:eastAsia="宋体" w:cs="宋体"/>
                <w:color w:val="auto"/>
                <w:sz w:val="21"/>
                <w:szCs w:val="21"/>
                <w:highlight w:val="none"/>
              </w:rPr>
            </w:pPr>
          </w:p>
        </w:tc>
        <w:tc>
          <w:tcPr>
            <w:tcW w:w="1419" w:type="dxa"/>
            <w:vAlign w:val="center"/>
          </w:tcPr>
          <w:p w14:paraId="192188BA">
            <w:pPr>
              <w:rPr>
                <w:rFonts w:hint="eastAsia" w:ascii="宋体" w:hAnsi="宋体" w:eastAsia="宋体" w:cs="宋体"/>
                <w:color w:val="auto"/>
                <w:sz w:val="21"/>
                <w:szCs w:val="21"/>
                <w:highlight w:val="none"/>
              </w:rPr>
            </w:pPr>
          </w:p>
        </w:tc>
        <w:tc>
          <w:tcPr>
            <w:tcW w:w="1402" w:type="dxa"/>
            <w:vAlign w:val="center"/>
          </w:tcPr>
          <w:p w14:paraId="58044B96">
            <w:pPr>
              <w:rPr>
                <w:rFonts w:hint="eastAsia" w:ascii="宋体" w:hAnsi="宋体" w:eastAsia="宋体" w:cs="宋体"/>
                <w:color w:val="auto"/>
                <w:sz w:val="21"/>
                <w:szCs w:val="21"/>
                <w:highlight w:val="none"/>
              </w:rPr>
            </w:pPr>
          </w:p>
        </w:tc>
        <w:tc>
          <w:tcPr>
            <w:tcW w:w="1495" w:type="dxa"/>
            <w:vAlign w:val="center"/>
          </w:tcPr>
          <w:p w14:paraId="10BAB04D">
            <w:pPr>
              <w:rPr>
                <w:rFonts w:hint="eastAsia" w:ascii="宋体" w:hAnsi="宋体" w:eastAsia="宋体" w:cs="宋体"/>
                <w:color w:val="auto"/>
                <w:sz w:val="21"/>
                <w:szCs w:val="21"/>
                <w:highlight w:val="none"/>
              </w:rPr>
            </w:pPr>
          </w:p>
        </w:tc>
        <w:tc>
          <w:tcPr>
            <w:tcW w:w="1049" w:type="dxa"/>
            <w:vAlign w:val="center"/>
          </w:tcPr>
          <w:p w14:paraId="38FE3D5D">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3"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180" w:type="dxa"/>
            <w:vAlign w:val="center"/>
          </w:tcPr>
          <w:p w14:paraId="12629B54">
            <w:pPr>
              <w:rPr>
                <w:rFonts w:hint="eastAsia" w:ascii="宋体" w:hAnsi="宋体" w:eastAsia="宋体" w:cs="宋体"/>
                <w:color w:val="auto"/>
                <w:sz w:val="21"/>
                <w:szCs w:val="21"/>
                <w:highlight w:val="none"/>
              </w:rPr>
            </w:pPr>
          </w:p>
        </w:tc>
        <w:tc>
          <w:tcPr>
            <w:tcW w:w="1364" w:type="dxa"/>
            <w:vAlign w:val="center"/>
          </w:tcPr>
          <w:p w14:paraId="278EE304">
            <w:pPr>
              <w:rPr>
                <w:rFonts w:hint="eastAsia" w:ascii="宋体" w:hAnsi="宋体" w:eastAsia="宋体" w:cs="宋体"/>
                <w:color w:val="auto"/>
                <w:sz w:val="21"/>
                <w:szCs w:val="21"/>
                <w:highlight w:val="none"/>
              </w:rPr>
            </w:pPr>
          </w:p>
        </w:tc>
        <w:tc>
          <w:tcPr>
            <w:tcW w:w="1419" w:type="dxa"/>
            <w:vAlign w:val="center"/>
          </w:tcPr>
          <w:p w14:paraId="502FE2B6">
            <w:pPr>
              <w:rPr>
                <w:rFonts w:hint="eastAsia" w:ascii="宋体" w:hAnsi="宋体" w:eastAsia="宋体" w:cs="宋体"/>
                <w:color w:val="auto"/>
                <w:sz w:val="21"/>
                <w:szCs w:val="21"/>
                <w:highlight w:val="none"/>
              </w:rPr>
            </w:pPr>
          </w:p>
        </w:tc>
        <w:tc>
          <w:tcPr>
            <w:tcW w:w="1402" w:type="dxa"/>
            <w:vAlign w:val="center"/>
          </w:tcPr>
          <w:p w14:paraId="44F7BE63">
            <w:pPr>
              <w:rPr>
                <w:rFonts w:hint="eastAsia" w:ascii="宋体" w:hAnsi="宋体" w:eastAsia="宋体" w:cs="宋体"/>
                <w:color w:val="auto"/>
                <w:sz w:val="21"/>
                <w:szCs w:val="21"/>
                <w:highlight w:val="none"/>
              </w:rPr>
            </w:pPr>
          </w:p>
        </w:tc>
        <w:tc>
          <w:tcPr>
            <w:tcW w:w="1495" w:type="dxa"/>
            <w:vAlign w:val="center"/>
          </w:tcPr>
          <w:p w14:paraId="463BDC1B">
            <w:pPr>
              <w:rPr>
                <w:rFonts w:hint="eastAsia" w:ascii="宋体" w:hAnsi="宋体" w:eastAsia="宋体" w:cs="宋体"/>
                <w:color w:val="auto"/>
                <w:sz w:val="21"/>
                <w:szCs w:val="21"/>
                <w:highlight w:val="none"/>
              </w:rPr>
            </w:pPr>
          </w:p>
        </w:tc>
        <w:tc>
          <w:tcPr>
            <w:tcW w:w="1049" w:type="dxa"/>
            <w:vAlign w:val="center"/>
          </w:tcPr>
          <w:p w14:paraId="5208210B">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13"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180" w:type="dxa"/>
            <w:vAlign w:val="center"/>
          </w:tcPr>
          <w:p w14:paraId="1728B663">
            <w:pPr>
              <w:rPr>
                <w:rFonts w:hint="eastAsia" w:ascii="宋体" w:hAnsi="宋体" w:eastAsia="宋体" w:cs="宋体"/>
                <w:color w:val="auto"/>
                <w:sz w:val="21"/>
                <w:szCs w:val="21"/>
                <w:highlight w:val="none"/>
              </w:rPr>
            </w:pPr>
          </w:p>
        </w:tc>
        <w:tc>
          <w:tcPr>
            <w:tcW w:w="1364" w:type="dxa"/>
            <w:vAlign w:val="center"/>
          </w:tcPr>
          <w:p w14:paraId="5B701B38">
            <w:pPr>
              <w:rPr>
                <w:rFonts w:hint="eastAsia" w:ascii="宋体" w:hAnsi="宋体" w:eastAsia="宋体" w:cs="宋体"/>
                <w:color w:val="auto"/>
                <w:sz w:val="21"/>
                <w:szCs w:val="21"/>
                <w:highlight w:val="none"/>
              </w:rPr>
            </w:pPr>
          </w:p>
        </w:tc>
        <w:tc>
          <w:tcPr>
            <w:tcW w:w="1419" w:type="dxa"/>
            <w:vAlign w:val="center"/>
          </w:tcPr>
          <w:p w14:paraId="0BFD5658">
            <w:pPr>
              <w:rPr>
                <w:rFonts w:hint="eastAsia" w:ascii="宋体" w:hAnsi="宋体" w:eastAsia="宋体" w:cs="宋体"/>
                <w:color w:val="auto"/>
                <w:sz w:val="21"/>
                <w:szCs w:val="21"/>
                <w:highlight w:val="none"/>
              </w:rPr>
            </w:pPr>
          </w:p>
        </w:tc>
        <w:tc>
          <w:tcPr>
            <w:tcW w:w="1402" w:type="dxa"/>
            <w:vAlign w:val="center"/>
          </w:tcPr>
          <w:p w14:paraId="56955758">
            <w:pPr>
              <w:rPr>
                <w:rFonts w:hint="eastAsia" w:ascii="宋体" w:hAnsi="宋体" w:eastAsia="宋体" w:cs="宋体"/>
                <w:color w:val="auto"/>
                <w:sz w:val="21"/>
                <w:szCs w:val="21"/>
                <w:highlight w:val="none"/>
              </w:rPr>
            </w:pPr>
          </w:p>
        </w:tc>
        <w:tc>
          <w:tcPr>
            <w:tcW w:w="1495" w:type="dxa"/>
            <w:vAlign w:val="center"/>
          </w:tcPr>
          <w:p w14:paraId="6AF4F252">
            <w:pPr>
              <w:rPr>
                <w:rFonts w:hint="eastAsia" w:ascii="宋体" w:hAnsi="宋体" w:eastAsia="宋体" w:cs="宋体"/>
                <w:color w:val="auto"/>
                <w:sz w:val="21"/>
                <w:szCs w:val="21"/>
                <w:highlight w:val="none"/>
              </w:rPr>
            </w:pPr>
          </w:p>
        </w:tc>
        <w:tc>
          <w:tcPr>
            <w:tcW w:w="1049" w:type="dxa"/>
            <w:vAlign w:val="center"/>
          </w:tcPr>
          <w:p w14:paraId="0E461DD3">
            <w:pPr>
              <w:rPr>
                <w:rFonts w:hint="eastAsia" w:ascii="宋体" w:hAnsi="宋体" w:eastAsia="宋体" w:cs="宋体"/>
                <w:color w:val="auto"/>
                <w:sz w:val="21"/>
                <w:szCs w:val="21"/>
                <w:highlight w:val="none"/>
              </w:rPr>
            </w:pPr>
          </w:p>
        </w:tc>
      </w:tr>
      <w:tr w14:paraId="682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13" w:type="dxa"/>
            <w:vAlign w:val="center"/>
          </w:tcPr>
          <w:p w14:paraId="5EB02E4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80" w:type="dxa"/>
            <w:vAlign w:val="center"/>
          </w:tcPr>
          <w:p w14:paraId="30E7C832">
            <w:pPr>
              <w:rPr>
                <w:rFonts w:hint="eastAsia" w:ascii="宋体" w:hAnsi="宋体" w:eastAsia="宋体" w:cs="宋体"/>
                <w:color w:val="auto"/>
                <w:sz w:val="21"/>
                <w:szCs w:val="21"/>
                <w:highlight w:val="none"/>
              </w:rPr>
            </w:pPr>
          </w:p>
        </w:tc>
        <w:tc>
          <w:tcPr>
            <w:tcW w:w="1364" w:type="dxa"/>
            <w:vAlign w:val="center"/>
          </w:tcPr>
          <w:p w14:paraId="147B2F98">
            <w:pPr>
              <w:rPr>
                <w:rFonts w:hint="eastAsia" w:ascii="宋体" w:hAnsi="宋体" w:eastAsia="宋体" w:cs="宋体"/>
                <w:color w:val="auto"/>
                <w:sz w:val="21"/>
                <w:szCs w:val="21"/>
                <w:highlight w:val="none"/>
              </w:rPr>
            </w:pPr>
          </w:p>
        </w:tc>
        <w:tc>
          <w:tcPr>
            <w:tcW w:w="1419" w:type="dxa"/>
            <w:vAlign w:val="center"/>
          </w:tcPr>
          <w:p w14:paraId="61B0E0D4">
            <w:pPr>
              <w:rPr>
                <w:rFonts w:hint="eastAsia" w:ascii="宋体" w:hAnsi="宋体" w:eastAsia="宋体" w:cs="宋体"/>
                <w:color w:val="auto"/>
                <w:sz w:val="21"/>
                <w:szCs w:val="21"/>
                <w:highlight w:val="none"/>
              </w:rPr>
            </w:pPr>
          </w:p>
        </w:tc>
        <w:tc>
          <w:tcPr>
            <w:tcW w:w="1402" w:type="dxa"/>
            <w:vAlign w:val="center"/>
          </w:tcPr>
          <w:p w14:paraId="6B918799">
            <w:pPr>
              <w:rPr>
                <w:rFonts w:hint="eastAsia" w:ascii="宋体" w:hAnsi="宋体" w:eastAsia="宋体" w:cs="宋体"/>
                <w:color w:val="auto"/>
                <w:sz w:val="21"/>
                <w:szCs w:val="21"/>
                <w:highlight w:val="none"/>
              </w:rPr>
            </w:pPr>
          </w:p>
        </w:tc>
        <w:tc>
          <w:tcPr>
            <w:tcW w:w="1495" w:type="dxa"/>
            <w:vAlign w:val="center"/>
          </w:tcPr>
          <w:p w14:paraId="1BCEEA1A">
            <w:pPr>
              <w:rPr>
                <w:rFonts w:hint="eastAsia" w:ascii="宋体" w:hAnsi="宋体" w:eastAsia="宋体" w:cs="宋体"/>
                <w:color w:val="auto"/>
                <w:sz w:val="21"/>
                <w:szCs w:val="21"/>
                <w:highlight w:val="none"/>
              </w:rPr>
            </w:pPr>
          </w:p>
        </w:tc>
        <w:tc>
          <w:tcPr>
            <w:tcW w:w="1049" w:type="dxa"/>
            <w:vAlign w:val="center"/>
          </w:tcPr>
          <w:p w14:paraId="4A3F6BEC">
            <w:pPr>
              <w:rPr>
                <w:rFonts w:hint="eastAsia" w:ascii="宋体" w:hAnsi="宋体" w:eastAsia="宋体" w:cs="宋体"/>
                <w:color w:val="auto"/>
                <w:sz w:val="21"/>
                <w:szCs w:val="21"/>
                <w:highlight w:val="none"/>
              </w:rPr>
            </w:pPr>
          </w:p>
        </w:tc>
      </w:tr>
      <w:bookmarkEnd w:id="702"/>
    </w:tbl>
    <w:p w14:paraId="217BAF3D">
      <w:pPr>
        <w:rPr>
          <w:rFonts w:hint="eastAsia" w:cs="仿宋_GB2312"/>
          <w:color w:val="auto"/>
          <w:szCs w:val="24"/>
          <w:highlight w:val="none"/>
        </w:rPr>
      </w:pPr>
    </w:p>
    <w:p w14:paraId="088168D4">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ascii="宋体" w:hAnsi="宋体" w:eastAsia="宋体" w:cs="宋体"/>
          <w:sz w:val="21"/>
          <w:szCs w:val="21"/>
        </w:rPr>
        <w:t>中标(成交)通知书</w:t>
      </w:r>
      <w:r>
        <w:rPr>
          <w:rFonts w:hint="eastAsia" w:cs="宋体"/>
          <w:sz w:val="21"/>
          <w:szCs w:val="21"/>
          <w:lang w:val="en-US" w:eastAsia="zh-CN"/>
        </w:rPr>
        <w:t>或</w:t>
      </w:r>
      <w:r>
        <w:rPr>
          <w:rFonts w:hint="eastAsia" w:ascii="宋体" w:hAnsi="宋体" w:eastAsia="宋体" w:cs="宋体"/>
          <w:sz w:val="21"/>
          <w:szCs w:val="21"/>
        </w:rPr>
        <w:t>相对应的的采购合同</w:t>
      </w:r>
      <w:r>
        <w:rPr>
          <w:rFonts w:hint="eastAsia" w:cs="仿宋_GB2312"/>
          <w:color w:val="auto"/>
          <w:sz w:val="21"/>
          <w:szCs w:val="21"/>
          <w:highlight w:val="none"/>
          <w:lang w:val="en-US" w:eastAsia="zh-CN"/>
        </w:rPr>
        <w:t>等</w:t>
      </w:r>
      <w:r>
        <w:rPr>
          <w:rFonts w:hint="eastAsia" w:cs="仿宋_GB2312"/>
          <w:color w:val="auto"/>
          <w:sz w:val="21"/>
          <w:szCs w:val="21"/>
          <w:highlight w:val="none"/>
        </w:rPr>
        <w:t>业绩证明资料。</w:t>
      </w:r>
    </w:p>
    <w:p w14:paraId="57D75AD1">
      <w:pPr>
        <w:rPr>
          <w:rFonts w:cs="仿宋_GB2312"/>
          <w:color w:val="auto"/>
          <w:szCs w:val="24"/>
          <w:highlight w:val="none"/>
        </w:rPr>
      </w:pP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03" w:name="_Toc22277"/>
      <w:bookmarkStart w:id="704" w:name="_Toc24146"/>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703"/>
      <w:bookmarkEnd w:id="704"/>
    </w:p>
    <w:tbl>
      <w:tblPr>
        <w:tblStyle w:val="33"/>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0940B260">
            <w:pPr>
              <w:pStyle w:val="5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4"/>
              <w:jc w:val="center"/>
              <w:rPr>
                <w:rFonts w:hint="eastAsia" w:ascii="宋体" w:hAnsi="宋体" w:eastAsia="宋体" w:cs="宋体"/>
                <w:color w:val="auto"/>
                <w:sz w:val="21"/>
                <w:szCs w:val="21"/>
                <w:highlight w:val="none"/>
              </w:rPr>
            </w:pPr>
            <w:bookmarkStart w:id="705" w:name="_Toc99533292"/>
            <w:bookmarkStart w:id="706" w:name="_Toc100090784"/>
            <w:r>
              <w:rPr>
                <w:rFonts w:hint="eastAsia" w:ascii="宋体" w:hAnsi="宋体" w:eastAsia="宋体" w:cs="宋体"/>
                <w:color w:val="auto"/>
                <w:sz w:val="21"/>
                <w:szCs w:val="21"/>
                <w:highlight w:val="none"/>
              </w:rPr>
              <w:t>1</w:t>
            </w:r>
            <w:bookmarkEnd w:id="705"/>
            <w:bookmarkEnd w:id="706"/>
          </w:p>
        </w:tc>
        <w:tc>
          <w:tcPr>
            <w:tcW w:w="1267" w:type="dxa"/>
            <w:vAlign w:val="center"/>
          </w:tcPr>
          <w:p w14:paraId="04D72608">
            <w:pPr>
              <w:pStyle w:val="54"/>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4"/>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4"/>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4"/>
              <w:jc w:val="center"/>
              <w:rPr>
                <w:rFonts w:hint="eastAsia" w:ascii="宋体" w:hAnsi="宋体" w:eastAsia="宋体" w:cs="宋体"/>
                <w:color w:val="auto"/>
                <w:sz w:val="21"/>
                <w:szCs w:val="21"/>
                <w:highlight w:val="none"/>
              </w:rPr>
            </w:pPr>
          </w:p>
        </w:tc>
        <w:tc>
          <w:tcPr>
            <w:tcW w:w="1860" w:type="dxa"/>
            <w:vAlign w:val="center"/>
          </w:tcPr>
          <w:p w14:paraId="7F355EC3">
            <w:pPr>
              <w:pStyle w:val="54"/>
              <w:jc w:val="center"/>
              <w:rPr>
                <w:rFonts w:hint="eastAsia" w:ascii="宋体" w:hAnsi="宋体" w:eastAsia="宋体" w:cs="宋体"/>
                <w:color w:val="auto"/>
                <w:sz w:val="21"/>
                <w:szCs w:val="21"/>
                <w:highlight w:val="none"/>
              </w:rPr>
            </w:pPr>
          </w:p>
        </w:tc>
        <w:tc>
          <w:tcPr>
            <w:tcW w:w="1356" w:type="dxa"/>
            <w:vAlign w:val="center"/>
          </w:tcPr>
          <w:p w14:paraId="11476DCE">
            <w:pPr>
              <w:pStyle w:val="54"/>
              <w:jc w:val="center"/>
              <w:rPr>
                <w:rFonts w:hint="eastAsia" w:ascii="宋体" w:hAnsi="宋体" w:eastAsia="宋体" w:cs="宋体"/>
                <w:color w:val="auto"/>
                <w:sz w:val="21"/>
                <w:szCs w:val="21"/>
                <w:highlight w:val="none"/>
              </w:rPr>
            </w:pPr>
          </w:p>
        </w:tc>
        <w:tc>
          <w:tcPr>
            <w:tcW w:w="816" w:type="dxa"/>
            <w:vAlign w:val="center"/>
          </w:tcPr>
          <w:p w14:paraId="30F5864D">
            <w:pPr>
              <w:pStyle w:val="54"/>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4"/>
              <w:jc w:val="center"/>
              <w:rPr>
                <w:rFonts w:hint="eastAsia" w:ascii="宋体" w:hAnsi="宋体" w:eastAsia="宋体" w:cs="宋体"/>
                <w:color w:val="auto"/>
                <w:sz w:val="21"/>
                <w:szCs w:val="21"/>
                <w:highlight w:val="none"/>
              </w:rPr>
            </w:pPr>
            <w:bookmarkStart w:id="707" w:name="_Toc99533293"/>
            <w:bookmarkStart w:id="708" w:name="_Toc100090785"/>
            <w:r>
              <w:rPr>
                <w:rFonts w:hint="eastAsia" w:ascii="宋体" w:hAnsi="宋体" w:eastAsia="宋体" w:cs="宋体"/>
                <w:color w:val="auto"/>
                <w:sz w:val="21"/>
                <w:szCs w:val="21"/>
                <w:highlight w:val="none"/>
              </w:rPr>
              <w:t>2</w:t>
            </w:r>
            <w:bookmarkEnd w:id="707"/>
            <w:bookmarkEnd w:id="708"/>
          </w:p>
        </w:tc>
        <w:tc>
          <w:tcPr>
            <w:tcW w:w="1267" w:type="dxa"/>
            <w:vAlign w:val="center"/>
          </w:tcPr>
          <w:p w14:paraId="3AE14FF6">
            <w:pPr>
              <w:pStyle w:val="54"/>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4"/>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4"/>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4"/>
              <w:jc w:val="center"/>
              <w:rPr>
                <w:rFonts w:hint="eastAsia" w:ascii="宋体" w:hAnsi="宋体" w:eastAsia="宋体" w:cs="宋体"/>
                <w:color w:val="auto"/>
                <w:sz w:val="21"/>
                <w:szCs w:val="21"/>
                <w:highlight w:val="none"/>
              </w:rPr>
            </w:pPr>
          </w:p>
        </w:tc>
        <w:tc>
          <w:tcPr>
            <w:tcW w:w="1860" w:type="dxa"/>
            <w:vAlign w:val="center"/>
          </w:tcPr>
          <w:p w14:paraId="390E678F">
            <w:pPr>
              <w:pStyle w:val="54"/>
              <w:jc w:val="center"/>
              <w:rPr>
                <w:rFonts w:hint="eastAsia" w:ascii="宋体" w:hAnsi="宋体" w:eastAsia="宋体" w:cs="宋体"/>
                <w:color w:val="auto"/>
                <w:sz w:val="21"/>
                <w:szCs w:val="21"/>
                <w:highlight w:val="none"/>
              </w:rPr>
            </w:pPr>
          </w:p>
        </w:tc>
        <w:tc>
          <w:tcPr>
            <w:tcW w:w="1356" w:type="dxa"/>
            <w:vAlign w:val="center"/>
          </w:tcPr>
          <w:p w14:paraId="44B4146B">
            <w:pPr>
              <w:pStyle w:val="54"/>
              <w:jc w:val="center"/>
              <w:rPr>
                <w:rFonts w:hint="eastAsia" w:ascii="宋体" w:hAnsi="宋体" w:eastAsia="宋体" w:cs="宋体"/>
                <w:color w:val="auto"/>
                <w:sz w:val="21"/>
                <w:szCs w:val="21"/>
                <w:highlight w:val="none"/>
              </w:rPr>
            </w:pPr>
          </w:p>
        </w:tc>
        <w:tc>
          <w:tcPr>
            <w:tcW w:w="816" w:type="dxa"/>
            <w:vAlign w:val="center"/>
          </w:tcPr>
          <w:p w14:paraId="3D8C0BFB">
            <w:pPr>
              <w:pStyle w:val="54"/>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4"/>
              <w:jc w:val="center"/>
              <w:rPr>
                <w:rFonts w:hint="eastAsia" w:ascii="宋体" w:hAnsi="宋体" w:eastAsia="宋体" w:cs="宋体"/>
                <w:color w:val="auto"/>
                <w:sz w:val="21"/>
                <w:szCs w:val="21"/>
                <w:highlight w:val="none"/>
              </w:rPr>
            </w:pPr>
            <w:bookmarkStart w:id="709" w:name="_Toc100090786"/>
            <w:bookmarkStart w:id="710" w:name="_Toc99533294"/>
            <w:r>
              <w:rPr>
                <w:rFonts w:hint="eastAsia" w:ascii="宋体" w:hAnsi="宋体" w:eastAsia="宋体" w:cs="宋体"/>
                <w:color w:val="auto"/>
                <w:sz w:val="21"/>
                <w:szCs w:val="21"/>
                <w:highlight w:val="none"/>
              </w:rPr>
              <w:t>3</w:t>
            </w:r>
            <w:bookmarkEnd w:id="709"/>
            <w:bookmarkEnd w:id="710"/>
          </w:p>
        </w:tc>
        <w:tc>
          <w:tcPr>
            <w:tcW w:w="1267" w:type="dxa"/>
            <w:vAlign w:val="center"/>
          </w:tcPr>
          <w:p w14:paraId="19C12411">
            <w:pPr>
              <w:pStyle w:val="54"/>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4"/>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4"/>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4"/>
              <w:jc w:val="center"/>
              <w:rPr>
                <w:rFonts w:hint="eastAsia" w:ascii="宋体" w:hAnsi="宋体" w:eastAsia="宋体" w:cs="宋体"/>
                <w:color w:val="auto"/>
                <w:sz w:val="21"/>
                <w:szCs w:val="21"/>
                <w:highlight w:val="none"/>
              </w:rPr>
            </w:pPr>
          </w:p>
        </w:tc>
        <w:tc>
          <w:tcPr>
            <w:tcW w:w="1860" w:type="dxa"/>
            <w:vAlign w:val="center"/>
          </w:tcPr>
          <w:p w14:paraId="3F31D2CD">
            <w:pPr>
              <w:pStyle w:val="54"/>
              <w:jc w:val="center"/>
              <w:rPr>
                <w:rFonts w:hint="eastAsia" w:ascii="宋体" w:hAnsi="宋体" w:eastAsia="宋体" w:cs="宋体"/>
                <w:color w:val="auto"/>
                <w:sz w:val="21"/>
                <w:szCs w:val="21"/>
                <w:highlight w:val="none"/>
              </w:rPr>
            </w:pPr>
          </w:p>
        </w:tc>
        <w:tc>
          <w:tcPr>
            <w:tcW w:w="1356" w:type="dxa"/>
            <w:vAlign w:val="center"/>
          </w:tcPr>
          <w:p w14:paraId="3A9D9DD7">
            <w:pPr>
              <w:pStyle w:val="54"/>
              <w:jc w:val="center"/>
              <w:rPr>
                <w:rFonts w:hint="eastAsia" w:ascii="宋体" w:hAnsi="宋体" w:eastAsia="宋体" w:cs="宋体"/>
                <w:color w:val="auto"/>
                <w:sz w:val="21"/>
                <w:szCs w:val="21"/>
                <w:highlight w:val="none"/>
              </w:rPr>
            </w:pPr>
          </w:p>
        </w:tc>
        <w:tc>
          <w:tcPr>
            <w:tcW w:w="816" w:type="dxa"/>
            <w:vAlign w:val="center"/>
          </w:tcPr>
          <w:p w14:paraId="0ED9D4FB">
            <w:pPr>
              <w:pStyle w:val="54"/>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4"/>
              <w:jc w:val="center"/>
              <w:rPr>
                <w:rFonts w:hint="eastAsia" w:ascii="宋体" w:hAnsi="宋体" w:eastAsia="宋体" w:cs="宋体"/>
                <w:color w:val="auto"/>
                <w:sz w:val="21"/>
                <w:szCs w:val="21"/>
                <w:highlight w:val="none"/>
              </w:rPr>
            </w:pPr>
            <w:bookmarkStart w:id="711" w:name="_Toc100090787"/>
            <w:bookmarkStart w:id="712" w:name="_Toc99533295"/>
            <w:r>
              <w:rPr>
                <w:rFonts w:hint="eastAsia" w:ascii="宋体" w:hAnsi="宋体" w:eastAsia="宋体" w:cs="宋体"/>
                <w:color w:val="auto"/>
                <w:sz w:val="21"/>
                <w:szCs w:val="21"/>
                <w:highlight w:val="none"/>
              </w:rPr>
              <w:t>4</w:t>
            </w:r>
            <w:bookmarkEnd w:id="711"/>
            <w:bookmarkEnd w:id="712"/>
          </w:p>
        </w:tc>
        <w:tc>
          <w:tcPr>
            <w:tcW w:w="1267" w:type="dxa"/>
            <w:vAlign w:val="center"/>
          </w:tcPr>
          <w:p w14:paraId="42DE0F63">
            <w:pPr>
              <w:pStyle w:val="54"/>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4"/>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4"/>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4"/>
              <w:jc w:val="center"/>
              <w:rPr>
                <w:rFonts w:hint="eastAsia" w:ascii="宋体" w:hAnsi="宋体" w:eastAsia="宋体" w:cs="宋体"/>
                <w:color w:val="auto"/>
                <w:sz w:val="21"/>
                <w:szCs w:val="21"/>
                <w:highlight w:val="none"/>
              </w:rPr>
            </w:pPr>
          </w:p>
        </w:tc>
        <w:tc>
          <w:tcPr>
            <w:tcW w:w="1860" w:type="dxa"/>
            <w:vAlign w:val="center"/>
          </w:tcPr>
          <w:p w14:paraId="068007BF">
            <w:pPr>
              <w:pStyle w:val="54"/>
              <w:jc w:val="center"/>
              <w:rPr>
                <w:rFonts w:hint="eastAsia" w:ascii="宋体" w:hAnsi="宋体" w:eastAsia="宋体" w:cs="宋体"/>
                <w:color w:val="auto"/>
                <w:sz w:val="21"/>
                <w:szCs w:val="21"/>
                <w:highlight w:val="none"/>
              </w:rPr>
            </w:pPr>
          </w:p>
        </w:tc>
        <w:tc>
          <w:tcPr>
            <w:tcW w:w="1356" w:type="dxa"/>
            <w:vAlign w:val="center"/>
          </w:tcPr>
          <w:p w14:paraId="5A94DC72">
            <w:pPr>
              <w:pStyle w:val="54"/>
              <w:jc w:val="center"/>
              <w:rPr>
                <w:rFonts w:hint="eastAsia" w:ascii="宋体" w:hAnsi="宋体" w:eastAsia="宋体" w:cs="宋体"/>
                <w:color w:val="auto"/>
                <w:sz w:val="21"/>
                <w:szCs w:val="21"/>
                <w:highlight w:val="none"/>
              </w:rPr>
            </w:pPr>
          </w:p>
        </w:tc>
        <w:tc>
          <w:tcPr>
            <w:tcW w:w="816" w:type="dxa"/>
            <w:vAlign w:val="center"/>
          </w:tcPr>
          <w:p w14:paraId="01F1E6DB">
            <w:pPr>
              <w:pStyle w:val="54"/>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4"/>
              <w:jc w:val="center"/>
              <w:rPr>
                <w:rFonts w:hint="eastAsia" w:ascii="宋体" w:hAnsi="宋体" w:eastAsia="宋体" w:cs="宋体"/>
                <w:color w:val="auto"/>
                <w:sz w:val="21"/>
                <w:szCs w:val="21"/>
                <w:highlight w:val="none"/>
              </w:rPr>
            </w:pPr>
            <w:bookmarkStart w:id="713" w:name="_Toc100090788"/>
            <w:bookmarkStart w:id="714" w:name="_Toc99533296"/>
            <w:r>
              <w:rPr>
                <w:rFonts w:hint="eastAsia" w:ascii="宋体" w:hAnsi="宋体" w:eastAsia="宋体" w:cs="宋体"/>
                <w:color w:val="auto"/>
                <w:sz w:val="21"/>
                <w:szCs w:val="21"/>
                <w:highlight w:val="none"/>
              </w:rPr>
              <w:t>5</w:t>
            </w:r>
            <w:bookmarkEnd w:id="713"/>
            <w:bookmarkEnd w:id="714"/>
          </w:p>
        </w:tc>
        <w:tc>
          <w:tcPr>
            <w:tcW w:w="1267" w:type="dxa"/>
            <w:vAlign w:val="center"/>
          </w:tcPr>
          <w:p w14:paraId="3241008C">
            <w:pPr>
              <w:pStyle w:val="54"/>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4"/>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4"/>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4"/>
              <w:jc w:val="center"/>
              <w:rPr>
                <w:rFonts w:hint="eastAsia" w:ascii="宋体" w:hAnsi="宋体" w:eastAsia="宋体" w:cs="宋体"/>
                <w:color w:val="auto"/>
                <w:sz w:val="21"/>
                <w:szCs w:val="21"/>
                <w:highlight w:val="none"/>
              </w:rPr>
            </w:pPr>
          </w:p>
        </w:tc>
        <w:tc>
          <w:tcPr>
            <w:tcW w:w="1860" w:type="dxa"/>
            <w:vAlign w:val="center"/>
          </w:tcPr>
          <w:p w14:paraId="12AB49C0">
            <w:pPr>
              <w:pStyle w:val="54"/>
              <w:jc w:val="center"/>
              <w:rPr>
                <w:rFonts w:hint="eastAsia" w:ascii="宋体" w:hAnsi="宋体" w:eastAsia="宋体" w:cs="宋体"/>
                <w:color w:val="auto"/>
                <w:sz w:val="21"/>
                <w:szCs w:val="21"/>
                <w:highlight w:val="none"/>
              </w:rPr>
            </w:pPr>
          </w:p>
        </w:tc>
        <w:tc>
          <w:tcPr>
            <w:tcW w:w="1356" w:type="dxa"/>
            <w:vAlign w:val="center"/>
          </w:tcPr>
          <w:p w14:paraId="1659A511">
            <w:pPr>
              <w:pStyle w:val="54"/>
              <w:jc w:val="center"/>
              <w:rPr>
                <w:rFonts w:hint="eastAsia" w:ascii="宋体" w:hAnsi="宋体" w:eastAsia="宋体" w:cs="宋体"/>
                <w:color w:val="auto"/>
                <w:sz w:val="21"/>
                <w:szCs w:val="21"/>
                <w:highlight w:val="none"/>
              </w:rPr>
            </w:pPr>
          </w:p>
        </w:tc>
        <w:tc>
          <w:tcPr>
            <w:tcW w:w="816" w:type="dxa"/>
            <w:vAlign w:val="center"/>
          </w:tcPr>
          <w:p w14:paraId="5FBE7410">
            <w:pPr>
              <w:pStyle w:val="54"/>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4"/>
              <w:jc w:val="center"/>
              <w:rPr>
                <w:rFonts w:hint="eastAsia" w:ascii="宋体" w:hAnsi="宋体" w:eastAsia="宋体" w:cs="宋体"/>
                <w:color w:val="auto"/>
                <w:sz w:val="21"/>
                <w:szCs w:val="21"/>
                <w:highlight w:val="none"/>
              </w:rPr>
            </w:pPr>
            <w:bookmarkStart w:id="715" w:name="_Toc100090789"/>
            <w:bookmarkStart w:id="716" w:name="_Toc99533297"/>
            <w:r>
              <w:rPr>
                <w:rFonts w:hint="eastAsia" w:ascii="宋体" w:hAnsi="宋体" w:eastAsia="宋体" w:cs="宋体"/>
                <w:color w:val="auto"/>
                <w:sz w:val="21"/>
                <w:szCs w:val="21"/>
                <w:highlight w:val="none"/>
              </w:rPr>
              <w:t>6</w:t>
            </w:r>
            <w:bookmarkEnd w:id="715"/>
            <w:bookmarkEnd w:id="716"/>
          </w:p>
        </w:tc>
        <w:tc>
          <w:tcPr>
            <w:tcW w:w="1267" w:type="dxa"/>
            <w:vAlign w:val="center"/>
          </w:tcPr>
          <w:p w14:paraId="40527E11">
            <w:pPr>
              <w:pStyle w:val="54"/>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4"/>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4"/>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4"/>
              <w:jc w:val="center"/>
              <w:rPr>
                <w:rFonts w:hint="eastAsia" w:ascii="宋体" w:hAnsi="宋体" w:eastAsia="宋体" w:cs="宋体"/>
                <w:color w:val="auto"/>
                <w:sz w:val="21"/>
                <w:szCs w:val="21"/>
                <w:highlight w:val="none"/>
              </w:rPr>
            </w:pPr>
          </w:p>
        </w:tc>
        <w:tc>
          <w:tcPr>
            <w:tcW w:w="1860" w:type="dxa"/>
            <w:vAlign w:val="center"/>
          </w:tcPr>
          <w:p w14:paraId="51ADEB68">
            <w:pPr>
              <w:pStyle w:val="54"/>
              <w:jc w:val="center"/>
              <w:rPr>
                <w:rFonts w:hint="eastAsia" w:ascii="宋体" w:hAnsi="宋体" w:eastAsia="宋体" w:cs="宋体"/>
                <w:color w:val="auto"/>
                <w:sz w:val="21"/>
                <w:szCs w:val="21"/>
                <w:highlight w:val="none"/>
              </w:rPr>
            </w:pPr>
          </w:p>
        </w:tc>
        <w:tc>
          <w:tcPr>
            <w:tcW w:w="1356" w:type="dxa"/>
            <w:vAlign w:val="center"/>
          </w:tcPr>
          <w:p w14:paraId="1CED2476">
            <w:pPr>
              <w:pStyle w:val="54"/>
              <w:jc w:val="center"/>
              <w:rPr>
                <w:rFonts w:hint="eastAsia" w:ascii="宋体" w:hAnsi="宋体" w:eastAsia="宋体" w:cs="宋体"/>
                <w:color w:val="auto"/>
                <w:sz w:val="21"/>
                <w:szCs w:val="21"/>
                <w:highlight w:val="none"/>
              </w:rPr>
            </w:pPr>
          </w:p>
        </w:tc>
        <w:tc>
          <w:tcPr>
            <w:tcW w:w="816" w:type="dxa"/>
            <w:vAlign w:val="center"/>
          </w:tcPr>
          <w:p w14:paraId="4EF8AB8A">
            <w:pPr>
              <w:pStyle w:val="54"/>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4"/>
              <w:jc w:val="center"/>
              <w:rPr>
                <w:rFonts w:hint="eastAsia" w:ascii="宋体" w:hAnsi="宋体" w:eastAsia="宋体" w:cs="宋体"/>
                <w:color w:val="auto"/>
                <w:sz w:val="21"/>
                <w:szCs w:val="21"/>
                <w:highlight w:val="none"/>
              </w:rPr>
            </w:pPr>
            <w:bookmarkStart w:id="717" w:name="_Toc100090790"/>
            <w:bookmarkStart w:id="718" w:name="_Toc99533298"/>
            <w:r>
              <w:rPr>
                <w:rFonts w:hint="eastAsia" w:ascii="宋体" w:hAnsi="宋体" w:eastAsia="宋体" w:cs="宋体"/>
                <w:color w:val="auto"/>
                <w:sz w:val="21"/>
                <w:szCs w:val="21"/>
                <w:highlight w:val="none"/>
              </w:rPr>
              <w:t>7</w:t>
            </w:r>
            <w:bookmarkEnd w:id="717"/>
            <w:bookmarkEnd w:id="718"/>
          </w:p>
        </w:tc>
        <w:tc>
          <w:tcPr>
            <w:tcW w:w="1267" w:type="dxa"/>
            <w:vAlign w:val="center"/>
          </w:tcPr>
          <w:p w14:paraId="3F3B684D">
            <w:pPr>
              <w:pStyle w:val="54"/>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4"/>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4"/>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4"/>
              <w:jc w:val="center"/>
              <w:rPr>
                <w:rFonts w:hint="eastAsia" w:ascii="宋体" w:hAnsi="宋体" w:eastAsia="宋体" w:cs="宋体"/>
                <w:color w:val="auto"/>
                <w:sz w:val="21"/>
                <w:szCs w:val="21"/>
                <w:highlight w:val="none"/>
              </w:rPr>
            </w:pPr>
          </w:p>
        </w:tc>
        <w:tc>
          <w:tcPr>
            <w:tcW w:w="1860" w:type="dxa"/>
            <w:vAlign w:val="center"/>
          </w:tcPr>
          <w:p w14:paraId="7E9B2A2D">
            <w:pPr>
              <w:pStyle w:val="54"/>
              <w:jc w:val="center"/>
              <w:rPr>
                <w:rFonts w:hint="eastAsia" w:ascii="宋体" w:hAnsi="宋体" w:eastAsia="宋体" w:cs="宋体"/>
                <w:color w:val="auto"/>
                <w:sz w:val="21"/>
                <w:szCs w:val="21"/>
                <w:highlight w:val="none"/>
              </w:rPr>
            </w:pPr>
          </w:p>
        </w:tc>
        <w:tc>
          <w:tcPr>
            <w:tcW w:w="1356" w:type="dxa"/>
            <w:vAlign w:val="center"/>
          </w:tcPr>
          <w:p w14:paraId="4A11C356">
            <w:pPr>
              <w:pStyle w:val="54"/>
              <w:jc w:val="center"/>
              <w:rPr>
                <w:rFonts w:hint="eastAsia" w:ascii="宋体" w:hAnsi="宋体" w:eastAsia="宋体" w:cs="宋体"/>
                <w:color w:val="auto"/>
                <w:sz w:val="21"/>
                <w:szCs w:val="21"/>
                <w:highlight w:val="none"/>
              </w:rPr>
            </w:pPr>
          </w:p>
        </w:tc>
        <w:tc>
          <w:tcPr>
            <w:tcW w:w="816" w:type="dxa"/>
            <w:vAlign w:val="center"/>
          </w:tcPr>
          <w:p w14:paraId="718DD530">
            <w:pPr>
              <w:pStyle w:val="54"/>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4"/>
              <w:jc w:val="center"/>
              <w:rPr>
                <w:rFonts w:hint="eastAsia" w:ascii="宋体" w:hAnsi="宋体" w:eastAsia="宋体" w:cs="宋体"/>
                <w:color w:val="auto"/>
                <w:sz w:val="21"/>
                <w:szCs w:val="21"/>
                <w:highlight w:val="none"/>
              </w:rPr>
            </w:pPr>
            <w:bookmarkStart w:id="719" w:name="_Toc100090791"/>
            <w:bookmarkStart w:id="720" w:name="_Toc99533299"/>
            <w:r>
              <w:rPr>
                <w:rFonts w:hint="eastAsia" w:ascii="宋体" w:hAnsi="宋体" w:eastAsia="宋体" w:cs="宋体"/>
                <w:color w:val="auto"/>
                <w:sz w:val="21"/>
                <w:szCs w:val="21"/>
                <w:highlight w:val="none"/>
              </w:rPr>
              <w:t>8</w:t>
            </w:r>
            <w:bookmarkEnd w:id="719"/>
            <w:bookmarkEnd w:id="720"/>
          </w:p>
        </w:tc>
        <w:tc>
          <w:tcPr>
            <w:tcW w:w="1267" w:type="dxa"/>
            <w:vAlign w:val="center"/>
          </w:tcPr>
          <w:p w14:paraId="20BD29D0">
            <w:pPr>
              <w:pStyle w:val="54"/>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4"/>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4"/>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4"/>
              <w:jc w:val="center"/>
              <w:rPr>
                <w:rFonts w:hint="eastAsia" w:ascii="宋体" w:hAnsi="宋体" w:eastAsia="宋体" w:cs="宋体"/>
                <w:color w:val="auto"/>
                <w:sz w:val="21"/>
                <w:szCs w:val="21"/>
                <w:highlight w:val="none"/>
              </w:rPr>
            </w:pPr>
          </w:p>
        </w:tc>
        <w:tc>
          <w:tcPr>
            <w:tcW w:w="1860" w:type="dxa"/>
            <w:vAlign w:val="center"/>
          </w:tcPr>
          <w:p w14:paraId="292DF220">
            <w:pPr>
              <w:pStyle w:val="54"/>
              <w:jc w:val="center"/>
              <w:rPr>
                <w:rFonts w:hint="eastAsia" w:ascii="宋体" w:hAnsi="宋体" w:eastAsia="宋体" w:cs="宋体"/>
                <w:color w:val="auto"/>
                <w:sz w:val="21"/>
                <w:szCs w:val="21"/>
                <w:highlight w:val="none"/>
              </w:rPr>
            </w:pPr>
          </w:p>
        </w:tc>
        <w:tc>
          <w:tcPr>
            <w:tcW w:w="1356" w:type="dxa"/>
            <w:vAlign w:val="center"/>
          </w:tcPr>
          <w:p w14:paraId="70F58594">
            <w:pPr>
              <w:pStyle w:val="54"/>
              <w:jc w:val="center"/>
              <w:rPr>
                <w:rFonts w:hint="eastAsia" w:ascii="宋体" w:hAnsi="宋体" w:eastAsia="宋体" w:cs="宋体"/>
                <w:color w:val="auto"/>
                <w:sz w:val="21"/>
                <w:szCs w:val="21"/>
                <w:highlight w:val="none"/>
              </w:rPr>
            </w:pPr>
          </w:p>
        </w:tc>
        <w:tc>
          <w:tcPr>
            <w:tcW w:w="816" w:type="dxa"/>
            <w:vAlign w:val="center"/>
          </w:tcPr>
          <w:p w14:paraId="247AF589">
            <w:pPr>
              <w:pStyle w:val="54"/>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4"/>
              <w:jc w:val="center"/>
              <w:rPr>
                <w:rFonts w:hint="eastAsia" w:ascii="宋体" w:hAnsi="宋体" w:eastAsia="宋体" w:cs="宋体"/>
                <w:color w:val="auto"/>
                <w:sz w:val="21"/>
                <w:szCs w:val="21"/>
                <w:highlight w:val="none"/>
              </w:rPr>
            </w:pPr>
            <w:bookmarkStart w:id="721" w:name="_Toc99533300"/>
            <w:bookmarkStart w:id="722" w:name="_Toc100090792"/>
            <w:r>
              <w:rPr>
                <w:rFonts w:hint="eastAsia" w:ascii="宋体" w:hAnsi="宋体" w:eastAsia="宋体" w:cs="宋体"/>
                <w:color w:val="auto"/>
                <w:sz w:val="21"/>
                <w:szCs w:val="21"/>
                <w:highlight w:val="none"/>
              </w:rPr>
              <w:t>9</w:t>
            </w:r>
            <w:bookmarkEnd w:id="721"/>
            <w:bookmarkEnd w:id="722"/>
          </w:p>
        </w:tc>
        <w:tc>
          <w:tcPr>
            <w:tcW w:w="1267" w:type="dxa"/>
            <w:vAlign w:val="center"/>
          </w:tcPr>
          <w:p w14:paraId="6C5090EC">
            <w:pPr>
              <w:pStyle w:val="54"/>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4"/>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4"/>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4"/>
              <w:jc w:val="center"/>
              <w:rPr>
                <w:rFonts w:hint="eastAsia" w:ascii="宋体" w:hAnsi="宋体" w:eastAsia="宋体" w:cs="宋体"/>
                <w:color w:val="auto"/>
                <w:sz w:val="21"/>
                <w:szCs w:val="21"/>
                <w:highlight w:val="none"/>
              </w:rPr>
            </w:pPr>
          </w:p>
        </w:tc>
        <w:tc>
          <w:tcPr>
            <w:tcW w:w="1860" w:type="dxa"/>
            <w:vAlign w:val="center"/>
          </w:tcPr>
          <w:p w14:paraId="337B4053">
            <w:pPr>
              <w:pStyle w:val="54"/>
              <w:jc w:val="center"/>
              <w:rPr>
                <w:rFonts w:hint="eastAsia" w:ascii="宋体" w:hAnsi="宋体" w:eastAsia="宋体" w:cs="宋体"/>
                <w:color w:val="auto"/>
                <w:sz w:val="21"/>
                <w:szCs w:val="21"/>
                <w:highlight w:val="none"/>
              </w:rPr>
            </w:pPr>
          </w:p>
        </w:tc>
        <w:tc>
          <w:tcPr>
            <w:tcW w:w="1356" w:type="dxa"/>
            <w:vAlign w:val="center"/>
          </w:tcPr>
          <w:p w14:paraId="7D6C0C38">
            <w:pPr>
              <w:pStyle w:val="54"/>
              <w:jc w:val="center"/>
              <w:rPr>
                <w:rFonts w:hint="eastAsia" w:ascii="宋体" w:hAnsi="宋体" w:eastAsia="宋体" w:cs="宋体"/>
                <w:color w:val="auto"/>
                <w:sz w:val="21"/>
                <w:szCs w:val="21"/>
                <w:highlight w:val="none"/>
              </w:rPr>
            </w:pPr>
          </w:p>
        </w:tc>
        <w:tc>
          <w:tcPr>
            <w:tcW w:w="816" w:type="dxa"/>
            <w:vAlign w:val="center"/>
          </w:tcPr>
          <w:p w14:paraId="45D99552">
            <w:pPr>
              <w:pStyle w:val="54"/>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4"/>
              <w:jc w:val="center"/>
              <w:rPr>
                <w:rFonts w:hint="eastAsia" w:ascii="宋体" w:hAnsi="宋体" w:eastAsia="宋体" w:cs="宋体"/>
                <w:color w:val="auto"/>
                <w:sz w:val="21"/>
                <w:szCs w:val="21"/>
                <w:highlight w:val="none"/>
              </w:rPr>
            </w:pPr>
            <w:bookmarkStart w:id="723" w:name="_Toc99533301"/>
            <w:bookmarkStart w:id="724" w:name="_Toc100090793"/>
            <w:r>
              <w:rPr>
                <w:rFonts w:hint="eastAsia" w:ascii="宋体" w:hAnsi="宋体" w:eastAsia="宋体" w:cs="宋体"/>
                <w:color w:val="auto"/>
                <w:sz w:val="21"/>
                <w:szCs w:val="21"/>
                <w:highlight w:val="none"/>
              </w:rPr>
              <w:t>10</w:t>
            </w:r>
            <w:bookmarkEnd w:id="723"/>
            <w:bookmarkEnd w:id="724"/>
          </w:p>
        </w:tc>
        <w:tc>
          <w:tcPr>
            <w:tcW w:w="1267" w:type="dxa"/>
            <w:vAlign w:val="center"/>
          </w:tcPr>
          <w:p w14:paraId="0D84E205">
            <w:pPr>
              <w:pStyle w:val="54"/>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4"/>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4"/>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4"/>
              <w:jc w:val="center"/>
              <w:rPr>
                <w:rFonts w:hint="eastAsia" w:ascii="宋体" w:hAnsi="宋体" w:eastAsia="宋体" w:cs="宋体"/>
                <w:color w:val="auto"/>
                <w:sz w:val="21"/>
                <w:szCs w:val="21"/>
                <w:highlight w:val="none"/>
              </w:rPr>
            </w:pPr>
          </w:p>
        </w:tc>
        <w:tc>
          <w:tcPr>
            <w:tcW w:w="1860" w:type="dxa"/>
            <w:vAlign w:val="center"/>
          </w:tcPr>
          <w:p w14:paraId="7790D037">
            <w:pPr>
              <w:pStyle w:val="54"/>
              <w:jc w:val="center"/>
              <w:rPr>
                <w:rFonts w:hint="eastAsia" w:ascii="宋体" w:hAnsi="宋体" w:eastAsia="宋体" w:cs="宋体"/>
                <w:color w:val="auto"/>
                <w:sz w:val="21"/>
                <w:szCs w:val="21"/>
                <w:highlight w:val="none"/>
              </w:rPr>
            </w:pPr>
          </w:p>
        </w:tc>
        <w:tc>
          <w:tcPr>
            <w:tcW w:w="1356" w:type="dxa"/>
            <w:vAlign w:val="center"/>
          </w:tcPr>
          <w:p w14:paraId="7B74B27D">
            <w:pPr>
              <w:pStyle w:val="54"/>
              <w:jc w:val="center"/>
              <w:rPr>
                <w:rFonts w:hint="eastAsia" w:ascii="宋体" w:hAnsi="宋体" w:eastAsia="宋体" w:cs="宋体"/>
                <w:color w:val="auto"/>
                <w:sz w:val="21"/>
                <w:szCs w:val="21"/>
                <w:highlight w:val="none"/>
              </w:rPr>
            </w:pPr>
          </w:p>
        </w:tc>
        <w:tc>
          <w:tcPr>
            <w:tcW w:w="816" w:type="dxa"/>
            <w:vAlign w:val="center"/>
          </w:tcPr>
          <w:p w14:paraId="77E1C162">
            <w:pPr>
              <w:pStyle w:val="54"/>
              <w:jc w:val="center"/>
              <w:rPr>
                <w:rFonts w:hint="eastAsia" w:ascii="宋体" w:hAnsi="宋体" w:eastAsia="宋体" w:cs="宋体"/>
                <w:color w:val="auto"/>
                <w:sz w:val="21"/>
                <w:szCs w:val="21"/>
                <w:highlight w:val="none"/>
              </w:rPr>
            </w:pPr>
          </w:p>
        </w:tc>
      </w:tr>
    </w:tbl>
    <w:p w14:paraId="72DBC0B8">
      <w:pPr>
        <w:rPr>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注：按招标文件要求在本表后附相关人员证书、身份证、劳动合同或中标通知书。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color w:val="auto"/>
          <w:highlight w:val="none"/>
        </w:rPr>
      </w:pPr>
      <w:r>
        <w:rPr>
          <w:rFonts w:hint="eastAsia" w:cs="仿宋_GB2312"/>
          <w:color w:val="auto"/>
          <w:sz w:val="21"/>
          <w:szCs w:val="21"/>
          <w:highlight w:val="none"/>
          <w:lang w:val="en-US" w:eastAsia="zh-CN"/>
        </w:rPr>
        <w:t>2.如投标人中标，须按本表项目组成人员操作，不得随意更换。</w:t>
      </w:r>
      <w:r>
        <w:rPr>
          <w:color w:val="auto"/>
          <w:highlight w:val="none"/>
        </w:rPr>
        <w:br w:type="page"/>
      </w:r>
    </w:p>
    <w:p w14:paraId="1358285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25" w:name="_Toc3121"/>
      <w:bookmarkStart w:id="726" w:name="_Toc5387"/>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725"/>
      <w:bookmarkEnd w:id="726"/>
    </w:p>
    <w:p w14:paraId="7EE50E6A">
      <w:pPr>
        <w:rPr>
          <w:rFonts w:cs="仿宋_GB2312"/>
          <w:color w:val="auto"/>
          <w:szCs w:val="24"/>
          <w:highlight w:val="none"/>
        </w:rPr>
      </w:pPr>
      <w:r>
        <w:rPr>
          <w:rFonts w:hint="eastAsia" w:cs="仿宋_GB2312"/>
          <w:color w:val="auto"/>
          <w:szCs w:val="24"/>
          <w:highlight w:val="none"/>
        </w:rPr>
        <w:t xml:space="preserve">项目名称：                                         </w:t>
      </w:r>
    </w:p>
    <w:p w14:paraId="3BECE8B1">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764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0FCCCEAC">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69669C77">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71DD4B6D">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AB54F24">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F49E79F">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3F1EB795">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3E3F1E73">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7F9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1390C611">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23DD6440">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4669278">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C5A608D">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3F3AE223">
            <w:pPr>
              <w:pStyle w:val="54"/>
              <w:jc w:val="center"/>
              <w:rPr>
                <w:rFonts w:hint="eastAsia" w:ascii="宋体" w:hAnsi="宋体" w:eastAsia="宋体" w:cs="宋体"/>
                <w:color w:val="auto"/>
                <w:sz w:val="21"/>
                <w:szCs w:val="21"/>
                <w:highlight w:val="none"/>
              </w:rPr>
            </w:pPr>
          </w:p>
        </w:tc>
      </w:tr>
      <w:tr w14:paraId="16FF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vAlign w:val="center"/>
          </w:tcPr>
          <w:p w14:paraId="681E1A24">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1B1CC670">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3CDA8454">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7532297">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1786AA8B">
            <w:pPr>
              <w:pStyle w:val="54"/>
              <w:jc w:val="center"/>
              <w:rPr>
                <w:rFonts w:hint="eastAsia" w:ascii="宋体" w:hAnsi="宋体" w:eastAsia="宋体" w:cs="宋体"/>
                <w:color w:val="auto"/>
                <w:sz w:val="21"/>
                <w:szCs w:val="21"/>
                <w:highlight w:val="none"/>
              </w:rPr>
            </w:pPr>
          </w:p>
        </w:tc>
      </w:tr>
      <w:tr w14:paraId="334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shd w:val="clear" w:color="auto" w:fill="auto"/>
            <w:vAlign w:val="center"/>
          </w:tcPr>
          <w:p w14:paraId="4CADFE13">
            <w:pPr>
              <w:pStyle w:val="5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7EAC22E8">
            <w:pPr>
              <w:pStyle w:val="5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031" w:type="pct"/>
            <w:shd w:val="clear" w:color="auto" w:fill="auto"/>
            <w:vAlign w:val="center"/>
          </w:tcPr>
          <w:p w14:paraId="1261D841">
            <w:pPr>
              <w:pStyle w:val="5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p>
        </w:tc>
        <w:tc>
          <w:tcPr>
            <w:tcW w:w="1265" w:type="pct"/>
            <w:shd w:val="clear" w:color="auto" w:fill="auto"/>
            <w:vAlign w:val="center"/>
          </w:tcPr>
          <w:p w14:paraId="21AB0CEA">
            <w:pPr>
              <w:pStyle w:val="54"/>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02205EF5">
            <w:pPr>
              <w:pStyle w:val="54"/>
              <w:jc w:val="center"/>
              <w:rPr>
                <w:rFonts w:hint="eastAsia" w:ascii="宋体" w:hAnsi="宋体" w:eastAsia="宋体" w:cs="宋体"/>
                <w:color w:val="auto"/>
                <w:sz w:val="21"/>
                <w:szCs w:val="21"/>
                <w:highlight w:val="none"/>
              </w:rPr>
            </w:pPr>
          </w:p>
        </w:tc>
      </w:tr>
      <w:tr w14:paraId="547E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615990F">
            <w:pPr>
              <w:pStyle w:val="54"/>
              <w:jc w:val="center"/>
              <w:rPr>
                <w:rFonts w:hint="eastAsia" w:ascii="宋体" w:hAnsi="宋体" w:eastAsia="宋体" w:cs="宋体"/>
                <w:color w:val="auto"/>
                <w:sz w:val="21"/>
                <w:szCs w:val="21"/>
                <w:highlight w:val="none"/>
              </w:rPr>
            </w:pPr>
          </w:p>
        </w:tc>
        <w:tc>
          <w:tcPr>
            <w:tcW w:w="1159" w:type="pct"/>
            <w:vAlign w:val="center"/>
          </w:tcPr>
          <w:p w14:paraId="4EFDD3F7">
            <w:pPr>
              <w:pStyle w:val="54"/>
              <w:jc w:val="center"/>
              <w:rPr>
                <w:rFonts w:hint="eastAsia" w:ascii="宋体" w:hAnsi="宋体" w:eastAsia="宋体" w:cs="宋体"/>
                <w:color w:val="auto"/>
                <w:sz w:val="21"/>
                <w:szCs w:val="21"/>
                <w:highlight w:val="none"/>
              </w:rPr>
            </w:pPr>
          </w:p>
        </w:tc>
        <w:tc>
          <w:tcPr>
            <w:tcW w:w="1031" w:type="pct"/>
            <w:vAlign w:val="center"/>
          </w:tcPr>
          <w:p w14:paraId="6F3FE338">
            <w:pPr>
              <w:pStyle w:val="54"/>
              <w:jc w:val="center"/>
              <w:rPr>
                <w:rFonts w:hint="eastAsia" w:ascii="宋体" w:hAnsi="宋体" w:eastAsia="宋体" w:cs="宋体"/>
                <w:color w:val="auto"/>
                <w:sz w:val="21"/>
                <w:szCs w:val="21"/>
                <w:highlight w:val="none"/>
              </w:rPr>
            </w:pPr>
          </w:p>
        </w:tc>
        <w:tc>
          <w:tcPr>
            <w:tcW w:w="1265" w:type="pct"/>
            <w:vAlign w:val="center"/>
          </w:tcPr>
          <w:p w14:paraId="1DE7F15C">
            <w:pPr>
              <w:pStyle w:val="54"/>
              <w:jc w:val="center"/>
              <w:rPr>
                <w:rFonts w:hint="eastAsia" w:ascii="宋体" w:hAnsi="宋体" w:eastAsia="宋体" w:cs="宋体"/>
                <w:color w:val="auto"/>
                <w:sz w:val="21"/>
                <w:szCs w:val="21"/>
                <w:highlight w:val="none"/>
              </w:rPr>
            </w:pPr>
          </w:p>
        </w:tc>
        <w:tc>
          <w:tcPr>
            <w:tcW w:w="1136" w:type="pct"/>
            <w:vAlign w:val="center"/>
          </w:tcPr>
          <w:p w14:paraId="7E461BBA">
            <w:pPr>
              <w:pStyle w:val="54"/>
              <w:jc w:val="center"/>
              <w:rPr>
                <w:rFonts w:hint="eastAsia" w:ascii="宋体" w:hAnsi="宋体" w:eastAsia="宋体" w:cs="宋体"/>
                <w:color w:val="auto"/>
                <w:sz w:val="21"/>
                <w:szCs w:val="21"/>
                <w:highlight w:val="none"/>
              </w:rPr>
            </w:pPr>
          </w:p>
        </w:tc>
      </w:tr>
      <w:tr w14:paraId="054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21914A14">
            <w:pPr>
              <w:pStyle w:val="54"/>
              <w:jc w:val="center"/>
              <w:rPr>
                <w:rFonts w:hint="eastAsia" w:ascii="宋体" w:hAnsi="宋体" w:eastAsia="宋体" w:cs="宋体"/>
                <w:color w:val="auto"/>
                <w:sz w:val="21"/>
                <w:szCs w:val="21"/>
                <w:highlight w:val="none"/>
              </w:rPr>
            </w:pPr>
          </w:p>
        </w:tc>
        <w:tc>
          <w:tcPr>
            <w:tcW w:w="1159" w:type="pct"/>
            <w:vAlign w:val="center"/>
          </w:tcPr>
          <w:p w14:paraId="01FAF6FF">
            <w:pPr>
              <w:pStyle w:val="54"/>
              <w:jc w:val="center"/>
              <w:rPr>
                <w:rFonts w:hint="eastAsia" w:ascii="宋体" w:hAnsi="宋体" w:eastAsia="宋体" w:cs="宋体"/>
                <w:color w:val="auto"/>
                <w:sz w:val="21"/>
                <w:szCs w:val="21"/>
                <w:highlight w:val="none"/>
              </w:rPr>
            </w:pPr>
          </w:p>
        </w:tc>
        <w:tc>
          <w:tcPr>
            <w:tcW w:w="1031" w:type="pct"/>
            <w:vAlign w:val="center"/>
          </w:tcPr>
          <w:p w14:paraId="7C7F56A7">
            <w:pPr>
              <w:pStyle w:val="54"/>
              <w:jc w:val="center"/>
              <w:rPr>
                <w:rFonts w:hint="eastAsia" w:ascii="宋体" w:hAnsi="宋体" w:eastAsia="宋体" w:cs="宋体"/>
                <w:color w:val="auto"/>
                <w:sz w:val="21"/>
                <w:szCs w:val="21"/>
                <w:highlight w:val="none"/>
              </w:rPr>
            </w:pPr>
          </w:p>
        </w:tc>
        <w:tc>
          <w:tcPr>
            <w:tcW w:w="1265" w:type="pct"/>
            <w:vAlign w:val="center"/>
          </w:tcPr>
          <w:p w14:paraId="611127F1">
            <w:pPr>
              <w:pStyle w:val="54"/>
              <w:jc w:val="center"/>
              <w:rPr>
                <w:rFonts w:hint="eastAsia" w:ascii="宋体" w:hAnsi="宋体" w:eastAsia="宋体" w:cs="宋体"/>
                <w:color w:val="auto"/>
                <w:sz w:val="21"/>
                <w:szCs w:val="21"/>
                <w:highlight w:val="none"/>
              </w:rPr>
            </w:pPr>
          </w:p>
        </w:tc>
        <w:tc>
          <w:tcPr>
            <w:tcW w:w="1136" w:type="pct"/>
            <w:vAlign w:val="center"/>
          </w:tcPr>
          <w:p w14:paraId="0E4A26B6">
            <w:pPr>
              <w:pStyle w:val="54"/>
              <w:jc w:val="center"/>
              <w:rPr>
                <w:rFonts w:hint="eastAsia" w:ascii="宋体" w:hAnsi="宋体" w:eastAsia="宋体" w:cs="宋体"/>
                <w:color w:val="auto"/>
                <w:sz w:val="21"/>
                <w:szCs w:val="21"/>
                <w:highlight w:val="none"/>
              </w:rPr>
            </w:pPr>
          </w:p>
        </w:tc>
      </w:tr>
      <w:tr w14:paraId="6E8D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30C5ED4E">
            <w:pPr>
              <w:pStyle w:val="54"/>
              <w:jc w:val="center"/>
              <w:rPr>
                <w:rFonts w:hint="eastAsia" w:ascii="宋体" w:hAnsi="宋体" w:eastAsia="宋体" w:cs="宋体"/>
                <w:color w:val="auto"/>
                <w:sz w:val="21"/>
                <w:szCs w:val="21"/>
                <w:highlight w:val="none"/>
              </w:rPr>
            </w:pPr>
          </w:p>
        </w:tc>
        <w:tc>
          <w:tcPr>
            <w:tcW w:w="1159" w:type="pct"/>
            <w:vAlign w:val="center"/>
          </w:tcPr>
          <w:p w14:paraId="5C4DD07B">
            <w:pPr>
              <w:pStyle w:val="54"/>
              <w:jc w:val="center"/>
              <w:rPr>
                <w:rFonts w:hint="eastAsia" w:ascii="宋体" w:hAnsi="宋体" w:eastAsia="宋体" w:cs="宋体"/>
                <w:color w:val="auto"/>
                <w:sz w:val="21"/>
                <w:szCs w:val="21"/>
                <w:highlight w:val="none"/>
              </w:rPr>
            </w:pPr>
          </w:p>
        </w:tc>
        <w:tc>
          <w:tcPr>
            <w:tcW w:w="1031" w:type="pct"/>
            <w:vAlign w:val="center"/>
          </w:tcPr>
          <w:p w14:paraId="26683DD4">
            <w:pPr>
              <w:pStyle w:val="54"/>
              <w:jc w:val="center"/>
              <w:rPr>
                <w:rFonts w:hint="eastAsia" w:ascii="宋体" w:hAnsi="宋体" w:eastAsia="宋体" w:cs="宋体"/>
                <w:color w:val="auto"/>
                <w:sz w:val="21"/>
                <w:szCs w:val="21"/>
                <w:highlight w:val="none"/>
              </w:rPr>
            </w:pPr>
          </w:p>
        </w:tc>
        <w:tc>
          <w:tcPr>
            <w:tcW w:w="1265" w:type="pct"/>
            <w:vAlign w:val="center"/>
          </w:tcPr>
          <w:p w14:paraId="4D8C3BA1">
            <w:pPr>
              <w:pStyle w:val="54"/>
              <w:jc w:val="center"/>
              <w:rPr>
                <w:rFonts w:hint="eastAsia" w:ascii="宋体" w:hAnsi="宋体" w:eastAsia="宋体" w:cs="宋体"/>
                <w:color w:val="auto"/>
                <w:sz w:val="21"/>
                <w:szCs w:val="21"/>
                <w:highlight w:val="none"/>
              </w:rPr>
            </w:pPr>
          </w:p>
        </w:tc>
        <w:tc>
          <w:tcPr>
            <w:tcW w:w="1136" w:type="pct"/>
            <w:vAlign w:val="center"/>
          </w:tcPr>
          <w:p w14:paraId="2E8B5F67">
            <w:pPr>
              <w:pStyle w:val="54"/>
              <w:jc w:val="center"/>
              <w:rPr>
                <w:rFonts w:hint="eastAsia" w:ascii="宋体" w:hAnsi="宋体" w:eastAsia="宋体" w:cs="宋体"/>
                <w:color w:val="auto"/>
                <w:sz w:val="21"/>
                <w:szCs w:val="21"/>
                <w:highlight w:val="none"/>
              </w:rPr>
            </w:pPr>
          </w:p>
        </w:tc>
      </w:tr>
      <w:tr w14:paraId="361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6" w:type="pct"/>
            <w:vAlign w:val="center"/>
          </w:tcPr>
          <w:p w14:paraId="1F51D1EA">
            <w:pPr>
              <w:pStyle w:val="54"/>
              <w:jc w:val="center"/>
              <w:rPr>
                <w:rFonts w:hint="eastAsia" w:ascii="宋体" w:hAnsi="宋体" w:eastAsia="宋体" w:cs="宋体"/>
                <w:color w:val="auto"/>
                <w:sz w:val="21"/>
                <w:szCs w:val="21"/>
                <w:highlight w:val="none"/>
              </w:rPr>
            </w:pPr>
          </w:p>
        </w:tc>
        <w:tc>
          <w:tcPr>
            <w:tcW w:w="1159" w:type="pct"/>
            <w:vAlign w:val="center"/>
          </w:tcPr>
          <w:p w14:paraId="1204324D">
            <w:pPr>
              <w:pStyle w:val="54"/>
              <w:jc w:val="center"/>
              <w:rPr>
                <w:rFonts w:hint="eastAsia" w:ascii="宋体" w:hAnsi="宋体" w:eastAsia="宋体" w:cs="宋体"/>
                <w:color w:val="auto"/>
                <w:sz w:val="21"/>
                <w:szCs w:val="21"/>
                <w:highlight w:val="none"/>
              </w:rPr>
            </w:pPr>
          </w:p>
        </w:tc>
        <w:tc>
          <w:tcPr>
            <w:tcW w:w="1031" w:type="pct"/>
            <w:vAlign w:val="center"/>
          </w:tcPr>
          <w:p w14:paraId="36FD0F55">
            <w:pPr>
              <w:pStyle w:val="54"/>
              <w:jc w:val="center"/>
              <w:rPr>
                <w:rFonts w:hint="eastAsia" w:ascii="宋体" w:hAnsi="宋体" w:eastAsia="宋体" w:cs="宋体"/>
                <w:color w:val="auto"/>
                <w:sz w:val="21"/>
                <w:szCs w:val="21"/>
                <w:highlight w:val="none"/>
              </w:rPr>
            </w:pPr>
          </w:p>
        </w:tc>
        <w:tc>
          <w:tcPr>
            <w:tcW w:w="1265" w:type="pct"/>
            <w:vAlign w:val="center"/>
          </w:tcPr>
          <w:p w14:paraId="6D3AA7E1">
            <w:pPr>
              <w:pStyle w:val="54"/>
              <w:jc w:val="center"/>
              <w:rPr>
                <w:rFonts w:hint="eastAsia" w:ascii="宋体" w:hAnsi="宋体" w:eastAsia="宋体" w:cs="宋体"/>
                <w:color w:val="auto"/>
                <w:sz w:val="21"/>
                <w:szCs w:val="21"/>
                <w:highlight w:val="none"/>
              </w:rPr>
            </w:pPr>
          </w:p>
        </w:tc>
        <w:tc>
          <w:tcPr>
            <w:tcW w:w="1136" w:type="pct"/>
            <w:vAlign w:val="center"/>
          </w:tcPr>
          <w:p w14:paraId="449BE1FC">
            <w:pPr>
              <w:pStyle w:val="54"/>
              <w:jc w:val="center"/>
              <w:rPr>
                <w:rFonts w:hint="eastAsia" w:ascii="宋体" w:hAnsi="宋体" w:eastAsia="宋体" w:cs="宋体"/>
                <w:color w:val="auto"/>
                <w:sz w:val="21"/>
                <w:szCs w:val="21"/>
                <w:highlight w:val="none"/>
              </w:rPr>
            </w:pPr>
          </w:p>
        </w:tc>
      </w:tr>
      <w:tr w14:paraId="7E8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6" w:type="pct"/>
            <w:vAlign w:val="center"/>
          </w:tcPr>
          <w:p w14:paraId="6ECE9C6C">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69EDFD22">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D19C04A">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16652C7B">
            <w:pPr>
              <w:pStyle w:val="5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7E732B44">
            <w:pPr>
              <w:pStyle w:val="54"/>
              <w:jc w:val="center"/>
              <w:rPr>
                <w:rFonts w:hint="eastAsia" w:ascii="宋体" w:hAnsi="宋体" w:eastAsia="宋体" w:cs="宋体"/>
                <w:color w:val="auto"/>
                <w:sz w:val="21"/>
                <w:szCs w:val="21"/>
                <w:highlight w:val="none"/>
              </w:rPr>
            </w:pPr>
          </w:p>
        </w:tc>
      </w:tr>
    </w:tbl>
    <w:p w14:paraId="7D87EEFE">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1685FB85">
      <w:pPr>
        <w:ind w:firstLine="420"/>
        <w:rPr>
          <w:rFonts w:cs="仿宋_GB2312"/>
          <w:color w:val="auto"/>
          <w:szCs w:val="24"/>
          <w:highlight w:val="none"/>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3.“响应情况”栏应据实填写“响应”、“正偏离”或“负偏离”。★为实质性条款，不允许偏离，偏离按无效投标处理。</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0865D440">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49A1A5E5">
      <w:pPr>
        <w:ind w:firstLine="420"/>
        <w:rPr>
          <w:rFonts w:cs="仿宋_GB2312"/>
          <w:color w:val="auto"/>
          <w:szCs w:val="24"/>
          <w:highlight w:val="none"/>
        </w:rPr>
      </w:pPr>
      <w:r>
        <w:rPr>
          <w:rFonts w:cs="仿宋_GB2312"/>
          <w:color w:val="auto"/>
          <w:szCs w:val="24"/>
          <w:highlight w:val="none"/>
        </w:rPr>
        <w:br w:type="page"/>
      </w:r>
    </w:p>
    <w:p w14:paraId="06C98EB9">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27" w:name="_Toc24401"/>
      <w:bookmarkStart w:id="728" w:name="_Toc28036"/>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727"/>
      <w:bookmarkEnd w:id="728"/>
    </w:p>
    <w:p w14:paraId="7078B366">
      <w:pPr>
        <w:pStyle w:val="42"/>
        <w:rPr>
          <w:rFonts w:hint="eastAsia"/>
          <w:color w:val="auto"/>
          <w:highlight w:val="none"/>
        </w:rPr>
      </w:pPr>
      <w:r>
        <w:rPr>
          <w:rFonts w:hint="eastAsia"/>
          <w:color w:val="auto"/>
          <w:highlight w:val="none"/>
        </w:rPr>
        <w:t>投标人应按照招标文件的要求，提供详细的服务方案，包括文字描述或图表显示。格式自拟。</w:t>
      </w:r>
    </w:p>
    <w:p w14:paraId="7EE77353">
      <w:pPr>
        <w:pStyle w:val="42"/>
        <w:rPr>
          <w:color w:val="auto"/>
          <w:highlight w:val="none"/>
        </w:rPr>
      </w:pPr>
      <w:r>
        <w:rPr>
          <w:color w:val="auto"/>
          <w:highlight w:val="none"/>
        </w:rPr>
        <w:br w:type="page"/>
      </w:r>
    </w:p>
    <w:p w14:paraId="01EB5657">
      <w:pPr>
        <w:ind w:firstLine="420"/>
        <w:rPr>
          <w:rFonts w:hint="eastAsia" w:cs="仿宋_GB2312"/>
          <w:color w:val="auto"/>
          <w:sz w:val="21"/>
          <w:szCs w:val="21"/>
          <w:highlight w:val="none"/>
          <w:lang w:val="en-US" w:eastAsia="zh-CN"/>
        </w:rPr>
      </w:pPr>
    </w:p>
    <w:p w14:paraId="3D755871">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29" w:name="_Toc22006"/>
      <w:bookmarkStart w:id="730" w:name="_Toc8606"/>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729"/>
      <w:bookmarkEnd w:id="730"/>
    </w:p>
    <w:p w14:paraId="7DF13FE9">
      <w:pPr>
        <w:pStyle w:val="42"/>
        <w:ind w:left="0" w:leftChars="0" w:firstLine="0" w:firstLineChars="0"/>
        <w:rPr>
          <w:rFonts w:hint="eastAsia"/>
          <w:b/>
          <w:bCs/>
          <w:color w:val="auto"/>
          <w:sz w:val="24"/>
          <w:szCs w:val="24"/>
          <w:highlight w:val="none"/>
        </w:rPr>
      </w:pP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6DA29BFF">
      <w:pPr>
        <w:pStyle w:val="42"/>
        <w:rPr>
          <w:rFonts w:hint="eastAsia"/>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300D368-FB49-496D-BB6C-99286D0B9270}"/>
  </w:font>
  <w:font w:name="Arial">
    <w:panose1 w:val="020B0604020202020204"/>
    <w:charset w:val="01"/>
    <w:family w:val="swiss"/>
    <w:pitch w:val="default"/>
    <w:sig w:usb0="E0002EFF" w:usb1="C000785B" w:usb2="00000009" w:usb3="00000000" w:csb0="400001FF" w:csb1="FFFF0000"/>
    <w:embedRegular r:id="rId2" w:fontKey="{5442F2DC-B863-41EC-8549-1F51862E7A64}"/>
  </w:font>
  <w:font w:name="黑体">
    <w:panose1 w:val="02010609060101010101"/>
    <w:charset w:val="86"/>
    <w:family w:val="auto"/>
    <w:pitch w:val="default"/>
    <w:sig w:usb0="800002BF" w:usb1="38CF7CFA" w:usb2="00000016" w:usb3="00000000" w:csb0="00040001" w:csb1="00000000"/>
    <w:embedRegular r:id="rId3" w:fontKey="{445BCB56-FC16-44C7-87CA-51E8B8FAFBAE}"/>
  </w:font>
  <w:font w:name="Courier New">
    <w:panose1 w:val="02070309020205020404"/>
    <w:charset w:val="01"/>
    <w:family w:val="modern"/>
    <w:pitch w:val="default"/>
    <w:sig w:usb0="E0002EFF" w:usb1="C0007843" w:usb2="00000009" w:usb3="00000000" w:csb0="400001FF" w:csb1="FFFF0000"/>
    <w:embedRegular r:id="rId4" w:fontKey="{F8021A1F-B322-42DA-AB23-74CEB68B965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5FF06EE9-B743-4B53-A58F-7EAB4330A278}"/>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6" w:fontKey="{FB7CAD37-9A31-4332-BF01-FE1EFCE616E9}"/>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embedRegular r:id="rId7" w:fontKey="{501C00EF-509B-4E6B-8437-AE5FE48BFE6D}"/>
  </w:font>
  <w:font w:name="方正小标宋_GBK">
    <w:panose1 w:val="02000000000000000000"/>
    <w:charset w:val="86"/>
    <w:family w:val="auto"/>
    <w:pitch w:val="default"/>
    <w:sig w:usb0="A00002BF" w:usb1="38CF7CFA" w:usb2="00082016" w:usb3="00000000" w:csb0="00040001" w:csb1="00000000"/>
    <w:embedRegular r:id="rId8" w:fontKey="{F1F066EE-8796-42A1-B820-E7CD561057D3}"/>
  </w:font>
  <w:font w:name="微软雅黑">
    <w:panose1 w:val="020B0503020204020204"/>
    <w:charset w:val="86"/>
    <w:family w:val="auto"/>
    <w:pitch w:val="default"/>
    <w:sig w:usb0="80000287" w:usb1="2ACF3C50" w:usb2="00000016" w:usb3="00000000" w:csb0="0004001F" w:csb1="00000000"/>
    <w:embedRegular r:id="rId9" w:fontKey="{1E99A1EA-F5E2-42EA-AA69-1214B8AE8750}"/>
  </w:font>
  <w:font w:name="DejaVuSans">
    <w:altName w:val="Segoe Print"/>
    <w:panose1 w:val="00000000000000000000"/>
    <w:charset w:val="00"/>
    <w:family w:val="auto"/>
    <w:pitch w:val="default"/>
    <w:sig w:usb0="00000000" w:usb1="00000000" w:usb2="00000000" w:usb3="00000000" w:csb0="00000000" w:csb1="00000000"/>
    <w:embedRegular r:id="rId10" w:fontKey="{72CD37E4-2A41-4B37-AD4F-4341C26A5F1A}"/>
  </w:font>
  <w:font w:name="Segoe Print">
    <w:panose1 w:val="02000600000000000000"/>
    <w:charset w:val="00"/>
    <w:family w:val="auto"/>
    <w:pitch w:val="default"/>
    <w:sig w:usb0="0000028F" w:usb1="00000000" w:usb2="00000000" w:usb3="00000000" w:csb0="2000009F" w:csb1="4701000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71C02">
    <w:pPr>
      <w:pStyle w:val="23"/>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273"/>
                            <w:showingPlcHdr/>
                          </w:sdtPr>
                          <w:sdtContent>
                            <w:p w14:paraId="2BF1767F">
                              <w:pPr>
                                <w:pStyle w:val="23"/>
                                <w:jc w:val="center"/>
                              </w:pPr>
                              <w:r>
                                <w:rPr>
                                  <w:rFonts w:hint="eastAsia"/>
                                  <w:lang w:eastAsia="zh-CN"/>
                                </w:rPr>
                                <w:t xml:space="preserve">     </w:t>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273"/>
                      <w:showingPlcHdr/>
                    </w:sdtPr>
                    <w:sdtContent>
                      <w:p w14:paraId="2BF1767F">
                        <w:pPr>
                          <w:pStyle w:val="23"/>
                          <w:jc w:val="center"/>
                        </w:pPr>
                        <w:r>
                          <w:rPr>
                            <w:rFonts w:hint="eastAsia"/>
                            <w:lang w:eastAsia="zh-CN"/>
                          </w:rPr>
                          <w:t xml:space="preserve">     </w:t>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488B5">
    <w:pPr>
      <w:pStyle w:val="23"/>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7F2F5">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697F2F5">
                    <w:pPr>
                      <w:pStyle w:val="23"/>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481"/>
                            <w:showingPlcHdr/>
                          </w:sdtPr>
                          <w:sdtContent>
                            <w:p w14:paraId="7CE1F9A5">
                              <w:pPr>
                                <w:pStyle w:val="23"/>
                                <w:jc w:val="center"/>
                              </w:pPr>
                              <w:r>
                                <w:rPr>
                                  <w:rFonts w:hint="eastAsia"/>
                                  <w:lang w:eastAsia="zh-CN"/>
                                </w:rPr>
                                <w:t xml:space="preserve">     </w:t>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3481"/>
                      <w:showingPlcHdr/>
                    </w:sdtPr>
                    <w:sdtContent>
                      <w:p w14:paraId="7CE1F9A5">
                        <w:pPr>
                          <w:pStyle w:val="23"/>
                          <w:jc w:val="center"/>
                        </w:pPr>
                        <w:r>
                          <w:rPr>
                            <w:rFonts w:hint="eastAsia"/>
                            <w:lang w:eastAsia="zh-CN"/>
                          </w:rPr>
                          <w:t xml:space="preserve">     </w:t>
                        </w:r>
                      </w:p>
                    </w:sdtContent>
                  </w:sdt>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7145">
    <w:pPr>
      <w:pStyle w:val="2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077213">
                          <w:pPr>
                            <w:pStyle w:val="2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077213">
                    <w:pPr>
                      <w:pStyle w:val="2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3"/>
      <w:keepNext w:val="0"/>
      <w:keepLines w:val="0"/>
      <w:pageBreakBefore w:val="0"/>
      <w:widowControl w:val="0"/>
      <w:kinsoku/>
      <w:wordWrap/>
      <w:overflowPunct/>
      <w:topLinePunct w:val="0"/>
      <w:bidi w:val="0"/>
      <w:adjustRightInd/>
      <w:snapToGrid w:val="0"/>
      <w:textAlignment w:val="auto"/>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86C86">
                          <w:pPr>
                            <w:pStyle w:val="2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7A86C86">
                    <w:pPr>
                      <w:pStyle w:val="2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58179">
                          <w:pPr>
                            <w:pStyle w:val="23"/>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4858179">
                    <w:pPr>
                      <w:pStyle w:val="23"/>
                    </w:pPr>
                    <w:r>
                      <w:fldChar w:fldCharType="begin"/>
                    </w:r>
                    <w:r>
                      <w:instrText xml:space="preserve"> PAGE  \* MERGEFORMAT </w:instrText>
                    </w:r>
                    <w:r>
                      <w:fldChar w:fldCharType="separate"/>
                    </w:r>
                    <w:r>
                      <w:t>99</w:t>
                    </w:r>
                    <w:r>
                      <w:fldChar w:fldCharType="end"/>
                    </w:r>
                  </w:p>
                </w:txbxContent>
              </v:textbox>
            </v:shape>
          </w:pict>
        </mc:Fallback>
      </mc:AlternateContent>
    </w:r>
  </w:p>
  <w:p w14:paraId="4005E617">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1383F">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E85C">
    <w:pPr>
      <w:pStyle w:val="24"/>
      <w:keepNext w:val="0"/>
      <w:keepLines w:val="0"/>
      <w:pageBreakBefore w:val="0"/>
      <w:widowControl w:val="0"/>
      <w:kinsoku/>
      <w:wordWrap/>
      <w:overflowPunct/>
      <w:topLinePunct w:val="0"/>
      <w:bidi w:val="0"/>
      <w:adjustRightInd/>
      <w:snapToGrid w:val="0"/>
      <w:jc w:val="right"/>
      <w:textAlignment w:val="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F3A2E7"/>
    <w:multiLevelType w:val="singleLevel"/>
    <w:tmpl w:val="33F3A2E7"/>
    <w:lvl w:ilvl="0" w:tentative="0">
      <w:start w:val="2"/>
      <w:numFmt w:val="chineseCounting"/>
      <w:suff w:val="nothing"/>
      <w:lvlText w:val="（%1）"/>
      <w:lvlJc w:val="left"/>
      <w:rPr>
        <w:rFonts w:hint="eastAsia"/>
      </w:rPr>
    </w:lvl>
  </w:abstractNum>
  <w:abstractNum w:abstractNumId="3">
    <w:nsid w:val="447B6378"/>
    <w:multiLevelType w:val="multilevel"/>
    <w:tmpl w:val="447B6378"/>
    <w:lvl w:ilvl="0" w:tentative="0">
      <w:start w:val="1"/>
      <w:numFmt w:val="decimal"/>
      <w:pStyle w:val="44"/>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992027"/>
    <w:multiLevelType w:val="multilevel"/>
    <w:tmpl w:val="7D992027"/>
    <w:lvl w:ilvl="0" w:tentative="0">
      <w:start w:val="1"/>
      <w:numFmt w:val="decimalEnclosedCircle"/>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80"/>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5592"/>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6600"/>
    <w:rsid w:val="00160E9C"/>
    <w:rsid w:val="00172190"/>
    <w:rsid w:val="00173480"/>
    <w:rsid w:val="00181988"/>
    <w:rsid w:val="00182557"/>
    <w:rsid w:val="0018304A"/>
    <w:rsid w:val="001904E9"/>
    <w:rsid w:val="001A77DE"/>
    <w:rsid w:val="001B36EC"/>
    <w:rsid w:val="001D7B23"/>
    <w:rsid w:val="001E2F56"/>
    <w:rsid w:val="002062E6"/>
    <w:rsid w:val="00207131"/>
    <w:rsid w:val="0022214D"/>
    <w:rsid w:val="00223585"/>
    <w:rsid w:val="002235CA"/>
    <w:rsid w:val="002317DB"/>
    <w:rsid w:val="00232245"/>
    <w:rsid w:val="0023265E"/>
    <w:rsid w:val="00235B5A"/>
    <w:rsid w:val="00251060"/>
    <w:rsid w:val="002514A3"/>
    <w:rsid w:val="00256B32"/>
    <w:rsid w:val="00256D01"/>
    <w:rsid w:val="002706F2"/>
    <w:rsid w:val="00271135"/>
    <w:rsid w:val="00285E30"/>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29A"/>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C3A"/>
    <w:rsid w:val="004851CA"/>
    <w:rsid w:val="0048656E"/>
    <w:rsid w:val="00493221"/>
    <w:rsid w:val="004A302C"/>
    <w:rsid w:val="004B539D"/>
    <w:rsid w:val="004C1FA1"/>
    <w:rsid w:val="004C3DCC"/>
    <w:rsid w:val="004E0BF9"/>
    <w:rsid w:val="004E0CF9"/>
    <w:rsid w:val="004F3FDD"/>
    <w:rsid w:val="004F46AB"/>
    <w:rsid w:val="00501A4A"/>
    <w:rsid w:val="00501E05"/>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76CE9"/>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1263"/>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67FFD"/>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3C36"/>
    <w:rsid w:val="00924B8E"/>
    <w:rsid w:val="00930024"/>
    <w:rsid w:val="009344DE"/>
    <w:rsid w:val="009357E5"/>
    <w:rsid w:val="00936087"/>
    <w:rsid w:val="00945D17"/>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3652"/>
    <w:rsid w:val="00A3798C"/>
    <w:rsid w:val="00A42866"/>
    <w:rsid w:val="00A461C1"/>
    <w:rsid w:val="00A46B5C"/>
    <w:rsid w:val="00A50D6E"/>
    <w:rsid w:val="00A51DD8"/>
    <w:rsid w:val="00A647EA"/>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36B5B"/>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12B7"/>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C7C64"/>
    <w:rsid w:val="00ED00D6"/>
    <w:rsid w:val="00EE26DC"/>
    <w:rsid w:val="00EE3FF1"/>
    <w:rsid w:val="00EE5816"/>
    <w:rsid w:val="00EF3D7E"/>
    <w:rsid w:val="00F03292"/>
    <w:rsid w:val="00F0565C"/>
    <w:rsid w:val="00F121AE"/>
    <w:rsid w:val="00F15852"/>
    <w:rsid w:val="00F23F4B"/>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3E61E2"/>
    <w:rsid w:val="014F4893"/>
    <w:rsid w:val="01541EA9"/>
    <w:rsid w:val="01580C56"/>
    <w:rsid w:val="01673B72"/>
    <w:rsid w:val="01781929"/>
    <w:rsid w:val="01877B89"/>
    <w:rsid w:val="019E3125"/>
    <w:rsid w:val="01C144D9"/>
    <w:rsid w:val="01D0068D"/>
    <w:rsid w:val="01D775B9"/>
    <w:rsid w:val="02026E30"/>
    <w:rsid w:val="020B6A0C"/>
    <w:rsid w:val="02132174"/>
    <w:rsid w:val="02186A33"/>
    <w:rsid w:val="0224187C"/>
    <w:rsid w:val="023130F5"/>
    <w:rsid w:val="024737BC"/>
    <w:rsid w:val="024C2B81"/>
    <w:rsid w:val="028604AE"/>
    <w:rsid w:val="029D33DC"/>
    <w:rsid w:val="02AD3196"/>
    <w:rsid w:val="02AE1145"/>
    <w:rsid w:val="02C44E0D"/>
    <w:rsid w:val="02DA63DE"/>
    <w:rsid w:val="02ED7EC0"/>
    <w:rsid w:val="03200295"/>
    <w:rsid w:val="035E2B6B"/>
    <w:rsid w:val="0361440A"/>
    <w:rsid w:val="036D7252"/>
    <w:rsid w:val="03773C2D"/>
    <w:rsid w:val="03922815"/>
    <w:rsid w:val="03C350C4"/>
    <w:rsid w:val="03CD13CB"/>
    <w:rsid w:val="03E2554B"/>
    <w:rsid w:val="03EA08A3"/>
    <w:rsid w:val="03F51722"/>
    <w:rsid w:val="03F62DA4"/>
    <w:rsid w:val="04044EB2"/>
    <w:rsid w:val="04066E90"/>
    <w:rsid w:val="042B20B4"/>
    <w:rsid w:val="045126D0"/>
    <w:rsid w:val="045D72C7"/>
    <w:rsid w:val="047A5783"/>
    <w:rsid w:val="04820ADC"/>
    <w:rsid w:val="0487418D"/>
    <w:rsid w:val="04893C18"/>
    <w:rsid w:val="04B14F1D"/>
    <w:rsid w:val="04C17856"/>
    <w:rsid w:val="04F01EE9"/>
    <w:rsid w:val="04F574FF"/>
    <w:rsid w:val="04F72882"/>
    <w:rsid w:val="04FF212C"/>
    <w:rsid w:val="05235E1B"/>
    <w:rsid w:val="052D0A47"/>
    <w:rsid w:val="052E656D"/>
    <w:rsid w:val="053E0EA6"/>
    <w:rsid w:val="053E47A5"/>
    <w:rsid w:val="053F247C"/>
    <w:rsid w:val="05595CE0"/>
    <w:rsid w:val="057C377D"/>
    <w:rsid w:val="05812B41"/>
    <w:rsid w:val="05AA653C"/>
    <w:rsid w:val="05C72C4A"/>
    <w:rsid w:val="05CB2336"/>
    <w:rsid w:val="05D15877"/>
    <w:rsid w:val="05D215EF"/>
    <w:rsid w:val="05D2339D"/>
    <w:rsid w:val="05D37841"/>
    <w:rsid w:val="05DB04A3"/>
    <w:rsid w:val="05E530D0"/>
    <w:rsid w:val="06127C3D"/>
    <w:rsid w:val="061A4B24"/>
    <w:rsid w:val="06231E4A"/>
    <w:rsid w:val="06253E14"/>
    <w:rsid w:val="0633208D"/>
    <w:rsid w:val="06587D46"/>
    <w:rsid w:val="067032E2"/>
    <w:rsid w:val="067A6ECC"/>
    <w:rsid w:val="067E3A29"/>
    <w:rsid w:val="06856661"/>
    <w:rsid w:val="069114AA"/>
    <w:rsid w:val="06AE7966"/>
    <w:rsid w:val="06B07B82"/>
    <w:rsid w:val="06DD649D"/>
    <w:rsid w:val="06EC66E0"/>
    <w:rsid w:val="06F04422"/>
    <w:rsid w:val="07020C1A"/>
    <w:rsid w:val="0709089A"/>
    <w:rsid w:val="071149B2"/>
    <w:rsid w:val="071C5217"/>
    <w:rsid w:val="071D4AEC"/>
    <w:rsid w:val="07210A39"/>
    <w:rsid w:val="072242D3"/>
    <w:rsid w:val="072440CC"/>
    <w:rsid w:val="072C25C9"/>
    <w:rsid w:val="0737795B"/>
    <w:rsid w:val="073C456C"/>
    <w:rsid w:val="073F4A62"/>
    <w:rsid w:val="07442078"/>
    <w:rsid w:val="076C53FA"/>
    <w:rsid w:val="076D22AC"/>
    <w:rsid w:val="0784404A"/>
    <w:rsid w:val="078608E3"/>
    <w:rsid w:val="07941252"/>
    <w:rsid w:val="07A25DD3"/>
    <w:rsid w:val="07A64AE1"/>
    <w:rsid w:val="07B55348"/>
    <w:rsid w:val="07EA70C4"/>
    <w:rsid w:val="07F0083A"/>
    <w:rsid w:val="08255DBC"/>
    <w:rsid w:val="08687FE8"/>
    <w:rsid w:val="08935065"/>
    <w:rsid w:val="08997D8A"/>
    <w:rsid w:val="08A76D63"/>
    <w:rsid w:val="08AD2074"/>
    <w:rsid w:val="08BB45BC"/>
    <w:rsid w:val="08C6368D"/>
    <w:rsid w:val="08D306C7"/>
    <w:rsid w:val="08D538D0"/>
    <w:rsid w:val="08D77648"/>
    <w:rsid w:val="08DD7A6D"/>
    <w:rsid w:val="08E04023"/>
    <w:rsid w:val="08EE4992"/>
    <w:rsid w:val="09077801"/>
    <w:rsid w:val="091C32AD"/>
    <w:rsid w:val="09212671"/>
    <w:rsid w:val="0926010A"/>
    <w:rsid w:val="094E3682"/>
    <w:rsid w:val="09664528"/>
    <w:rsid w:val="09970B85"/>
    <w:rsid w:val="09975029"/>
    <w:rsid w:val="09AC1C5B"/>
    <w:rsid w:val="09AD03A9"/>
    <w:rsid w:val="09CE174C"/>
    <w:rsid w:val="09E613EC"/>
    <w:rsid w:val="09EA6F07"/>
    <w:rsid w:val="09F23B8C"/>
    <w:rsid w:val="09FE29B2"/>
    <w:rsid w:val="0A1C108A"/>
    <w:rsid w:val="0A2148F3"/>
    <w:rsid w:val="0A391C3C"/>
    <w:rsid w:val="0A3D172D"/>
    <w:rsid w:val="0A3E680D"/>
    <w:rsid w:val="0A831432"/>
    <w:rsid w:val="0A9B6453"/>
    <w:rsid w:val="0AAB338B"/>
    <w:rsid w:val="0AAF1EFF"/>
    <w:rsid w:val="0ABF0394"/>
    <w:rsid w:val="0AD84599"/>
    <w:rsid w:val="0B05734A"/>
    <w:rsid w:val="0B0E131B"/>
    <w:rsid w:val="0B115FB9"/>
    <w:rsid w:val="0B1A381C"/>
    <w:rsid w:val="0B352404"/>
    <w:rsid w:val="0B386398"/>
    <w:rsid w:val="0B3E02E9"/>
    <w:rsid w:val="0B536D2E"/>
    <w:rsid w:val="0B5C2086"/>
    <w:rsid w:val="0B6727D9"/>
    <w:rsid w:val="0B674587"/>
    <w:rsid w:val="0B6B4077"/>
    <w:rsid w:val="0B6E5916"/>
    <w:rsid w:val="0B745622"/>
    <w:rsid w:val="0B76679F"/>
    <w:rsid w:val="0B772A1C"/>
    <w:rsid w:val="0B7F5D75"/>
    <w:rsid w:val="0BB24C22"/>
    <w:rsid w:val="0BE45BD8"/>
    <w:rsid w:val="0BF202F5"/>
    <w:rsid w:val="0BFE313E"/>
    <w:rsid w:val="0C02649C"/>
    <w:rsid w:val="0C0A3890"/>
    <w:rsid w:val="0C1E6205"/>
    <w:rsid w:val="0C28640C"/>
    <w:rsid w:val="0C3C5A14"/>
    <w:rsid w:val="0C41302A"/>
    <w:rsid w:val="0C452B1A"/>
    <w:rsid w:val="0C5A4DAC"/>
    <w:rsid w:val="0C874EE1"/>
    <w:rsid w:val="0C8A677F"/>
    <w:rsid w:val="0CAA0BCF"/>
    <w:rsid w:val="0CC04897"/>
    <w:rsid w:val="0CD520F0"/>
    <w:rsid w:val="0CD67C16"/>
    <w:rsid w:val="0CD81BE1"/>
    <w:rsid w:val="0D0C53E6"/>
    <w:rsid w:val="0D1C7D1F"/>
    <w:rsid w:val="0D2210AE"/>
    <w:rsid w:val="0D2766C4"/>
    <w:rsid w:val="0D3B6B56"/>
    <w:rsid w:val="0D6B6E82"/>
    <w:rsid w:val="0D9305BB"/>
    <w:rsid w:val="0D9875BE"/>
    <w:rsid w:val="0D9D0734"/>
    <w:rsid w:val="0DA90E87"/>
    <w:rsid w:val="0DAF0B93"/>
    <w:rsid w:val="0DB241E0"/>
    <w:rsid w:val="0DB74AC1"/>
    <w:rsid w:val="0DC12F25"/>
    <w:rsid w:val="0DC14423"/>
    <w:rsid w:val="0DC83A03"/>
    <w:rsid w:val="0DCD1019"/>
    <w:rsid w:val="0DE10B00"/>
    <w:rsid w:val="0DEF71E2"/>
    <w:rsid w:val="0E0D58BA"/>
    <w:rsid w:val="0E0F1632"/>
    <w:rsid w:val="0E342E47"/>
    <w:rsid w:val="0E460DCC"/>
    <w:rsid w:val="0E464928"/>
    <w:rsid w:val="0E651252"/>
    <w:rsid w:val="0E653000"/>
    <w:rsid w:val="0E6D45AA"/>
    <w:rsid w:val="0E72396F"/>
    <w:rsid w:val="0E796AAB"/>
    <w:rsid w:val="0E7C0027"/>
    <w:rsid w:val="0E7F6315"/>
    <w:rsid w:val="0E92317E"/>
    <w:rsid w:val="0E9543D1"/>
    <w:rsid w:val="0EA33B28"/>
    <w:rsid w:val="0EB36461"/>
    <w:rsid w:val="0EB45D35"/>
    <w:rsid w:val="0EBD75FE"/>
    <w:rsid w:val="0EC817E1"/>
    <w:rsid w:val="0ECA5559"/>
    <w:rsid w:val="0ED53B2A"/>
    <w:rsid w:val="0EF600FC"/>
    <w:rsid w:val="0F096081"/>
    <w:rsid w:val="0F1B5913"/>
    <w:rsid w:val="0F2442A2"/>
    <w:rsid w:val="0F3D21CF"/>
    <w:rsid w:val="0F4C0664"/>
    <w:rsid w:val="0F5A5835"/>
    <w:rsid w:val="0F9D4A1B"/>
    <w:rsid w:val="0FA638D0"/>
    <w:rsid w:val="0FAB538A"/>
    <w:rsid w:val="0FD33C3D"/>
    <w:rsid w:val="0FE8213B"/>
    <w:rsid w:val="0FF52AA9"/>
    <w:rsid w:val="10047D52"/>
    <w:rsid w:val="100F0FE5"/>
    <w:rsid w:val="10150A56"/>
    <w:rsid w:val="10240C99"/>
    <w:rsid w:val="102723E9"/>
    <w:rsid w:val="102B64CB"/>
    <w:rsid w:val="107439CE"/>
    <w:rsid w:val="1090632E"/>
    <w:rsid w:val="109220A6"/>
    <w:rsid w:val="109B71AD"/>
    <w:rsid w:val="10A92DD3"/>
    <w:rsid w:val="10AF4A06"/>
    <w:rsid w:val="10BD54A5"/>
    <w:rsid w:val="10C55FD8"/>
    <w:rsid w:val="10C85AC8"/>
    <w:rsid w:val="11036B00"/>
    <w:rsid w:val="11082369"/>
    <w:rsid w:val="11312CEF"/>
    <w:rsid w:val="11357D2A"/>
    <w:rsid w:val="113849FC"/>
    <w:rsid w:val="113A4C18"/>
    <w:rsid w:val="113D2012"/>
    <w:rsid w:val="11457119"/>
    <w:rsid w:val="1147614B"/>
    <w:rsid w:val="116E48C1"/>
    <w:rsid w:val="11785740"/>
    <w:rsid w:val="11845E93"/>
    <w:rsid w:val="1186653A"/>
    <w:rsid w:val="11867E5D"/>
    <w:rsid w:val="11A2456B"/>
    <w:rsid w:val="11AE5258"/>
    <w:rsid w:val="11B12A00"/>
    <w:rsid w:val="11B30526"/>
    <w:rsid w:val="11CF5627"/>
    <w:rsid w:val="11DA1F57"/>
    <w:rsid w:val="11DF30C9"/>
    <w:rsid w:val="11FA6155"/>
    <w:rsid w:val="12130FC5"/>
    <w:rsid w:val="122A4C8C"/>
    <w:rsid w:val="12371157"/>
    <w:rsid w:val="124430AF"/>
    <w:rsid w:val="12483364"/>
    <w:rsid w:val="127001C5"/>
    <w:rsid w:val="12771554"/>
    <w:rsid w:val="127759F8"/>
    <w:rsid w:val="127A0C92"/>
    <w:rsid w:val="127F48AC"/>
    <w:rsid w:val="129E4D32"/>
    <w:rsid w:val="12AD766B"/>
    <w:rsid w:val="12B91B6C"/>
    <w:rsid w:val="12BA7692"/>
    <w:rsid w:val="12BC165D"/>
    <w:rsid w:val="12CC5D44"/>
    <w:rsid w:val="12DE7825"/>
    <w:rsid w:val="12E3308D"/>
    <w:rsid w:val="12EF558E"/>
    <w:rsid w:val="13021765"/>
    <w:rsid w:val="13037AFF"/>
    <w:rsid w:val="13382F7C"/>
    <w:rsid w:val="13453400"/>
    <w:rsid w:val="13456351"/>
    <w:rsid w:val="134C0C32"/>
    <w:rsid w:val="137B79E1"/>
    <w:rsid w:val="137D0DEC"/>
    <w:rsid w:val="13833F28"/>
    <w:rsid w:val="13A03104"/>
    <w:rsid w:val="13B357D8"/>
    <w:rsid w:val="13E470BD"/>
    <w:rsid w:val="13E62E35"/>
    <w:rsid w:val="14065285"/>
    <w:rsid w:val="14223741"/>
    <w:rsid w:val="143F42F3"/>
    <w:rsid w:val="144731A8"/>
    <w:rsid w:val="1457788F"/>
    <w:rsid w:val="14717C9A"/>
    <w:rsid w:val="147F2942"/>
    <w:rsid w:val="14AF7789"/>
    <w:rsid w:val="14BF5434"/>
    <w:rsid w:val="14BF71E2"/>
    <w:rsid w:val="14D50D33"/>
    <w:rsid w:val="14EF1875"/>
    <w:rsid w:val="14F50E56"/>
    <w:rsid w:val="150A4901"/>
    <w:rsid w:val="150B1D24"/>
    <w:rsid w:val="151E65FF"/>
    <w:rsid w:val="152030DE"/>
    <w:rsid w:val="1537321C"/>
    <w:rsid w:val="154020D1"/>
    <w:rsid w:val="15681628"/>
    <w:rsid w:val="159D7523"/>
    <w:rsid w:val="15A840F3"/>
    <w:rsid w:val="15C9656A"/>
    <w:rsid w:val="15EA4F33"/>
    <w:rsid w:val="15F6407C"/>
    <w:rsid w:val="15FB249C"/>
    <w:rsid w:val="15FF3D3A"/>
    <w:rsid w:val="1602382A"/>
    <w:rsid w:val="1644573E"/>
    <w:rsid w:val="16565924"/>
    <w:rsid w:val="16640041"/>
    <w:rsid w:val="16646293"/>
    <w:rsid w:val="16685D83"/>
    <w:rsid w:val="167C182F"/>
    <w:rsid w:val="167D1103"/>
    <w:rsid w:val="167D2FDD"/>
    <w:rsid w:val="1688288B"/>
    <w:rsid w:val="168B406D"/>
    <w:rsid w:val="169052DA"/>
    <w:rsid w:val="16AE5760"/>
    <w:rsid w:val="16AE750E"/>
    <w:rsid w:val="16B40FC8"/>
    <w:rsid w:val="16BE3BF5"/>
    <w:rsid w:val="16C46D32"/>
    <w:rsid w:val="16D23887"/>
    <w:rsid w:val="16D84122"/>
    <w:rsid w:val="16E1737A"/>
    <w:rsid w:val="16E3540A"/>
    <w:rsid w:val="16E442B3"/>
    <w:rsid w:val="1711641B"/>
    <w:rsid w:val="1719707D"/>
    <w:rsid w:val="17215F32"/>
    <w:rsid w:val="172872C1"/>
    <w:rsid w:val="17457E73"/>
    <w:rsid w:val="174C1201"/>
    <w:rsid w:val="174F6F43"/>
    <w:rsid w:val="176821F4"/>
    <w:rsid w:val="17710C68"/>
    <w:rsid w:val="177C760C"/>
    <w:rsid w:val="177E1C86"/>
    <w:rsid w:val="179B7A92"/>
    <w:rsid w:val="17AD77C6"/>
    <w:rsid w:val="17CB7119"/>
    <w:rsid w:val="17D2722C"/>
    <w:rsid w:val="17FB49D5"/>
    <w:rsid w:val="18041ADC"/>
    <w:rsid w:val="18253800"/>
    <w:rsid w:val="182E6B59"/>
    <w:rsid w:val="187C5B16"/>
    <w:rsid w:val="188164C0"/>
    <w:rsid w:val="189246B5"/>
    <w:rsid w:val="189D783A"/>
    <w:rsid w:val="18A706B9"/>
    <w:rsid w:val="18C272A1"/>
    <w:rsid w:val="18CB43A7"/>
    <w:rsid w:val="18DA283C"/>
    <w:rsid w:val="18F733EE"/>
    <w:rsid w:val="18F90F15"/>
    <w:rsid w:val="19197809"/>
    <w:rsid w:val="19251057"/>
    <w:rsid w:val="192D6E10"/>
    <w:rsid w:val="1934019F"/>
    <w:rsid w:val="19373862"/>
    <w:rsid w:val="19520625"/>
    <w:rsid w:val="19526877"/>
    <w:rsid w:val="195E2798"/>
    <w:rsid w:val="19C534ED"/>
    <w:rsid w:val="19D2300F"/>
    <w:rsid w:val="1A0214BE"/>
    <w:rsid w:val="1A0E5C74"/>
    <w:rsid w:val="1A197394"/>
    <w:rsid w:val="1A352420"/>
    <w:rsid w:val="1A512FD2"/>
    <w:rsid w:val="1A5D54D3"/>
    <w:rsid w:val="1A5F124B"/>
    <w:rsid w:val="1A6124EF"/>
    <w:rsid w:val="1A710493"/>
    <w:rsid w:val="1AB33908"/>
    <w:rsid w:val="1ADA2FC8"/>
    <w:rsid w:val="1AE259D8"/>
    <w:rsid w:val="1AE35507"/>
    <w:rsid w:val="1AEB2ADF"/>
    <w:rsid w:val="1B3E3557"/>
    <w:rsid w:val="1B636B19"/>
    <w:rsid w:val="1B6805D3"/>
    <w:rsid w:val="1B696A52"/>
    <w:rsid w:val="1B7716F3"/>
    <w:rsid w:val="1B7E1468"/>
    <w:rsid w:val="1B825739"/>
    <w:rsid w:val="1B83540D"/>
    <w:rsid w:val="1BA85854"/>
    <w:rsid w:val="1BC17CE4"/>
    <w:rsid w:val="1BCC0B62"/>
    <w:rsid w:val="1BDD4B1E"/>
    <w:rsid w:val="1BE718C7"/>
    <w:rsid w:val="1BE85F5C"/>
    <w:rsid w:val="1BFA2FC3"/>
    <w:rsid w:val="1C146065"/>
    <w:rsid w:val="1C4032FE"/>
    <w:rsid w:val="1C406E5A"/>
    <w:rsid w:val="1C495921"/>
    <w:rsid w:val="1C5172BA"/>
    <w:rsid w:val="1C744D56"/>
    <w:rsid w:val="1C7A6810"/>
    <w:rsid w:val="1C7B7E93"/>
    <w:rsid w:val="1C980A44"/>
    <w:rsid w:val="1C9C6787"/>
    <w:rsid w:val="1CA05B4B"/>
    <w:rsid w:val="1CA90EA4"/>
    <w:rsid w:val="1CAA6093"/>
    <w:rsid w:val="1CAC717C"/>
    <w:rsid w:val="1CBF0268"/>
    <w:rsid w:val="1CD770EC"/>
    <w:rsid w:val="1CE43C8A"/>
    <w:rsid w:val="1CED116D"/>
    <w:rsid w:val="1D0A4E23"/>
    <w:rsid w:val="1D183933"/>
    <w:rsid w:val="1D1B3B0E"/>
    <w:rsid w:val="1D210A3A"/>
    <w:rsid w:val="1D214EDE"/>
    <w:rsid w:val="1D3E3364"/>
    <w:rsid w:val="1D4A4435"/>
    <w:rsid w:val="1D524C10"/>
    <w:rsid w:val="1D61177E"/>
    <w:rsid w:val="1D7E7C3A"/>
    <w:rsid w:val="1D86436A"/>
    <w:rsid w:val="1D8D4321"/>
    <w:rsid w:val="1D9C27B6"/>
    <w:rsid w:val="1DAA4ED3"/>
    <w:rsid w:val="1DC53ABB"/>
    <w:rsid w:val="1DC835AB"/>
    <w:rsid w:val="1DE2466D"/>
    <w:rsid w:val="1E206F43"/>
    <w:rsid w:val="1E2F7187"/>
    <w:rsid w:val="1E340C41"/>
    <w:rsid w:val="1E372DD5"/>
    <w:rsid w:val="1E401394"/>
    <w:rsid w:val="1E4E3AB1"/>
    <w:rsid w:val="1E51534F"/>
    <w:rsid w:val="1E5310C7"/>
    <w:rsid w:val="1E6908EA"/>
    <w:rsid w:val="1E766B63"/>
    <w:rsid w:val="1E9B2A6E"/>
    <w:rsid w:val="1EAC07D7"/>
    <w:rsid w:val="1EBA1146"/>
    <w:rsid w:val="1EC45B21"/>
    <w:rsid w:val="1EC73863"/>
    <w:rsid w:val="1ED63AA6"/>
    <w:rsid w:val="1EDF295B"/>
    <w:rsid w:val="1F046865"/>
    <w:rsid w:val="1F0A70F1"/>
    <w:rsid w:val="1F130856"/>
    <w:rsid w:val="1F1D16D5"/>
    <w:rsid w:val="1F4536E0"/>
    <w:rsid w:val="1F525822"/>
    <w:rsid w:val="1F58270D"/>
    <w:rsid w:val="1F5D7D23"/>
    <w:rsid w:val="1F5F1CED"/>
    <w:rsid w:val="1F7237CF"/>
    <w:rsid w:val="1F770DE5"/>
    <w:rsid w:val="1F8C5978"/>
    <w:rsid w:val="1F8D0609"/>
    <w:rsid w:val="1F923E71"/>
    <w:rsid w:val="1FA96FA3"/>
    <w:rsid w:val="1FB82BC8"/>
    <w:rsid w:val="1FE31481"/>
    <w:rsid w:val="1FF468DA"/>
    <w:rsid w:val="200368E1"/>
    <w:rsid w:val="200B6E05"/>
    <w:rsid w:val="200F101E"/>
    <w:rsid w:val="200F54C2"/>
    <w:rsid w:val="201B5C14"/>
    <w:rsid w:val="202D1DEC"/>
    <w:rsid w:val="2039253E"/>
    <w:rsid w:val="204607B7"/>
    <w:rsid w:val="204A02A8"/>
    <w:rsid w:val="204D7D98"/>
    <w:rsid w:val="205331F0"/>
    <w:rsid w:val="20690166"/>
    <w:rsid w:val="207B2DC6"/>
    <w:rsid w:val="20803CC9"/>
    <w:rsid w:val="209239FD"/>
    <w:rsid w:val="20B47E17"/>
    <w:rsid w:val="20B91875"/>
    <w:rsid w:val="20DA3F99"/>
    <w:rsid w:val="20E71F9A"/>
    <w:rsid w:val="20E97AC1"/>
    <w:rsid w:val="20EA2A65"/>
    <w:rsid w:val="20EF2BFD"/>
    <w:rsid w:val="210112AE"/>
    <w:rsid w:val="212F12B7"/>
    <w:rsid w:val="214E2A84"/>
    <w:rsid w:val="216E446A"/>
    <w:rsid w:val="21817CF9"/>
    <w:rsid w:val="21884BA0"/>
    <w:rsid w:val="219428FB"/>
    <w:rsid w:val="219519F6"/>
    <w:rsid w:val="2197576F"/>
    <w:rsid w:val="219E6AFD"/>
    <w:rsid w:val="21A659B2"/>
    <w:rsid w:val="21B55BF5"/>
    <w:rsid w:val="21DE15EF"/>
    <w:rsid w:val="21DF0CC5"/>
    <w:rsid w:val="22105521"/>
    <w:rsid w:val="2217240B"/>
    <w:rsid w:val="221C5C74"/>
    <w:rsid w:val="222039B6"/>
    <w:rsid w:val="2228094B"/>
    <w:rsid w:val="222B5EB7"/>
    <w:rsid w:val="224A27E1"/>
    <w:rsid w:val="227635D6"/>
    <w:rsid w:val="22794E74"/>
    <w:rsid w:val="22876F41"/>
    <w:rsid w:val="22AF6B26"/>
    <w:rsid w:val="22BB723B"/>
    <w:rsid w:val="22C87E24"/>
    <w:rsid w:val="22C95DFC"/>
    <w:rsid w:val="22E00AF4"/>
    <w:rsid w:val="22EE06E2"/>
    <w:rsid w:val="22F84FC6"/>
    <w:rsid w:val="22FD3CF7"/>
    <w:rsid w:val="23250B58"/>
    <w:rsid w:val="233B7D50"/>
    <w:rsid w:val="23411E36"/>
    <w:rsid w:val="234D0B5D"/>
    <w:rsid w:val="235C6C70"/>
    <w:rsid w:val="23614286"/>
    <w:rsid w:val="23706D30"/>
    <w:rsid w:val="23C04D7D"/>
    <w:rsid w:val="23CC5B62"/>
    <w:rsid w:val="23CD510E"/>
    <w:rsid w:val="24170DE9"/>
    <w:rsid w:val="243472A5"/>
    <w:rsid w:val="2440076D"/>
    <w:rsid w:val="245D4A46"/>
    <w:rsid w:val="24A563F4"/>
    <w:rsid w:val="24B228BF"/>
    <w:rsid w:val="24C15199"/>
    <w:rsid w:val="24CE288D"/>
    <w:rsid w:val="24EF7670"/>
    <w:rsid w:val="24F46A34"/>
    <w:rsid w:val="25034EC9"/>
    <w:rsid w:val="251946ED"/>
    <w:rsid w:val="25777D91"/>
    <w:rsid w:val="25781413"/>
    <w:rsid w:val="257858B7"/>
    <w:rsid w:val="258506D6"/>
    <w:rsid w:val="258B383C"/>
    <w:rsid w:val="259455FA"/>
    <w:rsid w:val="259719F3"/>
    <w:rsid w:val="25AB17E9"/>
    <w:rsid w:val="25AD5EB4"/>
    <w:rsid w:val="25BF5294"/>
    <w:rsid w:val="25C2759F"/>
    <w:rsid w:val="25C63DCF"/>
    <w:rsid w:val="25C74149"/>
    <w:rsid w:val="25DC7BF4"/>
    <w:rsid w:val="25DE267C"/>
    <w:rsid w:val="25E46AA9"/>
    <w:rsid w:val="25E66CC5"/>
    <w:rsid w:val="25FA62CC"/>
    <w:rsid w:val="26143832"/>
    <w:rsid w:val="2622149E"/>
    <w:rsid w:val="262275D1"/>
    <w:rsid w:val="263712CE"/>
    <w:rsid w:val="264B4D7A"/>
    <w:rsid w:val="264D6D44"/>
    <w:rsid w:val="265330BE"/>
    <w:rsid w:val="26644EA7"/>
    <w:rsid w:val="266A3452"/>
    <w:rsid w:val="26977FBF"/>
    <w:rsid w:val="26AF355A"/>
    <w:rsid w:val="26B50445"/>
    <w:rsid w:val="26CD1C32"/>
    <w:rsid w:val="26DA55FB"/>
    <w:rsid w:val="26DC11F6"/>
    <w:rsid w:val="26EC191F"/>
    <w:rsid w:val="26F251F5"/>
    <w:rsid w:val="270C62B7"/>
    <w:rsid w:val="271E5FEA"/>
    <w:rsid w:val="272A2BE1"/>
    <w:rsid w:val="272A498F"/>
    <w:rsid w:val="272F7095"/>
    <w:rsid w:val="276B56D3"/>
    <w:rsid w:val="276E687B"/>
    <w:rsid w:val="277125BE"/>
    <w:rsid w:val="27802801"/>
    <w:rsid w:val="278A123C"/>
    <w:rsid w:val="279F537D"/>
    <w:rsid w:val="27C01FD3"/>
    <w:rsid w:val="27CB7F20"/>
    <w:rsid w:val="27D52B4D"/>
    <w:rsid w:val="27D843EB"/>
    <w:rsid w:val="27EE00B2"/>
    <w:rsid w:val="27FC457D"/>
    <w:rsid w:val="2802590C"/>
    <w:rsid w:val="280451E0"/>
    <w:rsid w:val="280508D2"/>
    <w:rsid w:val="280E7BD2"/>
    <w:rsid w:val="28153891"/>
    <w:rsid w:val="28177609"/>
    <w:rsid w:val="281C077C"/>
    <w:rsid w:val="28245427"/>
    <w:rsid w:val="28247630"/>
    <w:rsid w:val="282615FA"/>
    <w:rsid w:val="283E4B96"/>
    <w:rsid w:val="28414686"/>
    <w:rsid w:val="2849353B"/>
    <w:rsid w:val="284D6B87"/>
    <w:rsid w:val="28550131"/>
    <w:rsid w:val="28612632"/>
    <w:rsid w:val="28757E8C"/>
    <w:rsid w:val="287E4F92"/>
    <w:rsid w:val="28887BBF"/>
    <w:rsid w:val="28AB1AFF"/>
    <w:rsid w:val="28AD2A89"/>
    <w:rsid w:val="28CB21A2"/>
    <w:rsid w:val="28E62B38"/>
    <w:rsid w:val="28F96D0F"/>
    <w:rsid w:val="290B7A2E"/>
    <w:rsid w:val="291A2C18"/>
    <w:rsid w:val="292533AF"/>
    <w:rsid w:val="292A6EC8"/>
    <w:rsid w:val="293B10D5"/>
    <w:rsid w:val="2944442E"/>
    <w:rsid w:val="294550C5"/>
    <w:rsid w:val="29493E9D"/>
    <w:rsid w:val="294D2BB7"/>
    <w:rsid w:val="294F2293"/>
    <w:rsid w:val="29606D8E"/>
    <w:rsid w:val="2964062C"/>
    <w:rsid w:val="29787C34"/>
    <w:rsid w:val="29927747"/>
    <w:rsid w:val="29A749BD"/>
    <w:rsid w:val="29C9048F"/>
    <w:rsid w:val="29CB06AB"/>
    <w:rsid w:val="2A0108B7"/>
    <w:rsid w:val="2A04596B"/>
    <w:rsid w:val="2A0E67EA"/>
    <w:rsid w:val="2A133E00"/>
    <w:rsid w:val="2A1536D4"/>
    <w:rsid w:val="2A1A0CEB"/>
    <w:rsid w:val="2A202079"/>
    <w:rsid w:val="2A30050E"/>
    <w:rsid w:val="2A3B6D1B"/>
    <w:rsid w:val="2A411154"/>
    <w:rsid w:val="2A506E02"/>
    <w:rsid w:val="2A526D38"/>
    <w:rsid w:val="2A88659C"/>
    <w:rsid w:val="2A954815"/>
    <w:rsid w:val="2AD0584D"/>
    <w:rsid w:val="2AEE4B12"/>
    <w:rsid w:val="2AFE685E"/>
    <w:rsid w:val="2B027774"/>
    <w:rsid w:val="2B0D0850"/>
    <w:rsid w:val="2B116592"/>
    <w:rsid w:val="2B122D8D"/>
    <w:rsid w:val="2B193698"/>
    <w:rsid w:val="2B1C4F36"/>
    <w:rsid w:val="2B2160A9"/>
    <w:rsid w:val="2B2C4202"/>
    <w:rsid w:val="2B3202B6"/>
    <w:rsid w:val="2B361B54"/>
    <w:rsid w:val="2B367DA6"/>
    <w:rsid w:val="2B400C25"/>
    <w:rsid w:val="2B4714A0"/>
    <w:rsid w:val="2B606BD1"/>
    <w:rsid w:val="2B6C5576"/>
    <w:rsid w:val="2B717030"/>
    <w:rsid w:val="2B74267D"/>
    <w:rsid w:val="2B93739B"/>
    <w:rsid w:val="2B994370"/>
    <w:rsid w:val="2BA50A88"/>
    <w:rsid w:val="2BB60EE7"/>
    <w:rsid w:val="2BC034DB"/>
    <w:rsid w:val="2BD819BD"/>
    <w:rsid w:val="2BEF4305"/>
    <w:rsid w:val="2C0037A4"/>
    <w:rsid w:val="2C077995"/>
    <w:rsid w:val="2C235EB7"/>
    <w:rsid w:val="2C2B5431"/>
    <w:rsid w:val="2C3C763E"/>
    <w:rsid w:val="2C520AB7"/>
    <w:rsid w:val="2C610E53"/>
    <w:rsid w:val="2C646B95"/>
    <w:rsid w:val="2C6646BB"/>
    <w:rsid w:val="2C83526D"/>
    <w:rsid w:val="2C9A0B92"/>
    <w:rsid w:val="2C9F3729"/>
    <w:rsid w:val="2CB73169"/>
    <w:rsid w:val="2CE12821"/>
    <w:rsid w:val="2CE47D2A"/>
    <w:rsid w:val="2CED0939"/>
    <w:rsid w:val="2CED6B8B"/>
    <w:rsid w:val="2CF27CFD"/>
    <w:rsid w:val="2CFA3055"/>
    <w:rsid w:val="2D012636"/>
    <w:rsid w:val="2D016C6B"/>
    <w:rsid w:val="2D0B5263"/>
    <w:rsid w:val="2D0D2D89"/>
    <w:rsid w:val="2D2B1461"/>
    <w:rsid w:val="2D2D1B91"/>
    <w:rsid w:val="2D404F0C"/>
    <w:rsid w:val="2D5B3AF4"/>
    <w:rsid w:val="2D8D7A26"/>
    <w:rsid w:val="2DA2135E"/>
    <w:rsid w:val="2DA34768"/>
    <w:rsid w:val="2DB9081B"/>
    <w:rsid w:val="2DCB70CE"/>
    <w:rsid w:val="2DCE2518"/>
    <w:rsid w:val="2DCE5BE2"/>
    <w:rsid w:val="2DD218DC"/>
    <w:rsid w:val="2DDB69E3"/>
    <w:rsid w:val="2DEF7457"/>
    <w:rsid w:val="2DFD6208"/>
    <w:rsid w:val="2E045F3A"/>
    <w:rsid w:val="2E093AD9"/>
    <w:rsid w:val="2E1B451A"/>
    <w:rsid w:val="2E2A34C6"/>
    <w:rsid w:val="2E426A62"/>
    <w:rsid w:val="2E6C48D9"/>
    <w:rsid w:val="2E786928"/>
    <w:rsid w:val="2E8F4F19"/>
    <w:rsid w:val="2EA63495"/>
    <w:rsid w:val="2EB57234"/>
    <w:rsid w:val="2ED7364E"/>
    <w:rsid w:val="2EE413CF"/>
    <w:rsid w:val="2EF35FAE"/>
    <w:rsid w:val="2EF67E64"/>
    <w:rsid w:val="2EFA6A37"/>
    <w:rsid w:val="2F167CA6"/>
    <w:rsid w:val="2F196260"/>
    <w:rsid w:val="2F1A353B"/>
    <w:rsid w:val="2F452CAE"/>
    <w:rsid w:val="2F542EF1"/>
    <w:rsid w:val="2F5D70AC"/>
    <w:rsid w:val="2F8B61E7"/>
    <w:rsid w:val="2FA36C75"/>
    <w:rsid w:val="2FA84FEB"/>
    <w:rsid w:val="2FBE036A"/>
    <w:rsid w:val="2FEA43F0"/>
    <w:rsid w:val="302428C3"/>
    <w:rsid w:val="30297EDA"/>
    <w:rsid w:val="302C5C1C"/>
    <w:rsid w:val="303074BA"/>
    <w:rsid w:val="30405223"/>
    <w:rsid w:val="304A0CC6"/>
    <w:rsid w:val="306929CC"/>
    <w:rsid w:val="306B405E"/>
    <w:rsid w:val="306C7DC6"/>
    <w:rsid w:val="307F1BC0"/>
    <w:rsid w:val="30832D34"/>
    <w:rsid w:val="30872E52"/>
    <w:rsid w:val="308C4B30"/>
    <w:rsid w:val="30993ECC"/>
    <w:rsid w:val="30A75681"/>
    <w:rsid w:val="30C714A1"/>
    <w:rsid w:val="30F41419"/>
    <w:rsid w:val="30FC114A"/>
    <w:rsid w:val="310D77FB"/>
    <w:rsid w:val="310E0E7D"/>
    <w:rsid w:val="314A68DF"/>
    <w:rsid w:val="31523460"/>
    <w:rsid w:val="315620B8"/>
    <w:rsid w:val="316311C9"/>
    <w:rsid w:val="317F1D7B"/>
    <w:rsid w:val="31841AC8"/>
    <w:rsid w:val="31A737AC"/>
    <w:rsid w:val="31A87524"/>
    <w:rsid w:val="31B00187"/>
    <w:rsid w:val="31CB6D6E"/>
    <w:rsid w:val="31D200FD"/>
    <w:rsid w:val="31E64732"/>
    <w:rsid w:val="31EA5447"/>
    <w:rsid w:val="32140715"/>
    <w:rsid w:val="32230959"/>
    <w:rsid w:val="324059AE"/>
    <w:rsid w:val="326351F9"/>
    <w:rsid w:val="327D078A"/>
    <w:rsid w:val="3284589B"/>
    <w:rsid w:val="32933D30"/>
    <w:rsid w:val="32B31CDC"/>
    <w:rsid w:val="32C75788"/>
    <w:rsid w:val="32CC7242"/>
    <w:rsid w:val="32E165BD"/>
    <w:rsid w:val="32FA3DAF"/>
    <w:rsid w:val="334F40FB"/>
    <w:rsid w:val="33641229"/>
    <w:rsid w:val="337B243F"/>
    <w:rsid w:val="338673F1"/>
    <w:rsid w:val="339D48A3"/>
    <w:rsid w:val="33BF2903"/>
    <w:rsid w:val="33CF6FEA"/>
    <w:rsid w:val="33EA3E24"/>
    <w:rsid w:val="33F64577"/>
    <w:rsid w:val="33FB1B8D"/>
    <w:rsid w:val="34056568"/>
    <w:rsid w:val="34525525"/>
    <w:rsid w:val="346040E6"/>
    <w:rsid w:val="34945B3E"/>
    <w:rsid w:val="34A0589E"/>
    <w:rsid w:val="34A67F96"/>
    <w:rsid w:val="34B0508B"/>
    <w:rsid w:val="34B1049E"/>
    <w:rsid w:val="34DF440A"/>
    <w:rsid w:val="34E502E4"/>
    <w:rsid w:val="34F605A6"/>
    <w:rsid w:val="350031D3"/>
    <w:rsid w:val="350463F0"/>
    <w:rsid w:val="350A581B"/>
    <w:rsid w:val="35225BD7"/>
    <w:rsid w:val="352275ED"/>
    <w:rsid w:val="352E7D40"/>
    <w:rsid w:val="35426A60"/>
    <w:rsid w:val="35571045"/>
    <w:rsid w:val="35586B6B"/>
    <w:rsid w:val="355A1520"/>
    <w:rsid w:val="355E7319"/>
    <w:rsid w:val="35690D78"/>
    <w:rsid w:val="35CE6E2D"/>
    <w:rsid w:val="35DB7EC8"/>
    <w:rsid w:val="35EE2046"/>
    <w:rsid w:val="35F41640"/>
    <w:rsid w:val="362A0508"/>
    <w:rsid w:val="36394BEF"/>
    <w:rsid w:val="364652E8"/>
    <w:rsid w:val="36603F29"/>
    <w:rsid w:val="36653C36"/>
    <w:rsid w:val="366A4DA8"/>
    <w:rsid w:val="36897924"/>
    <w:rsid w:val="369116D0"/>
    <w:rsid w:val="36941E25"/>
    <w:rsid w:val="3699568D"/>
    <w:rsid w:val="369F7E9A"/>
    <w:rsid w:val="36B67FED"/>
    <w:rsid w:val="36C46BAE"/>
    <w:rsid w:val="36CC15BF"/>
    <w:rsid w:val="36D3294D"/>
    <w:rsid w:val="36D91A01"/>
    <w:rsid w:val="370E607B"/>
    <w:rsid w:val="37112969"/>
    <w:rsid w:val="37180CA8"/>
    <w:rsid w:val="372907BF"/>
    <w:rsid w:val="37294C63"/>
    <w:rsid w:val="373830F8"/>
    <w:rsid w:val="374D6BA3"/>
    <w:rsid w:val="375647D6"/>
    <w:rsid w:val="377A726D"/>
    <w:rsid w:val="377E4FAF"/>
    <w:rsid w:val="37893954"/>
    <w:rsid w:val="37971BCD"/>
    <w:rsid w:val="37A75B88"/>
    <w:rsid w:val="37D921E5"/>
    <w:rsid w:val="37F92887"/>
    <w:rsid w:val="37FC2378"/>
    <w:rsid w:val="380C2A2C"/>
    <w:rsid w:val="381C51E0"/>
    <w:rsid w:val="38365B8F"/>
    <w:rsid w:val="384B3FA8"/>
    <w:rsid w:val="3854528C"/>
    <w:rsid w:val="38565141"/>
    <w:rsid w:val="38602906"/>
    <w:rsid w:val="389F176C"/>
    <w:rsid w:val="38A00F55"/>
    <w:rsid w:val="38B95B73"/>
    <w:rsid w:val="38C509BB"/>
    <w:rsid w:val="38CF183A"/>
    <w:rsid w:val="38E30E42"/>
    <w:rsid w:val="38EF5A38"/>
    <w:rsid w:val="38F33028"/>
    <w:rsid w:val="39036257"/>
    <w:rsid w:val="390F1199"/>
    <w:rsid w:val="393578EF"/>
    <w:rsid w:val="39367F12"/>
    <w:rsid w:val="394538AA"/>
    <w:rsid w:val="39495149"/>
    <w:rsid w:val="394D5E49"/>
    <w:rsid w:val="39553AED"/>
    <w:rsid w:val="3986014B"/>
    <w:rsid w:val="39993E51"/>
    <w:rsid w:val="39AD02F7"/>
    <w:rsid w:val="39B5458C"/>
    <w:rsid w:val="39B60304"/>
    <w:rsid w:val="39C6205A"/>
    <w:rsid w:val="39DA2245"/>
    <w:rsid w:val="39DA3FF3"/>
    <w:rsid w:val="39DB054C"/>
    <w:rsid w:val="39DD2472"/>
    <w:rsid w:val="39DF3CFF"/>
    <w:rsid w:val="39E81075"/>
    <w:rsid w:val="39F71049"/>
    <w:rsid w:val="3A013C75"/>
    <w:rsid w:val="3A12378C"/>
    <w:rsid w:val="3A2B6F44"/>
    <w:rsid w:val="3A322081"/>
    <w:rsid w:val="3A331955"/>
    <w:rsid w:val="3A361B71"/>
    <w:rsid w:val="3A456E52"/>
    <w:rsid w:val="3A463AB7"/>
    <w:rsid w:val="3A4B6C9E"/>
    <w:rsid w:val="3A631110"/>
    <w:rsid w:val="3A7C32FC"/>
    <w:rsid w:val="3A854074"/>
    <w:rsid w:val="3AB94E96"/>
    <w:rsid w:val="3AC70A1B"/>
    <w:rsid w:val="3AD66EB0"/>
    <w:rsid w:val="3AEA64B7"/>
    <w:rsid w:val="3AF92B9E"/>
    <w:rsid w:val="3AFA0DF0"/>
    <w:rsid w:val="3B224FED"/>
    <w:rsid w:val="3B236ECD"/>
    <w:rsid w:val="3B337CE9"/>
    <w:rsid w:val="3B337E5E"/>
    <w:rsid w:val="3B343BD6"/>
    <w:rsid w:val="3B3C653D"/>
    <w:rsid w:val="3B4728CC"/>
    <w:rsid w:val="3B497682"/>
    <w:rsid w:val="3B49769C"/>
    <w:rsid w:val="3B53405D"/>
    <w:rsid w:val="3B691AD2"/>
    <w:rsid w:val="3B6E533A"/>
    <w:rsid w:val="3B7F0C6A"/>
    <w:rsid w:val="3B7F30A4"/>
    <w:rsid w:val="3B8561E0"/>
    <w:rsid w:val="3B8B1A48"/>
    <w:rsid w:val="3B9A415A"/>
    <w:rsid w:val="3BA06121"/>
    <w:rsid w:val="3BA2244B"/>
    <w:rsid w:val="3BB07701"/>
    <w:rsid w:val="3BB2349B"/>
    <w:rsid w:val="3BB865B6"/>
    <w:rsid w:val="3BBF7944"/>
    <w:rsid w:val="3BC82C9D"/>
    <w:rsid w:val="3BEE1F9C"/>
    <w:rsid w:val="3C0D4B53"/>
    <w:rsid w:val="3C2105FF"/>
    <w:rsid w:val="3C372D23"/>
    <w:rsid w:val="3C447E49"/>
    <w:rsid w:val="3C4517F0"/>
    <w:rsid w:val="3C4B380F"/>
    <w:rsid w:val="3C4F6F1A"/>
    <w:rsid w:val="3C511E12"/>
    <w:rsid w:val="3C564E21"/>
    <w:rsid w:val="3C5F2ED5"/>
    <w:rsid w:val="3C7D38D1"/>
    <w:rsid w:val="3C8414ED"/>
    <w:rsid w:val="3C97441D"/>
    <w:rsid w:val="3CA408E8"/>
    <w:rsid w:val="3CA64660"/>
    <w:rsid w:val="3CBD0327"/>
    <w:rsid w:val="3CC14C1F"/>
    <w:rsid w:val="3CD0758C"/>
    <w:rsid w:val="3CDE6FFD"/>
    <w:rsid w:val="3CE55188"/>
    <w:rsid w:val="3CF56BC9"/>
    <w:rsid w:val="3D0A4BEF"/>
    <w:rsid w:val="3D1F37E4"/>
    <w:rsid w:val="3D211F38"/>
    <w:rsid w:val="3D235CB1"/>
    <w:rsid w:val="3D31113A"/>
    <w:rsid w:val="3D37175C"/>
    <w:rsid w:val="3D695DB9"/>
    <w:rsid w:val="3D762284"/>
    <w:rsid w:val="3D7D3613"/>
    <w:rsid w:val="3D864BBD"/>
    <w:rsid w:val="3DDD67A7"/>
    <w:rsid w:val="3DE23DBE"/>
    <w:rsid w:val="3E09294E"/>
    <w:rsid w:val="3E0E4BB3"/>
    <w:rsid w:val="3E1A70B4"/>
    <w:rsid w:val="3E330175"/>
    <w:rsid w:val="3E655E3A"/>
    <w:rsid w:val="3E667746"/>
    <w:rsid w:val="3E885B96"/>
    <w:rsid w:val="3E8E35FE"/>
    <w:rsid w:val="3EB43064"/>
    <w:rsid w:val="3EB92D70"/>
    <w:rsid w:val="3EBA7B5C"/>
    <w:rsid w:val="3ECD4126"/>
    <w:rsid w:val="3EF1250A"/>
    <w:rsid w:val="3F0C66A8"/>
    <w:rsid w:val="3F163D1F"/>
    <w:rsid w:val="3F281CA4"/>
    <w:rsid w:val="3F2B709E"/>
    <w:rsid w:val="3F4500E9"/>
    <w:rsid w:val="3F450160"/>
    <w:rsid w:val="3F4C14EF"/>
    <w:rsid w:val="3F692622"/>
    <w:rsid w:val="3F7153F9"/>
    <w:rsid w:val="3F720A50"/>
    <w:rsid w:val="3F8956A8"/>
    <w:rsid w:val="3F917849"/>
    <w:rsid w:val="3F9B0612"/>
    <w:rsid w:val="3F9D1D4A"/>
    <w:rsid w:val="3FA241A2"/>
    <w:rsid w:val="3FA550A3"/>
    <w:rsid w:val="3FAA4467"/>
    <w:rsid w:val="3FAC01DF"/>
    <w:rsid w:val="3FB4343D"/>
    <w:rsid w:val="3FD85478"/>
    <w:rsid w:val="3FE12989"/>
    <w:rsid w:val="400B75FC"/>
    <w:rsid w:val="40155D85"/>
    <w:rsid w:val="403A57EB"/>
    <w:rsid w:val="404B3E9C"/>
    <w:rsid w:val="4061546E"/>
    <w:rsid w:val="4079067E"/>
    <w:rsid w:val="407927B7"/>
    <w:rsid w:val="4093139F"/>
    <w:rsid w:val="409343AF"/>
    <w:rsid w:val="409A0980"/>
    <w:rsid w:val="40AC655D"/>
    <w:rsid w:val="40BE01CA"/>
    <w:rsid w:val="40D75730"/>
    <w:rsid w:val="40E63BC5"/>
    <w:rsid w:val="40FA4F7A"/>
    <w:rsid w:val="41362456"/>
    <w:rsid w:val="413C37E5"/>
    <w:rsid w:val="41487F61"/>
    <w:rsid w:val="414A5F02"/>
    <w:rsid w:val="415648A7"/>
    <w:rsid w:val="415A71E1"/>
    <w:rsid w:val="41630D72"/>
    <w:rsid w:val="416D399E"/>
    <w:rsid w:val="419B675D"/>
    <w:rsid w:val="419F484B"/>
    <w:rsid w:val="41AA69A0"/>
    <w:rsid w:val="41B15F81"/>
    <w:rsid w:val="41C31810"/>
    <w:rsid w:val="41E225DE"/>
    <w:rsid w:val="41F8595E"/>
    <w:rsid w:val="420C600C"/>
    <w:rsid w:val="42100EF9"/>
    <w:rsid w:val="4214206C"/>
    <w:rsid w:val="421B164C"/>
    <w:rsid w:val="422246E7"/>
    <w:rsid w:val="422B5D33"/>
    <w:rsid w:val="42312D26"/>
    <w:rsid w:val="42454372"/>
    <w:rsid w:val="42573796"/>
    <w:rsid w:val="426E5C20"/>
    <w:rsid w:val="42786A9F"/>
    <w:rsid w:val="428561C6"/>
    <w:rsid w:val="428B67D2"/>
    <w:rsid w:val="428E0070"/>
    <w:rsid w:val="42943344"/>
    <w:rsid w:val="42975177"/>
    <w:rsid w:val="42AD6C5D"/>
    <w:rsid w:val="42C615B8"/>
    <w:rsid w:val="42D77C69"/>
    <w:rsid w:val="42FC322C"/>
    <w:rsid w:val="43046BE3"/>
    <w:rsid w:val="43132551"/>
    <w:rsid w:val="43171E14"/>
    <w:rsid w:val="4329542D"/>
    <w:rsid w:val="43484F88"/>
    <w:rsid w:val="435C1F1C"/>
    <w:rsid w:val="437216C9"/>
    <w:rsid w:val="4385588B"/>
    <w:rsid w:val="4387343D"/>
    <w:rsid w:val="43882D11"/>
    <w:rsid w:val="43884ABF"/>
    <w:rsid w:val="43911BC6"/>
    <w:rsid w:val="43972F54"/>
    <w:rsid w:val="439E42E3"/>
    <w:rsid w:val="43A124B3"/>
    <w:rsid w:val="43A538C3"/>
    <w:rsid w:val="43BB4E95"/>
    <w:rsid w:val="43C024AB"/>
    <w:rsid w:val="43C55D14"/>
    <w:rsid w:val="43D85A47"/>
    <w:rsid w:val="43DE0B83"/>
    <w:rsid w:val="43E97C54"/>
    <w:rsid w:val="43F839F3"/>
    <w:rsid w:val="44022AC4"/>
    <w:rsid w:val="44044A8E"/>
    <w:rsid w:val="44236B1E"/>
    <w:rsid w:val="44244662"/>
    <w:rsid w:val="444158E6"/>
    <w:rsid w:val="44564BBE"/>
    <w:rsid w:val="44641089"/>
    <w:rsid w:val="446948F1"/>
    <w:rsid w:val="449936FC"/>
    <w:rsid w:val="44C11AA6"/>
    <w:rsid w:val="44D04970"/>
    <w:rsid w:val="44D426B2"/>
    <w:rsid w:val="44E346A3"/>
    <w:rsid w:val="44E67CEF"/>
    <w:rsid w:val="44EE4DF6"/>
    <w:rsid w:val="44F3240C"/>
    <w:rsid w:val="45110AAC"/>
    <w:rsid w:val="45123CB8"/>
    <w:rsid w:val="451A208F"/>
    <w:rsid w:val="45350C77"/>
    <w:rsid w:val="45415D40"/>
    <w:rsid w:val="45435142"/>
    <w:rsid w:val="45451DF1"/>
    <w:rsid w:val="45490111"/>
    <w:rsid w:val="455530C7"/>
    <w:rsid w:val="45570447"/>
    <w:rsid w:val="4565330A"/>
    <w:rsid w:val="45682DFA"/>
    <w:rsid w:val="45723C79"/>
    <w:rsid w:val="457378F7"/>
    <w:rsid w:val="45DB537A"/>
    <w:rsid w:val="45DE130F"/>
    <w:rsid w:val="45E00BE3"/>
    <w:rsid w:val="45EF3280"/>
    <w:rsid w:val="45F43872"/>
    <w:rsid w:val="460D5750"/>
    <w:rsid w:val="46113492"/>
    <w:rsid w:val="461B3AA5"/>
    <w:rsid w:val="462C5BD6"/>
    <w:rsid w:val="462E5DF2"/>
    <w:rsid w:val="46362EF9"/>
    <w:rsid w:val="464C0026"/>
    <w:rsid w:val="46590D6C"/>
    <w:rsid w:val="465E4A23"/>
    <w:rsid w:val="4672304E"/>
    <w:rsid w:val="46843C64"/>
    <w:rsid w:val="469F45FA"/>
    <w:rsid w:val="46A460B4"/>
    <w:rsid w:val="46AF05B5"/>
    <w:rsid w:val="46D30747"/>
    <w:rsid w:val="46DE3016"/>
    <w:rsid w:val="46E14C12"/>
    <w:rsid w:val="46EB4EB9"/>
    <w:rsid w:val="470D3C59"/>
    <w:rsid w:val="472B1462"/>
    <w:rsid w:val="473B0E1B"/>
    <w:rsid w:val="473F27FF"/>
    <w:rsid w:val="476017C6"/>
    <w:rsid w:val="476B0980"/>
    <w:rsid w:val="47745A86"/>
    <w:rsid w:val="477A0BC3"/>
    <w:rsid w:val="47811F51"/>
    <w:rsid w:val="47833F1C"/>
    <w:rsid w:val="478E2D76"/>
    <w:rsid w:val="47A65E5C"/>
    <w:rsid w:val="47AB6FCE"/>
    <w:rsid w:val="47B71E17"/>
    <w:rsid w:val="47E67FE2"/>
    <w:rsid w:val="47F0014A"/>
    <w:rsid w:val="481903DC"/>
    <w:rsid w:val="483C0420"/>
    <w:rsid w:val="4851608C"/>
    <w:rsid w:val="486C0E54"/>
    <w:rsid w:val="48740AF8"/>
    <w:rsid w:val="487B247F"/>
    <w:rsid w:val="48907EB9"/>
    <w:rsid w:val="489A3E9E"/>
    <w:rsid w:val="48B56357"/>
    <w:rsid w:val="48B87BF5"/>
    <w:rsid w:val="48B955C2"/>
    <w:rsid w:val="48B9571B"/>
    <w:rsid w:val="48BA396D"/>
    <w:rsid w:val="48F30C2D"/>
    <w:rsid w:val="48F759E7"/>
    <w:rsid w:val="48F86243"/>
    <w:rsid w:val="490177EE"/>
    <w:rsid w:val="49025314"/>
    <w:rsid w:val="490270C2"/>
    <w:rsid w:val="490D6193"/>
    <w:rsid w:val="490E1F0B"/>
    <w:rsid w:val="492766A7"/>
    <w:rsid w:val="492B090F"/>
    <w:rsid w:val="4932003B"/>
    <w:rsid w:val="49382AE4"/>
    <w:rsid w:val="49417BEA"/>
    <w:rsid w:val="494873AB"/>
    <w:rsid w:val="4968786D"/>
    <w:rsid w:val="496F0BFB"/>
    <w:rsid w:val="49734B65"/>
    <w:rsid w:val="49843F7B"/>
    <w:rsid w:val="498E0956"/>
    <w:rsid w:val="49911DC2"/>
    <w:rsid w:val="499A718B"/>
    <w:rsid w:val="49B52386"/>
    <w:rsid w:val="49DF11B1"/>
    <w:rsid w:val="49EC3FFA"/>
    <w:rsid w:val="49F72751"/>
    <w:rsid w:val="4A1B668D"/>
    <w:rsid w:val="4A1E3C56"/>
    <w:rsid w:val="4A1E617D"/>
    <w:rsid w:val="4A280647"/>
    <w:rsid w:val="4A3B69AF"/>
    <w:rsid w:val="4A421E6C"/>
    <w:rsid w:val="4A730023"/>
    <w:rsid w:val="4A88284C"/>
    <w:rsid w:val="4A8833F8"/>
    <w:rsid w:val="4A8A619F"/>
    <w:rsid w:val="4AA2290B"/>
    <w:rsid w:val="4AD46AF0"/>
    <w:rsid w:val="4ADB406F"/>
    <w:rsid w:val="4ADF76BB"/>
    <w:rsid w:val="4AE1272C"/>
    <w:rsid w:val="4AF64A04"/>
    <w:rsid w:val="4B125FF6"/>
    <w:rsid w:val="4B2B2900"/>
    <w:rsid w:val="4B3F45FD"/>
    <w:rsid w:val="4B4614E8"/>
    <w:rsid w:val="4B6C4CC7"/>
    <w:rsid w:val="4B7D0C82"/>
    <w:rsid w:val="4B8057E5"/>
    <w:rsid w:val="4B893ACB"/>
    <w:rsid w:val="4B8B339F"/>
    <w:rsid w:val="4B92472D"/>
    <w:rsid w:val="4BA97CC9"/>
    <w:rsid w:val="4BD016F9"/>
    <w:rsid w:val="4BF47196"/>
    <w:rsid w:val="4C0575F5"/>
    <w:rsid w:val="4C092A2E"/>
    <w:rsid w:val="4C0D46FC"/>
    <w:rsid w:val="4C1C49DF"/>
    <w:rsid w:val="4C231829"/>
    <w:rsid w:val="4C2B503E"/>
    <w:rsid w:val="4C312198"/>
    <w:rsid w:val="4C3253A4"/>
    <w:rsid w:val="4C481290"/>
    <w:rsid w:val="4C5C4D3B"/>
    <w:rsid w:val="4C63273B"/>
    <w:rsid w:val="4C787DC7"/>
    <w:rsid w:val="4C8449BE"/>
    <w:rsid w:val="4C987D10"/>
    <w:rsid w:val="4CA94424"/>
    <w:rsid w:val="4CAA3CF8"/>
    <w:rsid w:val="4CBE77A4"/>
    <w:rsid w:val="4CC56D84"/>
    <w:rsid w:val="4CD62D3F"/>
    <w:rsid w:val="4CE0771A"/>
    <w:rsid w:val="4CF051AC"/>
    <w:rsid w:val="4CF737C6"/>
    <w:rsid w:val="4D057181"/>
    <w:rsid w:val="4D0C050F"/>
    <w:rsid w:val="4D1D44CA"/>
    <w:rsid w:val="4D275349"/>
    <w:rsid w:val="4D331F40"/>
    <w:rsid w:val="4D3B0DF4"/>
    <w:rsid w:val="4D7F6F33"/>
    <w:rsid w:val="4D8409ED"/>
    <w:rsid w:val="4D9549A9"/>
    <w:rsid w:val="4D9D16E6"/>
    <w:rsid w:val="4DB017E2"/>
    <w:rsid w:val="4DB07878"/>
    <w:rsid w:val="4DB82445"/>
    <w:rsid w:val="4DC25072"/>
    <w:rsid w:val="4DC96400"/>
    <w:rsid w:val="4DD616AE"/>
    <w:rsid w:val="4DE106CB"/>
    <w:rsid w:val="4DEB281B"/>
    <w:rsid w:val="4E10402F"/>
    <w:rsid w:val="4E121B55"/>
    <w:rsid w:val="4E2B2C17"/>
    <w:rsid w:val="4E2D698F"/>
    <w:rsid w:val="4E505C68"/>
    <w:rsid w:val="4E573A0C"/>
    <w:rsid w:val="4E5C1022"/>
    <w:rsid w:val="4E760336"/>
    <w:rsid w:val="4E7C16C5"/>
    <w:rsid w:val="4EAC6FD6"/>
    <w:rsid w:val="4EB250E6"/>
    <w:rsid w:val="4EBA635C"/>
    <w:rsid w:val="4EBE1CDD"/>
    <w:rsid w:val="4EC05A55"/>
    <w:rsid w:val="4ECA0682"/>
    <w:rsid w:val="4ECB1458"/>
    <w:rsid w:val="4ECD0674"/>
    <w:rsid w:val="4EE16FA6"/>
    <w:rsid w:val="4EE47996"/>
    <w:rsid w:val="4EE74D90"/>
    <w:rsid w:val="4EEF633A"/>
    <w:rsid w:val="4EFB083B"/>
    <w:rsid w:val="4F1D6A04"/>
    <w:rsid w:val="4F2935FA"/>
    <w:rsid w:val="4F495A4B"/>
    <w:rsid w:val="4F587A3C"/>
    <w:rsid w:val="4F6C6BDA"/>
    <w:rsid w:val="4F7E394E"/>
    <w:rsid w:val="4F7F2029"/>
    <w:rsid w:val="4F870321"/>
    <w:rsid w:val="4F9071D6"/>
    <w:rsid w:val="4F9547EC"/>
    <w:rsid w:val="4FCF1083"/>
    <w:rsid w:val="4FE6773D"/>
    <w:rsid w:val="4FF43AC5"/>
    <w:rsid w:val="4FF77255"/>
    <w:rsid w:val="4FFE4A87"/>
    <w:rsid w:val="50000824"/>
    <w:rsid w:val="50106568"/>
    <w:rsid w:val="501222E0"/>
    <w:rsid w:val="501F0559"/>
    <w:rsid w:val="5023629C"/>
    <w:rsid w:val="50306FB5"/>
    <w:rsid w:val="503A5393"/>
    <w:rsid w:val="503F29AA"/>
    <w:rsid w:val="5043249A"/>
    <w:rsid w:val="505521CD"/>
    <w:rsid w:val="50827466"/>
    <w:rsid w:val="508A6E38"/>
    <w:rsid w:val="50A078EC"/>
    <w:rsid w:val="50B679A2"/>
    <w:rsid w:val="50D21A70"/>
    <w:rsid w:val="50D457E8"/>
    <w:rsid w:val="50D75B0C"/>
    <w:rsid w:val="50EA1701"/>
    <w:rsid w:val="50FB4B23"/>
    <w:rsid w:val="51163F32"/>
    <w:rsid w:val="51183927"/>
    <w:rsid w:val="51226553"/>
    <w:rsid w:val="514E7348"/>
    <w:rsid w:val="51516E38"/>
    <w:rsid w:val="51650D5D"/>
    <w:rsid w:val="517A40CC"/>
    <w:rsid w:val="5180327A"/>
    <w:rsid w:val="519A433C"/>
    <w:rsid w:val="51AE366B"/>
    <w:rsid w:val="51D823BF"/>
    <w:rsid w:val="51DF0427"/>
    <w:rsid w:val="51E67581"/>
    <w:rsid w:val="51F83758"/>
    <w:rsid w:val="520B3E30"/>
    <w:rsid w:val="521A547C"/>
    <w:rsid w:val="521F6F37"/>
    <w:rsid w:val="52212CE3"/>
    <w:rsid w:val="5246001F"/>
    <w:rsid w:val="52972F71"/>
    <w:rsid w:val="529F5E1B"/>
    <w:rsid w:val="52B0193D"/>
    <w:rsid w:val="52B633F7"/>
    <w:rsid w:val="52BC29D7"/>
    <w:rsid w:val="52C8312A"/>
    <w:rsid w:val="52DB5A27"/>
    <w:rsid w:val="52DD4E28"/>
    <w:rsid w:val="52DE4AD3"/>
    <w:rsid w:val="52E70521"/>
    <w:rsid w:val="52FB52AE"/>
    <w:rsid w:val="52FE08FA"/>
    <w:rsid w:val="531B14AC"/>
    <w:rsid w:val="531F04EC"/>
    <w:rsid w:val="532145E9"/>
    <w:rsid w:val="53220A8C"/>
    <w:rsid w:val="532E2213"/>
    <w:rsid w:val="533026AA"/>
    <w:rsid w:val="53487DC7"/>
    <w:rsid w:val="534C78B7"/>
    <w:rsid w:val="534D3630"/>
    <w:rsid w:val="53807561"/>
    <w:rsid w:val="5382152B"/>
    <w:rsid w:val="538708F0"/>
    <w:rsid w:val="538E7D0E"/>
    <w:rsid w:val="53A56FC8"/>
    <w:rsid w:val="53B4545D"/>
    <w:rsid w:val="53B8319F"/>
    <w:rsid w:val="53DF24DA"/>
    <w:rsid w:val="53F65A75"/>
    <w:rsid w:val="53FB308C"/>
    <w:rsid w:val="5416466D"/>
    <w:rsid w:val="541A1764"/>
    <w:rsid w:val="542F214A"/>
    <w:rsid w:val="54302D35"/>
    <w:rsid w:val="54316AAD"/>
    <w:rsid w:val="543640C4"/>
    <w:rsid w:val="543A3BB4"/>
    <w:rsid w:val="54640C31"/>
    <w:rsid w:val="54661645"/>
    <w:rsid w:val="547F3CBD"/>
    <w:rsid w:val="54AA0D3A"/>
    <w:rsid w:val="54AB6860"/>
    <w:rsid w:val="54BB2F47"/>
    <w:rsid w:val="54BE216E"/>
    <w:rsid w:val="54BF40B9"/>
    <w:rsid w:val="54D73AF9"/>
    <w:rsid w:val="54D933CD"/>
    <w:rsid w:val="54DF37FA"/>
    <w:rsid w:val="54FE6ECD"/>
    <w:rsid w:val="550D2661"/>
    <w:rsid w:val="550F3292"/>
    <w:rsid w:val="552A3C28"/>
    <w:rsid w:val="55563AD1"/>
    <w:rsid w:val="555D2250"/>
    <w:rsid w:val="558722C8"/>
    <w:rsid w:val="55AC6D33"/>
    <w:rsid w:val="55AD03B6"/>
    <w:rsid w:val="55BD221A"/>
    <w:rsid w:val="55C027DF"/>
    <w:rsid w:val="55CE2806"/>
    <w:rsid w:val="55D63DB0"/>
    <w:rsid w:val="55DB3175"/>
    <w:rsid w:val="55EE4C56"/>
    <w:rsid w:val="55F61D5C"/>
    <w:rsid w:val="56051FA0"/>
    <w:rsid w:val="56222B52"/>
    <w:rsid w:val="562A1B91"/>
    <w:rsid w:val="562B40FC"/>
    <w:rsid w:val="562B5B9A"/>
    <w:rsid w:val="56331D5B"/>
    <w:rsid w:val="5637484F"/>
    <w:rsid w:val="5640122A"/>
    <w:rsid w:val="56570A4D"/>
    <w:rsid w:val="565E627F"/>
    <w:rsid w:val="56867F50"/>
    <w:rsid w:val="568A7075"/>
    <w:rsid w:val="56945138"/>
    <w:rsid w:val="56AB7BA5"/>
    <w:rsid w:val="56AF3861"/>
    <w:rsid w:val="56B85264"/>
    <w:rsid w:val="56CA56C3"/>
    <w:rsid w:val="56CF0F2B"/>
    <w:rsid w:val="56DC53F6"/>
    <w:rsid w:val="56ED1575"/>
    <w:rsid w:val="56F55B47"/>
    <w:rsid w:val="5707437B"/>
    <w:rsid w:val="571406EC"/>
    <w:rsid w:val="5714693E"/>
    <w:rsid w:val="573A37A0"/>
    <w:rsid w:val="573F67D1"/>
    <w:rsid w:val="575C2093"/>
    <w:rsid w:val="576D604E"/>
    <w:rsid w:val="57706229"/>
    <w:rsid w:val="578C2978"/>
    <w:rsid w:val="57BE4AFC"/>
    <w:rsid w:val="57C2639A"/>
    <w:rsid w:val="57CE11E3"/>
    <w:rsid w:val="57CF2865"/>
    <w:rsid w:val="57E07028"/>
    <w:rsid w:val="57E207EA"/>
    <w:rsid w:val="57EC78BB"/>
    <w:rsid w:val="57F549C2"/>
    <w:rsid w:val="580764A3"/>
    <w:rsid w:val="58260F8E"/>
    <w:rsid w:val="582C5F09"/>
    <w:rsid w:val="586C6306"/>
    <w:rsid w:val="58737694"/>
    <w:rsid w:val="587F072F"/>
    <w:rsid w:val="58BA1767"/>
    <w:rsid w:val="58FB25DD"/>
    <w:rsid w:val="59215342"/>
    <w:rsid w:val="5928001D"/>
    <w:rsid w:val="592941F7"/>
    <w:rsid w:val="592A3C50"/>
    <w:rsid w:val="594026BD"/>
    <w:rsid w:val="59460076"/>
    <w:rsid w:val="59515D8A"/>
    <w:rsid w:val="595C637A"/>
    <w:rsid w:val="5960477C"/>
    <w:rsid w:val="596B66F6"/>
    <w:rsid w:val="596C2A61"/>
    <w:rsid w:val="596F6178"/>
    <w:rsid w:val="597E2795"/>
    <w:rsid w:val="59A5674B"/>
    <w:rsid w:val="59AA5338"/>
    <w:rsid w:val="59AD4E28"/>
    <w:rsid w:val="59BD150F"/>
    <w:rsid w:val="59BE0DE3"/>
    <w:rsid w:val="59C53F20"/>
    <w:rsid w:val="59D535F0"/>
    <w:rsid w:val="59F31919"/>
    <w:rsid w:val="59F36D01"/>
    <w:rsid w:val="5A0228E9"/>
    <w:rsid w:val="5A146C55"/>
    <w:rsid w:val="5A151F73"/>
    <w:rsid w:val="5A582FE6"/>
    <w:rsid w:val="5A821CC5"/>
    <w:rsid w:val="5AA77AC9"/>
    <w:rsid w:val="5AA91A93"/>
    <w:rsid w:val="5ABE4B07"/>
    <w:rsid w:val="5AC03D87"/>
    <w:rsid w:val="5AC266B1"/>
    <w:rsid w:val="5ADE1027"/>
    <w:rsid w:val="5AEE74A6"/>
    <w:rsid w:val="5AFA409D"/>
    <w:rsid w:val="5AFA5E4B"/>
    <w:rsid w:val="5B307ABF"/>
    <w:rsid w:val="5B321A89"/>
    <w:rsid w:val="5B32273E"/>
    <w:rsid w:val="5B353327"/>
    <w:rsid w:val="5B386973"/>
    <w:rsid w:val="5B4602DF"/>
    <w:rsid w:val="5B4A6DD2"/>
    <w:rsid w:val="5B55545B"/>
    <w:rsid w:val="5B57329D"/>
    <w:rsid w:val="5B6F6839"/>
    <w:rsid w:val="5B751975"/>
    <w:rsid w:val="5B765E19"/>
    <w:rsid w:val="5B8147BE"/>
    <w:rsid w:val="5B920779"/>
    <w:rsid w:val="5B977B3E"/>
    <w:rsid w:val="5BAB5397"/>
    <w:rsid w:val="5BB74B2C"/>
    <w:rsid w:val="5BBB382C"/>
    <w:rsid w:val="5BBC1352"/>
    <w:rsid w:val="5BCC1E57"/>
    <w:rsid w:val="5BD41E6E"/>
    <w:rsid w:val="5BEA2363"/>
    <w:rsid w:val="5BEA5EBF"/>
    <w:rsid w:val="5BF64864"/>
    <w:rsid w:val="5C2C64D8"/>
    <w:rsid w:val="5C3A6E47"/>
    <w:rsid w:val="5C3B1922"/>
    <w:rsid w:val="5C537F09"/>
    <w:rsid w:val="5C5477DD"/>
    <w:rsid w:val="5C5E2B95"/>
    <w:rsid w:val="5C7C6C93"/>
    <w:rsid w:val="5C9347A9"/>
    <w:rsid w:val="5C9A5B38"/>
    <w:rsid w:val="5C9C18B0"/>
    <w:rsid w:val="5CA17B70"/>
    <w:rsid w:val="5CA40764"/>
    <w:rsid w:val="5CAB5170"/>
    <w:rsid w:val="5CBD5382"/>
    <w:rsid w:val="5CD32DF8"/>
    <w:rsid w:val="5CE62B2B"/>
    <w:rsid w:val="5D0C07A2"/>
    <w:rsid w:val="5D290C69"/>
    <w:rsid w:val="5D2A6084"/>
    <w:rsid w:val="5D9F465B"/>
    <w:rsid w:val="5DA0717E"/>
    <w:rsid w:val="5DB42C29"/>
    <w:rsid w:val="5DBD1FCA"/>
    <w:rsid w:val="5DD15589"/>
    <w:rsid w:val="5DDE730D"/>
    <w:rsid w:val="5DEF65CC"/>
    <w:rsid w:val="5E192A8C"/>
    <w:rsid w:val="5E1C432A"/>
    <w:rsid w:val="5E257683"/>
    <w:rsid w:val="5E282CCF"/>
    <w:rsid w:val="5E4D0988"/>
    <w:rsid w:val="5E510478"/>
    <w:rsid w:val="5E714676"/>
    <w:rsid w:val="5E8425FB"/>
    <w:rsid w:val="5E8C6F99"/>
    <w:rsid w:val="5E8E347A"/>
    <w:rsid w:val="5EB73031"/>
    <w:rsid w:val="5ECF75EF"/>
    <w:rsid w:val="5ED54C05"/>
    <w:rsid w:val="5EE84B1C"/>
    <w:rsid w:val="5EF2352E"/>
    <w:rsid w:val="5EF57055"/>
    <w:rsid w:val="5EF763C6"/>
    <w:rsid w:val="5F08322C"/>
    <w:rsid w:val="5F261904"/>
    <w:rsid w:val="5F2E5CDC"/>
    <w:rsid w:val="5F4E6765"/>
    <w:rsid w:val="5F5D7160"/>
    <w:rsid w:val="5F634771"/>
    <w:rsid w:val="5F7206A6"/>
    <w:rsid w:val="5F7408C2"/>
    <w:rsid w:val="5F887EC9"/>
    <w:rsid w:val="5F893C41"/>
    <w:rsid w:val="5F8B79B9"/>
    <w:rsid w:val="5FB23198"/>
    <w:rsid w:val="5FD70E51"/>
    <w:rsid w:val="5FEF7F48"/>
    <w:rsid w:val="5FF217E7"/>
    <w:rsid w:val="5FF27A39"/>
    <w:rsid w:val="5FF76DFD"/>
    <w:rsid w:val="5FFE1F39"/>
    <w:rsid w:val="60060FEE"/>
    <w:rsid w:val="602A0F80"/>
    <w:rsid w:val="60462E90"/>
    <w:rsid w:val="60536729"/>
    <w:rsid w:val="608368E3"/>
    <w:rsid w:val="608F7035"/>
    <w:rsid w:val="60A30D33"/>
    <w:rsid w:val="60A96349"/>
    <w:rsid w:val="60C2740B"/>
    <w:rsid w:val="60D64C64"/>
    <w:rsid w:val="60D94755"/>
    <w:rsid w:val="60F021CA"/>
    <w:rsid w:val="611834CF"/>
    <w:rsid w:val="61530A39"/>
    <w:rsid w:val="61637D56"/>
    <w:rsid w:val="6183303E"/>
    <w:rsid w:val="61923281"/>
    <w:rsid w:val="61AC3CD1"/>
    <w:rsid w:val="61B054B5"/>
    <w:rsid w:val="61D07906"/>
    <w:rsid w:val="61D4389A"/>
    <w:rsid w:val="61FA4982"/>
    <w:rsid w:val="61FE695C"/>
    <w:rsid w:val="620F7B24"/>
    <w:rsid w:val="621912AD"/>
    <w:rsid w:val="621C6FEF"/>
    <w:rsid w:val="623076A4"/>
    <w:rsid w:val="62326812"/>
    <w:rsid w:val="62392C11"/>
    <w:rsid w:val="62571DD5"/>
    <w:rsid w:val="625B7377"/>
    <w:rsid w:val="6278019C"/>
    <w:rsid w:val="6285420B"/>
    <w:rsid w:val="628C1A7E"/>
    <w:rsid w:val="629B7F14"/>
    <w:rsid w:val="62A96AD4"/>
    <w:rsid w:val="62B2525D"/>
    <w:rsid w:val="62B66AFB"/>
    <w:rsid w:val="62C0797A"/>
    <w:rsid w:val="62ED5EBF"/>
    <w:rsid w:val="62FB09B2"/>
    <w:rsid w:val="62FB4E56"/>
    <w:rsid w:val="62FE04A2"/>
    <w:rsid w:val="631D29EB"/>
    <w:rsid w:val="633C6169"/>
    <w:rsid w:val="63500CFE"/>
    <w:rsid w:val="637A3FCD"/>
    <w:rsid w:val="637F325A"/>
    <w:rsid w:val="63822EAD"/>
    <w:rsid w:val="639F3A33"/>
    <w:rsid w:val="63B70D7D"/>
    <w:rsid w:val="63D23E09"/>
    <w:rsid w:val="63DF2257"/>
    <w:rsid w:val="63E234B7"/>
    <w:rsid w:val="63F773CC"/>
    <w:rsid w:val="64047D3A"/>
    <w:rsid w:val="64300F47"/>
    <w:rsid w:val="64483336"/>
    <w:rsid w:val="644F0FB6"/>
    <w:rsid w:val="645E38EF"/>
    <w:rsid w:val="646C600B"/>
    <w:rsid w:val="64942E6C"/>
    <w:rsid w:val="64AC6408"/>
    <w:rsid w:val="64AE53F9"/>
    <w:rsid w:val="64C64FF0"/>
    <w:rsid w:val="64D63485"/>
    <w:rsid w:val="6500647B"/>
    <w:rsid w:val="65085608"/>
    <w:rsid w:val="65091AAC"/>
    <w:rsid w:val="65110961"/>
    <w:rsid w:val="6518767F"/>
    <w:rsid w:val="65237AC1"/>
    <w:rsid w:val="653603C7"/>
    <w:rsid w:val="65362175"/>
    <w:rsid w:val="656767D3"/>
    <w:rsid w:val="656B0071"/>
    <w:rsid w:val="657E63AE"/>
    <w:rsid w:val="65801643"/>
    <w:rsid w:val="658A39AA"/>
    <w:rsid w:val="6598698C"/>
    <w:rsid w:val="65A13CC9"/>
    <w:rsid w:val="65A86A43"/>
    <w:rsid w:val="65E120E1"/>
    <w:rsid w:val="660D737A"/>
    <w:rsid w:val="661A38C3"/>
    <w:rsid w:val="661E2CB4"/>
    <w:rsid w:val="6632293D"/>
    <w:rsid w:val="664E603D"/>
    <w:rsid w:val="665135D2"/>
    <w:rsid w:val="66566641"/>
    <w:rsid w:val="666F1DE3"/>
    <w:rsid w:val="66A870A3"/>
    <w:rsid w:val="66AC748B"/>
    <w:rsid w:val="66AD08C8"/>
    <w:rsid w:val="66AD46B9"/>
    <w:rsid w:val="66C1550E"/>
    <w:rsid w:val="66C739CD"/>
    <w:rsid w:val="66CD4D5B"/>
    <w:rsid w:val="66DD6797"/>
    <w:rsid w:val="66F66060"/>
    <w:rsid w:val="66F67E0E"/>
    <w:rsid w:val="670818F0"/>
    <w:rsid w:val="671D183F"/>
    <w:rsid w:val="67293782"/>
    <w:rsid w:val="673646AF"/>
    <w:rsid w:val="675114E9"/>
    <w:rsid w:val="675863D3"/>
    <w:rsid w:val="6771210E"/>
    <w:rsid w:val="679703E1"/>
    <w:rsid w:val="67A17496"/>
    <w:rsid w:val="67A965FC"/>
    <w:rsid w:val="67AE0E1B"/>
    <w:rsid w:val="67B43B47"/>
    <w:rsid w:val="67D839B8"/>
    <w:rsid w:val="68182006"/>
    <w:rsid w:val="681C1AF7"/>
    <w:rsid w:val="683926A8"/>
    <w:rsid w:val="685272C6"/>
    <w:rsid w:val="68537CAF"/>
    <w:rsid w:val="685F3791"/>
    <w:rsid w:val="68725BBA"/>
    <w:rsid w:val="68757459"/>
    <w:rsid w:val="687A4A6F"/>
    <w:rsid w:val="688C5099"/>
    <w:rsid w:val="688D1477"/>
    <w:rsid w:val="68953657"/>
    <w:rsid w:val="68B735CD"/>
    <w:rsid w:val="68C1444C"/>
    <w:rsid w:val="68E51EE8"/>
    <w:rsid w:val="68EA5751"/>
    <w:rsid w:val="68F570FB"/>
    <w:rsid w:val="691C2678"/>
    <w:rsid w:val="69227DA0"/>
    <w:rsid w:val="69456E2B"/>
    <w:rsid w:val="69531548"/>
    <w:rsid w:val="695A5DE1"/>
    <w:rsid w:val="696F3EA8"/>
    <w:rsid w:val="69731BEA"/>
    <w:rsid w:val="69765236"/>
    <w:rsid w:val="69790883"/>
    <w:rsid w:val="697A2F79"/>
    <w:rsid w:val="69935DE8"/>
    <w:rsid w:val="69A47FF6"/>
    <w:rsid w:val="69A87C65"/>
    <w:rsid w:val="69EE301F"/>
    <w:rsid w:val="69FA19C4"/>
    <w:rsid w:val="69FB1963"/>
    <w:rsid w:val="6A5D1F52"/>
    <w:rsid w:val="6A7C062B"/>
    <w:rsid w:val="6A837C0B"/>
    <w:rsid w:val="6AA25BA0"/>
    <w:rsid w:val="6AA3205B"/>
    <w:rsid w:val="6AAB0F10"/>
    <w:rsid w:val="6AAD2EDA"/>
    <w:rsid w:val="6AB8548E"/>
    <w:rsid w:val="6ABC577D"/>
    <w:rsid w:val="6ACD70D8"/>
    <w:rsid w:val="6AE12B83"/>
    <w:rsid w:val="6AE42367"/>
    <w:rsid w:val="6AFE7291"/>
    <w:rsid w:val="6B054AC4"/>
    <w:rsid w:val="6B106FC5"/>
    <w:rsid w:val="6B225676"/>
    <w:rsid w:val="6B3A462E"/>
    <w:rsid w:val="6B422808"/>
    <w:rsid w:val="6B474C31"/>
    <w:rsid w:val="6B476E8A"/>
    <w:rsid w:val="6B4B5217"/>
    <w:rsid w:val="6B680BAF"/>
    <w:rsid w:val="6B8A1717"/>
    <w:rsid w:val="6B8C6F93"/>
    <w:rsid w:val="6BA808D2"/>
    <w:rsid w:val="6BC56001"/>
    <w:rsid w:val="6BCC7390"/>
    <w:rsid w:val="6BD36970"/>
    <w:rsid w:val="6BD526E8"/>
    <w:rsid w:val="6BE52DAD"/>
    <w:rsid w:val="6C092392"/>
    <w:rsid w:val="6C17069E"/>
    <w:rsid w:val="6C2225DD"/>
    <w:rsid w:val="6C2830FF"/>
    <w:rsid w:val="6C5850C7"/>
    <w:rsid w:val="6C6B0957"/>
    <w:rsid w:val="6C832144"/>
    <w:rsid w:val="6C89702F"/>
    <w:rsid w:val="6C9C18EB"/>
    <w:rsid w:val="6CCD7863"/>
    <w:rsid w:val="6CD504C6"/>
    <w:rsid w:val="6CD52274"/>
    <w:rsid w:val="6CDD364E"/>
    <w:rsid w:val="6CF46B9E"/>
    <w:rsid w:val="6CF92406"/>
    <w:rsid w:val="6CFC3CA5"/>
    <w:rsid w:val="6D147240"/>
    <w:rsid w:val="6D196605"/>
    <w:rsid w:val="6D21370B"/>
    <w:rsid w:val="6D3B18E0"/>
    <w:rsid w:val="6D3B18E9"/>
    <w:rsid w:val="6D57537F"/>
    <w:rsid w:val="6D6C42DF"/>
    <w:rsid w:val="6D77332B"/>
    <w:rsid w:val="6D800432"/>
    <w:rsid w:val="6D940381"/>
    <w:rsid w:val="6D9C3AFC"/>
    <w:rsid w:val="6DAC1227"/>
    <w:rsid w:val="6DBB76BC"/>
    <w:rsid w:val="6DD469CF"/>
    <w:rsid w:val="6E22773B"/>
    <w:rsid w:val="6E25722B"/>
    <w:rsid w:val="6E2A4841"/>
    <w:rsid w:val="6E2D2538"/>
    <w:rsid w:val="6E443B55"/>
    <w:rsid w:val="6E4E0530"/>
    <w:rsid w:val="6E5B2C4D"/>
    <w:rsid w:val="6E5F44EB"/>
    <w:rsid w:val="6E6164B5"/>
    <w:rsid w:val="6E6236E7"/>
    <w:rsid w:val="6E6935BC"/>
    <w:rsid w:val="6E7F5A09"/>
    <w:rsid w:val="6E91041D"/>
    <w:rsid w:val="6E9F4B86"/>
    <w:rsid w:val="6EB02F99"/>
    <w:rsid w:val="6EB8556A"/>
    <w:rsid w:val="6EBC36EB"/>
    <w:rsid w:val="6EDC5B3C"/>
    <w:rsid w:val="6EDE1649"/>
    <w:rsid w:val="6EEE586F"/>
    <w:rsid w:val="6F064E06"/>
    <w:rsid w:val="6F094457"/>
    <w:rsid w:val="6F155FCF"/>
    <w:rsid w:val="6F176B74"/>
    <w:rsid w:val="6F360C58"/>
    <w:rsid w:val="6F636421"/>
    <w:rsid w:val="6F6B5112"/>
    <w:rsid w:val="6F6E6EC3"/>
    <w:rsid w:val="6F7264A0"/>
    <w:rsid w:val="6F765F90"/>
    <w:rsid w:val="6F9401C4"/>
    <w:rsid w:val="6FB915A7"/>
    <w:rsid w:val="6FBD3BBF"/>
    <w:rsid w:val="6FC14D32"/>
    <w:rsid w:val="6FCD1928"/>
    <w:rsid w:val="6FD902CD"/>
    <w:rsid w:val="6FDE58E3"/>
    <w:rsid w:val="6FE61F3E"/>
    <w:rsid w:val="6FE95CEE"/>
    <w:rsid w:val="6FF9428D"/>
    <w:rsid w:val="7000527D"/>
    <w:rsid w:val="70161521"/>
    <w:rsid w:val="702F613F"/>
    <w:rsid w:val="703244E4"/>
    <w:rsid w:val="705636CC"/>
    <w:rsid w:val="707F3FC6"/>
    <w:rsid w:val="70B0145F"/>
    <w:rsid w:val="70D31B19"/>
    <w:rsid w:val="70ED6B95"/>
    <w:rsid w:val="70FD0CB3"/>
    <w:rsid w:val="711E0B5E"/>
    <w:rsid w:val="712A5284"/>
    <w:rsid w:val="7130216F"/>
    <w:rsid w:val="713C4FB8"/>
    <w:rsid w:val="71687AE4"/>
    <w:rsid w:val="718F158B"/>
    <w:rsid w:val="718F4B15"/>
    <w:rsid w:val="71A004FF"/>
    <w:rsid w:val="71C50B09"/>
    <w:rsid w:val="71C8684B"/>
    <w:rsid w:val="71DC40A5"/>
    <w:rsid w:val="71E03B95"/>
    <w:rsid w:val="71E116BB"/>
    <w:rsid w:val="71F615DC"/>
    <w:rsid w:val="71FE04BF"/>
    <w:rsid w:val="720F7FD6"/>
    <w:rsid w:val="72121874"/>
    <w:rsid w:val="7229553C"/>
    <w:rsid w:val="72323CC5"/>
    <w:rsid w:val="724B2077"/>
    <w:rsid w:val="72691DDC"/>
    <w:rsid w:val="726F4F19"/>
    <w:rsid w:val="726F7FB0"/>
    <w:rsid w:val="72A46970"/>
    <w:rsid w:val="72B50B7E"/>
    <w:rsid w:val="72BB015E"/>
    <w:rsid w:val="72C139C6"/>
    <w:rsid w:val="72C62D8B"/>
    <w:rsid w:val="72D57833"/>
    <w:rsid w:val="72DC25AE"/>
    <w:rsid w:val="72FC49FE"/>
    <w:rsid w:val="732E0930"/>
    <w:rsid w:val="73335F46"/>
    <w:rsid w:val="73373C88"/>
    <w:rsid w:val="733E4E7F"/>
    <w:rsid w:val="7358775B"/>
    <w:rsid w:val="735C7C30"/>
    <w:rsid w:val="73634FBB"/>
    <w:rsid w:val="73661E78"/>
    <w:rsid w:val="73697BBA"/>
    <w:rsid w:val="73775E2C"/>
    <w:rsid w:val="738A025C"/>
    <w:rsid w:val="73B61051"/>
    <w:rsid w:val="73BB6668"/>
    <w:rsid w:val="73C365CB"/>
    <w:rsid w:val="73E95EE8"/>
    <w:rsid w:val="73EA4857"/>
    <w:rsid w:val="73F6144E"/>
    <w:rsid w:val="73F97190"/>
    <w:rsid w:val="74085625"/>
    <w:rsid w:val="74185868"/>
    <w:rsid w:val="742023C5"/>
    <w:rsid w:val="744C3764"/>
    <w:rsid w:val="744E13C7"/>
    <w:rsid w:val="74534AF2"/>
    <w:rsid w:val="74766D79"/>
    <w:rsid w:val="747E57F8"/>
    <w:rsid w:val="748D1686"/>
    <w:rsid w:val="74CF5A4A"/>
    <w:rsid w:val="74F040EF"/>
    <w:rsid w:val="751122B7"/>
    <w:rsid w:val="75157FF9"/>
    <w:rsid w:val="75360DBC"/>
    <w:rsid w:val="75387844"/>
    <w:rsid w:val="756920F3"/>
    <w:rsid w:val="756B5E6B"/>
    <w:rsid w:val="756D0E75"/>
    <w:rsid w:val="756D573F"/>
    <w:rsid w:val="75866801"/>
    <w:rsid w:val="758807CB"/>
    <w:rsid w:val="7595799F"/>
    <w:rsid w:val="759F78C3"/>
    <w:rsid w:val="75BA64AB"/>
    <w:rsid w:val="75E35A02"/>
    <w:rsid w:val="75EA3234"/>
    <w:rsid w:val="762027B2"/>
    <w:rsid w:val="7630676D"/>
    <w:rsid w:val="76312C11"/>
    <w:rsid w:val="763224E5"/>
    <w:rsid w:val="76361FD5"/>
    <w:rsid w:val="76505878"/>
    <w:rsid w:val="7671125F"/>
    <w:rsid w:val="767945B8"/>
    <w:rsid w:val="76794AF8"/>
    <w:rsid w:val="76850C08"/>
    <w:rsid w:val="76AE1106"/>
    <w:rsid w:val="76BB24DB"/>
    <w:rsid w:val="76C84BF7"/>
    <w:rsid w:val="76D11CFE"/>
    <w:rsid w:val="76D67314"/>
    <w:rsid w:val="76FC6DDC"/>
    <w:rsid w:val="772E2227"/>
    <w:rsid w:val="772E3505"/>
    <w:rsid w:val="77302EC9"/>
    <w:rsid w:val="7731279D"/>
    <w:rsid w:val="77533CC6"/>
    <w:rsid w:val="775748F9"/>
    <w:rsid w:val="7760252B"/>
    <w:rsid w:val="776058DA"/>
    <w:rsid w:val="77626DFA"/>
    <w:rsid w:val="777032C5"/>
    <w:rsid w:val="777803CC"/>
    <w:rsid w:val="777D1E86"/>
    <w:rsid w:val="779276DF"/>
    <w:rsid w:val="77B70517"/>
    <w:rsid w:val="77E043E3"/>
    <w:rsid w:val="77F40160"/>
    <w:rsid w:val="78342545"/>
    <w:rsid w:val="78412EB3"/>
    <w:rsid w:val="785030F6"/>
    <w:rsid w:val="78550E5C"/>
    <w:rsid w:val="78632E2A"/>
    <w:rsid w:val="78654DF4"/>
    <w:rsid w:val="787B0173"/>
    <w:rsid w:val="787D0429"/>
    <w:rsid w:val="788D6034"/>
    <w:rsid w:val="78B24F5D"/>
    <w:rsid w:val="78BC0735"/>
    <w:rsid w:val="78CB5DA1"/>
    <w:rsid w:val="78D57554"/>
    <w:rsid w:val="78EF46BD"/>
    <w:rsid w:val="790740FD"/>
    <w:rsid w:val="791660EE"/>
    <w:rsid w:val="791D122B"/>
    <w:rsid w:val="791F31F5"/>
    <w:rsid w:val="79265756"/>
    <w:rsid w:val="793F5645"/>
    <w:rsid w:val="794511BD"/>
    <w:rsid w:val="794A5D98"/>
    <w:rsid w:val="794C38BE"/>
    <w:rsid w:val="794E7636"/>
    <w:rsid w:val="79892D64"/>
    <w:rsid w:val="798E037A"/>
    <w:rsid w:val="79960FDD"/>
    <w:rsid w:val="79997202"/>
    <w:rsid w:val="799E680F"/>
    <w:rsid w:val="79AE52BD"/>
    <w:rsid w:val="79FF5F21"/>
    <w:rsid w:val="7A1B3962"/>
    <w:rsid w:val="7A2111EE"/>
    <w:rsid w:val="7A2F56B9"/>
    <w:rsid w:val="7A6D48C0"/>
    <w:rsid w:val="7A7268AA"/>
    <w:rsid w:val="7A765096"/>
    <w:rsid w:val="7A924929"/>
    <w:rsid w:val="7A94551C"/>
    <w:rsid w:val="7A974046"/>
    <w:rsid w:val="7AA01215"/>
    <w:rsid w:val="7AAD65DE"/>
    <w:rsid w:val="7AC53928"/>
    <w:rsid w:val="7AC878BC"/>
    <w:rsid w:val="7ACA7190"/>
    <w:rsid w:val="7AD911F2"/>
    <w:rsid w:val="7AEF309B"/>
    <w:rsid w:val="7AFD2AA0"/>
    <w:rsid w:val="7AFD57B8"/>
    <w:rsid w:val="7AFF1FD8"/>
    <w:rsid w:val="7B007056"/>
    <w:rsid w:val="7B02692A"/>
    <w:rsid w:val="7B2368A0"/>
    <w:rsid w:val="7B705F89"/>
    <w:rsid w:val="7B735A7A"/>
    <w:rsid w:val="7B887EC5"/>
    <w:rsid w:val="7B914152"/>
    <w:rsid w:val="7BAE0860"/>
    <w:rsid w:val="7BB17EFC"/>
    <w:rsid w:val="7BC60184"/>
    <w:rsid w:val="7BD137C8"/>
    <w:rsid w:val="7BD5403F"/>
    <w:rsid w:val="7BE349AD"/>
    <w:rsid w:val="7BE73A8B"/>
    <w:rsid w:val="7BEC3136"/>
    <w:rsid w:val="7BF471EA"/>
    <w:rsid w:val="7C011556"/>
    <w:rsid w:val="7C0B5CB2"/>
    <w:rsid w:val="7C18217D"/>
    <w:rsid w:val="7C3C40BE"/>
    <w:rsid w:val="7C507B69"/>
    <w:rsid w:val="7C596A1E"/>
    <w:rsid w:val="7C5E2286"/>
    <w:rsid w:val="7C701FB9"/>
    <w:rsid w:val="7C817D22"/>
    <w:rsid w:val="7C975FC1"/>
    <w:rsid w:val="7CD24A22"/>
    <w:rsid w:val="7CEA1D6C"/>
    <w:rsid w:val="7CF95D03"/>
    <w:rsid w:val="7D0C3A90"/>
    <w:rsid w:val="7D0E5A5A"/>
    <w:rsid w:val="7D360B0D"/>
    <w:rsid w:val="7D406A1E"/>
    <w:rsid w:val="7D494CE4"/>
    <w:rsid w:val="7D637428"/>
    <w:rsid w:val="7D717D97"/>
    <w:rsid w:val="7D7653AD"/>
    <w:rsid w:val="7D823D52"/>
    <w:rsid w:val="7D851A94"/>
    <w:rsid w:val="7D8E1E41"/>
    <w:rsid w:val="7D9121E7"/>
    <w:rsid w:val="7D965A4F"/>
    <w:rsid w:val="7DC73E5B"/>
    <w:rsid w:val="7DCB56F9"/>
    <w:rsid w:val="7DF34C50"/>
    <w:rsid w:val="7E0D00F2"/>
    <w:rsid w:val="7E105802"/>
    <w:rsid w:val="7E1A21DD"/>
    <w:rsid w:val="7E4234E1"/>
    <w:rsid w:val="7E486D4A"/>
    <w:rsid w:val="7E5F22E5"/>
    <w:rsid w:val="7E7C7B82"/>
    <w:rsid w:val="7E960CC1"/>
    <w:rsid w:val="7EA36676"/>
    <w:rsid w:val="7EAD12A3"/>
    <w:rsid w:val="7EB702F4"/>
    <w:rsid w:val="7ED625A7"/>
    <w:rsid w:val="7EDA196C"/>
    <w:rsid w:val="7EE56707"/>
    <w:rsid w:val="7EED715E"/>
    <w:rsid w:val="7EF42A2E"/>
    <w:rsid w:val="7EF46ED2"/>
    <w:rsid w:val="7EFD7F37"/>
    <w:rsid w:val="7F2271E4"/>
    <w:rsid w:val="7F2D7CEE"/>
    <w:rsid w:val="7F313C82"/>
    <w:rsid w:val="7F4A61E1"/>
    <w:rsid w:val="7F596D35"/>
    <w:rsid w:val="7F795F2A"/>
    <w:rsid w:val="7F967F89"/>
    <w:rsid w:val="7F9935D5"/>
    <w:rsid w:val="7FA51F7A"/>
    <w:rsid w:val="7FB073FA"/>
    <w:rsid w:val="7FB328E9"/>
    <w:rsid w:val="7FD30895"/>
    <w:rsid w:val="7FDD1714"/>
    <w:rsid w:val="7FE231CE"/>
    <w:rsid w:val="7FE94F8C"/>
    <w:rsid w:val="7FFA22C6"/>
    <w:rsid w:val="7FFB6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3"/>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7"/>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0"/>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1"/>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index 5"/>
    <w:basedOn w:val="1"/>
    <w:next w:val="1"/>
    <w:semiHidden/>
    <w:qFormat/>
    <w:uiPriority w:val="0"/>
    <w:pPr>
      <w:suppressAutoHyphens w:val="0"/>
      <w:ind w:left="800" w:leftChars="800"/>
    </w:pPr>
    <w:rPr>
      <w:rFonts w:eastAsia="宋体"/>
      <w:szCs w:val="24"/>
    </w:rPr>
  </w:style>
  <w:style w:type="paragraph" w:styleId="12">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3">
    <w:name w:val="annotation text"/>
    <w:basedOn w:val="1"/>
    <w:link w:val="48"/>
    <w:autoRedefine/>
    <w:qFormat/>
    <w:uiPriority w:val="0"/>
    <w:pPr>
      <w:spacing w:line="240" w:lineRule="auto"/>
    </w:pPr>
    <w:rPr>
      <w:rFonts w:eastAsiaTheme="minorEastAsia"/>
      <w:sz w:val="21"/>
      <w:szCs w:val="24"/>
    </w:rPr>
  </w:style>
  <w:style w:type="paragraph" w:styleId="14">
    <w:name w:val="Body Text"/>
    <w:basedOn w:val="1"/>
    <w:next w:val="15"/>
    <w:link w:val="52"/>
    <w:autoRedefine/>
    <w:qFormat/>
    <w:uiPriority w:val="99"/>
    <w:pPr>
      <w:spacing w:after="120" w:line="240" w:lineRule="auto"/>
      <w:jc w:val="both"/>
    </w:pPr>
    <w:rPr>
      <w:rFonts w:eastAsiaTheme="minorEastAsia"/>
      <w:sz w:val="21"/>
      <w:szCs w:val="24"/>
    </w:rPr>
  </w:style>
  <w:style w:type="paragraph" w:styleId="15">
    <w:name w:val="Body Text First Indent"/>
    <w:basedOn w:val="1"/>
    <w:next w:val="1"/>
    <w:unhideWhenUsed/>
    <w:qFormat/>
    <w:uiPriority w:val="99"/>
    <w:pPr>
      <w:spacing w:line="360" w:lineRule="auto"/>
      <w:ind w:firstLine="309" w:firstLineChars="100"/>
      <w:outlineLvl w:val="0"/>
    </w:pPr>
    <w:rPr>
      <w:bCs/>
      <w:color w:val="000000"/>
      <w:kern w:val="28"/>
      <w:szCs w:val="21"/>
    </w:rPr>
  </w:style>
  <w:style w:type="paragraph" w:styleId="16">
    <w:name w:val="Body Text Indent"/>
    <w:basedOn w:val="1"/>
    <w:next w:val="17"/>
    <w:autoRedefine/>
    <w:unhideWhenUsed/>
    <w:qFormat/>
    <w:uiPriority w:val="0"/>
    <w:pPr>
      <w:ind w:firstLine="630"/>
    </w:pPr>
    <w:rPr>
      <w:rFonts w:eastAsia="仿宋_GB2312"/>
      <w:kern w:val="0"/>
      <w:sz w:val="32"/>
      <w:szCs w:val="20"/>
    </w:rPr>
  </w:style>
  <w:style w:type="paragraph" w:styleId="17">
    <w:name w:val="envelope return"/>
    <w:basedOn w:val="1"/>
    <w:qFormat/>
    <w:uiPriority w:val="0"/>
    <w:pPr>
      <w:snapToGrid w:val="0"/>
    </w:pPr>
    <w:rPr>
      <w:rFonts w:ascii="Arial" w:hAnsi="Arial" w:cs="Arial"/>
    </w:rPr>
  </w:style>
  <w:style w:type="paragraph" w:styleId="18">
    <w:name w:val="toc 5"/>
    <w:basedOn w:val="1"/>
    <w:next w:val="1"/>
    <w:autoRedefine/>
    <w:unhideWhenUsed/>
    <w:qFormat/>
    <w:uiPriority w:val="39"/>
    <w:pPr>
      <w:ind w:left="960"/>
    </w:pPr>
    <w:rPr>
      <w:rFonts w:asciiTheme="minorHAnsi" w:eastAsiaTheme="minorHAnsi"/>
      <w:sz w:val="18"/>
      <w:szCs w:val="18"/>
    </w:rPr>
  </w:style>
  <w:style w:type="paragraph" w:styleId="19">
    <w:name w:val="toc 3"/>
    <w:basedOn w:val="1"/>
    <w:next w:val="1"/>
    <w:autoRedefine/>
    <w:unhideWhenUsed/>
    <w:qFormat/>
    <w:uiPriority w:val="39"/>
    <w:pPr>
      <w:ind w:left="480"/>
    </w:pPr>
    <w:rPr>
      <w:rFonts w:asciiTheme="minorHAnsi" w:eastAsiaTheme="minorHAnsi"/>
      <w:i/>
      <w:iCs/>
      <w:sz w:val="20"/>
      <w:szCs w:val="20"/>
    </w:rPr>
  </w:style>
  <w:style w:type="paragraph" w:styleId="20">
    <w:name w:val="Plain Text"/>
    <w:basedOn w:val="1"/>
    <w:autoRedefine/>
    <w:unhideWhenUsed/>
    <w:qFormat/>
    <w:uiPriority w:val="0"/>
    <w:rPr>
      <w:rFonts w:ascii="宋体" w:hAnsi="Courier New"/>
      <w:kern w:val="0"/>
      <w:sz w:val="20"/>
      <w:szCs w:val="20"/>
    </w:rPr>
  </w:style>
  <w:style w:type="paragraph" w:styleId="21">
    <w:name w:val="toc 8"/>
    <w:basedOn w:val="1"/>
    <w:next w:val="1"/>
    <w:autoRedefine/>
    <w:unhideWhenUsed/>
    <w:qFormat/>
    <w:uiPriority w:val="39"/>
    <w:pPr>
      <w:ind w:left="1680"/>
    </w:pPr>
    <w:rPr>
      <w:rFonts w:asciiTheme="minorHAnsi" w:eastAsiaTheme="minorHAnsi"/>
      <w:sz w:val="18"/>
      <w:szCs w:val="18"/>
    </w:rPr>
  </w:style>
  <w:style w:type="paragraph" w:styleId="22">
    <w:name w:val="Body Text Indent 2"/>
    <w:basedOn w:val="1"/>
    <w:qFormat/>
    <w:uiPriority w:val="0"/>
    <w:pPr>
      <w:ind w:left="630" w:firstLine="645"/>
    </w:pPr>
    <w:rPr>
      <w:rFonts w:ascii="Arial" w:hAnsi="Arial" w:eastAsia="仿宋_GB2312" w:cs="Arial"/>
      <w:sz w:val="32"/>
      <w:szCs w:val="32"/>
    </w:rPr>
  </w:style>
  <w:style w:type="paragraph" w:styleId="23">
    <w:name w:val="footer"/>
    <w:basedOn w:val="1"/>
    <w:link w:val="46"/>
    <w:autoRedefine/>
    <w:unhideWhenUsed/>
    <w:qFormat/>
    <w:uiPriority w:val="99"/>
    <w:pPr>
      <w:tabs>
        <w:tab w:val="center" w:pos="4153"/>
        <w:tab w:val="right" w:pos="8306"/>
      </w:tabs>
      <w:snapToGrid w:val="0"/>
      <w:spacing w:line="240" w:lineRule="auto"/>
    </w:pPr>
    <w:rPr>
      <w:sz w:val="18"/>
      <w:szCs w:val="18"/>
    </w:rPr>
  </w:style>
  <w:style w:type="paragraph" w:styleId="24">
    <w:name w:val="header"/>
    <w:basedOn w:val="1"/>
    <w:link w:val="45"/>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6">
    <w:name w:val="toc 4"/>
    <w:basedOn w:val="1"/>
    <w:next w:val="1"/>
    <w:autoRedefine/>
    <w:unhideWhenUsed/>
    <w:qFormat/>
    <w:uiPriority w:val="39"/>
    <w:pPr>
      <w:ind w:left="720"/>
    </w:pPr>
    <w:rPr>
      <w:rFonts w:asciiTheme="minorHAnsi" w:eastAsiaTheme="minorHAnsi"/>
      <w:sz w:val="18"/>
      <w:szCs w:val="18"/>
    </w:rPr>
  </w:style>
  <w:style w:type="paragraph" w:styleId="27">
    <w:name w:val="footnote text"/>
    <w:basedOn w:val="1"/>
    <w:next w:val="11"/>
    <w:qFormat/>
    <w:uiPriority w:val="0"/>
    <w:pPr>
      <w:widowControl/>
      <w:jc w:val="left"/>
    </w:pPr>
    <w:rPr>
      <w:kern w:val="0"/>
      <w:sz w:val="20"/>
      <w:szCs w:val="20"/>
      <w:lang w:val="de-DE"/>
    </w:rPr>
  </w:style>
  <w:style w:type="paragraph" w:styleId="28">
    <w:name w:val="toc 6"/>
    <w:basedOn w:val="1"/>
    <w:next w:val="1"/>
    <w:autoRedefine/>
    <w:unhideWhenUsed/>
    <w:qFormat/>
    <w:uiPriority w:val="39"/>
    <w:pPr>
      <w:ind w:left="1200"/>
    </w:pPr>
    <w:rPr>
      <w:rFonts w:asciiTheme="minorHAnsi" w:eastAsiaTheme="minorHAnsi"/>
      <w:sz w:val="18"/>
      <w:szCs w:val="18"/>
    </w:rPr>
  </w:style>
  <w:style w:type="paragraph" w:styleId="29">
    <w:name w:val="toc 2"/>
    <w:basedOn w:val="1"/>
    <w:next w:val="1"/>
    <w:autoRedefine/>
    <w:unhideWhenUsed/>
    <w:qFormat/>
    <w:uiPriority w:val="39"/>
    <w:pPr>
      <w:ind w:left="240"/>
    </w:pPr>
    <w:rPr>
      <w:rFonts w:asciiTheme="minorHAnsi" w:eastAsiaTheme="minorHAnsi"/>
      <w:smallCaps/>
      <w:sz w:val="20"/>
      <w:szCs w:val="20"/>
    </w:rPr>
  </w:style>
  <w:style w:type="paragraph" w:styleId="30">
    <w:name w:val="toc 9"/>
    <w:basedOn w:val="1"/>
    <w:next w:val="1"/>
    <w:autoRedefine/>
    <w:unhideWhenUsed/>
    <w:qFormat/>
    <w:uiPriority w:val="39"/>
    <w:pPr>
      <w:ind w:left="1920"/>
    </w:pPr>
    <w:rPr>
      <w:rFonts w:asciiTheme="minorHAnsi" w:eastAsiaTheme="minorHAnsi"/>
      <w:sz w:val="18"/>
      <w:szCs w:val="18"/>
    </w:rPr>
  </w:style>
  <w:style w:type="paragraph" w:styleId="31">
    <w:name w:val="annotation subject"/>
    <w:basedOn w:val="13"/>
    <w:next w:val="13"/>
    <w:link w:val="56"/>
    <w:autoRedefine/>
    <w:semiHidden/>
    <w:unhideWhenUsed/>
    <w:qFormat/>
    <w:uiPriority w:val="99"/>
    <w:pPr>
      <w:spacing w:line="360" w:lineRule="auto"/>
    </w:pPr>
    <w:rPr>
      <w:rFonts w:eastAsia="宋体"/>
      <w:b/>
      <w:bCs/>
      <w:sz w:val="24"/>
      <w:szCs w:val="22"/>
    </w:rPr>
  </w:style>
  <w:style w:type="paragraph" w:styleId="32">
    <w:name w:val="Body Text First Indent 2"/>
    <w:basedOn w:val="16"/>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4">
    <w:name w:val="Table Grid"/>
    <w:basedOn w:val="3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rPr>
  </w:style>
  <w:style w:type="character" w:styleId="37">
    <w:name w:val="page number"/>
    <w:basedOn w:val="35"/>
    <w:qFormat/>
    <w:uiPriority w:val="0"/>
  </w:style>
  <w:style w:type="character" w:styleId="38">
    <w:name w:val="Hyperlink"/>
    <w:basedOn w:val="35"/>
    <w:autoRedefine/>
    <w:unhideWhenUsed/>
    <w:qFormat/>
    <w:uiPriority w:val="99"/>
    <w:rPr>
      <w:color w:val="0563C1" w:themeColor="hyperlink"/>
      <w:u w:val="single"/>
      <w14:textFill>
        <w14:solidFill>
          <w14:schemeClr w14:val="hlink"/>
        </w14:solidFill>
      </w14:textFill>
    </w:rPr>
  </w:style>
  <w:style w:type="character" w:styleId="39">
    <w:name w:val="annotation reference"/>
    <w:basedOn w:val="35"/>
    <w:autoRedefine/>
    <w:qFormat/>
    <w:uiPriority w:val="0"/>
    <w:rPr>
      <w:sz w:val="21"/>
      <w:szCs w:val="21"/>
    </w:rPr>
  </w:style>
  <w:style w:type="character" w:styleId="40">
    <w:name w:val="HTML Sample"/>
    <w:basedOn w:val="35"/>
    <w:semiHidden/>
    <w:unhideWhenUsed/>
    <w:qFormat/>
    <w:uiPriority w:val="99"/>
    <w:rPr>
      <w:rFonts w:ascii="Courier New" w:hAnsi="Courier New"/>
    </w:rPr>
  </w:style>
  <w:style w:type="paragraph" w:customStyle="1" w:styleId="4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缩进2"/>
    <w:basedOn w:val="1"/>
    <w:autoRedefine/>
    <w:qFormat/>
    <w:uiPriority w:val="0"/>
    <w:pPr>
      <w:wordWrap w:val="0"/>
      <w:ind w:firstLine="480"/>
    </w:pPr>
    <w:rPr>
      <w:iCs/>
      <w:shd w:val="clear" w:color="auto" w:fill="FFFFFF" w:themeFill="background1"/>
      <w:lang w:val="zh-CN"/>
    </w:rPr>
  </w:style>
  <w:style w:type="character" w:customStyle="1" w:styleId="43">
    <w:name w:val="标题 1 字符"/>
    <w:basedOn w:val="35"/>
    <w:link w:val="2"/>
    <w:autoRedefine/>
    <w:qFormat/>
    <w:uiPriority w:val="9"/>
    <w:rPr>
      <w:rFonts w:eastAsia="黑体"/>
      <w:b/>
      <w:bCs/>
      <w:kern w:val="44"/>
      <w:sz w:val="44"/>
      <w:szCs w:val="44"/>
    </w:rPr>
  </w:style>
  <w:style w:type="paragraph" w:styleId="44">
    <w:name w:val="List Paragraph"/>
    <w:basedOn w:val="1"/>
    <w:autoRedefine/>
    <w:qFormat/>
    <w:uiPriority w:val="34"/>
    <w:pPr>
      <w:numPr>
        <w:ilvl w:val="0"/>
        <w:numId w:val="2"/>
      </w:numPr>
    </w:pPr>
  </w:style>
  <w:style w:type="character" w:customStyle="1" w:styleId="45">
    <w:name w:val="页眉 字符"/>
    <w:basedOn w:val="35"/>
    <w:link w:val="24"/>
    <w:autoRedefine/>
    <w:qFormat/>
    <w:uiPriority w:val="99"/>
    <w:rPr>
      <w:rFonts w:eastAsia="宋体"/>
      <w:sz w:val="18"/>
      <w:szCs w:val="18"/>
    </w:rPr>
  </w:style>
  <w:style w:type="character" w:customStyle="1" w:styleId="46">
    <w:name w:val="页脚 字符"/>
    <w:basedOn w:val="35"/>
    <w:link w:val="23"/>
    <w:autoRedefine/>
    <w:qFormat/>
    <w:uiPriority w:val="99"/>
    <w:rPr>
      <w:rFonts w:eastAsia="宋体"/>
      <w:sz w:val="18"/>
      <w:szCs w:val="18"/>
    </w:rPr>
  </w:style>
  <w:style w:type="character" w:customStyle="1" w:styleId="47">
    <w:name w:val="标题 2 字符"/>
    <w:basedOn w:val="35"/>
    <w:link w:val="3"/>
    <w:autoRedefine/>
    <w:qFormat/>
    <w:uiPriority w:val="0"/>
    <w:rPr>
      <w:rFonts w:eastAsia="宋体" w:asciiTheme="majorHAnsi" w:hAnsiTheme="majorHAnsi" w:cstheme="majorBidi"/>
      <w:b/>
      <w:bCs/>
      <w:sz w:val="32"/>
      <w:szCs w:val="32"/>
    </w:rPr>
  </w:style>
  <w:style w:type="character" w:customStyle="1" w:styleId="48">
    <w:name w:val="批注文字 字符"/>
    <w:basedOn w:val="35"/>
    <w:link w:val="13"/>
    <w:autoRedefine/>
    <w:qFormat/>
    <w:uiPriority w:val="0"/>
    <w:rPr>
      <w:szCs w:val="24"/>
    </w:rPr>
  </w:style>
  <w:style w:type="paragraph" w:customStyle="1" w:styleId="49">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0">
    <w:name w:val="标题 3 字符"/>
    <w:basedOn w:val="35"/>
    <w:link w:val="4"/>
    <w:autoRedefine/>
    <w:qFormat/>
    <w:uiPriority w:val="9"/>
    <w:rPr>
      <w:rFonts w:eastAsia="宋体"/>
      <w:b/>
      <w:bCs/>
      <w:sz w:val="30"/>
      <w:szCs w:val="32"/>
    </w:rPr>
  </w:style>
  <w:style w:type="character" w:customStyle="1" w:styleId="51">
    <w:name w:val="标题 4 字符"/>
    <w:basedOn w:val="35"/>
    <w:link w:val="5"/>
    <w:autoRedefine/>
    <w:qFormat/>
    <w:uiPriority w:val="9"/>
    <w:rPr>
      <w:rFonts w:eastAsia="宋体" w:asciiTheme="majorHAnsi" w:hAnsiTheme="majorHAnsi" w:cstheme="majorBidi"/>
      <w:b/>
      <w:bCs/>
      <w:sz w:val="28"/>
      <w:szCs w:val="28"/>
    </w:rPr>
  </w:style>
  <w:style w:type="character" w:customStyle="1" w:styleId="52">
    <w:name w:val="正文文本 字符"/>
    <w:basedOn w:val="35"/>
    <w:link w:val="14"/>
    <w:autoRedefine/>
    <w:qFormat/>
    <w:uiPriority w:val="99"/>
    <w:rPr>
      <w:szCs w:val="24"/>
    </w:rPr>
  </w:style>
  <w:style w:type="paragraph" w:customStyle="1" w:styleId="53">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4">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5">
    <w:name w:val="未处理的提及1"/>
    <w:basedOn w:val="35"/>
    <w:autoRedefine/>
    <w:semiHidden/>
    <w:unhideWhenUsed/>
    <w:qFormat/>
    <w:uiPriority w:val="99"/>
    <w:rPr>
      <w:color w:val="605E5C"/>
      <w:shd w:val="clear" w:color="auto" w:fill="E1DFDD"/>
    </w:rPr>
  </w:style>
  <w:style w:type="character" w:customStyle="1" w:styleId="56">
    <w:name w:val="批注主题 字符"/>
    <w:basedOn w:val="48"/>
    <w:link w:val="31"/>
    <w:autoRedefine/>
    <w:semiHidden/>
    <w:qFormat/>
    <w:uiPriority w:val="99"/>
    <w:rPr>
      <w:rFonts w:ascii="宋体" w:hAnsi="宋体" w:cstheme="minorBidi"/>
      <w:b/>
      <w:bCs/>
      <w:kern w:val="2"/>
      <w:sz w:val="24"/>
      <w:szCs w:val="22"/>
    </w:rPr>
  </w:style>
  <w:style w:type="character" w:customStyle="1" w:styleId="57">
    <w:name w:val="未处理的提及2"/>
    <w:basedOn w:val="35"/>
    <w:autoRedefine/>
    <w:semiHidden/>
    <w:unhideWhenUsed/>
    <w:qFormat/>
    <w:uiPriority w:val="99"/>
    <w:rPr>
      <w:color w:val="605E5C"/>
      <w:shd w:val="clear" w:color="auto" w:fill="E1DFDD"/>
    </w:rPr>
  </w:style>
  <w:style w:type="paragraph" w:customStyle="1" w:styleId="58">
    <w:name w:val="正文_2"/>
    <w:autoRedefine/>
    <w:qFormat/>
    <w:uiPriority w:val="0"/>
    <w:pPr>
      <w:widowControl w:val="0"/>
      <w:jc w:val="both"/>
    </w:pPr>
    <w:rPr>
      <w:rFonts w:ascii="Calibri" w:hAnsi="Calibri" w:eastAsia="宋体" w:cs="Times New Roman"/>
      <w:lang w:val="en-US" w:eastAsia="zh-CN" w:bidi="ar-SA"/>
    </w:rPr>
  </w:style>
  <w:style w:type="paragraph" w:customStyle="1" w:styleId="59">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2">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3">
    <w:name w:val="Normal Indent1"/>
    <w:basedOn w:val="1"/>
    <w:autoRedefine/>
    <w:qFormat/>
    <w:uiPriority w:val="0"/>
    <w:pPr>
      <w:ind w:firstLine="420" w:firstLineChars="200"/>
    </w:pPr>
  </w:style>
  <w:style w:type="paragraph" w:customStyle="1" w:styleId="64">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5">
    <w:name w:val="Normal_22"/>
    <w:autoRedefine/>
    <w:qFormat/>
    <w:uiPriority w:val="0"/>
    <w:rPr>
      <w:rFonts w:ascii="Times New Roman" w:hAnsi="Times New Roman" w:eastAsia="Times New Roman" w:cs="Times New Roman"/>
      <w:sz w:val="24"/>
      <w:szCs w:val="24"/>
      <w:lang w:bidi="ar-SA"/>
    </w:rPr>
  </w:style>
  <w:style w:type="paragraph" w:customStyle="1" w:styleId="66">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正文_0_0_0 Char"/>
    <w:link w:val="68"/>
    <w:autoRedefine/>
    <w:qFormat/>
    <w:locked/>
    <w:uiPriority w:val="0"/>
    <w:rPr>
      <w:rFonts w:ascii="Calibri" w:hAnsi="Calibri" w:cs="Calibri"/>
      <w:kern w:val="2"/>
      <w:sz w:val="28"/>
      <w:szCs w:val="22"/>
      <w:lang w:val="en-US" w:eastAsia="zh-CN" w:bidi="ar-SA"/>
    </w:rPr>
  </w:style>
  <w:style w:type="paragraph" w:customStyle="1" w:styleId="68">
    <w:name w:val="正文_0_0_0_0_0"/>
    <w:link w:val="67"/>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9">
    <w:name w:val="正文文本_0_1"/>
    <w:basedOn w:val="70"/>
    <w:autoRedefine/>
    <w:qFormat/>
    <w:uiPriority w:val="99"/>
    <w:pPr>
      <w:spacing w:after="120"/>
    </w:pPr>
    <w:rPr>
      <w:rFonts w:ascii="Calibri" w:hAnsi="Calibri" w:eastAsia="宋体"/>
      <w:kern w:val="0"/>
      <w:sz w:val="24"/>
      <w:szCs w:val="20"/>
    </w:rPr>
  </w:style>
  <w:style w:type="paragraph" w:customStyle="1" w:styleId="70">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Table Paragraph_1"/>
    <w:basedOn w:val="70"/>
    <w:autoRedefine/>
    <w:qFormat/>
    <w:uiPriority w:val="0"/>
    <w:pPr>
      <w:jc w:val="left"/>
    </w:pPr>
    <w:rPr>
      <w:rFonts w:ascii="Calibri" w:hAnsi="Calibri" w:eastAsia="宋体"/>
      <w:kern w:val="0"/>
      <w:sz w:val="22"/>
      <w:lang w:eastAsia="en-US"/>
    </w:rPr>
  </w:style>
  <w:style w:type="paragraph" w:customStyle="1" w:styleId="72">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1"/>
    <w:autoRedefine/>
    <w:qFormat/>
    <w:uiPriority w:val="0"/>
    <w:pPr>
      <w:widowControl w:val="0"/>
      <w:jc w:val="both"/>
    </w:pPr>
    <w:rPr>
      <w:rFonts w:ascii="Calibri" w:hAnsi="Calibri" w:eastAsia="宋体" w:cs="Times New Roman"/>
      <w:lang w:val="en-US" w:eastAsia="zh-CN" w:bidi="ar-SA"/>
    </w:rPr>
  </w:style>
  <w:style w:type="paragraph" w:customStyle="1" w:styleId="74">
    <w:name w:val="列出段落1"/>
    <w:basedOn w:val="1"/>
    <w:autoRedefine/>
    <w:qFormat/>
    <w:uiPriority w:val="0"/>
    <w:pPr>
      <w:ind w:firstLine="420" w:firstLineChars="200"/>
    </w:pPr>
    <w:rPr>
      <w:szCs w:val="21"/>
    </w:rPr>
  </w:style>
  <w:style w:type="paragraph" w:customStyle="1" w:styleId="7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6">
    <w:name w:val="正文2"/>
    <w:basedOn w:val="1"/>
    <w:next w:val="77"/>
    <w:qFormat/>
    <w:uiPriority w:val="0"/>
    <w:pPr>
      <w:spacing w:before="156" w:line="360" w:lineRule="auto"/>
      <w:ind w:firstLine="510" w:firstLineChars="200"/>
    </w:pPr>
    <w:rPr>
      <w:sz w:val="24"/>
      <w:szCs w:val="20"/>
    </w:rPr>
  </w:style>
  <w:style w:type="paragraph" w:customStyle="1" w:styleId="77">
    <w:name w:val="正文缩进1"/>
    <w:basedOn w:val="76"/>
    <w:qFormat/>
    <w:uiPriority w:val="0"/>
    <w:pPr>
      <w:autoSpaceDE w:val="0"/>
      <w:autoSpaceDN w:val="0"/>
      <w:adjustRightInd w:val="0"/>
      <w:ind w:firstLine="420"/>
      <w:jc w:val="left"/>
    </w:pPr>
    <w:rPr>
      <w:rFonts w:ascii="宋体" w:hAnsi="Times New Roman"/>
      <w:kern w:val="0"/>
      <w:sz w:val="24"/>
      <w:szCs w:val="20"/>
    </w:rPr>
  </w:style>
  <w:style w:type="paragraph" w:customStyle="1" w:styleId="78">
    <w:name w:val="Char Char Char Char Char Char Char1 Char"/>
    <w:basedOn w:val="1"/>
    <w:autoRedefine/>
    <w:qFormat/>
    <w:uiPriority w:val="0"/>
    <w:rPr>
      <w:rFonts w:ascii="Arial" w:hAnsi="Arial" w:eastAsia="宋体" w:cs="Arial"/>
      <w:sz w:val="24"/>
    </w:rPr>
  </w:style>
  <w:style w:type="paragraph" w:customStyle="1" w:styleId="79">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0">
    <w:name w:val="样式 标题 4 + 段前: 5 磅 段后: 5 磅 行距: 单倍行距_0"/>
    <w:basedOn w:val="59"/>
    <w:qFormat/>
    <w:uiPriority w:val="0"/>
    <w:pPr>
      <w:keepNext/>
      <w:keepLines/>
      <w:numPr>
        <w:ilvl w:val="3"/>
        <w:numId w:val="3"/>
      </w:numPr>
      <w:adjustRightInd w:val="0"/>
      <w:spacing w:before="100" w:after="100"/>
      <w:jc w:val="left"/>
      <w:outlineLvl w:val="3"/>
    </w:pPr>
    <w:rPr>
      <w:rFonts w:ascii="Arial" w:hAnsi="Arial" w:eastAsia="黑体" w:cs="Times New Roman"/>
      <w:b/>
      <w:bCs/>
      <w:kern w:val="0"/>
      <w:sz w:val="28"/>
      <w:szCs w:val="20"/>
    </w:rPr>
  </w:style>
  <w:style w:type="paragraph" w:customStyle="1" w:styleId="81">
    <w:name w:val="Default Text"/>
    <w:basedOn w:val="1"/>
    <w:qFormat/>
    <w:uiPriority w:val="0"/>
    <w:pPr>
      <w:autoSpaceDE w:val="0"/>
      <w:autoSpaceDN w:val="0"/>
      <w:adjustRightInd w:val="0"/>
      <w:jc w:val="left"/>
    </w:pPr>
    <w:rPr>
      <w:rFonts w:ascii="Helvetica" w:hAnsi="Helvetica"/>
      <w:kern w:val="0"/>
      <w:sz w:val="22"/>
    </w:rPr>
  </w:style>
  <w:style w:type="paragraph" w:customStyle="1" w:styleId="82">
    <w:name w:val="缺省文本"/>
    <w:qFormat/>
    <w:uiPriority w:val="99"/>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customStyle="1" w:styleId="83">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5">
    <w:name w:val="Normal_3"/>
    <w:autoRedefine/>
    <w:qFormat/>
    <w:uiPriority w:val="0"/>
    <w:rPr>
      <w:rFonts w:ascii="黑体" w:hAnsi="黑体" w:eastAsia="黑体" w:cs="Times New Roman"/>
      <w:b/>
      <w:sz w:val="32"/>
      <w:szCs w:val="24"/>
      <w:lang w:val="en-US" w:eastAsia="zh-CN" w:bidi="ar-SA"/>
    </w:rPr>
  </w:style>
  <w:style w:type="paragraph" w:customStyle="1" w:styleId="86">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8">
    <w:name w:val="索引 11"/>
    <w:basedOn w:val="1"/>
    <w:next w:val="1"/>
    <w:qFormat/>
    <w:uiPriority w:val="0"/>
    <w:pPr>
      <w:spacing w:line="360" w:lineRule="auto"/>
    </w:pPr>
    <w:rPr>
      <w:rFonts w:ascii="仿宋_GB2312" w:hAnsi="Times New Roman" w:eastAsia="仿宋_GB2312"/>
      <w:sz w:val="24"/>
      <w:szCs w:val="20"/>
    </w:rPr>
  </w:style>
  <w:style w:type="paragraph" w:customStyle="1" w:styleId="89">
    <w:name w:val="纯文本1"/>
    <w:basedOn w:val="1"/>
    <w:qFormat/>
    <w:uiPriority w:val="0"/>
    <w:rPr>
      <w:rFonts w:ascii="宋体" w:hAnsi="Courier New"/>
      <w:kern w:val="0"/>
      <w:sz w:val="20"/>
      <w:szCs w:val="20"/>
    </w:rPr>
  </w:style>
  <w:style w:type="paragraph" w:customStyle="1" w:styleId="90">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06表格左对齐"/>
    <w:qFormat/>
    <w:uiPriority w:val="0"/>
    <w:pPr>
      <w:widowControl w:val="0"/>
      <w:adjustRightInd w:val="0"/>
      <w:snapToGrid w:val="0"/>
      <w:spacing w:after="0" w:line="240" w:lineRule="auto"/>
    </w:pPr>
    <w:rPr>
      <w:rFonts w:ascii="宋体" w:hAnsi="宋体"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133</Pages>
  <Words>17849</Words>
  <Characters>19433</Characters>
  <Lines>328</Lines>
  <Paragraphs>92</Paragraphs>
  <TotalTime>9</TotalTime>
  <ScaleCrop>false</ScaleCrop>
  <LinksUpToDate>false</LinksUpToDate>
  <CharactersWithSpaces>19891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西噜噜噜噜</cp:lastModifiedBy>
  <cp:lastPrinted>2026-04-02T08:39:00Z</cp:lastPrinted>
  <dcterms:modified xsi:type="dcterms:W3CDTF">2026-05-12T08:08:45Z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A9BC64BE40684CF28B88294C99C7B32E_13</vt:lpwstr>
  </property>
  <property fmtid="{D5CDD505-2E9C-101B-9397-08002B2CF9AE}" pid="4" name="KSOTemplateDocerSaveRecord">
    <vt:lpwstr>eyJoZGlkIjoiZTkzNzQ0ODllNjgwZGM0MmVlYzdhY2ZmMDIzNmY4MzMiLCJ1c2VySWQiOiI0MDY0MTE3NzUifQ==</vt:lpwstr>
  </property>
</Properties>
</file>