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B1BD7">
      <w:pPr>
        <w:pStyle w:val="2"/>
        <w:rPr>
          <w:rFonts w:hint="eastAsia" w:ascii="仿宋_GB2312" w:hAnsi="仿宋_GB2312" w:eastAsia="仿宋_GB2312" w:cs="仿宋_GB2312"/>
          <w:color w:val="000000" w:themeColor="text1"/>
          <w:highlight w:val="none"/>
          <w14:textFill>
            <w14:solidFill>
              <w14:schemeClr w14:val="tx1"/>
            </w14:solidFill>
          </w14:textFill>
        </w:rPr>
      </w:pPr>
    </w:p>
    <w:p w14:paraId="348AF19F">
      <w:pPr>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2AB87A25">
      <w:pPr>
        <w:jc w:val="center"/>
        <w:rPr>
          <w:rFonts w:hint="eastAsia" w:ascii="仿宋_GB2312" w:hAnsi="仿宋_GB2312" w:eastAsia="仿宋_GB2312" w:cs="仿宋_GB2312"/>
          <w:b/>
          <w:color w:val="000000" w:themeColor="text1"/>
          <w:sz w:val="36"/>
          <w:szCs w:val="36"/>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36"/>
          <w:szCs w:val="36"/>
          <w:highlight w:val="none"/>
          <w:lang w:eastAsia="zh-CN"/>
          <w14:textFill>
            <w14:solidFill>
              <w14:schemeClr w14:val="tx1"/>
            </w14:solidFill>
          </w14:textFill>
        </w:rPr>
        <w:t>市级公安大数据研判服务支撑中心(二期)建设项目-设备采购</w:t>
      </w:r>
    </w:p>
    <w:p w14:paraId="2DEF8D2A">
      <w:pPr>
        <w:tabs>
          <w:tab w:val="left" w:pos="5985"/>
        </w:tabs>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b/>
      </w:r>
    </w:p>
    <w:p w14:paraId="0089A166">
      <w:pPr>
        <w:pStyle w:val="13"/>
        <w:jc w:val="center"/>
        <w:rPr>
          <w:rFonts w:hint="eastAsia" w:ascii="仿宋_GB2312" w:hAnsi="仿宋_GB2312" w:eastAsia="仿宋_GB2312" w:cs="仿宋_GB2312"/>
          <w:color w:val="000000" w:themeColor="text1"/>
          <w:highlight w:val="none"/>
          <w14:textFill>
            <w14:solidFill>
              <w14:schemeClr w14:val="tx1"/>
            </w14:solidFill>
          </w14:textFill>
        </w:rPr>
      </w:pPr>
    </w:p>
    <w:p w14:paraId="68E3125D">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F6D1204">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61A9991">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公开招标文件</w:t>
      </w:r>
    </w:p>
    <w:p w14:paraId="2177E38D">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（电子招投标）</w:t>
      </w:r>
    </w:p>
    <w:p w14:paraId="2DE0A14C">
      <w:pPr>
        <w:spacing w:line="600" w:lineRule="exact"/>
        <w:jc w:val="center"/>
        <w:rPr>
          <w:rFonts w:hint="eastAsia" w:ascii="仿宋_GB2312" w:hAnsi="仿宋_GB2312" w:eastAsia="仿宋_GB2312" w:cs="仿宋_GB2312"/>
          <w:color w:val="000000" w:themeColor="text1"/>
          <w:sz w:val="30"/>
          <w:szCs w:val="30"/>
          <w:highlight w:val="none"/>
          <w:lang w:eastAsia="zh-C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编号:</w:t>
      </w:r>
      <w:r>
        <w:rPr>
          <w:rFonts w:hint="eastAsia" w:ascii="仿宋_GB2312" w:hAnsi="仿宋_GB2312" w:eastAsia="仿宋_GB2312" w:cs="仿宋_GB2312"/>
          <w:color w:val="000000" w:themeColor="text1"/>
          <w:sz w:val="30"/>
          <w:szCs w:val="30"/>
          <w:highlight w:val="none"/>
          <w:lang w:eastAsia="zh-CN"/>
          <w14:textFill>
            <w14:solidFill>
              <w14:schemeClr w14:val="tx1"/>
            </w14:solidFill>
          </w14:textFill>
        </w:rPr>
        <w:t>ZSZFCG2026-ZB-026</w:t>
      </w:r>
    </w:p>
    <w:p w14:paraId="04182F75">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7CE08AD7">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78448BB2">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5ADD857A">
      <w:pPr>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4F9110FC">
      <w:pPr>
        <w:adjustRightInd w:val="0"/>
        <w:snapToGrid w:val="0"/>
        <w:spacing w:line="600" w:lineRule="exact"/>
        <w:jc w:val="center"/>
        <w:rPr>
          <w:rFonts w:hint="eastAsia" w:ascii="仿宋_GB2312" w:hAnsi="仿宋_GB2312" w:eastAsia="仿宋_GB2312" w:cs="仿宋_GB2312"/>
          <w:color w:val="000000" w:themeColor="text1"/>
          <w:sz w:val="30"/>
          <w:szCs w:val="30"/>
          <w:highlight w:val="none"/>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0"/>
          <w:szCs w:val="30"/>
          <w:highlight w:val="none"/>
          <w:shd w:val="clear" w:color="auto" w:fill="FFFFFF"/>
          <w:lang w:eastAsia="zh-CN"/>
          <w14:textFill>
            <w14:solidFill>
              <w14:schemeClr w14:val="tx1"/>
            </w14:solidFill>
          </w14:textFill>
        </w:rPr>
        <w:t>舟山市公安局</w:t>
      </w:r>
    </w:p>
    <w:p w14:paraId="5BAEF3E7">
      <w:pPr>
        <w:adjustRightInd w:val="0"/>
        <w:snapToGrid w:val="0"/>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舟山市公共资源交易中心</w:t>
      </w:r>
    </w:p>
    <w:p w14:paraId="38C6255F">
      <w:pPr>
        <w:adjustRightInd w:val="0"/>
        <w:snapToGrid w:val="0"/>
        <w:spacing w:line="600" w:lineRule="exact"/>
        <w:jc w:val="cente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202</w:t>
      </w:r>
      <w:r>
        <w:rPr>
          <w:rFonts w:hint="eastAsia" w:ascii="仿宋_GB2312" w:hAnsi="仿宋_GB2312" w:eastAsia="仿宋_GB2312" w:cs="仿宋_GB2312"/>
          <w:color w:val="000000" w:themeColor="text1"/>
          <w:sz w:val="30"/>
          <w:szCs w:val="30"/>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0"/>
          <w:szCs w:val="30"/>
          <w:highlight w:val="none"/>
          <w14:textFill>
            <w14:solidFill>
              <w14:schemeClr w14:val="tx1"/>
            </w14:solidFill>
          </w14:textFill>
        </w:rPr>
        <w:t>年</w:t>
      </w:r>
      <w:r>
        <w:rPr>
          <w:rFonts w:hint="eastAsia" w:ascii="仿宋_GB2312" w:hAnsi="仿宋_GB2312" w:eastAsia="仿宋_GB2312" w:cs="仿宋_GB2312"/>
          <w:color w:val="000000" w:themeColor="text1"/>
          <w:sz w:val="30"/>
          <w:szCs w:val="30"/>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0"/>
          <w:szCs w:val="30"/>
          <w:highlight w:val="none"/>
          <w14:textFill>
            <w14:solidFill>
              <w14:schemeClr w14:val="tx1"/>
            </w14:solidFill>
          </w14:textFill>
        </w:rPr>
        <w:t>月</w:t>
      </w:r>
    </w:p>
    <w:p w14:paraId="57121D5A">
      <w:pPr>
        <w:adjustRightInd w:val="0"/>
        <w:snapToGrid w:val="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bookmarkStart w:id="0" w:name="_Hlt67893495"/>
      <w:bookmarkEnd w:id="0"/>
    </w:p>
    <w:p w14:paraId="65D2AC91">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322250A">
      <w:pPr>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目录</w:t>
      </w:r>
    </w:p>
    <w:p w14:paraId="683C99C7">
      <w:pPr>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6CDE4689">
      <w:pPr>
        <w:spacing w:line="36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6612C1F3">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第一部分  招标公告</w:t>
      </w:r>
    </w:p>
    <w:p w14:paraId="1CD8E851">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第二部分  投标人须知</w:t>
      </w:r>
    </w:p>
    <w:p w14:paraId="73516820">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第三部分  采购需求</w:t>
      </w:r>
    </w:p>
    <w:p w14:paraId="2E07BB33">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第四部分  评标办法</w:t>
      </w:r>
    </w:p>
    <w:p w14:paraId="53B5D3D8">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第五部分  拟签订的合同文本</w:t>
      </w:r>
    </w:p>
    <w:p w14:paraId="72EF31B6">
      <w:pPr>
        <w:spacing w:line="360" w:lineRule="auto"/>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第六部分  应提交的有关格式范例</w:t>
      </w:r>
    </w:p>
    <w:p w14:paraId="291B2B5C">
      <w:pPr>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1" w:name="_Hlt91233176"/>
      <w:bookmarkEnd w:id="1"/>
      <w:bookmarkStart w:id="2" w:name="_Toc91899869"/>
    </w:p>
    <w:p w14:paraId="73619FFD">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9141AF4">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C932243">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AF7CD2F">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C334433">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F869E99">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886CB41">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149CDC1">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2DD358F">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5AB0D40">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9704B7E">
      <w:pPr>
        <w:rPr>
          <w:rFonts w:hint="eastAsia" w:ascii="仿宋_GB2312" w:hAnsi="仿宋_GB2312" w:eastAsia="仿宋_GB2312" w:cs="仿宋_GB2312"/>
          <w:color w:val="000000" w:themeColor="text1"/>
          <w:sz w:val="24"/>
          <w:szCs w:val="24"/>
          <w:highlight w:val="none"/>
          <w14:textFill>
            <w14:solidFill>
              <w14:schemeClr w14:val="tx1"/>
            </w14:solidFill>
          </w14:textFill>
        </w:rPr>
      </w:pPr>
    </w:p>
    <w:bookmarkEnd w:id="2"/>
    <w:p w14:paraId="5B731B14">
      <w:pPr>
        <w:ind w:firstLine="4480" w:firstLineChars="1400"/>
        <w:jc w:val="left"/>
        <w:outlineLvl w:val="0"/>
        <w:rPr>
          <w:rFonts w:hint="eastAsia" w:ascii="仿宋_GB2312" w:hAnsi="仿宋_GB2312" w:eastAsia="仿宋_GB2312" w:cs="仿宋_GB2312"/>
          <w:color w:val="000000" w:themeColor="text1"/>
          <w:sz w:val="32"/>
          <w:szCs w:val="32"/>
          <w:highlight w:val="none"/>
          <w14:textFill>
            <w14:solidFill>
              <w14:schemeClr w14:val="tx1"/>
            </w14:solidFill>
          </w14:textFill>
        </w:rPr>
        <w:sectPr>
          <w:footerReference r:id="rId6" w:type="first"/>
          <w:headerReference r:id="rId3" w:type="default"/>
          <w:footerReference r:id="rId4" w:type="default"/>
          <w:footerReference r:id="rId5" w:type="even"/>
          <w:pgSz w:w="11906" w:h="16838"/>
          <w:pgMar w:top="1134" w:right="1134" w:bottom="1134" w:left="1134" w:header="851" w:footer="992" w:gutter="0"/>
          <w:cols w:space="720" w:num="1"/>
          <w:titlePg/>
          <w:docGrid w:type="lines" w:linePitch="312" w:charSpace="117"/>
        </w:sectPr>
      </w:pPr>
      <w:bookmarkStart w:id="3" w:name="_Hlt74728647"/>
      <w:bookmarkEnd w:id="3"/>
      <w:bookmarkStart w:id="4" w:name="_Hlt74729822"/>
      <w:bookmarkEnd w:id="4"/>
      <w:bookmarkStart w:id="5" w:name="_Hlt74707423"/>
      <w:bookmarkEnd w:id="5"/>
      <w:bookmarkStart w:id="6" w:name="_Hlt74649545"/>
      <w:bookmarkEnd w:id="6"/>
      <w:bookmarkStart w:id="7" w:name="_Toc91899871"/>
      <w:bookmarkStart w:id="8" w:name="第二部分"/>
      <w:bookmarkStart w:id="9" w:name="_Toc91899870"/>
    </w:p>
    <w:p w14:paraId="78EE0F63">
      <w:pPr>
        <w:ind w:firstLine="4480" w:firstLineChars="1400"/>
        <w:jc w:val="left"/>
        <w:outlineLvl w:val="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第一部分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招标公告</w:t>
      </w:r>
    </w:p>
    <w:p w14:paraId="09655BE4">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05146EC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t>市级公安大数据研判服务支撑中心(二期)建设项目-设备采购</w:t>
      </w:r>
      <w:r>
        <w:rPr>
          <w:rFonts w:hint="eastAsia" w:ascii="仿宋_GB2312" w:hAnsi="仿宋_GB2312" w:eastAsia="仿宋_GB2312" w:cs="仿宋_GB2312"/>
          <w:color w:val="000000" w:themeColor="text1"/>
          <w:sz w:val="24"/>
          <w:szCs w:val="24"/>
          <w:highlight w:val="none"/>
          <w14:textFill>
            <w14:solidFill>
              <w14:schemeClr w14:val="tx1"/>
            </w14:solidFill>
          </w14:textFill>
        </w:rPr>
        <w:t>的潜在投标人应在政采云平台</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val="0"/>
          <w:bCs w:val="0"/>
          <w:color w:val="000000" w:themeColor="text1"/>
          <w:highlight w:val="none"/>
          <w14:textFill>
            <w14:solidFill>
              <w14:schemeClr w14:val="tx1"/>
            </w14:solidFill>
          </w14:textFill>
        </w:rPr>
        <w:fldChar w:fldCharType="begin"/>
      </w:r>
      <w:r>
        <w:rPr>
          <w:rFonts w:hint="eastAsia" w:ascii="仿宋_GB2312" w:hAnsi="仿宋_GB2312" w:eastAsia="仿宋_GB2312" w:cs="仿宋_GB2312"/>
          <w:b w:val="0"/>
          <w:bCs w:val="0"/>
          <w:color w:val="000000" w:themeColor="text1"/>
          <w:highlight w:val="none"/>
          <w14:textFill>
            <w14:solidFill>
              <w14:schemeClr w14:val="tx1"/>
            </w14:solidFill>
          </w14:textFill>
        </w:rPr>
        <w:instrText xml:space="preserve"> HYPERLINK "https://www.zcygov.cn/）获取（下载）招标文件，并于2024年8月9日9点%2015分00秒" </w:instrText>
      </w:r>
      <w:r>
        <w:rPr>
          <w:rFonts w:hint="eastAsia" w:ascii="仿宋_GB2312" w:hAnsi="仿宋_GB2312" w:eastAsia="仿宋_GB2312" w:cs="仿宋_GB2312"/>
          <w:b w:val="0"/>
          <w:bCs w:val="0"/>
          <w:color w:val="000000" w:themeColor="text1"/>
          <w:highlight w:val="none"/>
          <w14:textFill>
            <w14:solidFill>
              <w14:schemeClr w14:val="tx1"/>
            </w14:solidFill>
          </w14:textFill>
        </w:rPr>
        <w:fldChar w:fldCharType="separate"/>
      </w:r>
      <w:r>
        <w:rPr>
          <w:rStyle w:val="33"/>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https://www.zcygov.cn/）获取（下载）招标文件，并于202</w:t>
      </w:r>
      <w:r>
        <w:rPr>
          <w:rStyle w:val="33"/>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6</w:t>
      </w:r>
      <w:r>
        <w:rPr>
          <w:rStyle w:val="33"/>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年</w:t>
      </w:r>
      <w:r>
        <w:rPr>
          <w:rStyle w:val="33"/>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6月23</w:t>
      </w:r>
      <w:r>
        <w:rPr>
          <w:rStyle w:val="33"/>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日9点 15分00秒</w:t>
      </w:r>
      <w:r>
        <w:rPr>
          <w:rStyle w:val="33"/>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24"/>
          <w:szCs w:val="24"/>
          <w:highlight w:val="none"/>
          <w14:textFill>
            <w14:solidFill>
              <w14:schemeClr w14:val="tx1"/>
            </w14:solidFill>
          </w14:textFill>
        </w:rPr>
        <w:t>（北京时间）前递交（上传）投标文件。</w:t>
      </w:r>
    </w:p>
    <w:p w14:paraId="2128A578">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一、项目基本情况</w:t>
      </w:r>
    </w:p>
    <w:p w14:paraId="67258DF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项目编号：</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ZSZFCG2026-ZB-026</w:t>
      </w:r>
    </w:p>
    <w:p w14:paraId="2769157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项目名称：</w:t>
      </w:r>
      <w:r>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t>市级公安大数据研判服务支撑中心(二期)建设项目-设备采购</w:t>
      </w:r>
    </w:p>
    <w:p w14:paraId="62B308A9">
      <w:pPr>
        <w:spacing w:line="420" w:lineRule="exact"/>
        <w:ind w:firstLine="480" w:firstLineChars="200"/>
        <w:contextualSpacing/>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t>预算金额（元）</w:t>
      </w:r>
      <w:r>
        <w:rPr>
          <w:rFonts w:hint="eastAsia" w:ascii="仿宋_GB2312" w:hAnsi="仿宋_GB2312" w:eastAsia="仿宋_GB2312" w:cs="仿宋_GB2312"/>
          <w:bCs/>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t xml:space="preserve">13169992      </w:t>
      </w:r>
    </w:p>
    <w:p w14:paraId="027F8E69">
      <w:pPr>
        <w:spacing w:line="420" w:lineRule="exact"/>
        <w:ind w:firstLine="480" w:firstLineChars="200"/>
        <w:contextualSpacing/>
        <w:rPr>
          <w:rFonts w:hint="eastAsia" w:ascii="仿宋_GB2312" w:hAnsi="仿宋_GB2312" w:eastAsia="仿宋_GB2312" w:cs="仿宋_GB2312"/>
          <w:bCs/>
          <w:color w:val="000000" w:themeColor="text1"/>
          <w:sz w:val="24"/>
          <w:szCs w:val="24"/>
          <w:highlight w:val="yellow"/>
          <w14:textFill>
            <w14:solidFill>
              <w14:schemeClr w14:val="tx1"/>
            </w14:solidFill>
          </w14:textFill>
        </w:rPr>
      </w:pPr>
      <w:r>
        <w:rPr>
          <w:rFonts w:hint="eastAsia" w:ascii="仿宋_GB2312" w:hAnsi="仿宋_GB2312" w:eastAsia="仿宋_GB2312" w:cs="仿宋_GB2312"/>
          <w:bCs/>
          <w:color w:val="000000" w:themeColor="text1"/>
          <w:sz w:val="24"/>
          <w:szCs w:val="24"/>
          <w:highlight w:val="none"/>
          <w:lang w:eastAsia="zh-CN"/>
          <w14:textFill>
            <w14:solidFill>
              <w14:schemeClr w14:val="tx1"/>
            </w14:solidFill>
          </w14:textFill>
        </w:rPr>
        <w:t>最高限价（元）:</w:t>
      </w:r>
      <w:r>
        <w:rPr>
          <w:rFonts w:hint="eastAsia" w:ascii="仿宋_GB2312" w:hAnsi="仿宋_GB2312" w:eastAsia="仿宋_GB2312" w:cs="仿宋_GB2312"/>
          <w:bCs/>
          <w:color w:val="000000" w:themeColor="text1"/>
          <w:sz w:val="24"/>
          <w:szCs w:val="24"/>
          <w:highlight w:val="none"/>
          <w:lang w:val="en-US" w:eastAsia="zh-CN"/>
          <w14:textFill>
            <w14:solidFill>
              <w14:schemeClr w14:val="tx1"/>
            </w14:solidFill>
          </w14:textFill>
        </w:rPr>
        <w:t>13169992</w:t>
      </w:r>
    </w:p>
    <w:p w14:paraId="0D32DFB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采购需求：详见招标文件第三部分采购需求</w:t>
      </w:r>
    </w:p>
    <w:p w14:paraId="0F63A5C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合同履约期限：详见采购文件</w:t>
      </w:r>
    </w:p>
    <w:p w14:paraId="1F6A162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本项目接受联合体投标：</w:t>
      </w:r>
      <w:r>
        <w:rPr>
          <w:rFonts w:hint="eastAsia" w:ascii="仿宋_GB2312" w:hAnsi="仿宋_GB2312" w:eastAsia="仿宋_GB2312" w:cs="仿宋_GB2312"/>
          <w:color w:val="000000" w:themeColor="text1"/>
          <w:sz w:val="24"/>
          <w:szCs w:val="24"/>
          <w:highlight w:val="none"/>
          <w14:textFill>
            <w14:solidFill>
              <w14:schemeClr w14:val="tx1"/>
            </w14:solidFill>
          </w14:textFill>
        </w:rPr>
        <w:sym w:font="Wingdings" w:char="00A8"/>
      </w:r>
      <w:r>
        <w:rPr>
          <w:rFonts w:hint="eastAsia" w:ascii="仿宋_GB2312" w:hAnsi="仿宋_GB2312" w:eastAsia="仿宋_GB2312" w:cs="仿宋_GB2312"/>
          <w:color w:val="000000" w:themeColor="text1"/>
          <w:sz w:val="24"/>
          <w:szCs w:val="24"/>
          <w:highlight w:val="none"/>
          <w14:textFill>
            <w14:solidFill>
              <w14:schemeClr w14:val="tx1"/>
            </w14:solidFill>
          </w14:textFill>
        </w:rPr>
        <w:t>否，</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是。</w:t>
      </w:r>
    </w:p>
    <w:p w14:paraId="18FAEEBB">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二、申请人的资格要求：</w:t>
      </w:r>
    </w:p>
    <w:p w14:paraId="396848B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 满足《中华人民共和国政府采购法》第二十二条规定；未被“信用中国”（www.creditchina.gov.cn)、中国政府采购网（www.ccgp.gov.cn）列入失信被执行人、重大税收违法失信主体、政府采购严重违法失信行为记录名单；</w:t>
      </w:r>
    </w:p>
    <w:p w14:paraId="177E0DB4">
      <w:pPr>
        <w:spacing w:line="420" w:lineRule="exact"/>
        <w:ind w:firstLine="552"/>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2.落实政府采购政策需满足的资格要求：</w:t>
      </w:r>
    </w:p>
    <w:p w14:paraId="0FB29CD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☐无</w:t>
      </w:r>
    </w:p>
    <w:p w14:paraId="72D4830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☐专门面向中小企业</w:t>
      </w:r>
    </w:p>
    <w:p w14:paraId="5E79F270">
      <w:pPr>
        <w:spacing w:line="420" w:lineRule="exact"/>
        <w:ind w:firstLine="960" w:firstLineChars="4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☐货物全部由符合政策要求的中小企业制造，提供中小企业声明函；</w:t>
      </w:r>
    </w:p>
    <w:p w14:paraId="16E22B88">
      <w:pPr>
        <w:spacing w:line="420" w:lineRule="exact"/>
        <w:ind w:firstLine="960" w:firstLineChars="4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☐货物全部由符合政策要求的小微企业制造，提供中小企业声明函；</w:t>
      </w:r>
    </w:p>
    <w:p w14:paraId="4C47A5FC">
      <w:pPr>
        <w:spacing w:line="420" w:lineRule="exact"/>
        <w:ind w:firstLine="960" w:firstLineChars="4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☐服务全部由符合政策要求的中小企业承接，提供中小企业声明函；</w:t>
      </w:r>
    </w:p>
    <w:p w14:paraId="16A852DB">
      <w:pPr>
        <w:spacing w:line="420" w:lineRule="exact"/>
        <w:ind w:firstLine="960" w:firstLineChars="4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☐服务全部由符合政策要求的小微企业承接，提供中小企业声明函；</w:t>
      </w:r>
    </w:p>
    <w:p w14:paraId="05AFF72D">
      <w:pPr>
        <w:spacing w:line="420" w:lineRule="exact"/>
        <w:ind w:firstLine="42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要求以联合体形式参加，提供联合协议和中小企业声明函，联合协议中中小企业合同金额应当达到</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40</w:t>
      </w:r>
      <w:r>
        <w:rPr>
          <w:rFonts w:hint="eastAsia" w:ascii="仿宋_GB2312" w:hAnsi="仿宋_GB2312" w:eastAsia="仿宋_GB2312" w:cs="仿宋_GB2312"/>
          <w:color w:val="000000" w:themeColor="text1"/>
          <w:sz w:val="24"/>
          <w:szCs w:val="24"/>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p>
    <w:p w14:paraId="0553B0B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☐要求合同分包，提供分包意向协议和中小企业声明函，分包意向协议中，中小微企业合同份额应当</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不低于</w:t>
      </w:r>
      <w:r>
        <w:rPr>
          <w:rFonts w:hint="eastAsia" w:ascii="仿宋_GB2312" w:hAnsi="仿宋_GB2312" w:eastAsia="仿宋_GB2312" w:cs="仿宋_GB2312"/>
          <w:color w:val="000000" w:themeColor="text1"/>
          <w:sz w:val="24"/>
          <w:szCs w:val="24"/>
          <w:highlight w:val="none"/>
          <w14:textFill>
            <w14:solidFill>
              <w14:schemeClr w14:val="tx1"/>
            </w14:solidFill>
          </w14:textFill>
        </w:rPr>
        <w:t>合同总金额的</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%，如果供应商本身提供所有标的均由中小微企业制造、承建或承接，视同符合了资格条件，无需再向中小微企业分包，无需提供分包意向协议；</w:t>
      </w:r>
    </w:p>
    <w:p w14:paraId="02B9990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3.本项目的特定资格要求：无</w:t>
      </w:r>
    </w:p>
    <w:p w14:paraId="48DF7ED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0FC5749">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三、获取招标文件</w:t>
      </w:r>
    </w:p>
    <w:p w14:paraId="38ABCD9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时间：/至202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6月23</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，每天上午00:00至12:00 ，下午12:00至23:59（北京时间，线上获取法定节假日均可，线下获取文件法定节假日除外的工作时间）</w:t>
      </w:r>
    </w:p>
    <w:p w14:paraId="7D846A5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地点（网址）：政采云平台（https://www.zcygov.cn/）</w:t>
      </w:r>
    </w:p>
    <w:p w14:paraId="61DD470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方式：供应商登录政采云平台https://www.zcygov.cn/在线申请获取采购文件（进入“项目采购”应用，在获取采购文件菜单中选择项目，申请获取采购文件）。</w:t>
      </w:r>
    </w:p>
    <w:p w14:paraId="66B9C33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售价（元）：0 </w:t>
      </w:r>
      <w:r>
        <w:rPr>
          <w:rFonts w:hint="eastAsia" w:ascii="仿宋_GB2312" w:hAnsi="仿宋_GB2312" w:eastAsia="仿宋_GB2312" w:cs="仿宋_GB2312"/>
          <w:color w:val="000000" w:themeColor="text1"/>
          <w:sz w:val="24"/>
          <w:szCs w:val="24"/>
          <w:highlight w:val="none"/>
          <w14:textFill>
            <w14:solidFill>
              <w14:schemeClr w14:val="tx1"/>
            </w14:solidFill>
          </w14:textFill>
        </w:rPr>
        <w:tab/>
      </w:r>
    </w:p>
    <w:p w14:paraId="0A1E08D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四、提交投标文件截止时间、开标时间和地点</w:t>
      </w:r>
    </w:p>
    <w:p w14:paraId="001D8EC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提交投标文件截止时间：202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6月23</w:t>
      </w:r>
      <w:r>
        <w:rPr>
          <w:rFonts w:hint="eastAsia" w:ascii="仿宋_GB2312" w:hAnsi="仿宋_GB2312" w:eastAsia="仿宋_GB2312" w:cs="仿宋_GB2312"/>
          <w:color w:val="000000" w:themeColor="text1"/>
          <w:sz w:val="24"/>
          <w:szCs w:val="24"/>
          <w:highlight w:val="none"/>
          <w14:textFill>
            <w14:solidFill>
              <w14:schemeClr w14:val="tx1"/>
            </w14:solidFill>
          </w14:textFill>
        </w:rPr>
        <w:t>日9点15分 （北京时间）</w:t>
      </w:r>
    </w:p>
    <w:p w14:paraId="008B9DC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投标地点（网址）：政采云平台（https://www.zcygov.cn/） </w:t>
      </w:r>
    </w:p>
    <w:p w14:paraId="1E872B2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开标时间：202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6月23</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日9点15分 </w:t>
      </w:r>
    </w:p>
    <w:p w14:paraId="1ABDC70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开标地点（网址）：政采云平台（https://www.zcygov.cn/）</w:t>
      </w:r>
    </w:p>
    <w:p w14:paraId="3104AD50">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五、公告期限</w:t>
      </w:r>
    </w:p>
    <w:p w14:paraId="30BCBB1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自本公告发布之日起5个工作日。</w:t>
      </w:r>
    </w:p>
    <w:p w14:paraId="655FCBED">
      <w:pPr>
        <w:spacing w:line="420" w:lineRule="exact"/>
        <w:ind w:firstLine="482"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六、其他补充事宜</w:t>
      </w:r>
    </w:p>
    <w:p w14:paraId="62A8782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048F133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180682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A0DCAE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25787934">
      <w:pPr>
        <w:spacing w:line="420" w:lineRule="exact"/>
        <w:ind w:firstLine="602" w:firstLineChars="25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七、对本次采购提出询问、质疑、投诉，请按以下方式联系</w:t>
      </w:r>
    </w:p>
    <w:p w14:paraId="11F2531A">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名称:</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舟山市公安局</w:t>
      </w:r>
    </w:p>
    <w:p w14:paraId="0B4285C6">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  浙江省舟山市定海区新城千岛路99号</w:t>
      </w:r>
    </w:p>
    <w:p w14:paraId="0878BD21">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传真: </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p>
    <w:p w14:paraId="34797623">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项目联系人（询问）:</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董警官</w:t>
      </w:r>
    </w:p>
    <w:p w14:paraId="3CDA1FBB">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项目联系方式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0580-</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2072201</w:t>
      </w:r>
    </w:p>
    <w:p w14:paraId="64B8DD96">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质疑联系人：</w:t>
      </w:r>
      <w:r>
        <w:rPr>
          <w:rFonts w:hint="eastAsia" w:ascii="仿宋_GB2312" w:eastAsia="仿宋_GB2312"/>
          <w:sz w:val="24"/>
        </w:rPr>
        <w:t>杨</w:t>
      </w:r>
      <w:r>
        <w:rPr>
          <w:rFonts w:hint="eastAsia" w:ascii="仿宋_GB2312" w:eastAsia="仿宋_GB2312"/>
          <w:sz w:val="24"/>
          <w:lang w:val="en-US" w:eastAsia="zh-CN"/>
        </w:rPr>
        <w:t>警官</w:t>
      </w:r>
    </w:p>
    <w:p w14:paraId="125CFD2D">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质疑联系方式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0580-</w:t>
      </w:r>
      <w:r>
        <w:rPr>
          <w:rFonts w:hint="eastAsia" w:ascii="仿宋_GB2312" w:eastAsia="仿宋_GB2312"/>
          <w:sz w:val="24"/>
        </w:rPr>
        <w:t>2072208</w:t>
      </w:r>
    </w:p>
    <w:p w14:paraId="2D9A99F9">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2.采购代理机构信息</w:t>
      </w:r>
    </w:p>
    <w:p w14:paraId="5EED537A">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名称：舟山市公共资源交易中心</w:t>
      </w:r>
    </w:p>
    <w:p w14:paraId="5F5FE0C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地址：舟山市新城翁山路555号四楼（大宗商品交易中心同幢西边）</w:t>
      </w:r>
    </w:p>
    <w:p w14:paraId="3937999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传真：/             </w:t>
      </w:r>
    </w:p>
    <w:p w14:paraId="6815642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项目联系人（询问）：丁先生</w:t>
      </w:r>
    </w:p>
    <w:p w14:paraId="6507FB3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项目联系方式（询问）：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0580-2280948</w:t>
      </w:r>
    </w:p>
    <w:p w14:paraId="0BC65B5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质疑联系人：</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陈女士</w:t>
      </w:r>
    </w:p>
    <w:p w14:paraId="0BC51E11">
      <w:pPr>
        <w:keepNext w:val="0"/>
        <w:keepLines w:val="0"/>
        <w:pageBreakBefore w:val="0"/>
        <w:kinsoku/>
        <w:wordWrap/>
        <w:overflowPunct/>
        <w:topLinePunct w:val="0"/>
        <w:autoSpaceDE/>
        <w:autoSpaceDN/>
        <w:bidi w:val="0"/>
        <w:adjustRightInd/>
        <w:snapToGrid/>
        <w:spacing w:line="360" w:lineRule="auto"/>
        <w:ind w:firstLine="480"/>
        <w:contextualSpacing/>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质疑联系方式：0580-22809</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52</w:t>
      </w:r>
      <w:r>
        <w:rPr>
          <w:rFonts w:hint="eastAsia" w:ascii="仿宋_GB2312" w:hAnsi="仿宋_GB2312" w:eastAsia="仿宋_GB2312" w:cs="仿宋_GB2312"/>
          <w:color w:val="000000" w:themeColor="text1"/>
          <w:sz w:val="24"/>
          <w:highlight w:val="none"/>
          <w14:textFill>
            <w14:solidFill>
              <w14:schemeClr w14:val="tx1"/>
            </w14:solidFill>
          </w14:textFill>
        </w:rPr>
        <w:t>　</w:t>
      </w:r>
    </w:p>
    <w:p w14:paraId="1ACF0FAF">
      <w:pPr>
        <w:keepNext w:val="0"/>
        <w:keepLines w:val="0"/>
        <w:pageBreakBefore w:val="0"/>
        <w:numPr>
          <w:ilvl w:val="0"/>
          <w:numId w:val="3"/>
        </w:numPr>
        <w:kinsoku/>
        <w:wordWrap/>
        <w:overflowPunct/>
        <w:topLinePunct w:val="0"/>
        <w:autoSpaceDE/>
        <w:autoSpaceDN/>
        <w:bidi w:val="0"/>
        <w:adjustRightInd/>
        <w:snapToGrid/>
        <w:spacing w:line="360" w:lineRule="auto"/>
        <w:ind w:firstLine="48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同级政府采购监督管理部门</w:t>
      </w:r>
    </w:p>
    <w:p w14:paraId="4EB77675">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名称：舟山市财政局政府采购监管处</w:t>
      </w:r>
    </w:p>
    <w:p w14:paraId="00D65A02">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地址：舟山市定海区新城海天大道681号</w:t>
      </w:r>
    </w:p>
    <w:p w14:paraId="69601A1F">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传真：0580-2282591</w:t>
      </w:r>
    </w:p>
    <w:p w14:paraId="200B7B57">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联系人：王女士</w:t>
      </w:r>
    </w:p>
    <w:p w14:paraId="5E5B1A7B">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监督投诉电话：0580-2282591</w:t>
      </w:r>
    </w:p>
    <w:p w14:paraId="5C7ACD1C">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45A040B0">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CA问题联系电话（人工）：汇信CA 400-888-4636；天谷CA 400-087-8198。</w:t>
      </w:r>
    </w:p>
    <w:p w14:paraId="674B6CCD">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33E23015">
      <w:pPr>
        <w:keepNext w:val="0"/>
        <w:pageBreakBefore w:val="0"/>
        <w:kinsoku/>
        <w:overflowPunct/>
        <w:autoSpaceDE/>
        <w:autoSpaceDN/>
        <w:bidi w:val="0"/>
        <w:adjustRightInd/>
        <w:snapToGrid/>
        <w:spacing w:line="240" w:lineRule="auto"/>
        <w:jc w:val="center"/>
        <w:textAlignment w:val="auto"/>
        <w:outlineLvl w:val="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br w:type="page"/>
      </w:r>
      <w:bookmarkEnd w:id="7"/>
      <w:bookmarkEnd w:id="8"/>
      <w:bookmarkEnd w:id="9"/>
      <w:bookmarkStart w:id="10" w:name="第三部分"/>
      <w:bookmarkStart w:id="11" w:name="_Toc164416483"/>
      <w:r>
        <w:rPr>
          <w:rFonts w:hint="eastAsia" w:ascii="仿宋_GB2312" w:hAnsi="仿宋_GB2312" w:eastAsia="仿宋_GB2312" w:cs="仿宋_GB2312"/>
          <w:color w:val="000000" w:themeColor="text1"/>
          <w:sz w:val="32"/>
          <w:szCs w:val="32"/>
          <w:highlight w:val="none"/>
          <w14:textFill>
            <w14:solidFill>
              <w14:schemeClr w14:val="tx1"/>
            </w14:solidFill>
          </w14:textFill>
        </w:rPr>
        <w:t>第二部分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投标人须知</w:t>
      </w:r>
    </w:p>
    <w:p w14:paraId="55CF28F7">
      <w:pPr>
        <w:keepNext w:val="0"/>
        <w:keepLines/>
        <w:pageBreakBefore w:val="0"/>
        <w:widowControl/>
        <w:kinsoku/>
        <w:wordWrap w:val="0"/>
        <w:overflowPunct/>
        <w:topLinePunct/>
        <w:autoSpaceDE/>
        <w:autoSpaceDN/>
        <w:bidi w:val="0"/>
        <w:adjustRightInd/>
        <w:snapToGrid/>
        <w:spacing w:line="240" w:lineRule="auto"/>
        <w:contextualSpacing/>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前附表</w:t>
      </w:r>
    </w:p>
    <w:tbl>
      <w:tblPr>
        <w:tblStyle w:val="28"/>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0251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2A1F2DE">
            <w:pPr>
              <w:spacing w:line="540" w:lineRule="exact"/>
              <w:contextualSpacing/>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E74E40C">
            <w:pPr>
              <w:spacing w:line="540" w:lineRule="exact"/>
              <w:contextualSpacing/>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  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697B847B">
            <w:pPr>
              <w:spacing w:line="540" w:lineRule="exact"/>
              <w:contextualSpacing/>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本项目的特别规定</w:t>
            </w:r>
          </w:p>
        </w:tc>
      </w:tr>
      <w:tr w14:paraId="0C403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32559AE">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0F7256E">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76D8AFAB">
            <w:pPr>
              <w:keepNext w:val="0"/>
              <w:keepLines w:val="0"/>
              <w:pageBreakBefore w:val="0"/>
              <w:kinsoku/>
              <w:wordWrap/>
              <w:overflowPunct/>
              <w:topLinePunct w:val="0"/>
              <w:autoSpaceDE/>
              <w:autoSpaceDN/>
              <w:bidi w:val="0"/>
              <w:adjustRightInd/>
              <w:spacing w:line="460" w:lineRule="exact"/>
              <w:contextualSpacing/>
              <w:rPr>
                <w:rFonts w:ascii="仿宋_GB2312" w:eastAsia="仿宋_GB2312"/>
                <w:b/>
                <w:color w:val="auto"/>
                <w:sz w:val="24"/>
                <w:szCs w:val="24"/>
              </w:rPr>
            </w:pP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1</w:t>
            </w:r>
            <w:r>
              <w:rPr>
                <w:rFonts w:hint="eastAsia" w:ascii="仿宋_GB2312" w:eastAsia="仿宋_GB2312"/>
                <w:color w:val="auto"/>
                <w:sz w:val="24"/>
                <w:szCs w:val="24"/>
                <w:lang w:eastAsia="zh-CN"/>
              </w:rPr>
              <w:t>）</w:t>
            </w:r>
            <w:r>
              <w:rPr>
                <w:rFonts w:hint="eastAsia" w:ascii="仿宋_GB2312" w:eastAsia="仿宋_GB2312"/>
                <w:color w:val="auto"/>
                <w:sz w:val="24"/>
                <w:szCs w:val="24"/>
              </w:rPr>
              <w:t>有关本项目实施所需的所有费用（含税费）均计入报价。</w:t>
            </w:r>
            <w:r>
              <w:rPr>
                <w:rFonts w:hint="eastAsia" w:ascii="仿宋_GB2312" w:eastAsia="仿宋_GB2312"/>
                <w:b/>
                <w:color w:val="auto"/>
                <w:sz w:val="24"/>
                <w:szCs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_GB2312" w:eastAsia="仿宋_GB2312"/>
                <w:color w:val="auto"/>
                <w:sz w:val="24"/>
                <w:szCs w:val="24"/>
              </w:rPr>
              <w:t>投标文件中价格全部采用人民币报价。招标文件未列明，而投标人认为必需的费用也需列入报价。</w:t>
            </w:r>
          </w:p>
          <w:p w14:paraId="51D4B20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60" w:lineRule="exact"/>
              <w:ind w:left="0" w:right="0" w:firstLine="0" w:firstLineChars="0"/>
              <w:jc w:val="both"/>
              <w:textAlignment w:val="baseline"/>
              <w:rPr>
                <w:rFonts w:hint="eastAsia" w:ascii="仿宋_GB2312" w:hAnsi="仿宋_GB2312" w:eastAsia="仿宋_GB2312" w:cs="仿宋_GB2312"/>
                <w:b/>
                <w:bCs/>
                <w:i w:val="0"/>
                <w:iCs w:val="0"/>
                <w:caps w:val="0"/>
                <w:color w:val="auto"/>
                <w:spacing w:val="0"/>
                <w:sz w:val="24"/>
                <w:szCs w:val="24"/>
                <w:highlight w:val="none"/>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（2）政府采购评审中出现下列情形之一的，评审委员会应当启动异常低价投标（响应）审查程序：</w:t>
            </w:r>
          </w:p>
          <w:p w14:paraId="062E00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60" w:lineRule="exact"/>
              <w:ind w:left="0" w:right="0" w:firstLine="0"/>
              <w:jc w:val="both"/>
              <w:textAlignment w:val="baseline"/>
              <w:rPr>
                <w:rFonts w:hint="eastAsia" w:ascii="仿宋_GB2312" w:hAnsi="仿宋_GB2312" w:eastAsia="仿宋_GB2312" w:cs="仿宋_GB2312"/>
                <w:b/>
                <w:bCs/>
                <w:i w:val="0"/>
                <w:iCs w:val="0"/>
                <w:caps w:val="0"/>
                <w:color w:val="auto"/>
                <w:spacing w:val="0"/>
                <w:sz w:val="24"/>
                <w:szCs w:val="24"/>
                <w:highlight w:val="none"/>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1.投标（响应）报价低于全部通过符合性审查供应商投标（响应）报价平均值</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50 %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的，即投标（响应）报价&lt;全部通过符合性审查供应商投标（响应）报价平均值×</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50 %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w:t>
            </w:r>
          </w:p>
          <w:p w14:paraId="572F1F8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460" w:lineRule="exact"/>
              <w:ind w:left="0" w:right="0" w:firstLine="0"/>
              <w:jc w:val="both"/>
              <w:textAlignment w:val="baseline"/>
              <w:rPr>
                <w:rFonts w:hint="eastAsia" w:ascii="仿宋_GB2312" w:hAnsi="仿宋_GB2312" w:eastAsia="仿宋_GB2312" w:cs="仿宋_GB2312"/>
                <w:b/>
                <w:bCs/>
                <w:i w:val="0"/>
                <w:iCs w:val="0"/>
                <w:caps w:val="0"/>
                <w:color w:val="auto"/>
                <w:spacing w:val="0"/>
                <w:sz w:val="24"/>
                <w:szCs w:val="24"/>
                <w:highlight w:val="none"/>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2.投标（响应）报价低于通过符合性审查的次低报价供应商投标（响应）报价</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50 %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的，即投标（响应）报价&lt;通过符合性审查的次低报价供应商投标（响应）报价×</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50 %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w:t>
            </w:r>
          </w:p>
          <w:p w14:paraId="5D0CEB7E">
            <w:pPr>
              <w:keepNext w:val="0"/>
              <w:keepLines w:val="0"/>
              <w:pageBreakBefore w:val="0"/>
              <w:widowControl/>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460" w:lineRule="exact"/>
              <w:ind w:firstLine="0"/>
              <w:jc w:val="both"/>
              <w:textAlignment w:val="baseline"/>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3.投标（响应）报价低于采购项目最高限价</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45 %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的，即投标（响应）报价&lt;采购项目最高限价×</w:t>
            </w:r>
            <w:r>
              <w:rPr>
                <w:rFonts w:hint="eastAsia" w:ascii="仿宋_GB2312" w:hAnsi="仿宋_GB2312" w:eastAsia="仿宋_GB2312" w:cs="仿宋_GB2312"/>
                <w:b/>
                <w:bCs/>
                <w:i w:val="0"/>
                <w:iCs w:val="0"/>
                <w:caps w:val="0"/>
                <w:color w:val="auto"/>
                <w:spacing w:val="0"/>
                <w:w w:val="100"/>
                <w:kern w:val="0"/>
                <w:sz w:val="24"/>
                <w:szCs w:val="24"/>
                <w:highlight w:val="none"/>
                <w:u w:val="single"/>
                <w:shd w:val="clear" w:fill="FFFFFF"/>
                <w:vertAlign w:val="baseline"/>
                <w:lang w:val="en-US" w:eastAsia="zh-CN" w:bidi="ar"/>
              </w:rPr>
              <w:t xml:space="preserve"> 45 %</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w:t>
            </w:r>
          </w:p>
          <w:p w14:paraId="60672A0B">
            <w:pPr>
              <w:keepNext w:val="0"/>
              <w:keepLines w:val="0"/>
              <w:pageBreakBefore w:val="0"/>
              <w:widowControl/>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460" w:lineRule="exact"/>
              <w:ind w:firstLine="0"/>
              <w:jc w:val="both"/>
              <w:textAlignment w:val="baseline"/>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4.评审委员会基于专业判断，认为供应商报价过低，有可能影响产品质量或者不能诚信履约的其他情形。</w:t>
            </w:r>
          </w:p>
          <w:p w14:paraId="285B8DC8">
            <w:pPr>
              <w:pStyle w:val="25"/>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460" w:lineRule="exact"/>
              <w:ind w:left="0" w:right="0" w:firstLine="482" w:firstLineChars="200"/>
              <w:jc w:val="left"/>
              <w:textAlignment w:val="auto"/>
              <w:rPr>
                <w:rFonts w:hint="eastAsia" w:eastAsia="仿宋_GB2312"/>
                <w:color w:val="auto"/>
                <w:lang w:val="en-US" w:eastAsia="zh-CN"/>
              </w:rPr>
            </w:pPr>
            <w:r>
              <w:rPr>
                <w:rFonts w:hint="eastAsia" w:ascii="仿宋_GB2312" w:hAnsi="仿宋_GB2312" w:eastAsia="仿宋_GB2312" w:cs="仿宋_GB2312"/>
                <w:b/>
                <w:bCs/>
                <w:color w:val="auto"/>
                <w:kern w:val="2"/>
                <w:sz w:val="24"/>
                <w:szCs w:val="24"/>
                <w:lang w:val="en-US" w:eastAsia="zh-CN" w:bidi="ar"/>
              </w:rPr>
              <w:t>评标委员会发起询标后，投标人必须在评审现场合理的时间内提供书面说明及必要的证明材料，对投标价格作出解释。书面说明、证明材料主要是项目具体成本测算等与报价合理性相关的说明、材料，包括但不限于原材料成本、人工成本、制造费用等。</w:t>
            </w:r>
          </w:p>
        </w:tc>
      </w:tr>
      <w:tr w14:paraId="3D097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0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D1B6A8E">
            <w:pPr>
              <w:spacing w:line="540" w:lineRule="exact"/>
              <w:contextualSpacing/>
              <w:jc w:val="center"/>
              <w:rPr>
                <w:rFonts w:hint="eastAsia" w:ascii="仿宋_GB2312" w:eastAsia="仿宋_GB2312"/>
                <w:color w:val="auto"/>
                <w:sz w:val="24"/>
                <w:szCs w:val="24"/>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3C1E86D1">
            <w:pPr>
              <w:spacing w:line="540" w:lineRule="exact"/>
              <w:contextualSpacing/>
              <w:jc w:val="center"/>
              <w:rPr>
                <w:rFonts w:hint="eastAsia" w:ascii="仿宋_GB2312" w:eastAsia="仿宋_GB2312"/>
                <w:color w:val="auto"/>
                <w:sz w:val="24"/>
                <w:szCs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E9C41E9">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（3）</w:t>
            </w:r>
            <w:r>
              <w:rPr>
                <w:rFonts w:hint="eastAsia" w:ascii="仿宋_GB2312" w:hAnsi="仿宋_GB2312" w:eastAsia="仿宋_GB2312" w:cs="仿宋_GB2312"/>
                <w:b/>
                <w:color w:val="auto"/>
                <w:sz w:val="24"/>
                <w:szCs w:val="24"/>
              </w:rPr>
              <w:t>投标报价出现下列情形的，投标无效：</w:t>
            </w:r>
          </w:p>
          <w:p w14:paraId="49B34F16">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1.投标文件出现不是唯一的、有选择性投标报价的；</w:t>
            </w:r>
          </w:p>
          <w:p w14:paraId="3DD967B0">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2.投标报价超过招标文件中规定的预算金额或者最高限价的;</w:t>
            </w:r>
          </w:p>
          <w:p w14:paraId="1DD980D1">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3.报价明显低于其他通过符合性审查投标人的报价，有可能影响产品质量或者不能诚信履约的，未能按要求提供书面说明或者提交相关证明材料证明其报价合理性的;</w:t>
            </w:r>
          </w:p>
          <w:p w14:paraId="558066C6">
            <w:pPr>
              <w:pStyle w:val="1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textAlignment w:val="auto"/>
              <w:rPr>
                <w:rFonts w:hint="default" w:ascii="仿宋_GB2312" w:hAnsi="仿宋_GB2312" w:eastAsia="仿宋_GB2312" w:cs="仿宋_GB2312"/>
                <w:b/>
                <w:color w:val="auto"/>
                <w:kern w:val="2"/>
                <w:sz w:val="24"/>
                <w:szCs w:val="24"/>
                <w:lang w:val="en-US" w:eastAsia="zh-CN" w:bidi="ar-SA"/>
              </w:rPr>
            </w:pPr>
            <w:r>
              <w:rPr>
                <w:rFonts w:hint="eastAsia" w:eastAsia="仿宋_GB2312"/>
                <w:color w:val="auto"/>
                <w:lang w:val="en-US" w:eastAsia="zh-CN"/>
              </w:rPr>
              <w:t>4.</w:t>
            </w:r>
            <w:r>
              <w:rPr>
                <w:rFonts w:hint="eastAsia" w:ascii="仿宋_GB2312" w:hAnsi="仿宋_GB2312" w:eastAsia="仿宋_GB2312" w:cs="仿宋_GB2312"/>
                <w:b/>
                <w:color w:val="auto"/>
                <w:kern w:val="2"/>
                <w:sz w:val="24"/>
                <w:szCs w:val="24"/>
                <w:lang w:val="en-US" w:eastAsia="zh-CN" w:bidi="ar-SA"/>
              </w:rPr>
              <w:t>启动异常低价审查后，投标人不能在合理的时间内提供书面说明、证明材料，或者提供的书面说明、证明材料不能证明其报价合理性的。</w:t>
            </w:r>
          </w:p>
          <w:p w14:paraId="627F8F88">
            <w:pPr>
              <w:pStyle w:val="11"/>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color w:val="auto"/>
              </w:rPr>
            </w:pPr>
            <w:r>
              <w:rPr>
                <w:rFonts w:hint="eastAsia" w:ascii="仿宋_GB2312" w:hAnsi="仿宋_GB2312" w:eastAsia="仿宋_GB2312" w:cs="仿宋_GB2312"/>
                <w:b/>
                <w:color w:val="auto"/>
                <w:sz w:val="24"/>
                <w:szCs w:val="24"/>
                <w:lang w:val="en-US" w:eastAsia="zh-CN"/>
              </w:rPr>
              <w:t>5</w:t>
            </w:r>
            <w:r>
              <w:rPr>
                <w:rFonts w:hint="eastAsia" w:ascii="仿宋_GB2312" w:hAnsi="仿宋_GB2312" w:eastAsia="仿宋_GB2312" w:cs="仿宋_GB2312"/>
                <w:b/>
                <w:color w:val="auto"/>
                <w:sz w:val="24"/>
                <w:szCs w:val="24"/>
              </w:rPr>
              <w:t>.投标人对根据修正原则修正后的报价不确认的。</w:t>
            </w:r>
          </w:p>
        </w:tc>
      </w:tr>
      <w:tr w14:paraId="17EEF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6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A7E7B05">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876D2CA">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0218467">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eastAsia="仿宋_GB2312"/>
                <w:color w:val="000000" w:themeColor="text1"/>
                <w:sz w:val="24"/>
                <w:szCs w:val="24"/>
                <w:u w:val="single"/>
                <w:lang w:val="en-US" w:eastAsia="zh-CN"/>
                <w14:textFill>
                  <w14:solidFill>
                    <w14:schemeClr w14:val="tx1"/>
                  </w14:solidFill>
                </w14:textFill>
              </w:rPr>
            </w:pPr>
            <w:r>
              <w:rPr>
                <w:rFonts w:ascii="Arial" w:hAnsi="Arial" w:eastAsia="仿宋_GB2312" w:cs="Arial"/>
                <w:color w:val="auto"/>
                <w:sz w:val="24"/>
                <w:szCs w:val="24"/>
              </w:rPr>
              <w:t>√</w:t>
            </w:r>
            <w:r>
              <w:rPr>
                <w:rFonts w:hint="eastAsia" w:ascii="仿宋_GB2312" w:eastAsia="仿宋_GB2312"/>
                <w:color w:val="auto"/>
                <w:sz w:val="24"/>
                <w:szCs w:val="24"/>
              </w:rPr>
              <w:t>A同意将非主体、非关键性的</w:t>
            </w:r>
            <w:r>
              <w:rPr>
                <w:rFonts w:hint="eastAsia" w:ascii="仿宋_GB2312" w:eastAsia="仿宋_GB2312"/>
                <w:color w:val="000000" w:themeColor="text1"/>
                <w:sz w:val="24"/>
                <w:szCs w:val="24"/>
                <w:u w:val="single"/>
                <w14:textFill>
                  <w14:solidFill>
                    <w14:schemeClr w14:val="tx1"/>
                  </w14:solidFill>
                </w14:textFill>
              </w:rPr>
              <w:t xml:space="preserve"> </w:t>
            </w:r>
            <w:r>
              <w:rPr>
                <w:rFonts w:hint="eastAsia" w:ascii="仿宋_GB2312" w:eastAsia="仿宋_GB2312"/>
                <w:color w:val="000000" w:themeColor="text1"/>
                <w:sz w:val="24"/>
                <w:szCs w:val="24"/>
                <w:u w:val="single"/>
                <w:lang w:val="en-US" w:eastAsia="zh-CN"/>
                <w14:textFill>
                  <w14:solidFill>
                    <w14:schemeClr w14:val="tx1"/>
                  </w14:solidFill>
                </w14:textFill>
              </w:rPr>
              <w:t>前置放大器、功率放大器</w:t>
            </w:r>
          </w:p>
          <w:p w14:paraId="47887902">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eastAsia="仿宋_GB2312"/>
                <w:color w:val="auto"/>
                <w:lang w:val="en-US" w:eastAsia="zh-CN"/>
              </w:rPr>
            </w:pPr>
            <w:r>
              <w:rPr>
                <w:rFonts w:hint="eastAsia" w:ascii="仿宋_GB2312" w:eastAsia="仿宋_GB2312"/>
                <w:color w:val="000000" w:themeColor="text1"/>
                <w:sz w:val="24"/>
                <w:szCs w:val="24"/>
                <w:u w:val="single"/>
                <w:lang w:val="en-US" w:eastAsia="zh-CN"/>
                <w14:textFill>
                  <w14:solidFill>
                    <w14:schemeClr w14:val="tx1"/>
                  </w14:solidFill>
                </w14:textFill>
              </w:rPr>
              <w:t xml:space="preserve">同轴吸顶音箱 </w:t>
            </w:r>
            <w:r>
              <w:rPr>
                <w:rFonts w:hint="eastAsia" w:ascii="仿宋_GB2312" w:eastAsia="仿宋_GB2312"/>
                <w:color w:val="000000" w:themeColor="text1"/>
                <w:sz w:val="24"/>
                <w:szCs w:val="24"/>
                <w14:textFill>
                  <w14:solidFill>
                    <w14:schemeClr w14:val="tx1"/>
                  </w14:solidFill>
                </w14:textFill>
              </w:rPr>
              <w:t>分包。</w:t>
            </w:r>
            <w:r>
              <w:rPr>
                <w:rFonts w:hint="eastAsia" w:ascii="仿宋_GB2312" w:hAnsi="仿宋_GB2312" w:eastAsia="仿宋_GB2312" w:cs="仿宋_GB2312"/>
                <w:color w:val="auto"/>
                <w:sz w:val="24"/>
                <w:highlight w:val="none"/>
              </w:rPr>
              <w:t>本项目上述允许分包的合同份额所占合同总金额小于30%。</w:t>
            </w:r>
            <w:r>
              <w:rPr>
                <w:rFonts w:hint="eastAsia" w:ascii="仿宋_GB2312" w:hAnsi="仿宋_GB2312" w:eastAsia="仿宋_GB2312" w:cs="仿宋_GB2312"/>
                <w:color w:val="auto"/>
                <w:sz w:val="24"/>
                <w:highlight w:val="none"/>
                <w:lang w:val="en-US" w:eastAsia="zh-CN"/>
              </w:rPr>
              <w:t xml:space="preserve"> </w:t>
            </w:r>
          </w:p>
          <w:p w14:paraId="6ED38DB7">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FF0000"/>
                <w:sz w:val="24"/>
                <w:szCs w:val="24"/>
              </w:rPr>
            </w:pPr>
            <w:r>
              <w:rPr>
                <w:rFonts w:hint="eastAsia" w:ascii="MS Mincho" w:hAnsi="MS Mincho" w:eastAsia="MS Mincho" w:cs="MS Mincho"/>
                <w:color w:val="auto"/>
                <w:sz w:val="24"/>
                <w:szCs w:val="24"/>
              </w:rPr>
              <w:t>☐</w:t>
            </w:r>
            <w:r>
              <w:rPr>
                <w:rFonts w:hint="eastAsia" w:ascii="仿宋_GB2312" w:eastAsia="仿宋_GB2312"/>
                <w:color w:val="000000" w:themeColor="text1"/>
                <w:sz w:val="24"/>
                <w:szCs w:val="24"/>
                <w14:textFill>
                  <w14:solidFill>
                    <w14:schemeClr w14:val="tx1"/>
                  </w14:solidFill>
                </w14:textFill>
              </w:rPr>
              <w:t>B不同意分包。</w:t>
            </w:r>
          </w:p>
          <w:p w14:paraId="30A1934F">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color w:val="auto"/>
              </w:rPr>
            </w:pPr>
            <w:r>
              <w:rPr>
                <w:rFonts w:hint="eastAsia"/>
                <w:color w:val="auto"/>
              </w:rPr>
              <w:t>注：不得限制大中型企业向小微企业合理分包。</w:t>
            </w:r>
          </w:p>
        </w:tc>
      </w:tr>
      <w:tr w14:paraId="0E282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69E19F4E">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27249DAD">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60C5AD4">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（1）资格证明文件：见招标文件第二部分11.1。</w:t>
            </w:r>
          </w:p>
          <w:p w14:paraId="5B6E95C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投标人未提供有效的资格证明文件的，视为投标人不具备招标文件中规定的资格要求，投标无效。</w:t>
            </w:r>
          </w:p>
        </w:tc>
      </w:tr>
      <w:tr w14:paraId="4843A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8" w:hRule="atLeast"/>
          <w:tblHeader/>
        </w:trPr>
        <w:tc>
          <w:tcPr>
            <w:tcW w:w="629" w:type="dxa"/>
            <w:vMerge w:val="continue"/>
            <w:tcBorders>
              <w:left w:val="single" w:color="auto" w:sz="4" w:space="0"/>
              <w:bottom w:val="single" w:color="auto" w:sz="4" w:space="0"/>
              <w:right w:val="single" w:color="auto" w:sz="4" w:space="0"/>
            </w:tcBorders>
          </w:tcPr>
          <w:p w14:paraId="4D747BDB">
            <w:pPr>
              <w:spacing w:line="540" w:lineRule="exact"/>
              <w:contextualSpacing/>
              <w:rPr>
                <w:rFonts w:ascii="仿宋_GB2312" w:eastAsia="仿宋_GB2312"/>
                <w:color w:val="auto"/>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7BF421B9">
            <w:pPr>
              <w:spacing w:line="400" w:lineRule="exact"/>
              <w:contextualSpacing/>
              <w:rPr>
                <w:rFonts w:ascii="仿宋_GB2312" w:eastAsia="仿宋_GB2312"/>
                <w:color w:val="auto"/>
                <w:sz w:val="24"/>
                <w:szCs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E978D7B">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（2）资信证明文件：根据招标文件第四部分评标办法提供。</w:t>
            </w:r>
          </w:p>
        </w:tc>
      </w:tr>
      <w:tr w14:paraId="1C93A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FCBAD00">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3D61673">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561C00A">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eastAsia="仿宋_GB2312"/>
                <w:color w:val="auto"/>
                <w:sz w:val="24"/>
                <w:szCs w:val="24"/>
                <w:lang w:eastAsia="zh-CN"/>
              </w:rPr>
            </w:pPr>
            <w:r>
              <w:rPr>
                <w:rFonts w:ascii="Arial" w:hAnsi="Arial" w:eastAsia="仿宋_GB2312" w:cs="Arial"/>
                <w:color w:val="auto"/>
                <w:sz w:val="24"/>
                <w:szCs w:val="24"/>
              </w:rPr>
              <w:t>√</w:t>
            </w:r>
            <w:r>
              <w:rPr>
                <w:rFonts w:hint="eastAsia" w:ascii="仿宋_GB2312" w:eastAsia="仿宋_GB2312"/>
                <w:color w:val="auto"/>
                <w:sz w:val="24"/>
                <w:szCs w:val="24"/>
              </w:rPr>
              <w:t>A不组织。</w:t>
            </w:r>
            <w:r>
              <w:rPr>
                <w:rFonts w:hint="eastAsia" w:ascii="仿宋_GB2312" w:eastAsia="仿宋_GB2312"/>
                <w:color w:val="auto"/>
                <w:sz w:val="24"/>
                <w:szCs w:val="24"/>
                <w:lang w:eastAsia="zh-CN"/>
              </w:rPr>
              <w:t>请需要现场勘察的投标人自行与采购人联系，</w:t>
            </w:r>
            <w:r>
              <w:rPr>
                <w:rFonts w:hint="eastAsia" w:ascii="仿宋_GB2312" w:eastAsia="仿宋_GB2312"/>
                <w:color w:val="auto"/>
                <w:sz w:val="24"/>
                <w:szCs w:val="24"/>
              </w:rPr>
              <w:t>时间：</w:t>
            </w:r>
            <w:r>
              <w:rPr>
                <w:rFonts w:hint="eastAsia" w:ascii="仿宋_GB2312" w:eastAsia="仿宋_GB2312"/>
                <w:color w:val="auto"/>
                <w:sz w:val="24"/>
                <w:szCs w:val="24"/>
                <w:lang w:val="en-US" w:eastAsia="zh-CN"/>
              </w:rPr>
              <w:t xml:space="preserve">   </w:t>
            </w:r>
            <w:r>
              <w:rPr>
                <w:rFonts w:hint="eastAsia" w:ascii="仿宋_GB2312" w:eastAsia="仿宋_GB2312"/>
                <w:color w:val="auto"/>
                <w:sz w:val="24"/>
                <w:szCs w:val="24"/>
              </w:rPr>
              <w:t xml:space="preserve"> ,地点： ，联系人： ，联系方式：</w:t>
            </w:r>
          </w:p>
          <w:p w14:paraId="1C96361F">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B组织，时间： ,地点： ，联系人： ，联系方式：。</w:t>
            </w:r>
          </w:p>
        </w:tc>
      </w:tr>
      <w:tr w14:paraId="6C1DC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1CB311">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0852E805">
            <w:pPr>
              <w:spacing w:line="540" w:lineRule="exact"/>
              <w:contextualSpacing/>
              <w:jc w:val="center"/>
              <w:rPr>
                <w:rFonts w:ascii="仿宋_GB2312" w:eastAsia="仿宋_GB2312"/>
                <w:color w:val="auto"/>
                <w:sz w:val="24"/>
                <w:szCs w:val="24"/>
              </w:rPr>
            </w:pPr>
            <w:r>
              <w:rPr>
                <w:rFonts w:hint="eastAsia" w:ascii="仿宋_GB2312" w:eastAsia="仿宋_GB2312"/>
                <w:color w:val="auto"/>
                <w:sz w:val="24"/>
                <w:szCs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BD07E9E">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ascii="Arial" w:hAnsi="Arial" w:eastAsia="仿宋_GB2312" w:cs="Arial"/>
                <w:color w:val="auto"/>
                <w:sz w:val="24"/>
                <w:szCs w:val="24"/>
              </w:rPr>
              <w:t>√</w:t>
            </w:r>
            <w:r>
              <w:rPr>
                <w:rFonts w:hint="eastAsia" w:ascii="仿宋_GB2312" w:eastAsia="仿宋_GB2312"/>
                <w:color w:val="auto"/>
                <w:sz w:val="24"/>
                <w:szCs w:val="24"/>
              </w:rPr>
              <w:t>A不要求提供。</w:t>
            </w:r>
          </w:p>
          <w:p w14:paraId="6253A7F8">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B要求提供，</w:t>
            </w:r>
          </w:p>
          <w:p w14:paraId="640F54DC">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rPr>
              <w:t>（1）</w:t>
            </w:r>
            <w:r>
              <w:rPr>
                <w:rFonts w:hint="eastAsia" w:ascii="仿宋_GB2312" w:hAnsi="宋体" w:eastAsia="仿宋_GB2312" w:cs="宋体"/>
                <w:snapToGrid w:val="0"/>
                <w:color w:val="auto"/>
                <w:kern w:val="28"/>
                <w:sz w:val="24"/>
              </w:rPr>
              <w:t>样品：</w:t>
            </w:r>
            <w:r>
              <w:rPr>
                <w:rFonts w:hint="eastAsia" w:ascii="仿宋_GB2312" w:hAnsi="宋体" w:eastAsia="仿宋_GB2312" w:cs="宋体"/>
                <w:color w:val="auto"/>
                <w:kern w:val="0"/>
                <w:sz w:val="24"/>
              </w:rPr>
              <w:t>；</w:t>
            </w:r>
          </w:p>
          <w:p w14:paraId="4C578837">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rPr>
              <w:t>（2）</w:t>
            </w:r>
            <w:r>
              <w:rPr>
                <w:rFonts w:hint="eastAsia" w:ascii="仿宋_GB2312" w:hAnsi="宋体" w:eastAsia="仿宋_GB2312" w:cs="宋体"/>
                <w:snapToGrid w:val="0"/>
                <w:color w:val="auto"/>
                <w:kern w:val="28"/>
                <w:sz w:val="24"/>
              </w:rPr>
              <w:t>样品制作的标准和要求：</w:t>
            </w:r>
            <w:r>
              <w:rPr>
                <w:rFonts w:hint="eastAsia" w:ascii="仿宋_GB2312" w:hAnsi="宋体" w:eastAsia="仿宋_GB2312" w:cs="宋体"/>
                <w:color w:val="auto"/>
                <w:kern w:val="0"/>
                <w:sz w:val="24"/>
              </w:rPr>
              <w:t>；</w:t>
            </w:r>
          </w:p>
          <w:p w14:paraId="5F416B3C">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rPr>
              <w:t>（3）样品的评审方法以及评审标准</w:t>
            </w:r>
            <w:r>
              <w:rPr>
                <w:rFonts w:hint="eastAsia" w:ascii="仿宋_GB2312" w:hAnsi="宋体" w:eastAsia="仿宋_GB2312" w:cs="宋体"/>
                <w:snapToGrid w:val="0"/>
                <w:color w:val="auto"/>
                <w:kern w:val="28"/>
                <w:sz w:val="24"/>
              </w:rPr>
              <w:t>：详见</w:t>
            </w:r>
            <w:r>
              <w:rPr>
                <w:rFonts w:hint="eastAsia" w:ascii="仿宋_GB2312" w:hAnsi="宋体" w:eastAsia="仿宋_GB2312" w:cs="宋体"/>
                <w:color w:val="auto"/>
                <w:sz w:val="24"/>
                <w:u w:val="single"/>
              </w:rPr>
              <w:t>评标办法</w:t>
            </w:r>
            <w:r>
              <w:rPr>
                <w:rFonts w:hint="eastAsia" w:ascii="仿宋_GB2312" w:hAnsi="宋体" w:eastAsia="仿宋_GB2312" w:cs="宋体"/>
                <w:color w:val="auto"/>
                <w:kern w:val="0"/>
                <w:sz w:val="24"/>
              </w:rPr>
              <w:t>；</w:t>
            </w:r>
          </w:p>
          <w:p w14:paraId="6B65185B">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kern w:val="0"/>
                <w:sz w:val="24"/>
              </w:rPr>
            </w:pPr>
            <w:r>
              <w:rPr>
                <w:rFonts w:hint="eastAsia" w:ascii="仿宋_GB2312" w:hAnsi="宋体" w:eastAsia="仿宋_GB2312" w:cs="宋体"/>
                <w:color w:val="auto"/>
                <w:kern w:val="0"/>
                <w:sz w:val="24"/>
              </w:rPr>
              <w:t>（4）是否需要随样品提交检测报告：</w:t>
            </w:r>
            <w:r>
              <w:rPr>
                <w:rFonts w:hint="eastAsia" w:ascii="MS Mincho" w:hAnsi="MS Mincho" w:eastAsia="MS Mincho" w:cs="MS Mincho"/>
                <w:color w:val="auto"/>
                <w:kern w:val="0"/>
                <w:sz w:val="24"/>
              </w:rPr>
              <w:t>☐</w:t>
            </w:r>
            <w:r>
              <w:rPr>
                <w:rFonts w:hint="eastAsia" w:ascii="仿宋_GB2312" w:hAnsi="宋体" w:eastAsia="仿宋_GB2312" w:cs="宋体"/>
                <w:color w:val="auto"/>
                <w:kern w:val="0"/>
                <w:sz w:val="24"/>
              </w:rPr>
              <w:t>否；</w:t>
            </w:r>
            <w:r>
              <w:rPr>
                <w:rFonts w:hint="eastAsia" w:ascii="MS Mincho" w:hAnsi="MS Mincho" w:eastAsia="MS Mincho" w:cs="MS Mincho"/>
                <w:color w:val="auto"/>
                <w:kern w:val="0"/>
                <w:sz w:val="24"/>
              </w:rPr>
              <w:t>☐</w:t>
            </w:r>
            <w:r>
              <w:rPr>
                <w:rFonts w:hint="eastAsia" w:ascii="仿宋_GB2312" w:hAnsi="宋体" w:eastAsia="仿宋_GB2312" w:cs="宋体"/>
                <w:color w:val="auto"/>
                <w:kern w:val="0"/>
                <w:sz w:val="24"/>
              </w:rPr>
              <w:t>是，检测机构的要求</w:t>
            </w:r>
            <w:r>
              <w:rPr>
                <w:rFonts w:hint="eastAsia" w:ascii="仿宋_GB2312" w:hAnsi="宋体" w:eastAsia="仿宋_GB2312" w:cs="宋体"/>
                <w:color w:val="auto"/>
                <w:sz w:val="24"/>
              </w:rPr>
              <w:t>：</w:t>
            </w:r>
            <w:r>
              <w:rPr>
                <w:rFonts w:hint="eastAsia" w:ascii="仿宋_GB2312" w:hAnsi="宋体" w:eastAsia="仿宋_GB2312" w:cs="宋体"/>
                <w:color w:val="auto"/>
                <w:kern w:val="0"/>
                <w:sz w:val="24"/>
              </w:rPr>
              <w:t>；检测内容</w:t>
            </w:r>
            <w:r>
              <w:rPr>
                <w:rFonts w:hint="eastAsia" w:ascii="仿宋_GB2312" w:hAnsi="宋体" w:eastAsia="仿宋_GB2312" w:cs="宋体"/>
                <w:color w:val="auto"/>
                <w:sz w:val="24"/>
              </w:rPr>
              <w:t>：</w:t>
            </w:r>
            <w:r>
              <w:rPr>
                <w:rFonts w:hint="eastAsia" w:ascii="仿宋_GB2312" w:hAnsi="宋体" w:eastAsia="仿宋_GB2312" w:cs="宋体"/>
                <w:color w:val="auto"/>
                <w:kern w:val="0"/>
                <w:sz w:val="24"/>
              </w:rPr>
              <w:t>。</w:t>
            </w:r>
          </w:p>
          <w:p w14:paraId="7D7EAB9D">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sz w:val="24"/>
              </w:rPr>
            </w:pPr>
            <w:r>
              <w:rPr>
                <w:rFonts w:hint="eastAsia" w:ascii="仿宋_GB2312" w:hAnsi="宋体" w:eastAsia="仿宋_GB2312" w:cs="宋体"/>
                <w:color w:val="auto"/>
                <w:sz w:val="24"/>
              </w:rPr>
              <w:t>（5）提供样品的时间：</w:t>
            </w:r>
            <w:r>
              <w:rPr>
                <w:rFonts w:hint="eastAsia" w:ascii="仿宋_GB2312" w:hAnsi="宋体" w:eastAsia="仿宋_GB2312" w:cs="宋体"/>
                <w:color w:val="auto"/>
                <w:kern w:val="0"/>
                <w:sz w:val="24"/>
              </w:rPr>
              <w:t>；地点：；联系人</w:t>
            </w:r>
            <w:r>
              <w:rPr>
                <w:rFonts w:hint="eastAsia" w:ascii="仿宋_GB2312" w:hAnsi="宋体" w:eastAsia="仿宋_GB2312" w:cs="宋体"/>
                <w:color w:val="auto"/>
                <w:sz w:val="24"/>
              </w:rPr>
              <w:t>：，</w:t>
            </w:r>
            <w:r>
              <w:rPr>
                <w:rFonts w:hint="eastAsia" w:ascii="仿宋_GB2312" w:hAnsi="宋体" w:eastAsia="仿宋_GB2312" w:cs="宋体"/>
                <w:color w:val="auto"/>
                <w:kern w:val="28"/>
                <w:sz w:val="24"/>
              </w:rPr>
              <w:t>联系电话：</w:t>
            </w:r>
            <w:r>
              <w:rPr>
                <w:rFonts w:hint="eastAsia" w:ascii="仿宋_GB2312" w:hAnsi="宋体" w:eastAsia="仿宋_GB2312" w:cs="宋体"/>
                <w:color w:val="auto"/>
                <w:sz w:val="24"/>
              </w:rPr>
              <w:t>。请投标人在上述时间内提供样品并按规定位置安装完毕。超过截止时间的，采购人或采购代理机构将不予接收，并将清场并封闭样品现场。</w:t>
            </w:r>
          </w:p>
          <w:p w14:paraId="22E27285">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hAnsi="宋体" w:eastAsia="仿宋_GB2312" w:cs="宋体"/>
                <w:color w:val="auto"/>
                <w:sz w:val="24"/>
              </w:rPr>
            </w:pPr>
            <w:r>
              <w:rPr>
                <w:rFonts w:hint="eastAsia" w:ascii="仿宋_GB2312" w:hAnsi="宋体" w:eastAsia="仿宋_GB2312" w:cs="宋体"/>
                <w:color w:val="auto"/>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563D4F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hAnsi="宋体" w:eastAsia="仿宋_GB2312" w:cs="宋体"/>
                <w:color w:val="auto"/>
                <w:sz w:val="24"/>
              </w:rPr>
              <w:t>（7）制作、运输、安装和保管样品所发生的一切费用由投标人自理。</w:t>
            </w:r>
          </w:p>
        </w:tc>
      </w:tr>
      <w:tr w14:paraId="5B25E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F5A2844">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7F901AFF">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D2076B4">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ascii="Arial" w:hAnsi="Arial" w:eastAsia="仿宋_GB2312" w:cs="Arial"/>
                <w:color w:val="auto"/>
                <w:sz w:val="24"/>
                <w:szCs w:val="24"/>
              </w:rPr>
              <w:t>√</w:t>
            </w:r>
            <w:r>
              <w:rPr>
                <w:rFonts w:hint="eastAsia" w:ascii="仿宋_GB2312" w:eastAsia="仿宋_GB2312"/>
                <w:color w:val="auto"/>
                <w:sz w:val="24"/>
                <w:szCs w:val="24"/>
              </w:rPr>
              <w:t>A不组织。</w:t>
            </w:r>
          </w:p>
          <w:p w14:paraId="135760AE">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B组织。</w:t>
            </w:r>
          </w:p>
          <w:p w14:paraId="68C29F91">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（1）在评标时安排每个投标人进行方案讲解演示。每个投标人时间不超过</w:t>
            </w:r>
            <w:r>
              <w:rPr>
                <w:rFonts w:hint="eastAsia" w:ascii="仿宋_GB2312" w:eastAsia="仿宋_GB2312"/>
                <w:color w:val="auto"/>
                <w:sz w:val="24"/>
                <w:szCs w:val="24"/>
                <w:u w:val="single"/>
              </w:rPr>
              <w:t>20</w:t>
            </w:r>
            <w:r>
              <w:rPr>
                <w:rFonts w:hint="eastAsia" w:ascii="仿宋_GB2312" w:eastAsia="仿宋_GB2312"/>
                <w:color w:val="auto"/>
                <w:sz w:val="24"/>
                <w:szCs w:val="24"/>
              </w:rPr>
              <w:t>分钟，讲解次序以投标文件解密时间先后次序为准，讲解演示人员不超过</w:t>
            </w:r>
            <w:r>
              <w:rPr>
                <w:rFonts w:hint="eastAsia" w:ascii="仿宋_GB2312" w:eastAsia="仿宋_GB2312"/>
                <w:color w:val="auto"/>
                <w:sz w:val="24"/>
                <w:szCs w:val="24"/>
                <w:u w:val="single"/>
              </w:rPr>
              <w:t>3</w:t>
            </w:r>
            <w:r>
              <w:rPr>
                <w:rFonts w:hint="eastAsia" w:ascii="仿宋_GB2312" w:eastAsia="仿宋_GB2312"/>
                <w:color w:val="auto"/>
                <w:sz w:val="24"/>
                <w:szCs w:val="24"/>
              </w:rPr>
              <w:t>人。讲解演示结束后按要求解答评标委员会提问。</w:t>
            </w:r>
          </w:p>
          <w:p w14:paraId="63FC6B86">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（2）方案讲解演示可选择以下其中一种方式：</w:t>
            </w:r>
          </w:p>
          <w:p w14:paraId="2098471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hAnsi="仿宋_GB2312" w:eastAsia="仿宋_GB2312" w:cs="仿宋_GB2312"/>
                <w:color w:val="auto"/>
                <w:sz w:val="24"/>
                <w:szCs w:val="24"/>
              </w:rPr>
              <w:t>政采云平台在线讲解演示。政采云平台在线讲解需投标人根据政采云平台操作要求做好准备工作，提前完善软硬件配置环境。</w:t>
            </w:r>
          </w:p>
          <w:p w14:paraId="2039F1C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交易中心现场讲解演示。现场讲解地点为，讲解演示所用电脑等设备由投标人自备。现场讲解演示人员进场时提供讲解人员名单（加盖公章）及身份证明，否则不得讲解演示。</w:t>
            </w:r>
          </w:p>
          <w:p w14:paraId="2D143F2C">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8D19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8D11F35">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202A823B">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E754999">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ascii="Arial" w:hAnsi="Arial" w:eastAsia="仿宋_GB2312" w:cs="Arial"/>
                <w:color w:val="auto"/>
                <w:sz w:val="24"/>
                <w:szCs w:val="24"/>
              </w:rPr>
              <w:t>√</w:t>
            </w:r>
            <w:r>
              <w:rPr>
                <w:rFonts w:hint="eastAsia" w:ascii="仿宋_GB2312" w:eastAsia="仿宋_GB2312"/>
                <w:color w:val="auto"/>
                <w:sz w:val="24"/>
                <w:szCs w:val="24"/>
              </w:rPr>
              <w:t>本项目不允许采购进口产品。</w:t>
            </w:r>
          </w:p>
          <w:p w14:paraId="091EDD8A">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7DB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F1363D3">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849CF11">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E9A64D2">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eastAsia="仿宋_GB2312"/>
                <w:color w:val="auto"/>
                <w:sz w:val="24"/>
                <w:szCs w:val="24"/>
                <w:lang w:eastAsia="zh-CN"/>
              </w:rPr>
            </w:pPr>
            <w:r>
              <w:rPr>
                <w:rFonts w:hint="eastAsia" w:ascii="仿宋_GB2312" w:eastAsia="仿宋_GB2312"/>
                <w:color w:val="auto"/>
                <w:sz w:val="24"/>
                <w:szCs w:val="24"/>
              </w:rPr>
              <w:t>货物类，单一产品或核心产品为：</w:t>
            </w:r>
            <w:r>
              <w:rPr>
                <w:rFonts w:hint="eastAsia" w:ascii="仿宋_GB2312" w:hAnsi="仿宋_GB2312" w:eastAsia="仿宋_GB2312" w:cs="仿宋_GB2312"/>
                <w:b w:val="0"/>
                <w:bCs w:val="0"/>
                <w:color w:val="000000" w:themeColor="text1"/>
                <w:kern w:val="0"/>
                <w:sz w:val="24"/>
                <w:szCs w:val="24"/>
                <w:highlight w:val="none"/>
                <w:u w:val="single"/>
                <w:lang w:val="en-US" w:eastAsia="zh-CN"/>
                <w14:textFill>
                  <w14:solidFill>
                    <w14:schemeClr w14:val="tx1"/>
                  </w14:solidFill>
                </w14:textFill>
              </w:rPr>
              <w:t>风冷列间空调1、风冷列间空调2、风冷列间空调3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06DDF8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F47C2F4">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5A86459">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78C526A">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仿宋_GB2312" w:eastAsia="仿宋_GB2312"/>
                <w:color w:val="auto"/>
                <w:sz w:val="24"/>
                <w:szCs w:val="24"/>
                <w:lang w:eastAsia="zh-CN"/>
              </w:rPr>
            </w:pPr>
            <w:r>
              <w:rPr>
                <w:rFonts w:hint="eastAsia" w:ascii="仿宋_GB2312" w:hAnsi="仿宋_GB2312" w:eastAsia="仿宋_GB2312" w:cs="仿宋_GB2312"/>
                <w:color w:val="000000" w:themeColor="text1"/>
                <w:sz w:val="24"/>
                <w:highlight w:val="none"/>
                <w14:textFill>
                  <w14:solidFill>
                    <w14:schemeClr w14:val="tx1"/>
                  </w14:solidFill>
                </w14:textFill>
              </w:rPr>
              <w:t>采购标的：详见采购需求，所属行业：详见采购需求。</w:t>
            </w:r>
          </w:p>
        </w:tc>
      </w:tr>
      <w:tr w14:paraId="50948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DF66A7E">
            <w:pPr>
              <w:spacing w:line="400" w:lineRule="exact"/>
              <w:contextualSpacing/>
              <w:jc w:val="center"/>
              <w:rPr>
                <w:rFonts w:ascii="仿宋_GB2312" w:eastAsia="仿宋_GB2312"/>
                <w:color w:val="auto"/>
                <w:sz w:val="24"/>
                <w:szCs w:val="24"/>
              </w:rPr>
            </w:pPr>
            <w:r>
              <w:rPr>
                <w:rFonts w:hint="eastAsia" w:ascii="仿宋_GB2312" w:eastAsia="仿宋_GB2312"/>
                <w:color w:val="auto"/>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0EE21A1">
            <w:pPr>
              <w:keepNext w:val="0"/>
              <w:keepLines/>
              <w:pageBreakBefore w:val="0"/>
              <w:widowControl/>
              <w:kinsoku/>
              <w:wordWrap w:val="0"/>
              <w:overflowPunct/>
              <w:topLinePunct/>
              <w:autoSpaceDE/>
              <w:autoSpaceDN/>
              <w:bidi w:val="0"/>
              <w:spacing w:line="400" w:lineRule="exact"/>
              <w:contextualSpacing/>
              <w:textAlignment w:val="auto"/>
              <w:rPr>
                <w:rFonts w:ascii="仿宋_GB2312" w:eastAsia="仿宋_GB2312"/>
                <w:color w:val="auto"/>
                <w:sz w:val="24"/>
                <w:szCs w:val="24"/>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777505C">
            <w:pPr>
              <w:keepNext w:val="0"/>
              <w:keepLines/>
              <w:pageBreakBefore w:val="0"/>
              <w:widowControl/>
              <w:kinsoku/>
              <w:wordWrap w:val="0"/>
              <w:overflowPunct/>
              <w:topLinePunct/>
              <w:autoSpaceDE/>
              <w:autoSpaceDN/>
              <w:bidi w:val="0"/>
              <w:spacing w:line="400" w:lineRule="exact"/>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依据国家确定的认证机构出具的、处于有效期之内的节能产品认证证书，对获得证书的产品实施政府优先采购或强制采购；其中，</w:t>
            </w:r>
          </w:p>
          <w:p w14:paraId="719E163E">
            <w:pPr>
              <w:keepNext w:val="0"/>
              <w:keepLines/>
              <w:pageBreakBefore w:val="0"/>
              <w:widowControl/>
              <w:kinsoku/>
              <w:wordWrap w:val="0"/>
              <w:overflowPunct/>
              <w:topLinePunct/>
              <w:autoSpaceDE/>
              <w:autoSpaceDN/>
              <w:bidi w:val="0"/>
              <w:spacing w:line="400" w:lineRule="exact"/>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☐对</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实施政府优先采购，详见评分标准；</w:t>
            </w:r>
          </w:p>
          <w:p w14:paraId="16C57329">
            <w:pPr>
              <w:keepNext w:val="0"/>
              <w:keepLines/>
              <w:pageBreakBefore w:val="0"/>
              <w:widowControl/>
              <w:kinsoku/>
              <w:wordWrap w:val="0"/>
              <w:overflowPunct/>
              <w:topLinePunct/>
              <w:autoSpaceDE/>
              <w:autoSpaceDN/>
              <w:bidi w:val="0"/>
              <w:spacing w:line="400" w:lineRule="exact"/>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ascii="Arial" w:hAnsi="Arial" w:eastAsia="仿宋_GB2312" w:cs="Arial"/>
                <w:color w:val="auto"/>
                <w:sz w:val="24"/>
                <w:szCs w:val="24"/>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▲对</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kern w:val="2"/>
                <w:sz w:val="24"/>
                <w:szCs w:val="24"/>
                <w:highlight w:val="none"/>
                <w:u w:val="single"/>
                <w:lang w:val="en-US" w:eastAsia="zh-CN"/>
                <w14:textFill>
                  <w14:solidFill>
                    <w14:schemeClr w14:val="tx1"/>
                  </w14:solidFill>
                </w14:textFill>
              </w:rPr>
              <w:t>风冷列间空调1、风冷列间空调2、风冷列间空调3、</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精密空调</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实施政府强制采购，投标人就相应的投标产品未提供国家确定的认证机构出具的、处于有效期之内的节能产品认证证书的，投标无效。</w:t>
            </w:r>
          </w:p>
          <w:p w14:paraId="6D39AFF1">
            <w:pPr>
              <w:keepNext w:val="0"/>
              <w:keepLines/>
              <w:pageBreakBefore w:val="0"/>
              <w:widowControl/>
              <w:kinsoku/>
              <w:wordWrap w:val="0"/>
              <w:overflowPunct/>
              <w:topLinePunct/>
              <w:autoSpaceDE/>
              <w:autoSpaceDN/>
              <w:bidi w:val="0"/>
              <w:spacing w:line="400" w:lineRule="exact"/>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ascii="Arial" w:hAnsi="Arial" w:eastAsia="仿宋_GB2312" w:cs="Arial"/>
                <w:color w:val="auto"/>
                <w:sz w:val="24"/>
                <w:szCs w:val="24"/>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依据国家确定的认证机构出具的、处于有效期之内的环境标志产品认证证书，对获得证书的</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定制研判桌1、人体工学椅调度椅、交互式装备柜、4席位定制操作控制台、3人位操作台、定制研判桌2、4人位操作台、6席位定制操作控制台、控制台设备柜、风冷列间空调1、风冷列间空调2、风冷列间空调3、精密空调、顶面防潮漆、顶面防尘漆、地面防潮漆、地面防尘漆、备件柜、算力服务器</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实施政府优先采购，详见评分标准。</w:t>
            </w:r>
          </w:p>
          <w:p w14:paraId="13E11F0C">
            <w:pPr>
              <w:keepNext w:val="0"/>
              <w:keepLines/>
              <w:pageBreakBefore w:val="0"/>
              <w:widowControl/>
              <w:kinsoku/>
              <w:wordWrap w:val="0"/>
              <w:overflowPunct/>
              <w:topLinePunct/>
              <w:autoSpaceDE/>
              <w:autoSpaceDN/>
              <w:bidi w:val="0"/>
              <w:spacing w:line="400" w:lineRule="exact"/>
              <w:contextualSpacing/>
              <w:textAlignment w:val="auto"/>
              <w:rPr>
                <w:rFonts w:ascii="仿宋_GB2312" w:eastAsia="仿宋_GB2312"/>
                <w:color w:val="auto"/>
                <w:sz w:val="24"/>
                <w:szCs w:val="24"/>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☐无。</w:t>
            </w:r>
          </w:p>
        </w:tc>
      </w:tr>
      <w:tr w14:paraId="007A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41" w:hRule="atLeast"/>
          <w:tblHeader/>
        </w:trPr>
        <w:tc>
          <w:tcPr>
            <w:tcW w:w="629" w:type="dxa"/>
            <w:tcBorders>
              <w:top w:val="single" w:color="auto" w:sz="4" w:space="0"/>
              <w:left w:val="single" w:color="000000" w:sz="8" w:space="0"/>
              <w:right w:val="single" w:color="000000" w:sz="2" w:space="0"/>
            </w:tcBorders>
            <w:vAlign w:val="center"/>
          </w:tcPr>
          <w:p w14:paraId="7253BF9F">
            <w:pPr>
              <w:spacing w:line="400" w:lineRule="exact"/>
              <w:contextualSpacing/>
              <w:jc w:val="center"/>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11</w:t>
            </w:r>
          </w:p>
        </w:tc>
        <w:tc>
          <w:tcPr>
            <w:tcW w:w="1843" w:type="dxa"/>
            <w:tcBorders>
              <w:top w:val="single" w:color="000000" w:sz="8" w:space="0"/>
              <w:left w:val="single" w:color="000000" w:sz="2" w:space="0"/>
              <w:right w:val="single" w:color="000000" w:sz="8" w:space="0"/>
            </w:tcBorders>
            <w:vAlign w:val="center"/>
          </w:tcPr>
          <w:p w14:paraId="016B5289">
            <w:pPr>
              <w:spacing w:line="400" w:lineRule="exact"/>
              <w:contextualSpacing/>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本国产品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EE1BBBD">
            <w:pPr>
              <w:pStyle w:val="11"/>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22B7A76">
            <w:pPr>
              <w:pStyle w:val="11"/>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☐不适用。</w:t>
            </w:r>
          </w:p>
        </w:tc>
      </w:tr>
      <w:tr w14:paraId="17145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41" w:hRule="atLeast"/>
          <w:tblHeader/>
        </w:trPr>
        <w:tc>
          <w:tcPr>
            <w:tcW w:w="629" w:type="dxa"/>
            <w:tcBorders>
              <w:top w:val="single" w:color="auto" w:sz="4" w:space="0"/>
              <w:left w:val="single" w:color="000000" w:sz="8" w:space="0"/>
              <w:right w:val="single" w:color="000000" w:sz="2" w:space="0"/>
            </w:tcBorders>
            <w:vAlign w:val="center"/>
          </w:tcPr>
          <w:p w14:paraId="6050B7E0">
            <w:pPr>
              <w:spacing w:line="400" w:lineRule="exact"/>
              <w:contextualSpacing/>
              <w:jc w:val="center"/>
              <w:rPr>
                <w:rFonts w:hint="eastAsia" w:ascii="仿宋_GB2312" w:eastAsia="仿宋_GB2312"/>
                <w:color w:val="auto"/>
                <w:sz w:val="24"/>
                <w:szCs w:val="24"/>
                <w:lang w:eastAsia="zh-CN"/>
              </w:rPr>
            </w:pPr>
            <w:r>
              <w:rPr>
                <w:rFonts w:hint="eastAsia" w:ascii="仿宋_GB2312" w:eastAsia="仿宋_GB2312"/>
                <w:color w:val="auto"/>
                <w:sz w:val="24"/>
                <w:szCs w:val="24"/>
              </w:rPr>
              <w:t>1</w:t>
            </w:r>
            <w:r>
              <w:rPr>
                <w:rFonts w:hint="eastAsia" w:ascii="仿宋_GB2312" w:eastAsia="仿宋_GB2312"/>
                <w:color w:val="auto"/>
                <w:sz w:val="24"/>
                <w:szCs w:val="24"/>
                <w:lang w:val="en-US" w:eastAsia="zh-CN"/>
              </w:rPr>
              <w:t>2</w:t>
            </w:r>
          </w:p>
        </w:tc>
        <w:tc>
          <w:tcPr>
            <w:tcW w:w="1843" w:type="dxa"/>
            <w:tcBorders>
              <w:top w:val="single" w:color="000000" w:sz="8" w:space="0"/>
              <w:left w:val="single" w:color="000000" w:sz="2" w:space="0"/>
              <w:right w:val="single" w:color="000000" w:sz="8" w:space="0"/>
            </w:tcBorders>
            <w:vAlign w:val="center"/>
          </w:tcPr>
          <w:p w14:paraId="72A2827F">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政采贷</w:t>
            </w:r>
          </w:p>
        </w:tc>
        <w:tc>
          <w:tcPr>
            <w:tcW w:w="6095" w:type="dxa"/>
            <w:tcBorders>
              <w:top w:val="single" w:color="000000" w:sz="8" w:space="0"/>
              <w:left w:val="single" w:color="000000" w:sz="2" w:space="0"/>
              <w:bottom w:val="single" w:color="000000" w:sz="8" w:space="0"/>
              <w:right w:val="single" w:color="000000" w:sz="8" w:space="0"/>
            </w:tcBorders>
            <w:vAlign w:val="center"/>
          </w:tcPr>
          <w:p w14:paraId="0B06042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14:paraId="5AA21C94">
            <w:pPr>
              <w:contextualSpacing/>
              <w:rPr>
                <w:color w:val="auto"/>
              </w:rPr>
            </w:pPr>
            <w:r>
              <w:rPr>
                <w:rFonts w:hint="eastAsia" w:ascii="仿宋_GB2312" w:hAnsi="Calibri" w:eastAsia="仿宋_GB2312" w:cs="宋体"/>
                <w:color w:val="auto"/>
                <w:sz w:val="24"/>
                <w:szCs w:val="24"/>
              </w:rPr>
              <w:t>（2）供应商中标后也可在“政采云”平台申请政采贷：操作路径：登录政采云平台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D408E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DDF7A67">
            <w:pPr>
              <w:spacing w:line="400" w:lineRule="exact"/>
              <w:contextualSpacing/>
              <w:jc w:val="center"/>
              <w:rPr>
                <w:rFonts w:hint="eastAsia" w:ascii="仿宋_GB2312" w:eastAsia="仿宋_GB2312"/>
                <w:color w:val="auto"/>
                <w:sz w:val="24"/>
                <w:szCs w:val="24"/>
                <w:lang w:eastAsia="zh-CN"/>
              </w:rPr>
            </w:pPr>
            <w:r>
              <w:rPr>
                <w:rFonts w:hint="eastAsia" w:ascii="仿宋_GB2312" w:eastAsia="仿宋_GB2312"/>
                <w:color w:val="auto"/>
                <w:sz w:val="24"/>
                <w:szCs w:val="24"/>
              </w:rPr>
              <w:t>1</w:t>
            </w:r>
            <w:r>
              <w:rPr>
                <w:rFonts w:hint="eastAsia" w:ascii="仿宋_GB2312" w:eastAsia="仿宋_GB2312"/>
                <w:color w:val="auto"/>
                <w:sz w:val="24"/>
                <w:szCs w:val="24"/>
                <w:lang w:val="en-US" w:eastAsia="zh-CN"/>
              </w:rPr>
              <w:t>3</w:t>
            </w:r>
          </w:p>
        </w:tc>
        <w:tc>
          <w:tcPr>
            <w:tcW w:w="1843" w:type="dxa"/>
            <w:tcBorders>
              <w:top w:val="single" w:color="000000" w:sz="8" w:space="0"/>
              <w:left w:val="single" w:color="000000" w:sz="2" w:space="0"/>
              <w:bottom w:val="single" w:color="000000" w:sz="8" w:space="0"/>
              <w:right w:val="single" w:color="000000" w:sz="8" w:space="0"/>
            </w:tcBorders>
            <w:vAlign w:val="center"/>
          </w:tcPr>
          <w:p w14:paraId="390F5DDF">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5060F6C2">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备份投标文件的送达地点和签收人员详见招标文件第二部分15.3.；15.4。采购人、采购代理机构不强制或变相强制投标人提交备份投标文件。</w:t>
            </w:r>
          </w:p>
        </w:tc>
      </w:tr>
      <w:tr w14:paraId="469AF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A5A1195">
            <w:pPr>
              <w:spacing w:line="400" w:lineRule="exact"/>
              <w:contextualSpacing/>
              <w:jc w:val="center"/>
              <w:rPr>
                <w:rFonts w:hint="eastAsia" w:ascii="仿宋_GB2312" w:eastAsia="仿宋_GB2312"/>
                <w:color w:val="auto"/>
                <w:sz w:val="24"/>
                <w:szCs w:val="24"/>
                <w:lang w:eastAsia="zh-CN"/>
              </w:rPr>
            </w:pPr>
            <w:r>
              <w:rPr>
                <w:rFonts w:hint="eastAsia" w:ascii="仿宋_GB2312" w:eastAsia="仿宋_GB2312"/>
                <w:color w:val="auto"/>
                <w:sz w:val="24"/>
                <w:szCs w:val="24"/>
              </w:rPr>
              <w:t>1</w:t>
            </w:r>
            <w:r>
              <w:rPr>
                <w:rFonts w:hint="eastAsia" w:ascii="仿宋_GB2312" w:eastAsia="仿宋_GB2312"/>
                <w:color w:val="auto"/>
                <w:sz w:val="24"/>
                <w:szCs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189BDA63">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22CBC1ED">
            <w:pPr>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ascii="仿宋_GB2312" w:eastAsia="仿宋_GB2312"/>
                <w:color w:val="auto"/>
                <w:sz w:val="24"/>
                <w:szCs w:val="24"/>
              </w:rPr>
            </w:pPr>
            <w:r>
              <w:rPr>
                <w:rFonts w:hint="eastAsia" w:ascii="仿宋_GB2312" w:eastAsia="仿宋_GB2312"/>
                <w:color w:val="auto"/>
                <w:sz w:val="24"/>
                <w:szCs w:val="24"/>
              </w:rPr>
              <w:t>是否需要履约保证金:</w:t>
            </w:r>
            <w:r>
              <w:rPr>
                <w:rFonts w:hint="eastAsia" w:ascii="MS Mincho" w:hAnsi="MS Mincho" w:eastAsia="MS Mincho" w:cs="MS Mincho"/>
                <w:color w:val="auto"/>
                <w:sz w:val="24"/>
                <w:szCs w:val="24"/>
              </w:rPr>
              <w:t>☐</w:t>
            </w:r>
            <w:r>
              <w:rPr>
                <w:rFonts w:hint="eastAsia" w:ascii="仿宋_GB2312" w:eastAsia="仿宋_GB2312"/>
                <w:color w:val="auto"/>
                <w:sz w:val="24"/>
                <w:szCs w:val="24"/>
              </w:rPr>
              <w:t>是</w:t>
            </w:r>
            <w:r>
              <w:rPr>
                <w:rFonts w:ascii="Arial" w:hAnsi="Arial" w:eastAsia="仿宋_GB2312" w:cs="Arial"/>
                <w:color w:val="auto"/>
                <w:sz w:val="24"/>
                <w:szCs w:val="24"/>
              </w:rPr>
              <w:t>√</w:t>
            </w:r>
            <w:r>
              <w:rPr>
                <w:rFonts w:hint="eastAsia" w:ascii="仿宋_GB2312" w:eastAsia="仿宋_GB2312"/>
                <w:color w:val="auto"/>
                <w:sz w:val="24"/>
                <w:szCs w:val="24"/>
              </w:rPr>
              <w:t>否</w:t>
            </w:r>
          </w:p>
        </w:tc>
      </w:tr>
      <w:tr w14:paraId="75D1CE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3A4D57E1">
            <w:pPr>
              <w:spacing w:line="400" w:lineRule="exact"/>
              <w:contextualSpacing/>
              <w:jc w:val="center"/>
              <w:rPr>
                <w:rFonts w:hint="eastAsia" w:ascii="仿宋_GB2312" w:eastAsia="仿宋_GB2312"/>
                <w:color w:val="auto"/>
                <w:sz w:val="24"/>
                <w:szCs w:val="24"/>
                <w:lang w:eastAsia="zh-CN"/>
              </w:rPr>
            </w:pPr>
            <w:r>
              <w:rPr>
                <w:rFonts w:hint="eastAsia" w:ascii="仿宋_GB2312" w:eastAsia="仿宋_GB2312"/>
                <w:color w:val="auto"/>
                <w:sz w:val="24"/>
                <w:szCs w:val="24"/>
              </w:rPr>
              <w:t>1</w:t>
            </w:r>
            <w:r>
              <w:rPr>
                <w:rFonts w:hint="eastAsia" w:ascii="仿宋_GB2312" w:eastAsia="仿宋_GB2312"/>
                <w:color w:val="auto"/>
                <w:sz w:val="24"/>
                <w:szCs w:val="24"/>
                <w:lang w:val="en-US" w:eastAsia="zh-CN"/>
              </w:rPr>
              <w:t>5</w:t>
            </w:r>
          </w:p>
        </w:tc>
        <w:tc>
          <w:tcPr>
            <w:tcW w:w="1843" w:type="dxa"/>
            <w:vMerge w:val="restart"/>
            <w:tcBorders>
              <w:top w:val="single" w:color="000000" w:sz="8" w:space="0"/>
              <w:left w:val="single" w:color="000000" w:sz="2" w:space="0"/>
              <w:right w:val="single" w:color="000000" w:sz="8" w:space="0"/>
            </w:tcBorders>
            <w:vAlign w:val="center"/>
          </w:tcPr>
          <w:p w14:paraId="77027913">
            <w:pPr>
              <w:spacing w:line="400" w:lineRule="exact"/>
              <w:contextualSpacing/>
              <w:rPr>
                <w:rFonts w:ascii="仿宋_GB2312" w:eastAsia="仿宋_GB2312"/>
                <w:color w:val="auto"/>
                <w:sz w:val="24"/>
                <w:szCs w:val="24"/>
              </w:rPr>
            </w:pPr>
            <w:r>
              <w:rPr>
                <w:rFonts w:hint="eastAsia" w:ascii="仿宋_GB2312" w:eastAsia="仿宋_GB2312"/>
                <w:color w:val="auto"/>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863CFED">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color w:val="auto"/>
              </w:rPr>
            </w:pPr>
            <w:r>
              <w:rPr>
                <w:rFonts w:hint="eastAsia" w:ascii="仿宋_GB2312" w:eastAsia="仿宋_GB2312"/>
                <w:color w:val="auto"/>
                <w:sz w:val="24"/>
                <w:szCs w:val="24"/>
              </w:rPr>
              <w:t>联合体投标的，联合体各方分别提供与联合体协议中规定的分工内容相应的业绩证明材料，业绩数量以提供材料较少的一方为准，有一方未提供业绩的不得分。如第四部分评标办法仅要求一类业绩证明材料的，则视为联合体各方均须提供。</w:t>
            </w:r>
          </w:p>
        </w:tc>
      </w:tr>
      <w:tr w14:paraId="61B30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right w:val="single" w:color="000000" w:sz="2" w:space="0"/>
            </w:tcBorders>
            <w:vAlign w:val="center"/>
          </w:tcPr>
          <w:p w14:paraId="658B49D2">
            <w:pPr>
              <w:spacing w:line="400" w:lineRule="exact"/>
              <w:contextualSpacing/>
              <w:jc w:val="center"/>
              <w:rPr>
                <w:rFonts w:ascii="仿宋_GB2312" w:eastAsia="仿宋_GB2312"/>
                <w:color w:val="auto"/>
                <w:sz w:val="24"/>
                <w:szCs w:val="24"/>
              </w:rPr>
            </w:pPr>
          </w:p>
        </w:tc>
        <w:tc>
          <w:tcPr>
            <w:tcW w:w="1843" w:type="dxa"/>
            <w:vMerge w:val="continue"/>
            <w:tcBorders>
              <w:left w:val="single" w:color="000000" w:sz="2" w:space="0"/>
              <w:right w:val="single" w:color="000000" w:sz="8" w:space="0"/>
            </w:tcBorders>
            <w:vAlign w:val="center"/>
          </w:tcPr>
          <w:p w14:paraId="4152F93F">
            <w:pPr>
              <w:spacing w:line="400" w:lineRule="exact"/>
              <w:contextualSpacing/>
              <w:rPr>
                <w:rFonts w:ascii="仿宋_GB2312" w:eastAsia="仿宋_GB2312"/>
                <w:color w:val="auto"/>
                <w:sz w:val="24"/>
                <w:szCs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079D331E">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color w:val="auto"/>
                <w:sz w:val="24"/>
                <w:szCs w:val="24"/>
              </w:rPr>
            </w:pPr>
            <w:r>
              <w:rPr>
                <w:rFonts w:hint="eastAsia" w:ascii="MS Mincho" w:hAnsi="MS Mincho" w:eastAsia="MS Mincho" w:cs="MS Mincho"/>
                <w:color w:val="auto"/>
                <w:sz w:val="24"/>
                <w:szCs w:val="24"/>
              </w:rPr>
              <w:t>☐</w:t>
            </w:r>
            <w:r>
              <w:rPr>
                <w:rFonts w:hint="eastAsia" w:ascii="仿宋_GB2312" w:eastAsia="仿宋_GB2312"/>
                <w:color w:val="auto"/>
                <w:sz w:val="24"/>
                <w:szCs w:val="24"/>
              </w:rPr>
              <w:t>联合体投标的，联合体各方均需按招标文件第四部分评标办法提供资信证明文件，否则视为不符合相关要求。</w:t>
            </w:r>
          </w:p>
          <w:p w14:paraId="0CCB595F">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color w:val="auto"/>
                <w:sz w:val="24"/>
                <w:szCs w:val="24"/>
              </w:rPr>
            </w:pPr>
            <w:r>
              <w:rPr>
                <w:rFonts w:ascii="Arial" w:hAnsi="Arial" w:eastAsia="仿宋_GB2312" w:cs="Arial"/>
                <w:color w:val="auto"/>
                <w:sz w:val="24"/>
                <w:szCs w:val="24"/>
              </w:rPr>
              <w:t>√</w:t>
            </w:r>
            <w:r>
              <w:rPr>
                <w:rFonts w:hint="eastAsia" w:ascii="仿宋_GB2312" w:eastAsia="仿宋_GB2312"/>
                <w:color w:val="auto"/>
                <w:sz w:val="24"/>
                <w:szCs w:val="24"/>
              </w:rPr>
              <w:t>联合体投标的，联合体中有一方或者联合体成员根据分工按招标文件第四部分评标办法提供资信证明文件的，视为符合了相关要求。</w:t>
            </w:r>
          </w:p>
        </w:tc>
      </w:tr>
    </w:tbl>
    <w:p w14:paraId="4897C172">
      <w:pPr>
        <w:spacing w:line="420" w:lineRule="exact"/>
        <w:ind w:firstLine="472" w:firstLineChars="196"/>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一、总则</w:t>
      </w:r>
    </w:p>
    <w:p w14:paraId="65DAA61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1.适用范围</w:t>
      </w:r>
    </w:p>
    <w:p w14:paraId="4309E3E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5899C7D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2.定义</w:t>
      </w:r>
    </w:p>
    <w:p w14:paraId="306D9BF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 “采购人”系指招标公告中载明的本项目的采购人。</w:t>
      </w:r>
    </w:p>
    <w:p w14:paraId="768DBF3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 “采购代理机构”系指招标公告中载明的本项目的采购代理机构。</w:t>
      </w:r>
    </w:p>
    <w:p w14:paraId="3BD9D4D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 “投标人”系指是指响应招标、参加投标竞争的法人、其他组织或者自然人。</w:t>
      </w:r>
    </w:p>
    <w:p w14:paraId="2B5C803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2.4 “负责人”系指法人企业的法定负责人，或其他组织为法律、行政法规规定代表单位行使职权的主要负责人，或自然人本人。</w:t>
      </w:r>
    </w:p>
    <w:p w14:paraId="3EA9D4E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3857EA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2.6“电子交易平台”是指本项目政府采购活动所依托的政府采购云平台（https://www.zcygov.cn/）。</w:t>
      </w:r>
    </w:p>
    <w:p w14:paraId="40DE402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2.7 “▲”系指实质性要求条款，“</w:t>
      </w:r>
      <w:r>
        <w:rPr>
          <w:rFonts w:hint="eastAsia" w:ascii="仿宋_GB2312" w:hAnsi="仿宋_GB2312" w:eastAsia="仿宋_GB2312" w:cs="仿宋_GB2312"/>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”系产品采购项目中单一产品或核心产品，“</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”系指适用本项目的要求，“☐”系指不适用本项目的要求。</w:t>
      </w:r>
    </w:p>
    <w:p w14:paraId="19722EB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 采购项目需要落实的政府采购政策</w:t>
      </w:r>
    </w:p>
    <w:p w14:paraId="1921456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74B4F3B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 支持绿色发展。</w:t>
      </w:r>
    </w:p>
    <w:p w14:paraId="7F5B2C5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B86C5D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3.2.2 修缮、装修类项目采购建材的，采购人应将绿色建筑和绿色建材性能、指标等作为实质性条件纳入招标文件和合同。</w:t>
      </w:r>
    </w:p>
    <w:p w14:paraId="04F7D92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AD980A7">
      <w:pPr>
        <w:pStyle w:val="11"/>
        <w:spacing w:line="42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22CEF1D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3.3支持中小企业发展</w:t>
      </w:r>
    </w:p>
    <w:p w14:paraId="1987FEE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9B6886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符合中小企业划分标准的个体工商户，在政府采购活动中视同中小企业。</w:t>
      </w:r>
    </w:p>
    <w:p w14:paraId="1D66493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3.3.2在政府采购活动中，投标人提供的货物、工程或者服务符合下列情形的，享受中小企业扶持政策：</w:t>
      </w:r>
    </w:p>
    <w:p w14:paraId="05789D7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3.3.2.1在货物采购项目中，货物由中小企业制造，即货物由中小企业生产且使用该中小企业商号或者注册商标；</w:t>
      </w:r>
    </w:p>
    <w:p w14:paraId="550A4EE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3.3.2.2在工程采购项目中，工程由中小企业承建，即工程施工单位为中小企业；</w:t>
      </w:r>
    </w:p>
    <w:p w14:paraId="49C0EEF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3.3.2.3在服务采购项目中，服务由中小企业承接，即提供服务的人员为中小企业依照《中华人民共和国劳动合同法》订立劳动合同的从业人员。</w:t>
      </w:r>
    </w:p>
    <w:p w14:paraId="4336152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在货物采购项目中，投标人提供的货物既有中小企业制造货物，也有大型企业制造货物的，不享受中小企业扶持政策。</w:t>
      </w:r>
    </w:p>
    <w:p w14:paraId="6AE8925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BE3C74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3.3.3对于未预留份额专门面向中小企业的政府采购项目，以及预留份额政府采购项目中的非预留部分标项，对小型和微型企业的投标报价给予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10%</w:t>
      </w:r>
      <w:r>
        <w:rPr>
          <w:rFonts w:hint="eastAsia" w:ascii="仿宋_GB2312" w:hAnsi="仿宋_GB2312" w:eastAsia="仿宋_GB2312" w:cs="仿宋_GB2312"/>
          <w:color w:val="000000" w:themeColor="text1"/>
          <w:sz w:val="24"/>
          <w:szCs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专门面向中小企业采购的项目或者采购包，不再执行价格评审优惠的扶持政策。</w:t>
      </w:r>
    </w:p>
    <w:p w14:paraId="01617A4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14:paraId="7ECDA34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5B08E8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EA6CAE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3.3.7中小企业享受扶持政策获得政府采购合同的，小微企业不得将合同分包给大中型企业，中型企业不得将合同分包给大型企业。</w:t>
      </w:r>
    </w:p>
    <w:p w14:paraId="1D498BD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3.4支持创新发展</w:t>
      </w:r>
    </w:p>
    <w:p w14:paraId="252B54F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 采购人优先采购被认定为首台套产品和“制造精品”的自主创新产品。</w:t>
      </w:r>
    </w:p>
    <w:p w14:paraId="60F87E1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C5EEF6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3.5平等对待内外资企业和符合条件的破产重整企业</w:t>
      </w:r>
    </w:p>
    <w:p w14:paraId="612B4D7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平等对待内外资企业和符合条件的破产重整企业，切实保障企业公平竞争，平等维护企业的合法利益。</w:t>
      </w:r>
    </w:p>
    <w:p w14:paraId="1F44F40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3.6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w:t>
      </w:r>
    </w:p>
    <w:p w14:paraId="3CA364E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3.7 支持本国产品</w:t>
      </w:r>
    </w:p>
    <w:p w14:paraId="733BCA5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3.7.1 本项目既有本国产品又有非本国产品参与竞争的，对本国产品的报价给予20%的价格扣除，用扣除后的价格参与评审。</w:t>
      </w:r>
    </w:p>
    <w:p w14:paraId="569111D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3.7.2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482166E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 询问、质疑、投诉</w:t>
      </w:r>
    </w:p>
    <w:p w14:paraId="7C58437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4.1在线询问、质疑、投诉。根据《浙江省财政厅关于进一步促进政府采购公平竞争打造最优营商环境的通知》（浙财采监（2021）22号）文件关于“健全行政裁决机制”要求，鼓励供应商询问线上提起，路径为：政采云-项目采购-询问质疑投诉-询问列表；鼓励供应商质疑线上提起，路径为：政采云-项目采购-询问质疑投诉-质疑列表。质疑供应商对线上质疑答复不满意的，可线上提起投诉，路径为：浙江政务服务网-政府采购投诉处理-在线办理。</w:t>
      </w:r>
    </w:p>
    <w:p w14:paraId="3571F2F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4.2供应商询问</w:t>
      </w:r>
    </w:p>
    <w:p w14:paraId="46727E5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70216B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4.3供应商质疑</w:t>
      </w:r>
    </w:p>
    <w:p w14:paraId="5D79931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4.3.1提出质疑的供应商应当是参与所质疑项目采购活动的供应商。潜在供应商已依法获取其可质疑的招标文件的，可以对该文件提出质疑。</w:t>
      </w:r>
    </w:p>
    <w:p w14:paraId="0934F36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4.3.2供应商认为招标文件、采购过程和中标结果使自己的权益受到损害的，可以在知道或者应知其权益受到损害之日起七个工作日内，以书面形式或线上向采购人或者采购代理机构提出质疑，否则，采购人或者采购代理机构不予受理：</w:t>
      </w:r>
    </w:p>
    <w:p w14:paraId="77B1588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4.3.2.1对招标文件提出质疑的，质疑期限为供应商获得招标文件之日或者招标文件公告期限届满之日起计算。供应商获得招标文件在公告期限届满之日后的，应当自招标文件公告期限届满之日起计算，且应当在采购响应截止时间之前提出，否则采购人或者采购代理机构不予受理。对招标文件中特定资格条件、采购需求、评分办法提出的质疑，原则上由采购人负责答复；对招标文件中其他内容提出的质疑，原则上由采购代理机构负责答复。</w:t>
      </w:r>
    </w:p>
    <w:p w14:paraId="2032D233">
      <w:pPr>
        <w:spacing w:line="360" w:lineRule="auto"/>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4.3.2.2对采购过程提出质疑的，质疑期限为各采购程序环节结束之日起计算。对同一采购程序环节的质疑，供应商须在法定质疑期内一次性提出。对采购过程中有关现场考察或开标前答疑会事项提出的质疑，原则上由采购人负责答复；对采购过程中其它事项提出的质疑，原则上由采购代理机构负责答复。</w:t>
      </w:r>
    </w:p>
    <w:p w14:paraId="0115B056">
      <w:pPr>
        <w:spacing w:line="360" w:lineRule="auto"/>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4.3.2.3对采购结果提出质疑的，质疑期限自采购结果公告期限届满之日起计算。对采购结果提出质疑的，采购代理机构负责答复。</w:t>
      </w:r>
    </w:p>
    <w:p w14:paraId="5F2647F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4.3.3供应商提出质疑应当提交质疑函和必要的证明材料。质疑函应当包括下列内容：</w:t>
      </w:r>
    </w:p>
    <w:p w14:paraId="3B4D773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4.3.3.1供应商的姓名或者名称、地址、邮编、联系人及联系电话；</w:t>
      </w:r>
    </w:p>
    <w:p w14:paraId="43BA7F3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4.3.3.2质疑项目的名称、编号；</w:t>
      </w:r>
    </w:p>
    <w:p w14:paraId="3DED6CB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4.3.3.3具体、明确的质疑事项和与质疑事项相关的请求；</w:t>
      </w:r>
    </w:p>
    <w:p w14:paraId="725F02E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4.3.3.4事实依据；</w:t>
      </w:r>
    </w:p>
    <w:p w14:paraId="73634BA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4.3.3.5必要的法律依据；</w:t>
      </w:r>
    </w:p>
    <w:p w14:paraId="7D4CDAB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4.3.3.6提出质疑的日期。</w:t>
      </w:r>
    </w:p>
    <w:p w14:paraId="3D62F0E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供应商线下提交质疑函的，质疑函需一式三份。供应商为自然人的，应当由本人签字；供应商为法人或者其他组织的，应当由法定代表人、主要负责人，或者其授权代表签字或者盖章，并加盖公章。</w:t>
      </w:r>
    </w:p>
    <w:p w14:paraId="7D0B1AD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质疑函范本及制作说明详见附件2。</w:t>
      </w:r>
    </w:p>
    <w:p w14:paraId="1542573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4.3.4采购人或者采购代理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答复后5个工作日内，在浙江政府采购网的“其他公告”栏目公开质疑答复，答复内容应当完整。质疑函作为附件上传。</w:t>
      </w:r>
    </w:p>
    <w:p w14:paraId="15DE5FC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4.3.5询问或者质疑事项可能影响采购结果的，采购人应当暂停签订合同，已经签订合同的，应当中止履行合同。</w:t>
      </w:r>
    </w:p>
    <w:p w14:paraId="1EF15F9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4.4供应商投诉</w:t>
      </w:r>
    </w:p>
    <w:p w14:paraId="6BD1DFE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4.4.1质疑供应商对采购人、采购代理机构的答复不满意或者采购人、采购代理机构未在规定的时间内作出答复的，可以在答复期满后十五个工作日内向同级政府采购监督管理部门提出投诉。</w:t>
      </w:r>
    </w:p>
    <w:p w14:paraId="38086AA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4.4.2供应商投诉的事项不得超出已质疑事项的范围，基于质疑答复内容提出的投诉事项除外。</w:t>
      </w:r>
    </w:p>
    <w:p w14:paraId="11FD599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4.4.3供应商投诉应当有明确的请求和必要的证明材料。</w:t>
      </w:r>
    </w:p>
    <w:p w14:paraId="1959A89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4.4.5 以联合体形式参加政府采购活动的，其投诉应当由组成联合体的所有供应商共同提出。</w:t>
      </w:r>
    </w:p>
    <w:p w14:paraId="4AB3F44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投诉书范本及制作说明详见附件3。</w:t>
      </w:r>
    </w:p>
    <w:p w14:paraId="6FA317B9">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二、招标文件的构成、澄清、修改</w:t>
      </w:r>
    </w:p>
    <w:p w14:paraId="2551B84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5．招标文件的构成</w:t>
      </w:r>
    </w:p>
    <w:p w14:paraId="3807B37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 招标文件包括下列文件及附件：</w:t>
      </w:r>
    </w:p>
    <w:p w14:paraId="4E36483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5.1.1招标公告；</w:t>
      </w:r>
    </w:p>
    <w:p w14:paraId="3DA7883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5.1.2投标人须知；</w:t>
      </w:r>
    </w:p>
    <w:p w14:paraId="6AEE6EF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5.1.3采购需求；</w:t>
      </w:r>
    </w:p>
    <w:p w14:paraId="491CEC3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5.1.4评标办法；</w:t>
      </w:r>
    </w:p>
    <w:p w14:paraId="365B6D6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5.1.5拟签订的合同文本；</w:t>
      </w:r>
    </w:p>
    <w:p w14:paraId="5D03F5E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5.1.6应提交的有关格式范例。</w:t>
      </w:r>
    </w:p>
    <w:p w14:paraId="6B5D211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5.2与本项目有关的澄清或者修改的内容为招标文件的组成部分。</w:t>
      </w:r>
    </w:p>
    <w:p w14:paraId="1A5D5C5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 招标文件的澄清、修改</w:t>
      </w:r>
    </w:p>
    <w:p w14:paraId="590E15A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6.1已获取招标文件的潜在投标人，若有问题需要澄清，应于投标截止时间前，以书面形式向采购代理机构提出。</w:t>
      </w:r>
    </w:p>
    <w:p w14:paraId="197CAF6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5CC576B">
      <w:pPr>
        <w:spacing w:line="420" w:lineRule="exact"/>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三、投标</w:t>
      </w:r>
    </w:p>
    <w:p w14:paraId="2ADE79B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 招标文件的获取</w:t>
      </w:r>
    </w:p>
    <w:p w14:paraId="611C98C4">
      <w:pPr>
        <w:spacing w:line="42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详见招标公告中获取招标文件的时间期限、地点、方式及招标文件售价。</w:t>
      </w:r>
    </w:p>
    <w:p w14:paraId="5C5B5E7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8.开标前答疑会或现场考察</w:t>
      </w:r>
    </w:p>
    <w:p w14:paraId="0ACFE75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3E89B79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9.投标保证金</w:t>
      </w:r>
    </w:p>
    <w:p w14:paraId="5317739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本项目不需缴纳投标保证金。</w:t>
      </w:r>
    </w:p>
    <w:p w14:paraId="7AB5F65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 投标文件的语言</w:t>
      </w:r>
    </w:p>
    <w:p w14:paraId="22EB6C6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投标文件及投标人与采购有关的来往通知、函件和文件均应使用中文。</w:t>
      </w:r>
    </w:p>
    <w:p w14:paraId="7A1378F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 投标文件的组成</w:t>
      </w:r>
    </w:p>
    <w:p w14:paraId="2115918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 投标文件的组成</w:t>
      </w:r>
    </w:p>
    <w:p w14:paraId="62231FF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11.1资格文件：</w:t>
      </w:r>
    </w:p>
    <w:p w14:paraId="7C5C5CF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11.1.1符合参加政府采购活动应当具备的一般条件的承诺函；</w:t>
      </w:r>
    </w:p>
    <w:p w14:paraId="7BFC44E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11.1.2联合协议（如果有）；</w:t>
      </w:r>
    </w:p>
    <w:p w14:paraId="021649F1">
      <w:pPr>
        <w:spacing w:line="420" w:lineRule="exact"/>
        <w:ind w:firstLine="465"/>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11.1.3落实政府采购政策需满足的资格要求（如果有）;</w:t>
      </w:r>
    </w:p>
    <w:p w14:paraId="445145E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11.1.4本项目的特定资格要求（如果有）。</w:t>
      </w:r>
    </w:p>
    <w:p w14:paraId="1EB2777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  商务技术文件：</w:t>
      </w:r>
    </w:p>
    <w:p w14:paraId="1FF93EC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11.2.1投标函； </w:t>
      </w:r>
    </w:p>
    <w:p w14:paraId="6BCA2B7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11.2.2联合协议（如果有）；</w:t>
      </w:r>
    </w:p>
    <w:p w14:paraId="558F6D4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11.2.3分包意向协议（如果有）；</w:t>
      </w:r>
    </w:p>
    <w:p w14:paraId="270E336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11.2.4符合性审查资料；</w:t>
      </w:r>
    </w:p>
    <w:p w14:paraId="51A4953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11.2.5拟投入的项目班子格式；</w:t>
      </w:r>
    </w:p>
    <w:p w14:paraId="46B301E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11.2.6评标标准相应的商务技术资料；</w:t>
      </w:r>
    </w:p>
    <w:p w14:paraId="159EA00F">
      <w:pPr>
        <w:spacing w:line="420" w:lineRule="exact"/>
        <w:ind w:firstLine="465"/>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11.2.7投标标的清单（如果有）；</w:t>
      </w:r>
    </w:p>
    <w:p w14:paraId="40D582D2">
      <w:pPr>
        <w:spacing w:line="420" w:lineRule="exact"/>
        <w:ind w:firstLine="465"/>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11.2.8商务技术偏离表；</w:t>
      </w:r>
    </w:p>
    <w:p w14:paraId="60E655AD">
      <w:pPr>
        <w:spacing w:line="420" w:lineRule="exact"/>
        <w:ind w:firstLine="465"/>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11.2.9政府采购供应商廉洁自律承诺书。</w:t>
      </w:r>
    </w:p>
    <w:p w14:paraId="5C4BEFA4">
      <w:pPr>
        <w:spacing w:line="420" w:lineRule="exact"/>
        <w:ind w:firstLine="465"/>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11.3报价文件： </w:t>
      </w:r>
    </w:p>
    <w:p w14:paraId="3996C51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11.3.1开标一览表（报价表）；</w:t>
      </w:r>
    </w:p>
    <w:p w14:paraId="2B4063C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11.3.2中小企业声明函；</w:t>
      </w:r>
    </w:p>
    <w:p w14:paraId="49E6AC9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11.3.3 关于符合本国产品标准的声明函（如果有）；</w:t>
      </w:r>
    </w:p>
    <w:p w14:paraId="264D049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11.3.4</w:t>
      </w:r>
      <w:r>
        <w:rPr>
          <w:rFonts w:hint="eastAsia" w:ascii="仿宋_GB2312" w:eastAsia="仿宋_GB2312"/>
          <w:sz w:val="24"/>
          <w:szCs w:val="24"/>
          <w:highlight w:val="none"/>
          <w:lang w:eastAsia="zh-CN"/>
        </w:rPr>
        <w:t>书面说明及必要的证明材料，对投标价格作出解释。（如果报价低于项目最高限价</w:t>
      </w:r>
      <w:r>
        <w:rPr>
          <w:rFonts w:hint="eastAsia" w:ascii="仿宋_GB2312" w:eastAsia="仿宋_GB2312"/>
          <w:sz w:val="24"/>
          <w:szCs w:val="24"/>
          <w:highlight w:val="none"/>
          <w:lang w:val="en-US" w:eastAsia="zh-CN"/>
        </w:rPr>
        <w:t>4</w:t>
      </w:r>
      <w:r>
        <w:rPr>
          <w:rFonts w:hint="eastAsia" w:ascii="仿宋_GB2312" w:eastAsia="仿宋_GB2312"/>
          <w:sz w:val="24"/>
          <w:szCs w:val="24"/>
          <w:highlight w:val="none"/>
          <w:lang w:eastAsia="zh-CN"/>
        </w:rPr>
        <w:t>5%的）</w:t>
      </w:r>
      <w:r>
        <w:rPr>
          <w:rFonts w:hint="eastAsia" w:ascii="仿宋_GB2312" w:hAnsi="仿宋_GB2312" w:eastAsia="仿宋_GB2312" w:cs="仿宋_GB2312"/>
          <w:color w:val="auto"/>
          <w:sz w:val="24"/>
          <w:szCs w:val="24"/>
          <w:highlight w:val="none"/>
        </w:rPr>
        <w:t>。</w:t>
      </w:r>
    </w:p>
    <w:p w14:paraId="1D34A71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12.投标文件的编制</w:t>
      </w:r>
    </w:p>
    <w:p w14:paraId="4BE60E5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3A1BD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14:paraId="2178983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47D4E3B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13.投标文件的签署、盖章</w:t>
      </w:r>
    </w:p>
    <w:p w14:paraId="2AAF21E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13.1投标文件按照招标文件第六部分格式要求进行签署、盖章。▲</w:t>
      </w:r>
      <w:r>
        <w:rPr>
          <w:rFonts w:hint="eastAsia" w:ascii="仿宋_GB2312" w:hAnsi="仿宋_GB2312" w:eastAsia="仿宋_GB2312" w:cs="仿宋_GB2312"/>
          <w:b/>
          <w:color w:val="000000" w:themeColor="text1"/>
          <w:sz w:val="24"/>
          <w:szCs w:val="24"/>
          <w:highlight w:val="none"/>
          <w14:textFill>
            <w14:solidFill>
              <w14:schemeClr w14:val="tx1"/>
            </w14:solidFill>
          </w14:textFill>
        </w:rPr>
        <w:t>投标人的投标文件未按照招标文件要求签署、盖章的，其投标无效</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78BE349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6370B3F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13.3招标文件对投标文件签署、盖章的要求适用于电子签名。</w:t>
      </w:r>
    </w:p>
    <w:p w14:paraId="6085E5D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14.投标文件的提交、补充、修改、撤回</w:t>
      </w:r>
    </w:p>
    <w:p w14:paraId="5ED8307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82AD1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2CC06B3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14.3采购人、采购代理机构可以视情况延长投标文件提交的截止时间。在上述情况下，采购代理机构与投标人以前在投标截止期方面的全部权利、责任和义务，将适用于延长至新的投标截止期。</w:t>
      </w:r>
    </w:p>
    <w:p w14:paraId="676172B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15.备份投标文件</w:t>
      </w:r>
    </w:p>
    <w:p w14:paraId="78296D3F">
      <w:pPr>
        <w:spacing w:line="42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197B610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15.2备份投标文件须在“政采云投标客户端”制作生成，并储存在介质存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72CD327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15.3直接提交备份投标文件的，投标人应于开标当日投标截止时间前将备份投标文件按要求密封和标记后送达舟山市新城翁山路555号四楼（大宗商品交易中心同幢西边）4楼政府采购窗口；送达时间以签收人签收时间为准（签收人：曹女士，联系电话：0580-2281591）。采购代理机构将拒绝接受逾期送达的备份投标文件。</w:t>
      </w:r>
    </w:p>
    <w:p w14:paraId="0CE64DC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舟山市翁山路555号4楼4024室；送达时间以签收人签收时间为准（签收人：曹女士，联系电话：0580-2281591）。采购代理机构将拒绝接受逾期送达的备份投标文件。邮寄过程中，电子备份投标文件发生泄露、遗失、损坏或延期送达等情况的，由投标人自行负责。</w:t>
      </w:r>
    </w:p>
    <w:p w14:paraId="3226F38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15.5投标人仅提交备份投标文件，没有在电子交易平台传输递交投标文件的，投标无效。</w:t>
      </w:r>
    </w:p>
    <w:p w14:paraId="24CD4B8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16.投标文件的无效处理</w:t>
      </w:r>
    </w:p>
    <w:p w14:paraId="5AEB4E9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有招标文件第四部分4.2项规定的情形之一的，投标无效。</w:t>
      </w:r>
    </w:p>
    <w:p w14:paraId="16E5A94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17.投标有效期</w:t>
      </w:r>
    </w:p>
    <w:p w14:paraId="0EA2C311">
      <w:pPr>
        <w:spacing w:line="420" w:lineRule="exact"/>
        <w:ind w:firstLine="480"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17.1投标有效期为从提交投标文件的截止之日起90天。▲</w:t>
      </w:r>
      <w:r>
        <w:rPr>
          <w:rFonts w:hint="eastAsia" w:ascii="仿宋_GB2312" w:hAnsi="仿宋_GB2312" w:eastAsia="仿宋_GB2312" w:cs="仿宋_GB2312"/>
          <w:b/>
          <w:color w:val="000000" w:themeColor="text1"/>
          <w:sz w:val="24"/>
          <w:szCs w:val="24"/>
          <w:highlight w:val="none"/>
          <w14:textFill>
            <w14:solidFill>
              <w14:schemeClr w14:val="tx1"/>
            </w14:solidFill>
          </w14:textFill>
        </w:rPr>
        <w:t>投标人的投标文件中承诺的投标有效期少于招标文件中载明的投标有效期的，投标无效。</w:t>
      </w:r>
    </w:p>
    <w:p w14:paraId="743DF68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17.2投标文件合格投递后，自投标截止日期起，在投标有效期内有效。</w:t>
      </w:r>
    </w:p>
    <w:p w14:paraId="172EFCB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17.3在原定投标有效期满之前，如果出现特殊情况，采购代理机构可以以书面形式通知投标人延长投标有效期。投标人同意延长的，不得要求或被允许修改其投标文件，投标人拒绝延长的，其投标无效。</w:t>
      </w:r>
    </w:p>
    <w:p w14:paraId="74535C29">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四、开标、资格审查与信用信息查询</w:t>
      </w:r>
    </w:p>
    <w:p w14:paraId="55AC7C2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18.开标</w:t>
      </w:r>
    </w:p>
    <w:p w14:paraId="33A420F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18.1采购代理机构按照招标文件规定的时间通过电子交易平台组织开标，所有投标人均应当准时在线参加。</w:t>
      </w:r>
    </w:p>
    <w:p w14:paraId="45AFE571">
      <w:pPr>
        <w:spacing w:line="42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18.2开标时，电子交易平台按开标时间自动提取所有投标文件。采购代理机构依托电子交易平台发起开始解密指令，投标人按照平台提示和招标文件的规定在半小时内完成在线解密。</w:t>
      </w:r>
    </w:p>
    <w:p w14:paraId="16AEF0B0">
      <w:pPr>
        <w:spacing w:line="42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18.3</w:t>
      </w:r>
      <w:r>
        <w:rPr>
          <w:rFonts w:hint="eastAsia" w:ascii="仿宋_GB2312" w:hAnsi="仿宋_GB2312" w:eastAsia="仿宋_GB2312" w:cs="仿宋_GB2312"/>
          <w:b/>
          <w:color w:val="000000" w:themeColor="text1"/>
          <w:sz w:val="24"/>
          <w:szCs w:val="24"/>
          <w:highlight w:val="none"/>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14:paraId="303BF2D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19.资格审查</w:t>
      </w:r>
    </w:p>
    <w:p w14:paraId="0C364E8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19.1开标后，采购人将依法对投标人的资格进行审查。</w:t>
      </w:r>
    </w:p>
    <w:p w14:paraId="07C9506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19.2采购人依据法律法规和招标文件的规定，对投标人的基本资格条件、特定资格条件进行审查。</w:t>
      </w:r>
    </w:p>
    <w:p w14:paraId="3AACCD5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19.3投标人未按照招标文件要求提供与基本资格条件、特定资格条件相应的有效资格证明材料的，视为投标人不具备招标文件中规定的资格要求，其投标无效。</w:t>
      </w:r>
    </w:p>
    <w:p w14:paraId="40CD21F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19.4对未通过资格审查的投标人，采购人或采购代理机构告知其未通过的原因。</w:t>
      </w:r>
    </w:p>
    <w:p w14:paraId="19B9BAD5">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19.5合格投标人不足3家的，不再评标。</w:t>
      </w:r>
    </w:p>
    <w:p w14:paraId="7960F36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20.信用信息查询</w:t>
      </w:r>
    </w:p>
    <w:p w14:paraId="22CDF18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20.1信用信息查询渠道及截止时间：采购代理机构将通过“信用中国”网站(www.creditchina.gov.cn)、中国政府采购网(www.ccgp.gov.cn)渠道查询投标人投标截止时间当天的信用记录。</w:t>
      </w:r>
    </w:p>
    <w:p w14:paraId="3A0D6F8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35A8ED1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20.3信用信息的使用规则：经查询列入失信被执行人名单、重大税收违法失信主体、政府采购严重违法失信行为记录名单、参加政府采购活动前三年内在经营活动中有重大违法记录的投标人将被拒绝参与政府采购活动。</w:t>
      </w:r>
    </w:p>
    <w:p w14:paraId="7CAD436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3A005D8">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五、评标</w:t>
      </w:r>
    </w:p>
    <w:p w14:paraId="61FBFDA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12" w:name="_Toc91899903"/>
      <w:r>
        <w:rPr>
          <w:rFonts w:hint="eastAsia" w:ascii="仿宋_GB2312" w:hAnsi="仿宋_GB2312" w:eastAsia="仿宋_GB2312" w:cs="仿宋_GB2312"/>
          <w:color w:val="000000" w:themeColor="text1"/>
          <w:sz w:val="24"/>
          <w:szCs w:val="24"/>
          <w:highlight w:val="none"/>
          <w14:textFill>
            <w14:solidFill>
              <w14:schemeClr w14:val="tx1"/>
            </w14:solidFill>
          </w14:textFill>
        </w:rPr>
        <w:t>21. 评标委员会将根据招标文件和有关规定，履行评标工作职责，并按照评标办法及评分标准，全面衡量各投标人对招标文件的响应情况。对实质上响应招标文件的投标人，按照评审得分由高到低排序，并按顺序提出授标建议。评标办法详见招标文件第四部分。本项目由采购人授权评审委员会（谈判小组、询价小组）根据中标（成交）候选人名单及排序，直接确定中标人（成交供应商）。</w:t>
      </w:r>
    </w:p>
    <w:p w14:paraId="7EB4CC03">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六、定标</w:t>
      </w:r>
    </w:p>
    <w:p w14:paraId="49E5E2E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22.确定中标供应商</w:t>
      </w:r>
    </w:p>
    <w:p w14:paraId="14DA304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候选人撤销投标（响应）文件不能成为采购人不确认采购结果的正当理由（采购文件中明确）。中标、成交通知书和中标、成交结果公告应当在规定时间内同时发出。</w:t>
      </w:r>
    </w:p>
    <w:p w14:paraId="3A4A431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23.中标通知与中标结果公告</w:t>
      </w:r>
    </w:p>
    <w:p w14:paraId="39C8E8D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23.1自中标人确定之日起2个工作日内，采购代理机构通过电子交易平台向中标人发出中标通知书，同时编制发布采购结果公告。采购代理机构也可以以纸质形式进行中标通知。</w:t>
      </w:r>
    </w:p>
    <w:p w14:paraId="7647838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945D30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23.3公告期限为1个工作日。</w:t>
      </w:r>
    </w:p>
    <w:p w14:paraId="671D64B7">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七、合同授予</w:t>
      </w:r>
    </w:p>
    <w:p w14:paraId="13F9C16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24. 合同主要条款详见第五部分拟签订的合同文本。</w:t>
      </w:r>
    </w:p>
    <w:p w14:paraId="7D075DE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 合同的签订</w:t>
      </w:r>
    </w:p>
    <w:p w14:paraId="77F751A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25.1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采购人与中标供应商按照采购文件确定的事项签订政府采购合同，并及时上传发布。</w:t>
      </w:r>
    </w:p>
    <w:p w14:paraId="63DD520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186F044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25.3中标供应商拒绝与采购人签订合同的，采购人可以按照评审报告推荐的中标或者成交候选人名单排序，确定下一候选人为中标供应商，也可以重新开展政府采购活动。</w:t>
      </w:r>
    </w:p>
    <w:p w14:paraId="5B47B88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25.4中标供应商放弃中标资格导致重新采购的，应当承担支付专家评审费等费用在内的赔偿责任。</w:t>
      </w:r>
    </w:p>
    <w:p w14:paraId="55EBE8B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25.5采购合同由采购人与中标供应商根据招标文件、投标文件等内容通过政府采购电子交易平台在线签订，自动备案。</w:t>
      </w:r>
    </w:p>
    <w:p w14:paraId="2E7CFEF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26. 履约保证金</w:t>
      </w:r>
    </w:p>
    <w:p w14:paraId="2D6EEEA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18A9E1F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BE2CE2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27. 预付款</w:t>
      </w:r>
    </w:p>
    <w:p w14:paraId="669315C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AE9ED6F">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八、电子交易活动的中止</w:t>
      </w:r>
    </w:p>
    <w:p w14:paraId="5DD71FE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 电子交易活动的中止。采购过程中出现以下情形，导致电子交易平台无法正常运行，或者无法保证电子交易的公平、公正和安全时，采购代理机构可中止电子交易活动：</w:t>
      </w:r>
    </w:p>
    <w:p w14:paraId="2B4F987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28.1电子交易平台发生故障而无法登录访问的；</w:t>
      </w:r>
    </w:p>
    <w:p w14:paraId="4898EC5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28.2电子交易平台应用或数据库出现错误，不能进行正常操作的；</w:t>
      </w:r>
    </w:p>
    <w:p w14:paraId="7EAC491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28.3电子交易平台发现严重安全漏洞，有潜在泄密危险的；</w:t>
      </w:r>
    </w:p>
    <w:p w14:paraId="5E8A542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28.4病毒发作导致不能进行正常操作的；</w:t>
      </w:r>
    </w:p>
    <w:p w14:paraId="6E9445F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28.5其他无法保证电子交易的公平、公正和安全的情况。</w:t>
      </w:r>
    </w:p>
    <w:p w14:paraId="6AF5672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29.出现以上情形，不影响采购公平、公正性的，采购组织机构可以待上述情形消除后继续组织电子交易活动，也可以决定某些环节以纸质形式进行；影响或可能影响采购公平、公正性的，应当重新采购。</w:t>
      </w:r>
    </w:p>
    <w:p w14:paraId="2B5D5EE1">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九、验收</w:t>
      </w:r>
    </w:p>
    <w:p w14:paraId="3BA43D7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30.验收</w:t>
      </w:r>
    </w:p>
    <w:p w14:paraId="72831E9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E71F09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30.2采购人可以邀请参加本项目的其他投标人或者第三方机构参与验收。参与验收的投标人或者第三方机构的意见作为验收书的参考资料一并存档。</w:t>
      </w:r>
    </w:p>
    <w:p w14:paraId="212F2DC1">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BAC83D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14:paraId="57246E0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sectPr>
          <w:pgSz w:w="11906" w:h="16838"/>
          <w:pgMar w:top="1134" w:right="1134" w:bottom="1134" w:left="1134" w:header="851" w:footer="992" w:gutter="0"/>
          <w:cols w:space="720" w:num="1"/>
          <w:titlePg/>
          <w:docGrid w:type="lines" w:linePitch="312" w:charSpace="117"/>
        </w:sectPr>
      </w:pPr>
      <w:bookmarkStart w:id="13" w:name="_Hlt74730295"/>
      <w:bookmarkEnd w:id="13"/>
      <w:bookmarkStart w:id="14" w:name="_Hlt74714665"/>
      <w:bookmarkEnd w:id="14"/>
      <w:bookmarkStart w:id="15" w:name="_Hlt74729768"/>
      <w:bookmarkEnd w:id="15"/>
      <w:bookmarkStart w:id="16" w:name="_Hlt68057669"/>
      <w:bookmarkEnd w:id="16"/>
      <w:bookmarkStart w:id="17" w:name="_Hlt75236011"/>
      <w:bookmarkEnd w:id="17"/>
      <w:bookmarkStart w:id="18" w:name="_Hlt68072998"/>
      <w:bookmarkEnd w:id="18"/>
      <w:bookmarkStart w:id="19" w:name="_Hlt68073093"/>
      <w:bookmarkEnd w:id="19"/>
      <w:bookmarkStart w:id="20" w:name="_Hlt74707468"/>
      <w:bookmarkEnd w:id="20"/>
      <w:bookmarkStart w:id="21" w:name="_Hlt75236101"/>
      <w:bookmarkEnd w:id="21"/>
      <w:bookmarkStart w:id="22" w:name="_Hlt75236290"/>
      <w:bookmarkEnd w:id="22"/>
      <w:bookmarkStart w:id="23" w:name="_Hlt68403820"/>
      <w:bookmarkEnd w:id="23"/>
      <w:bookmarkStart w:id="24" w:name="_Hlt68072990"/>
      <w:bookmarkEnd w:id="24"/>
    </w:p>
    <w:bookmarkEnd w:id="10"/>
    <w:bookmarkEnd w:id="11"/>
    <w:p w14:paraId="534EF1A2">
      <w:pPr>
        <w:numPr>
          <w:ilvl w:val="0"/>
          <w:numId w:val="4"/>
        </w:numPr>
        <w:jc w:val="center"/>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bookmarkStart w:id="25" w:name="第四部分"/>
      <w:r>
        <w:rPr>
          <w:rFonts w:hint="eastAsia" w:ascii="仿宋_GB2312" w:hAnsi="仿宋_GB2312" w:eastAsia="仿宋_GB2312" w:cs="仿宋_GB2312"/>
          <w:b/>
          <w:color w:val="000000" w:themeColor="text1"/>
          <w:sz w:val="32"/>
          <w:szCs w:val="32"/>
          <w:highlight w:val="none"/>
          <w14:textFill>
            <w14:solidFill>
              <w14:schemeClr w14:val="tx1"/>
            </w14:solidFill>
          </w14:textFill>
        </w:rPr>
        <w:t>采购需求</w:t>
      </w:r>
    </w:p>
    <w:p w14:paraId="06861DF1">
      <w:pPr>
        <w:pStyle w:val="2"/>
        <w:numPr>
          <w:ilvl w:val="0"/>
          <w:numId w:val="5"/>
        </w:numPr>
        <w:bidi w:val="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建设背景</w:t>
      </w:r>
    </w:p>
    <w:p w14:paraId="270CABD0">
      <w:pPr>
        <w:pStyle w:val="8"/>
        <w:spacing w:line="360" w:lineRule="auto"/>
        <w:ind w:firstLine="480" w:firstLineChars="200"/>
        <w:rPr>
          <w:rFonts w:hint="eastAsia" w:ascii="仿宋_GB2312" w:hAnsi="仿宋_GB2312" w:eastAsia="仿宋_GB2312" w:cs="仿宋_GB2312"/>
          <w:kern w:val="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rPr>
        <w:t>通过统筹建设，在大数据研判服务支撑中心一期项目建设物理空间与公共安全服务核心目标上顺势延伸，实现“覆盖智慧海防、低空管控、数字政府建设”的多元服务升级，促进低空经济与海洋安防深度融合，助力舟山打造全国低空管控示范城市，有效盘活存量资源，强化多维数据联动，全面提升公共安全治理现代化水平，为智慧海防、公共安全和数字政府建设提供连贯且有力支撑。</w:t>
      </w:r>
    </w:p>
    <w:p w14:paraId="5E261272">
      <w:pPr>
        <w:pStyle w:val="2"/>
        <w:numPr>
          <w:ilvl w:val="0"/>
          <w:numId w:val="5"/>
        </w:numPr>
        <w:bidi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项目概况</w:t>
      </w:r>
    </w:p>
    <w:p w14:paraId="10A13F42">
      <w:pPr>
        <w:pStyle w:val="8"/>
        <w:spacing w:line="360" w:lineRule="auto"/>
        <w:ind w:firstLine="480" w:firstLineChars="200"/>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聚焦公安工作智能化、精准化、协同化发展需求，实施功能拓展与能力升级工程，构建“数据支撑+技术研发+实战管控”三位一体的综合性公安技术支撑阵地，进一步夯实市级公安大数据应用基础，强化岸海协同感知、无人机管控等关键领域技术支撑能力，补齐现有中心功能短板，提升公安工作科技赋能水平。本次项目建设作为市级公安科技赋能核心拓展载体，重点打造模块化、标准化的数据存储运算中枢，专业化、精细化的岸海协同传感技术研发平台，以及规范化、高效化的无人机实战管控基地，通过功能分区建设与配套工程完善，整合数据、技术、设备资源，为全市公安研判处置、治安防控、岸海管控、应急处突等工作提供全方位、全链条的技术支撑和实战保障，助力构建现代化、智能化公安防控体系，推动市级公安工作高质量发展。</w:t>
      </w:r>
    </w:p>
    <w:p w14:paraId="6210CCA8">
      <w:pPr>
        <w:pStyle w:val="8"/>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2"/>
          <w:sz w:val="24"/>
          <w:szCs w:val="24"/>
          <w:highlight w:val="none"/>
        </w:rPr>
        <w:t>平面图详见附件。</w:t>
      </w:r>
    </w:p>
    <w:p w14:paraId="3CBEA39C">
      <w:pPr>
        <w:spacing w:line="360" w:lineRule="auto"/>
        <w:rPr>
          <w:rFonts w:hint="eastAsia" w:ascii="仿宋_GB2312" w:hAnsi="仿宋_GB2312" w:eastAsia="仿宋_GB2312" w:cs="仿宋_GB2312"/>
          <w:sz w:val="24"/>
          <w:szCs w:val="24"/>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94A330A">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rPr>
        <w:t>项目采购清单及规格（技术）参数</w:t>
      </w:r>
    </w:p>
    <w:p w14:paraId="339419DE">
      <w:pPr>
        <w:pStyle w:val="2"/>
        <w:numPr>
          <w:ilvl w:val="0"/>
          <w:numId w:val="0"/>
        </w:numPr>
        <w:bidi w:val="0"/>
        <w:ind w:leftChars="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3.1采购清单</w:t>
      </w:r>
    </w:p>
    <w:p w14:paraId="0CF409CA">
      <w:pPr>
        <w:pStyle w:val="2"/>
        <w:numPr>
          <w:ilvl w:val="0"/>
          <w:numId w:val="0"/>
        </w:numPr>
        <w:bidi w:val="0"/>
        <w:ind w:leftChars="0" w:firstLine="240" w:firstLineChars="10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3.1.1无人机管控中心及岸海协同多元传感技术实验室建设</w:t>
      </w:r>
    </w:p>
    <w:tbl>
      <w:tblPr>
        <w:tblStyle w:val="28"/>
        <w:tblW w:w="491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2"/>
        <w:gridCol w:w="3227"/>
        <w:gridCol w:w="748"/>
        <w:gridCol w:w="1626"/>
        <w:gridCol w:w="1627"/>
      </w:tblGrid>
      <w:tr w14:paraId="61028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8B8C191">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92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BD86F8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44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0556DD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7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11E363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7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6604F12">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3792E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18C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191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55寸触控一体机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960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AE2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98E1E">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576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832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65F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75寸触控一体机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D5D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A76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5620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B1F4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B2F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42C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电子沙盘</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8D0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036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F22D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C5C8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58C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BAA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544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23.65</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E5C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6C09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1F1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13D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605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00F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0F6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3CCF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FCF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03A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4A3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LED屏体控制器（4K）1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08E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DE1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6E8D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81A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3956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94F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大屏控制设备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8A6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23A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730D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1D6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E71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826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安装结构1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CE1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23.65</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05E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Fonts w:hint="eastAsia" w:ascii="宋体" w:hAnsi="宋体" w:eastAsia="宋体" w:cs="宋体"/>
                <w:i w:val="0"/>
                <w:iCs w:val="0"/>
                <w:color w:val="000000"/>
                <w:kern w:val="0"/>
                <w:sz w:val="20"/>
                <w:szCs w:val="20"/>
                <w:u w:val="none"/>
                <w:lang w:val="en-US" w:eastAsia="zh-CN" w:bidi="ar"/>
              </w:rPr>
              <w:t>²</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6CD28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AFF0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567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EB2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配套线材1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C42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BD2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D773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303F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756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9EF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大屏控制软件</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501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8EE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4319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02FC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403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6E7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86寸交互一体机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865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8F0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A107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9467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F2F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58D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98寸交互一体机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E33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DB0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7BA1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105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BB6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173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无人机虚拟成像展示屏</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09A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754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B652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6C1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B7B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CED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网枪无人机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24D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B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CAD3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8E66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383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123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高速撞击无人机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415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EA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5CD3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D39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0E1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A61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执法无人机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779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D10C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FBE4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D5AF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7DF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03A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模型演示机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BF3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CC2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3873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9AB3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521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69E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350KV电机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683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276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FD8D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51A0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8B7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10E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接收机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1F2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04A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51D5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6835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C18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4ED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无人机遥控器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36F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847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2F35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4B5B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1C0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469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穿越机察打一体设备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3E1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855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A470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3255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D36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091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便携式无人机侦测设备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49B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310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E04F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17D1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2EE0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932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无人机辅助设备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A2D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0E3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C8F7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BF99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C5E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EB5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可编程机器人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FC6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8DF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43FB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836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1E1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80E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无人机飞行操作台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77A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51E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358F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570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E48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9E4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手持式监测测向系统</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734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8A0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7AF5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5AD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C1A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937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示波器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69C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6A3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E51F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356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96A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0F5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C-RID无人机识别模块</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598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775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185A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B8F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A45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F0C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无人机远程识别外挂2.4GHz模块</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F16C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20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B0A2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BE42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F8B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7CC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矢量网络分析仪</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8D2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50A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C9E7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7CA2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2A4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633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移动路由器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52B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A4B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E59D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D177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D66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8B4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图传4G模块</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254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E02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A603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7874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3A9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E76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专业取证设备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53E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28B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CDFE9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4D5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C1E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C74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航拍相机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67C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8CB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ACCD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6EE5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A95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CF7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激光3D扫描仪</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1C1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203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2162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A82A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1DD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0E7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智能VR拍摄平台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B18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C31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B1D2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DCD9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0BC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BCF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遥控航模固定翼</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D59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E06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架</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0F24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FD2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E18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498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无人机维修工具套件</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F88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843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7AD5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33F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09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2C8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激光雕刻机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0A6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05A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E412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D3BB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AAA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D99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充电柜</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AF4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8C4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D227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BC1A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F87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A3A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激光测距仪</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51C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239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7071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3D7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CE9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F33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无人机CPU维修套装</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645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E02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B1E1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51FE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43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A12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3D打印机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31D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762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134A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4ED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10A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595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电子元器件模块</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C81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364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86DB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AB7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91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EFE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海上发烟装置</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A28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877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61FD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11B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021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D2B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98寸智能终端</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82A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508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1D9E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217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9708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B6F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同步触控一体机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18A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4BC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99CC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E713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0A8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532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前置放大器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644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D74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A84C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2B9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DC9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791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功率放大器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951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423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5FD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523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5B3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99D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同轴吸顶音箱</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AA2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4CE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5A9A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145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B52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F83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一拖二无线头戴话筒</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81D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BF9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A08D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2EF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3D9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337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天线放大器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FB2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C2D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C7E3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29A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B36A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1FF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UHF主动式指向性天线</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B09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920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E12F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18B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BB9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9F0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天线延长线</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253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9DA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5C67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863F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4E6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3BF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音频效果处理器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3EA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128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CB64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64DB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8E8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CA1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多通道数字功放</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2F7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6FD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5BC9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A9B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F8F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3A1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同轴吸顶音箱（60W）</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8A7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2FF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D612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BDD8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ADE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677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8寸超低音吸顶扬声器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211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A35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08D5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0E2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558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57D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D55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119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20E3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E28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032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651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音频隔离器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058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E7C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C5C0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02D0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FC9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0B7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时序电源器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B5E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EB1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80DF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B07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9BB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BF7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4K HDMI输入节点</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5B0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22D0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D1AB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7C2A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B93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2D6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双路4K拼接输出节点</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67F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CFF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B7F6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6A9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FFF5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88D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中央控制系统主机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A6D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002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C2E9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41F7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F4F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6073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中控系统</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9E9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970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9F94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2D1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CF6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089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移动控制设备</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FC1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3E9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C8E5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BCD2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BBF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EB1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定制研判桌1</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981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E1A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BD041">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75496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99F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D08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人体工学椅调度椅</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941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A6A3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964FC">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68EEB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36C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D188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工业除湿机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FCC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A24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7210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5BC6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200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668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空气净化器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2C2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0BD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263A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3D2C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256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4B0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交互式装备柜</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761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5FB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5B2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4781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547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928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LED显示屏2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8D0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D2B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Style w:val="108"/>
                <w:lang w:val="en-US" w:eastAsia="zh-CN" w:bidi="ar"/>
              </w:rPr>
              <w:t>²</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F8B5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F95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7B4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B86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97B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2B4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488E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B79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13D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F52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LED屏体控制器（4K）2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AD1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917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C8C9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E23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CFD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7D6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安装结构2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071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9.98</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08D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Style w:val="108"/>
                <w:lang w:val="en-US" w:eastAsia="zh-CN" w:bidi="ar"/>
              </w:rPr>
              <w:t>²</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5AE9E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7DF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A75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BF6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配套线材2</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08D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3B4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B22D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C93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DD1B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5A5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4席位定制操作控制台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8DC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0E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6BF2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30607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2E2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55A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工业维修工具</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50E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C72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E050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3EE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212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E36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75寸交互一体机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BE3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F89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09B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A1DD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CBF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626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3人位操作台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F040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BC0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941C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6FE2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606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534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定制研判桌2</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5DE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298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6167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7A272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854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82</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B3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4人位操作台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6B5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7D0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8B3F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297D4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A89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83</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726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6席位定制操作控制台</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2AA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0B7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F315C">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3339F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396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7AB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小型3D打印机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AE1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0D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48FA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0D79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834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BBF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混音功率放大器（130W）</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C53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34B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459D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2CD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D57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BF7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吸顶喇叭（6W）</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469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D30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5BA0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6F75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F8C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E5B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电源时序器</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23D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02C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9458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A51E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1FE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9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711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机柜2</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2AA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A0B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A8B4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BB36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38D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FCC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8口交换机</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548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E61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6865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808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75D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w:t>
            </w:r>
          </w:p>
        </w:tc>
        <w:tc>
          <w:tcPr>
            <w:tcW w:w="1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86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控制台设备柜</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1A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54CD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7C87C">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0F1C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988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19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AFE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单人应急水上动力装置</w:t>
            </w:r>
          </w:p>
        </w:tc>
        <w:tc>
          <w:tcPr>
            <w:tcW w:w="4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811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A8F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87D7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14843C7C">
      <w:pPr>
        <w:pStyle w:val="5"/>
        <w:bidi w:val="0"/>
        <w:rPr>
          <w:rFonts w:hint="eastAsia"/>
          <w:lang w:val="en-US" w:eastAsia="zh-CN"/>
        </w:rPr>
      </w:pPr>
      <w:r>
        <w:rPr>
          <w:rFonts w:hint="eastAsia"/>
          <w:lang w:val="en-US" w:eastAsia="zh-CN"/>
        </w:rPr>
        <w:t>3.1.2模块化数据中心机房建设</w:t>
      </w:r>
    </w:p>
    <w:p w14:paraId="19CD5A9C">
      <w:pPr>
        <w:pStyle w:val="6"/>
        <w:bidi w:val="0"/>
        <w:rPr>
          <w:rFonts w:hint="eastAsia"/>
          <w:lang w:val="en-US" w:eastAsia="zh-CN"/>
        </w:rPr>
      </w:pPr>
      <w:r>
        <w:rPr>
          <w:rFonts w:hint="eastAsia"/>
          <w:lang w:val="en-US" w:eastAsia="zh-CN"/>
        </w:rPr>
        <w:t>3.1.2.1数据中心机房微模块</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8"/>
        <w:gridCol w:w="2903"/>
        <w:gridCol w:w="1139"/>
        <w:gridCol w:w="1574"/>
        <w:gridCol w:w="1771"/>
      </w:tblGrid>
      <w:tr w14:paraId="23BF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E1C55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351B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7C5E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3D31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4054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340A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73A0D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1702"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46D69A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机柜部分</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A92A7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569EB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AD078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1DE16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C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D3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42U服务器机柜</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4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60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E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B25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57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7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机柜侧板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A5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5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边</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C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BAC0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1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C9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机柜底座</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B9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86</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29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CD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7C2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0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F2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包柱组件</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C65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D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11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CBEB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2654A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F5DA1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机柜配套</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AB27D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EC9FE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D7C08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51AE9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2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1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L型导轨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49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E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0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15BB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44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4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固定层板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F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60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3E64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5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C0D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毛刷理线架</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F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6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C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E226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9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0C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1U塑料盲板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3B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1360</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1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E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121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D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E5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21口PDU</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5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82</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17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10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E9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095A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9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3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24口PDU</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F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54</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D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条</w:t>
            </w:r>
          </w:p>
        </w:tc>
        <w:tc>
          <w:tcPr>
            <w:tcW w:w="10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036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88A1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B9A1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三</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1A0D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通道组件</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85B57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FEC26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95645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55EE5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4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22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钣金固定天窗</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6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F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8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7BD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7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B6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全玻璃单翻天窗</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5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38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9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6E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DF7D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E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8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天窗支撑板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14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B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8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44D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D6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D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装饰板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A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D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A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3CE1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4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17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H型槽道</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23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D1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E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97FB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AB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A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列间走线梯</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C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3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F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F581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1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F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通道控制模块</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645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1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2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9D3D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F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A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2米自动移门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D1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E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92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246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12C7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四</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EBE8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配电系统</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9AD0B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A46A4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DA5D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0559C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2B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E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双路精密配电柜</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06A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B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6E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78D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257B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五</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69B4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制冷系统</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A79E5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5BB43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82D46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364A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2C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48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风冷列间空调1</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4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2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2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3FBC6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A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97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风冷列间空调2</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3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7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6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258E0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7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F9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风冷列间空调3</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F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A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D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70CEC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96EB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六</w:t>
            </w:r>
          </w:p>
        </w:tc>
        <w:tc>
          <w:tcPr>
            <w:tcW w:w="17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C016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微模块动环监控</w:t>
            </w:r>
          </w:p>
        </w:tc>
        <w:tc>
          <w:tcPr>
            <w:tcW w:w="66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4BFFB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C3F48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10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3075E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38368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4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DBF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一体化数据采集器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B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8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0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5D2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DB6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0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微模块动环软件</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0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8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7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4C865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2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B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工业触摸屏（32寸）</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86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D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F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FB70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0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E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声光报警器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6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A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16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66B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89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31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电话短信模块</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C1B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83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D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243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5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13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环境温湿度传感器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5C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4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2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3558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1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BC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烟雾探测器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13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6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A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E61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6A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8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不定位漏水传感器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31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14</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1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C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3A8F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3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C3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5米不定位漏水感应线</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DD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14</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0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7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BED6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7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4F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人脸指纹刷卡密码一体机</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1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A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A0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5715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6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2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不锈钢出门按钮（长条）</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76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1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C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88E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D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54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IC卡</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2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30</w:t>
            </w:r>
          </w:p>
        </w:tc>
        <w:tc>
          <w:tcPr>
            <w:tcW w:w="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9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C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7AEED9FE">
      <w:pPr>
        <w:pStyle w:val="6"/>
        <w:bidi w:val="0"/>
        <w:rPr>
          <w:rFonts w:hint="eastAsia"/>
          <w:lang w:val="en-US" w:eastAsia="zh-CN"/>
        </w:rPr>
      </w:pPr>
      <w:r>
        <w:rPr>
          <w:rFonts w:hint="eastAsia"/>
          <w:lang w:val="en-US" w:eastAsia="zh-CN"/>
        </w:rPr>
        <w:t>3.1.2.2供配电</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3106"/>
        <w:gridCol w:w="1334"/>
        <w:gridCol w:w="1361"/>
        <w:gridCol w:w="1361"/>
      </w:tblGrid>
      <w:tr w14:paraId="67822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564B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82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FE47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78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647BD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79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62D4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79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6C61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674C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C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273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8F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2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E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AFA5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9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87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F4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1A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8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8E7C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21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4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JDG25管敷设</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D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D0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58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8F9E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3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09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电线管穿线1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09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85E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857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A7E3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A0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2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电线管穿线2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E8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A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1B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F300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6F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C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26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B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6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69E2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E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29E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6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4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D5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9444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5D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05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57B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7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ED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E633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FB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1D6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电缆敷设4</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5B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F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8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2FD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28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1E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80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D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A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9B61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5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3B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电缆敷设6</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9A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16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0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EFE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5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7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电缆敷设7</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4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BA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D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EBC5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A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D0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电缆敷设8</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A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52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9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E7D1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56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69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市电ATS输入柜</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3B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8A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7D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755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E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1E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市电配电柜</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53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94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1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BBE6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15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1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UPS输入柜</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F1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DC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1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9FAC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5B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84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UPS1输出柜</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C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69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34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1B8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0E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F6D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UPS2输出柜</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5A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7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4C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3FA3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F6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8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空调配电柜-1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26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2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7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852C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7A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40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空调配电柜-2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C9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37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D9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8AE0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26E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2C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框架断路器</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2C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3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D8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0E96E94A">
      <w:pPr>
        <w:pStyle w:val="6"/>
        <w:bidi w:val="0"/>
        <w:rPr>
          <w:rFonts w:hint="eastAsia"/>
          <w:lang w:val="en-US" w:eastAsia="zh-CN"/>
        </w:rPr>
      </w:pPr>
      <w:r>
        <w:rPr>
          <w:rFonts w:hint="eastAsia"/>
          <w:lang w:val="en-US" w:eastAsia="zh-CN"/>
        </w:rPr>
        <w:t>3.1.2.3 UPS及电池</w:t>
      </w:r>
    </w:p>
    <w:tbl>
      <w:tblPr>
        <w:tblStyle w:val="2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8"/>
        <w:gridCol w:w="3118"/>
        <w:gridCol w:w="1358"/>
        <w:gridCol w:w="1346"/>
        <w:gridCol w:w="1346"/>
      </w:tblGrid>
      <w:tr w14:paraId="49423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D43B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8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9628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CAD6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40CE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D951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716CE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8D03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1828" w:type="pct"/>
            <w:tcBorders>
              <w:top w:val="single" w:color="000000" w:sz="4" w:space="0"/>
              <w:left w:val="single" w:color="000000" w:sz="4" w:space="0"/>
              <w:bottom w:val="single" w:color="000000" w:sz="4" w:space="0"/>
              <w:right w:val="nil"/>
            </w:tcBorders>
            <w:shd w:val="clear" w:color="auto" w:fill="A6A6A6"/>
            <w:vAlign w:val="center"/>
          </w:tcPr>
          <w:p w14:paraId="74ABB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800KVA UPS（高密区）</w:t>
            </w:r>
          </w:p>
        </w:tc>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C4EC0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E66CD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D4CED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57CE9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4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65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UPS不间断电源</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C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AE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0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9B60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DE5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617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蓄电池</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4F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9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5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936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0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3F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电池架</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95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12</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9F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1F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329C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B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EE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电池连接铜排</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9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B4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49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7A0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3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8D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电池开关箱</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8B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5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1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E549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6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w:t>
            </w:r>
          </w:p>
        </w:tc>
        <w:tc>
          <w:tcPr>
            <w:tcW w:w="1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70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原有电池接入</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A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887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35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208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B4AC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1828" w:type="pct"/>
            <w:tcBorders>
              <w:top w:val="single" w:color="000000" w:sz="4" w:space="0"/>
              <w:left w:val="single" w:color="000000" w:sz="4" w:space="0"/>
              <w:bottom w:val="single" w:color="000000" w:sz="4" w:space="0"/>
              <w:right w:val="nil"/>
            </w:tcBorders>
            <w:shd w:val="clear" w:color="auto" w:fill="A6A6A6"/>
            <w:vAlign w:val="center"/>
          </w:tcPr>
          <w:p w14:paraId="0A5F8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电池间制冷系统</w:t>
            </w:r>
          </w:p>
        </w:tc>
        <w:tc>
          <w:tcPr>
            <w:tcW w:w="79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28A62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245CA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78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3EAAB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3F1C6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2E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5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精密空调</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2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F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1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工业</w:t>
            </w:r>
          </w:p>
        </w:tc>
      </w:tr>
      <w:tr w14:paraId="417FF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2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B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除湿机</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77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9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7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6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173EE563">
      <w:pPr>
        <w:pStyle w:val="6"/>
        <w:bidi w:val="0"/>
        <w:rPr>
          <w:rFonts w:hint="eastAsia"/>
          <w:lang w:val="en-US" w:eastAsia="zh-CN"/>
        </w:rPr>
      </w:pPr>
      <w:r>
        <w:rPr>
          <w:rFonts w:hint="eastAsia"/>
          <w:lang w:val="en-US" w:eastAsia="zh-CN"/>
        </w:rPr>
        <w:t>3.1.2.4防雷接地</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1"/>
        <w:gridCol w:w="2956"/>
        <w:gridCol w:w="1475"/>
        <w:gridCol w:w="1581"/>
        <w:gridCol w:w="1582"/>
      </w:tblGrid>
      <w:tr w14:paraId="1905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BF8D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3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543E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6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71C5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2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A721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2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426E2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0A9B7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1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45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等电位泄流网格</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F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0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94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17AC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97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5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等电位泄流铜排</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1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4E2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26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A590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05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5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绝缘子</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15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2B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A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0B68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0C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B4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接地联接线</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65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9A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83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5746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2D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4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接地跨接线</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8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F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FE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60152FF9">
      <w:pPr>
        <w:pStyle w:val="6"/>
        <w:bidi w:val="0"/>
        <w:rPr>
          <w:rFonts w:hint="eastAsia"/>
          <w:lang w:val="en-US" w:eastAsia="zh-CN"/>
        </w:rPr>
      </w:pPr>
      <w:r>
        <w:rPr>
          <w:rFonts w:hint="eastAsia"/>
          <w:lang w:val="en-US" w:eastAsia="zh-CN"/>
        </w:rPr>
        <w:t>3.1.2.5电池间消防系统</w:t>
      </w:r>
    </w:p>
    <w:tbl>
      <w:tblPr>
        <w:tblStyle w:val="2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2974"/>
        <w:gridCol w:w="1498"/>
        <w:gridCol w:w="1568"/>
        <w:gridCol w:w="1568"/>
      </w:tblGrid>
      <w:tr w14:paraId="60344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8353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4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E0D8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7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51E66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9EDD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9A169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31431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D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6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七氟丙烷柜式瓶组（含药剂）</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C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67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C0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1AC8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0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E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灭火系统标牌</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2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E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60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D8E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3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2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泄压口</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F1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8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6B8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CF0D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8A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F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气体灭火控制器</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4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FEC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10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654B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D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B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感烟探测器</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D0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8D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9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258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E0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0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感温探测器</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6C3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A7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BD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47F8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C4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13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放气指示灯</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8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B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207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79E7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6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6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编码型火灾声光警报器</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C5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B3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F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522A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F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75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紧急启停按钮</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97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0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E1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7796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ED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A5B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手自动转换盒</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59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FB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F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E45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8C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5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安全出口指示灯</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C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DB2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F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72AC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76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C6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电子编码器</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4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5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1A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2DD1D606">
      <w:pPr>
        <w:pStyle w:val="6"/>
        <w:bidi w:val="0"/>
        <w:rPr>
          <w:rFonts w:hint="eastAsia"/>
          <w:lang w:val="en-US" w:eastAsia="zh-CN"/>
        </w:rPr>
      </w:pPr>
      <w:r>
        <w:rPr>
          <w:rFonts w:hint="eastAsia"/>
          <w:lang w:val="en-US" w:eastAsia="zh-CN"/>
        </w:rPr>
        <w:t>3.1.2.6动环监控</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6"/>
        <w:gridCol w:w="2992"/>
        <w:gridCol w:w="1508"/>
        <w:gridCol w:w="1559"/>
        <w:gridCol w:w="1560"/>
      </w:tblGrid>
      <w:tr w14:paraId="4C9D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2B5E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5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9146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977E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B2DBE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5C16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45065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0A26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31304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配电监测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EEDC9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5FBDF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081AF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0CFF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0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8C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数据中心配电监测软件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92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BC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5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62633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488D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596C0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UPS监测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6DEB4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A2C09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CBCB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3284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7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D80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数据中心UPS监测软件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E7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8D8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3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20368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D5F3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三</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705C5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空调监测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3BF4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6B828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E7E23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5EA79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0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66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数据中心空调监测软件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C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7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4A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4EBC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04B9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四</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1F75B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温湿度监测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1FD2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BC4B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9E6B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17D2E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24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ED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温湿度传感器</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7B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E4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2D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FE37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58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FF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数据中心动环综合监控软件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19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9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6C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51424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D462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五</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715EF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漏水监测-不定位漏水</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3BD8A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E3488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0E0F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2140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D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E1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不定位漏水传感器</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96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68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C5D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E494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D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F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5米不定位漏水感应线</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C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E9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5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D5BD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BD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6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防水接线盒</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0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B5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F9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E68C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C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B8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数据中心漏水监测软件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DD7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D3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40E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6F52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D48E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六</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49A94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氢气监测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EA75D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1E904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F8FFE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55DDE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AD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4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氢气传感器</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74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1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AA9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648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4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18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导轨式开关电源</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4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3C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D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328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0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AC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数据中心氢气监测软件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68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1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0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44D1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8597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七</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16E70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蓄电池监测</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6DF0C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FED9A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F06E5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4E728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09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D2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蓄电池组监控主机</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6E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6D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0B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A3C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9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EC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单体电池采集模块</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E1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EF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3B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E00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C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4A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霍尔电流传感器</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5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2D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6E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8643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8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314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数据中心蓄电池监测软件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B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05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9C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1F0D9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5ACF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八</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50272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视频监控</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35E56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63742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2B03C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19CF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B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E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网络摄像机</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A9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25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5B8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A96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1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F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网络硬盘录像机</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2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A14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BE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1AE9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D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AB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硬盘</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C1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E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9DA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1FAF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8E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5D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POE交换机</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0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A2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01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8741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7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A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数据中心视频接入软件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0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E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6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34785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A585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九</w:t>
            </w:r>
          </w:p>
        </w:tc>
        <w:tc>
          <w:tcPr>
            <w:tcW w:w="1754" w:type="pct"/>
            <w:tcBorders>
              <w:top w:val="single" w:color="000000" w:sz="4" w:space="0"/>
              <w:left w:val="single" w:color="000000" w:sz="4" w:space="0"/>
              <w:bottom w:val="single" w:color="000000" w:sz="4" w:space="0"/>
              <w:right w:val="nil"/>
            </w:tcBorders>
            <w:shd w:val="clear" w:color="auto" w:fill="A6A6A6"/>
            <w:vAlign w:val="center"/>
          </w:tcPr>
          <w:p w14:paraId="43B50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平台层</w:t>
            </w:r>
          </w:p>
        </w:tc>
        <w:tc>
          <w:tcPr>
            <w:tcW w:w="88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4F908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1230D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9A0EF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7AC5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3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CA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短信电话报警模块</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3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94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F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A4C0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7E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5E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动环服务器</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75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97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4B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1D0B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D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3</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C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数据中心动环综合监控软件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B86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CA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88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3FB3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E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4</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6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动环建模</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247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F1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6B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079FB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6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5</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D4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汇聚交换机</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4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A1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1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6BD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6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6</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CF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资产可视化模块</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A3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3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C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7763F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0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AE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微模块接入</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9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78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EE4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r w14:paraId="01E37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9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7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接口模块</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E3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9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85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软件和信息技术服务业</w:t>
            </w:r>
          </w:p>
        </w:tc>
      </w:tr>
    </w:tbl>
    <w:p w14:paraId="2038B131">
      <w:pPr>
        <w:pStyle w:val="6"/>
        <w:bidi w:val="0"/>
        <w:rPr>
          <w:rFonts w:hint="eastAsia"/>
          <w:lang w:val="en-US" w:eastAsia="zh-CN"/>
        </w:rPr>
      </w:pPr>
      <w:r>
        <w:rPr>
          <w:rFonts w:hint="eastAsia"/>
          <w:lang w:val="en-US" w:eastAsia="zh-CN"/>
        </w:rPr>
        <w:t>3.1.2.7综合布线</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4"/>
        <w:gridCol w:w="2987"/>
        <w:gridCol w:w="1488"/>
        <w:gridCol w:w="1568"/>
        <w:gridCol w:w="1568"/>
      </w:tblGrid>
      <w:tr w14:paraId="6ED1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0437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5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B0202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70EF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08A3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83E3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5FCD0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1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6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桥架敷设1</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EA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7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28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710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5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桥架敷设2</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45C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82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71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1D1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AE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六类非屏蔽网线</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0F1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05A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45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98D8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FB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1E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6类非屏蔽24口数据配线架</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09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D41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DB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CBE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9E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CF7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1U理线器</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88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CD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C92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587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86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08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12芯室内多模光缆</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07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B0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8D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EE6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2A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0D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24芯室内多模光缆</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B8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BD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AA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7A941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8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31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24口光纤配线架</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FA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6D4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E5B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977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4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25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多模单芯光纤尾纤</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E0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1872</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5B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7F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3FAF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2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D3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8E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1872</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9D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芯</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F6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1B36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B1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数据跳线</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8C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847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69E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6CE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D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72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光纤跳线1</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13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F2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91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F1D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D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7A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光纤跳线2</w:t>
            </w:r>
          </w:p>
        </w:tc>
        <w:tc>
          <w:tcPr>
            <w:tcW w:w="8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74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D3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C9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71E7DB92">
      <w:pPr>
        <w:pStyle w:val="6"/>
        <w:bidi w:val="0"/>
        <w:rPr>
          <w:rFonts w:hint="default"/>
          <w:lang w:val="en-US" w:eastAsia="zh-CN"/>
        </w:rPr>
      </w:pPr>
      <w:r>
        <w:rPr>
          <w:rFonts w:hint="eastAsia"/>
          <w:lang w:val="en-US" w:eastAsia="zh-CN"/>
        </w:rPr>
        <w:t>3.1.2.8配套部署</w:t>
      </w:r>
    </w:p>
    <w:tbl>
      <w:tblPr>
        <w:tblStyle w:val="2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2975"/>
        <w:gridCol w:w="1463"/>
        <w:gridCol w:w="1583"/>
        <w:gridCol w:w="1583"/>
      </w:tblGrid>
      <w:tr w14:paraId="25C4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02F8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4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55B8C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5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39FAE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B3F9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0A957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4D0B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6DFB2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174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3BE2A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顶面部分</w:t>
            </w:r>
          </w:p>
        </w:tc>
        <w:tc>
          <w:tcPr>
            <w:tcW w:w="85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6A3C8B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40D7A3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3AD086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CB74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D5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A5E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顶面防潮漆</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42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70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9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red"/>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AE44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4D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55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顶面防尘漆</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B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2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2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red"/>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30A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2EDB8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174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2B87DB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地面部分</w:t>
            </w:r>
          </w:p>
        </w:tc>
        <w:tc>
          <w:tcPr>
            <w:tcW w:w="85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580FC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60F90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3B486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3B54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D7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35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地面防潮漆</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A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250</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7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A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red"/>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9F3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43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6C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地面防尘漆</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1EF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250</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7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8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red"/>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249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04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9F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3E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6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EDA2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0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62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0D8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D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52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303C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88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83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99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A7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74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5B7D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4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A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E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D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F3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0DC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A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F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F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9D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0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38F0D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89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3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空调防水堰</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51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E8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D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8739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CA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3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吸盘</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05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40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1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81B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3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9E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物流斜坡</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2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9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0E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10C8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5CB5A9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三</w:t>
            </w:r>
          </w:p>
        </w:tc>
        <w:tc>
          <w:tcPr>
            <w:tcW w:w="174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344E7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墙面部分</w:t>
            </w:r>
          </w:p>
        </w:tc>
        <w:tc>
          <w:tcPr>
            <w:tcW w:w="85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7A2DB0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2F4526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613ADF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10B59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CB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AB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砖墙隔断</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CD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D8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7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501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0C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1C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防火玻璃隔断</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41B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A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3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BEC9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F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3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防火玻璃门</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6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E7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1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9951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7B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37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不锈钢踢脚线</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63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75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2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E4E6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26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1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甲级钢制防火双开门</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0DD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7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扇</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5E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2F36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7562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四</w:t>
            </w:r>
          </w:p>
        </w:tc>
        <w:tc>
          <w:tcPr>
            <w:tcW w:w="174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0BD7D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其他</w:t>
            </w:r>
          </w:p>
        </w:tc>
        <w:tc>
          <w:tcPr>
            <w:tcW w:w="85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56775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6385FF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2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14:paraId="17F978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1ADC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5A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70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备件柜</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6A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4C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1BD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highlight w:val="red"/>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5973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B7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6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隐蔽密闭工程</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0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71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B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F476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A0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701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自动灭火装置</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B4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6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95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AD1E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2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2A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铜管</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9FC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1060</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43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F41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0D2B3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6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B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空调补水</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6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63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F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42A0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F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A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空调排水</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6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51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F2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2EBFE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A1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E0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新风主机</w:t>
            </w:r>
          </w:p>
        </w:tc>
        <w:tc>
          <w:tcPr>
            <w:tcW w:w="8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25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162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76E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6A30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A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8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排风主机</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0EB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F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1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21E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5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6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新排风机管道</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63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1B312A4D">
      <w:pPr>
        <w:pStyle w:val="6"/>
        <w:bidi w:val="0"/>
        <w:rPr>
          <w:rFonts w:hint="eastAsia"/>
          <w:lang w:val="en-US" w:eastAsia="zh-CN"/>
        </w:rPr>
      </w:pPr>
      <w:r>
        <w:rPr>
          <w:rFonts w:hint="eastAsia"/>
          <w:lang w:val="en-US" w:eastAsia="zh-CN"/>
        </w:rPr>
        <w:t>3.1.2.9服务器设备</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2958"/>
        <w:gridCol w:w="1453"/>
        <w:gridCol w:w="1596"/>
        <w:gridCol w:w="1597"/>
      </w:tblGrid>
      <w:tr w14:paraId="6FD4B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4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1B93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73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3903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85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405B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3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2C741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93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FDC79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所属行业</w:t>
            </w:r>
          </w:p>
        </w:tc>
      </w:tr>
      <w:tr w14:paraId="14F16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5C89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173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C4E1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800KVA UPS（高密区）</w:t>
            </w:r>
          </w:p>
        </w:tc>
        <w:tc>
          <w:tcPr>
            <w:tcW w:w="85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45E08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3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034E7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c>
          <w:tcPr>
            <w:tcW w:w="93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F0D25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sz w:val="20"/>
                <w:szCs w:val="20"/>
                <w:u w:val="none"/>
              </w:rPr>
            </w:pPr>
          </w:p>
        </w:tc>
      </w:tr>
      <w:tr w14:paraId="35BD3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4A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14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算力服务器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E1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DC1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AE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r w14:paraId="13D3D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C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64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交换机</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25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06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8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工业</w:t>
            </w:r>
          </w:p>
        </w:tc>
      </w:tr>
    </w:tbl>
    <w:p w14:paraId="514275FC">
      <w:pPr>
        <w:pStyle w:val="4"/>
        <w:bidi w:val="0"/>
        <w:rPr>
          <w:rFonts w:hint="eastAsia"/>
        </w:rPr>
      </w:pPr>
      <w:r>
        <w:rPr>
          <w:rFonts w:hint="eastAsia"/>
          <w:lang w:val="en-US" w:eastAsia="zh-CN"/>
        </w:rPr>
        <w:t>3.2</w:t>
      </w:r>
      <w:r>
        <w:rPr>
          <w:rFonts w:hint="eastAsia"/>
        </w:rPr>
        <w:t>规格（技术）参数</w:t>
      </w:r>
    </w:p>
    <w:p w14:paraId="4141CFBD">
      <w:pPr>
        <w:rPr>
          <w:rFonts w:hint="eastAsia"/>
          <w:lang w:val="en-US" w:eastAsia="zh-CN"/>
        </w:rPr>
      </w:pPr>
      <w:r>
        <w:rPr>
          <w:rFonts w:hint="eastAsia"/>
          <w:lang w:val="en-US" w:eastAsia="zh-CN"/>
        </w:rPr>
        <w:br w:type="page"/>
      </w:r>
    </w:p>
    <w:p w14:paraId="350EC312">
      <w:pPr>
        <w:pStyle w:val="5"/>
        <w:bidi w:val="0"/>
        <w:rPr>
          <w:rFonts w:hint="eastAsia"/>
          <w:lang w:val="en-US" w:eastAsia="zh-CN"/>
        </w:rPr>
      </w:pPr>
      <w:r>
        <w:rPr>
          <w:rFonts w:hint="eastAsia"/>
          <w:lang w:val="en-US" w:eastAsia="zh-CN"/>
        </w:rPr>
        <w:t>3.2.1无人机管控中心及岸海协同多元传感技术实验室建设</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1"/>
        <w:gridCol w:w="1247"/>
        <w:gridCol w:w="5848"/>
        <w:gridCol w:w="587"/>
        <w:gridCol w:w="365"/>
      </w:tblGrid>
      <w:tr w14:paraId="045AD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7D029CB">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73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3FE3BE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342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2DEA6A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参数要求</w:t>
            </w:r>
          </w:p>
        </w:tc>
        <w:tc>
          <w:tcPr>
            <w:tcW w:w="344"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0C7B95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214"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D9C358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r>
      <w:tr w14:paraId="5869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23AA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76B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55寸触控一体机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8648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1.产品屏幕≥55英寸，采用LED背光源设计，屏幕亮度≥500cd/㎡，对比度≥5000:1。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2.产品具备完善的数据接口，USB3.0≥1，USB2.0≥1，LAN≥1，RS232 in≥1，RS232 out≥1。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3.产品具有完善的音视频接口，AUDIO IN≥1，AUDIO OUT≥1，HDMI IN≥3；内置喇叭，支持喇叭输出或外接音箱输出。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4.产品采用标准VESA孔距，支持壁挂安装，支持横挂或者竖挂，支持吊装或者嵌入式安装，内置方向传感器，可根据安装方向自动调整屏幕方向。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5.产品具备非前台自动保护机制，当信息发布软件被非解锁操作后退出到后台运行时，保护机制会快速将信息发布重新强制前台，保障信息发布设备的播放内容。(提供具备CMA资质的第三方评测机构测试报告)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6.产品客户端登录，传输敏感信息加密，使用RSA方式交换秘钥，使用秘钥进行AES加密，对报文体进行全加密。(提供具备CMA资质的第三方评测机构测试报告)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77A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186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6CBC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C06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7BA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75寸触控一体机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2D8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1.产品屏幕≥75英寸，采用LED背光源设计，屏幕亮度≥500cd/㎡，对比度≥5000:1。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2.产品具备完善的数据接口，USB3.0≥1，USB2.0≥1，LAN≥1，RS232 in≥1，RS232 out≥1。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3.产品具有完善的音视频接口，AUDIO IN≥1，AUDIO OUT≥1，HDMI IN≥3；内置喇叭，支持喇叭输出或外接音箱输出。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4.产品采用标准VESA孔距，支持壁挂安装，支持横挂或者竖挂，支持吊装或者嵌入式安装，内置方向传感器，可根据安装方向自动调整屏幕方向。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5.产品具备非前台自动保护机制，当信息发布软件被非解锁操作后退出到后台运行时，保护机制会快速将信息发布重新强制前台，保障信息发布设备的播放内容。(提供具备CMA资质的第三方评测机构测试报告)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6.产品客户端登录，传输敏感信息加密，使用RSA方式交换秘钥，使用秘钥进行AES加密，对报文体进行全加密。(提供具备CMA资质的第三方评测机构测试报告)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01F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00D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125A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5A2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260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电子沙盘</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AC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含沙盘、控制器、底座等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沙盘：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1.分辨率：≥2080*1040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2.面积为≥4.5㎡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3.根据现场情况定制装修底座，包边等。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控制器：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1.产品规格要求：输入接口：包括≥2路 HDMI1.4、≥1路VGA；≥1路CVBS；≥1路DVI；≥1路U盘接口；输出接口：≥4路千兆网口输出；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2.无需电脑，画面冻结按键可以快捷冻结画面；(提供具备CMA资质的第三方评测机构测试报告)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3.将预制的画面大小、窗口数量、亮度色温、色调、饱和度、对比度、亮度补偿等参数的视频信号源，一键调取切换，无需额外操作；</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476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AF6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EF68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1A1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BF4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629D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r>
              <w:rPr>
                <w:rStyle w:val="109"/>
                <w:rFonts w:eastAsia="仿宋"/>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▲点间距 ≤1.25mm；模组支持沿长边弯折90°-180°；屏体1整屏宽度≥6.72米，整屏高度≥2.24米，面积≥15.05平方米，屏幕分辨率不小于5376列×1792行；屏体2整屏宽度≥3.84米，整屏高度≥2.24米，面积≥8.6平方米，屏幕分辨率不小于3072列×1792行；</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2.需提供配套接收卡和配套电源，以满足显示要求；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模组为硅胶材质底壳，显示面采用高强度化学防护材质，防碰撞、耐冲击、高耐磨、抗腐蚀、防划痕，可直接擦拭LED附着力＞100N；4.温升：显示屏正常显示达到热平衡后，屏体结构的金属部分的温升不超过20℃，绝缘材料的温升不超过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5.△噪声满足NR-25(噪声标准曲线)要求球面半径0.3 米内，最亮噪音2dB(A)球面半径1.5 米内，白平衡最亮噪音1dB(A)球面半径1 米内，白平衡最亮噪音1.4dB(A)；(提供具备CMA资质的第三方评测机构测试报告)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6.亮度：≥600cd/㎡，像素中心距相对偏差等级：≤2%，亮度均匀性：≥98%，水平视角：≥160°，垂直视角：≥160°；在最常规的白场应用场景下，具有白场亮色度补偿技术，能够快速准确地对当前LED 显示屏亮色度进行补偿，使显示屏白场亮色度达到目标状态；(提供具备CMA资质的第三方评测机构测试报告)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7.LED显示屏在开屏或关屏条件下均要求良好的显示效果，要求具备高黑场墨色一致性关键工艺技术；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▲8.所投产品通过国家强制认证，提供CCC认证证书和全国认证认可信息公共服务平台查询截图；</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D67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23.65</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3FB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Style w:val="110"/>
                <w:lang w:val="en-US" w:eastAsia="zh-CN" w:bidi="ar"/>
              </w:rPr>
              <w:t>²</w:t>
            </w:r>
          </w:p>
        </w:tc>
      </w:tr>
      <w:tr w14:paraId="58D37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E73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822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AC66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1.产品规格要求：≥30KW；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2.为了方便对LED显示屏的使用，进一步提高系统的智能化管理和动力电源的集成度与稳定性，采用“显示屏智能上电系统”。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3.通过该系统可以实现对LED显示屏的远程有线控制上电，实现定时开关屏体，方便用户的使用。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4.同时，屏体采用“分步加电”的上电方式，既要避免大负载对电网瞬间的冲击，又要有效地保护显示屏体的工作组件，延长屏体的使用寿命。</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179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6A8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1EFE0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F6C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7E2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LED屏体控制器（4K）1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C6A3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r>
              <w:rPr>
                <w:rStyle w:val="109"/>
                <w:rFonts w:eastAsia="仿宋"/>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支持≥1路HDMI2.0输入和≥1路DP1.2输入；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2.支持≥20路网口输出；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3.支持输入画质管理，包括亮度、对比度、饱和度和色度调整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4.支持逐点亮色度校正对每个灯点的亮度和色度进行校正，有效消除色差，使整屏的亮度和色度达到高度均匀一致，提高显示屏的画质。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5.所投产品与LED显示屏为同一厂家；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▲6.投产品通过国家强制认证，提供CCC认证证书和全国认证认可信息公共服务平台查询截图；</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B92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09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ABB7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C67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CE9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大屏控制设备</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ADA7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1、工作性能:打开100MB Word文档≤3秒，复杂Exce1公式计算≤1秒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2、多任务:同时运行WPS、浏览器(10标签)、钉钉、杀毒软件，内存占用≤70%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3、支持4K@60Hz显示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4、国产自主可控处理平台:并行处理能力≥8线程，频率≥3.0GHz；系统缓存≥32GB；图像生成能力显存≥16GB；数据存储≥2TB SDD高速介质；整机功耗支持≥1000W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5、高清显示面板：显示对角线≥27英寸；像素阵列≥3840×2160；色彩还原技术IPS级别。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6、配套键鼠。</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E7B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C87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A010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7BD5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EC4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安装结构1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FA7E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1.根据现场情况定制LED屏安装结构</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6D3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23.65</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A63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r>
              <w:rPr>
                <w:rStyle w:val="110"/>
                <w:lang w:val="en-US" w:eastAsia="zh-CN" w:bidi="ar"/>
              </w:rPr>
              <w:t>²</w:t>
            </w:r>
          </w:p>
        </w:tc>
      </w:tr>
      <w:tr w14:paraId="1B68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8E5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5B8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配套线材1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FFBB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1.网线、电源线等清单设备内部环接线缆，原厂运输箱、搬运、运输及保险费</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935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0B6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51A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6A4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D44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大屏控制软件</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BAD2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1.大屏投屏、分屏、拼接控制软件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2.大屏颜色、亮度、信息检测等功能调节</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4E5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F34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49FFD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0A2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C8C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86寸交互一体机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A2B5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含交互一体机、OPS模块、书写笔、壁挂支架。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交互一体机：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1.屏幕尺寸和显示分辨率：屏幕尺寸≥86英寸，屏幕分辨率≥3840 × 2160@60Hz超高清4K分辨率。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全局交互设计：设备系统采用全屏框架设计，无侧边栏中控菜单遮挡主界面，主界面屏幕底部常驻系统操作栏，进入应用后，操作栏可通过手动下滑自动收起和底部向上滑动自动展开；系统操作栏各功能图标位置支持自定义调节。需提供带有CMA标识的第三方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3.负一屏：支持首页右滑显示负一屏界面，可查看会议预约信息，包括会议主题、会议时间、与会人员信息，支持一键签到；支持查看天气、设备状态、帮助与反馈信息，负一屏可与首页常用应用软件同时显示。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4.无限画板：可查看版面缩略图进行页面内容预览，支持删除任意画板。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w:t>
            </w:r>
            <w:r>
              <w:rPr>
                <w:rStyle w:val="109"/>
                <w:rFonts w:eastAsia="仿宋"/>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投屏器支持：支持无线投屏。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6.屏幕群组：支持屏幕群组功能，多台大屏与大屏之间可无线实时同步屏幕画面。支持单台终端（手机、PAD或电脑）的画面无线投屏到多台会议平板同时显示。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7.OPS模块：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1.内嵌于显示设备背部，无外露线缆。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2.支持2K@60Hz同步输出，触控延迟≤20ms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3.硬解硬编4K@60Hz，支持多路视频并发处理</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178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26C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5E32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102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84C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98寸交互一体机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123A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含交互一体机、OPS模块、书写笔、壁挂支架。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交互一体机：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1.屏幕尺寸：≥98英寸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全局交互设计：设备系统采用全屏框架设计，无侧边栏中控菜单遮挡主界面，主界面屏幕底部常驻系统操作栏，进入应用后，操作栏可通过手动下滑自动收起和底部向上滑动自动展开；系统操作栏各功能图标位置支持自定义调节。需提供带有CMA标识的第三方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3.负一屏：支持首页右滑显示负一屏界面，可查看会议预约信息，包括会议主题、会议时间、与会人员信息，支持一键签到；支持查看天气、设备状态、帮助与反馈信息，负一屏可与首页常用应用软件同时显示。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4.无限画板：可查看版面缩略图进行页面内容预览，支持删除任意画板。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5.投屏器支持：支持无线投屏。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6.屏幕群组：支持屏幕群组功能，多台大屏与大屏之间可无线实时同步屏幕画面。支持单台终端（手机、PAD或电脑）的画面无线投屏到多台会议平板同时显示。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7.OPS模块：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1.内嵌于显示设备背部，无外露线缆。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2.支持2K@60Hz同步输出，触控延迟≤20ms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3.硬解硬编4K@60Hz，支持多路视频并发处理</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4E0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03E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811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E74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EE1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无人机虚拟成像展示屏</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9596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全息展示机由虚拟成像主机，控制器（4K），支架，配套辅材等组成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一、虚拟成像主机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1.虚拟成像主机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2.成像分辨率：≥2560*2176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3.配套整屏柱体柱体直径≥1m，高度≥2.8m。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4.配套钢结构包边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二、控制器（4K）</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1.支持≥1路HDMI2.0输入和≥1路DP1.2输入；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2.支持≥20路网口；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3.支持输入画质管理，包括亮度、对比度、饱和度和色度调整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三、配套辅材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1、信号线、电源线等设备出厂线缆。</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F3A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936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4D7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F4F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2C8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网枪无人机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0B2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1.最大跟踪速度：≤15m/s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2.最大俯仰角度;≥30°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3.最大水平平飞速度：≤20m/s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4.最大拖挂目标质量：≥1.2kg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5.远距离引导设备支持三方设备接入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6.最大飞行时间：≥15min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7.有效遥控距离支持4G链路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8.末端视觉最远探测距离：≥35m</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C4F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900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0CBF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06D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E5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高速撞击无人机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B1C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1.无人机最高速度：≥200 km/h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2.末端拦截速度： ≤100 km/h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3.末端拦截精度： ≥cep0.5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4.无人机最大拦截高度：≥200m（视目标类型和环境而定）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5.反应时间：目标锁定至发射时间 ≤5秒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6.抗风能力：≥6级风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7.失联保护：信号丢失时自动返航或缓降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8.飞行时长：1-3分钟</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AD4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646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362D3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1F4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113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执法无人机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D30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1.起飞重量：≤250克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2.尺寸折叠：≥长*宽*高 136mm* 62mm*165mm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3.最大上升速度：≥5米/秒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4.最大起飞海拔高度:≥3000米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5.最长飞行时间：≥30分钟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6.最长悬停时间：≥25分钟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7.最大续航里程：≥10公里</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8.最大抗风速度：≥10米/秒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9.工作环境温度：-10℃-40℃</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7501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76C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388AB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AD5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B03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模型演示机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2926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含遥控小飞机2架、室内遥控飞艇2架、坦克穿越机1架、弹跳车2辆、遥控汽车（按电车)2辆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遥控小飞机：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1.尺寸：≥28x27x9cm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2.材质：高科技共聚型MMP高分子材料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3.电池容量：≥180毫安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4.充电方式：USB充电+可更换电池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室内遥控飞艇：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1.气囊长度:≥1600mm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2.总长度:≥1600mm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3.直径(气囊最宽mm)：≥450mm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4.通道数量：≥6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6.气囊容积(大约)：≥200L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7.气囊王量(克，大约)：≤55g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8.建议氮气量(球)：50或100球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9.桨(mm)：55两叶或40mm四叶浆*3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10.电池：1s600mah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11.续航：≥60min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坦克穿越机：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1.尺寸：≥280*250*130mm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2.重量：≤1.5kg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弹跳车：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1.遥控信号：2.4G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2.遥控距离：≥30米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3.充电时间：≥60分钟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4.作业时间：≥20分钟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5.展开尺寸：≥19x11x14cm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6.折叠尺寸：≥13x11x14cm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遥控汽车：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1.产品尺寸：≥16*10*7cm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2.遥控距离：≥30米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3.充电时间：≥2小时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4.车身电池：≥3.7V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5.续航时间：空中飞行模式:≥6分钟；陆地行驶模式:≥30分钟</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D49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CEFE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r>
      <w:tr w14:paraId="3193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3AE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D2D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350KV电机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D92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1.KV值：≥350KV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2.最大功率：≥1800W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3.最大电流：≥60A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4.相间电阻：≥50mΩ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5.适配桨叶：13-15寸三叶桨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6.轴承：高温定制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7.槽极：12N14P</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8.电机尺寸：≥49mmx40mm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9.出轴直径：≥6mm(M6)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10.出轴长度：≥22mm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11.电机座孔距：≥30mmx30mm(4-M4)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12.出线规格：≥800mm/14AWG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13.适配电调：60A-80A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14.输入电压：6-10S LiPo</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C5E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FAA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505A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C79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955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接收机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BF33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1.类型:ISM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2.天线接口:IPEX1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3.最大接收刷新率:≥500Hz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4.最小接收刷新率:≥25Hz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5.工作电压:4-5.5V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6.尺寸:10mm*10mm*3mm（±2mm）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7.工作协议:CRS S(Beta flight)</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BBD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FB6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4AE79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5E2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6AD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无人机遥控器</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EB8A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1.屏幕尺寸:≥3.5"480*320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2.摇杆尺寸:标准: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3.摇杆传感器:霍尔/RDC90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4.内置射频:ELRS(915MHz/2.4GHz)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5.发射功率:≥1000mW(最大30dBm)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6.外置模块接口:标准JR仓接口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7.TF卡槽:内置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8.工作电压:6V-8.4V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9.电池:≥21700mah*2</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756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B50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DA69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CE1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7D4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穿越机察打一体设备</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B45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1.侦测角度：≥0-360°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2.有效拦截角度：水平：≥360° 垂直：≥20°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3.有效拦截距离：模拟图传≥1km；数字图传≥500m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4.侦测响应速度：≤3s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5.拦截响应时间：≤2s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6.侦测频率： 5350MHz</w:t>
            </w:r>
            <w:r>
              <w:rPr>
                <w:rStyle w:val="110"/>
                <w:lang w:val="en-US" w:eastAsia="zh-CN" w:bidi="ar"/>
              </w:rPr>
              <w:t>〜</w:t>
            </w:r>
            <w:r>
              <w:rPr>
                <w:rFonts w:hint="eastAsia" w:ascii="仿宋" w:hAnsi="仿宋" w:eastAsia="仿宋" w:cs="仿宋"/>
                <w:i w:val="0"/>
                <w:iCs w:val="0"/>
                <w:color w:val="000000"/>
                <w:kern w:val="0"/>
                <w:sz w:val="20"/>
                <w:szCs w:val="20"/>
                <w:u w:val="none"/>
                <w:lang w:val="en-US" w:eastAsia="zh-CN" w:bidi="ar"/>
              </w:rPr>
              <w:t>5950MHz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7.发射频率： 5350MHz</w:t>
            </w:r>
            <w:r>
              <w:rPr>
                <w:rStyle w:val="110"/>
                <w:lang w:val="en-US" w:eastAsia="zh-CN" w:bidi="ar"/>
              </w:rPr>
              <w:t>〜</w:t>
            </w:r>
            <w:r>
              <w:rPr>
                <w:rFonts w:hint="eastAsia" w:ascii="仿宋" w:hAnsi="仿宋" w:eastAsia="仿宋" w:cs="仿宋"/>
                <w:i w:val="0"/>
                <w:iCs w:val="0"/>
                <w:color w:val="000000"/>
                <w:kern w:val="0"/>
                <w:sz w:val="20"/>
                <w:szCs w:val="20"/>
                <w:u w:val="none"/>
                <w:lang w:val="en-US" w:eastAsia="zh-CN" w:bidi="ar"/>
              </w:rPr>
              <w:t>5950MHz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8.高低温测试：高温：(60±2) ℃、 12h ；低温：(-20±2)℃、12h,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9.外壳防护等级：≥IP33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10.续航时间： 工作时间≥ 7*24h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11.GIS-地图页面+定位功能：可在软件控制平台展示“云界”设备端实时定位（支持车载动态位置显示）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12.日志记录-单独页面：支持侦测、反制、取证等历史数据记录、查看、存储等功能。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13.报警列表：可对多架次、多方位、多视频制式的穿越机型图传进行分类展示。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14.模式切换功能：无人值守及有人值守模式切换。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15.黑白名单侦测打击：支持自定义黑白名单穿越机，可对非白名单穿越机实施精准打击。自定义告警文字：支持用户根据安保实际情况自定义告警文字信息。</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382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58D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37CE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D02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F8B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便携式无人机侦测设备</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EC57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r>
              <w:rPr>
                <w:rStyle w:val="109"/>
                <w:rFonts w:eastAsia="仿宋"/>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外观和机械结构：外观应整洁，表面应无锈蚀、霉斑、污渍、镀涂层剥落及明显的划痕、毛刺，文字、符号、标志和各种显示应清晰；设备按键、SIM卡槽等装置应放置侧面板。应为一体式结构，天线可拆卸。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2.尺寸：≥长：（177±2）mm；宽：（88±2）mm；高：（30±2）mm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3.重量：重量应≤580g；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4.探测模式：无源探测，在工作状态下，设备不主动发射无线电信号，对周边环境无影响。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5.探测定位功能：应能通过协议解析方式识别各无人机的电子指纹 ID（个体识别号）并对无人机和遥控器（飞手）进行单站定位，定位品牌类型应覆盖大疆、道通、Wi-Fi 无人机、DIY 无人机（模拟图传模块等）。样品并定位到无人机后，应能在显示屏实时显示探测定位到的无人机品牌型号、SN 码(机身序列号）、工作频段、方位、距离、经纬度坐标（示值显示到小数点后 6 位）、飞行高度、飞行速度等信息，并能在电子地图上显示显示无人机位置图标、入侵角度和飞行轨迹；样品定位到无人机后，应能在探测列表实时显示遥控器（飞手）经纬度坐标（示值显示到小数点后 6 位）、方位、距离等信息，并能在电子地图上显示遥控器（飞手）位置图标、遥控器（飞手）位置图标与对应无人机的连线。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6.频谱探测范围50MHz～6000MHz；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7.重点频段侦测功能：支持侦测识别工作频段为433MHz、915MHz、933MHz、1.2GHz、1.4GHz、2.4GHz、5.2GHz、5.8GHz等无人机信号；</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8.探测灵敏度：≤-108dBm。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9.探测距离：在无明显雨/雪/雾天气、无明显遮挡、无明显电磁干扰的环境条件下，对无人机的探测、定位距离应≥3km。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10.探测高度： 0～1200m。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11.探测范围：水平360°；竖直±90°。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定位精度：在无明显雨/雪/雾天气、无明显遮挡、无明显电磁干扰的环境条件下，探测到的经纬度坐标与无人机实际经纬度坐标的平均定位误差应应≤2.5m，探测到的飞行高度与无人机实际飞行高度的平均高度误差应≤1m，探测到的经纬度坐标与遥控器（飞手）实际经纬度坐标的平均定位误差应应≤1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13.测向精度：在无明显雨/雪/雾天气、无明显遮挡、无明显电磁干扰的环境条件下，对无人机的测向误差应≤1°（RMS）。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14.探测成功率：在无明显雨/雪/雾天气、无明显遮挡、无明显电磁干扰的环境条件下，探测成功率≥99%；识别成功率≥99%。（探测成功率=探测成功次数/总探测次数×100%）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15.同一无人机入侵识别功能检查 同一架无人机多次入侵时，应能整合该无人机的多条入侵信息并融合为一条信息，且整合的多条入侵信息中无人机的 SN 码应相同。</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16.多目标识别功能：支持同时探测并识别无人机的数量应≥15架；型号≥15种；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17.多目标轨迹跟踪定位功能：具备多目标轨迹同时跟踪和显示能力，同时探测到多个目标时应能通过不同颜色区分不同架次无人机的飞行轨迹、不同遥控器（飞手）位置图标与对应无人机的连线； 能同时显示的无人机轨迹数量应≥10条；能同时显示的遥控器标识图标与对应无人机标识图标的连线数量应≥10条。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18.多目标跳频跟踪：具有多目标跳频信号跟踪功能，目标无人机改变工作频段后，系统应仍能自动跟踪、并识别为同一架次无人机，并在电子地图上显示为同一条轨迹；同时支持多目标跳频并跟踪的数量应≥10 架次。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19.模拟图传侦测功能：具备1.2GHz、5.8GHz等模拟图传画面侦测显示功能，应能将探测到的模拟图传截图画面存储到事件列表中，并能对截图画面进行查看。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20.目标追踪导航功能：支持无人机、遥控器（飞手）位置一键导航，应能对探测列表中实时显示的无人机、遥控器（飞手）位置生成二维码，扫描二维码后应能联动打开地图 APP并自动导航至定位点。</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A97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2FA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2247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068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6DB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无人机辅助设备</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B1B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1.传感器：能见度≥2KM  盐雾传感器， 风速、风向、温度、湿度、气压、降雨量、CO、NO2、SO2、O3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2.支架：立杆≥3米+传感器安装支架+配套地笼等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3.设备箱：工业级户外防水箱，内置数据采集终端（含≥3年流量）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4.供电：太阳能供电30W/20AH+充电控制器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5.数据接收：终身免费云平台</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CE1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5C1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A250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17A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82E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可编程机器人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7273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一、整机参数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1.站立高度：170cm～185cm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2.整机重量：≤55kg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3.全身主动自由度：≥30个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4.防护等级：≥IP54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二、关节驱动（关键：设下限但不卡死宇树独有值）</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1.单腿自由度：≥5个（髋3+膝1+踝1）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2.单臂自由度：≥4个（可拓展）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3.腰部：具备俯仰+横滚双向自由度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4.膝关节峰值扭矩：≥280N·m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5.髋关节峰值扭矩：≥180N·m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6.驱动类型：一体化伺服电驱动关节，支持位置/速度/力矩三闭环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三、运动与平衡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1.最大平地行走速度：≥2.0m/s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2.具备能力：连续稳定行走、原地转向、原地踏步、动态抗扰平衡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 越障能力：可通过≤5cm不平整路面、≤3cm小台阶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4.恢复能力：跌倒后自主站立起身（前/侧/后向）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四、感知与控制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1.环境感知：必须同时配备 3D激光雷达 + 深度视觉相机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2.姿态感知：高精度IMU，姿态更新率≥1000Hz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3.主控算力：支持Intel i5/i7 或 Jetson Orin同级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4.控制周期：≤1ms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5.开发支持：提供SDK/API，支持ROS/ROS2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五、供电与续航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1.电池：≥15Ah / 0.8kWh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2.常规工况续航：≥1小时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3.支持热插拔或快速更换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六、功能要求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1.双足自主行走、动态平衡、环境感知、避障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 双臂基础摆动、抓取（灵巧手为选配）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3.支持上位机/远程/触屏操控</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A0E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386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3C6D1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34A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4953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无人机飞行操作台</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654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一、平台整体结构与外观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1.采用一体化舱式/台架式设计，集成座椅、操纵台、多屏显示系统，适配室内部署，支持单人全流程操作。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2.平台整体尺寸适配标准室内办公环境，支持移动部署与固定安装两种模式。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3.主体采用高强度金属+工程塑料材质，表面哑光工艺处理，防护等级≥IP54，具备基础防尘、防泼溅能力。</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4.标配人体工学座椅，支持前后、高低、靠背角度多向调节，适配长时间作业场景。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二、多屏显示系统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1.配置≥4块27寸工业级高清显示器，单屏分辨率≥1920×1080，刷新率≥60Hz。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2.支持多屏拼接与扩展显示，可同时输出飞控界面、视频回传、数据监控、建模软件等多窗口内容。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3.显示器具备防眩光、低蓝光设计，支持亮度、对比度手动调节，适配不同光线环境。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4.配备专用多屏支架，支持显示器角度、高度调节，线缆集成隐藏式设计，保证操作台整洁。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三、无人机飞控操纵装置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1.配备专业级双摇杆操纵系统（左右各1套），支持俯仰、横滚、偏航、油门全维度控制。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2.摇杆具备行程限位、力反馈功能，支持自定义按键与功能映射，适配主流无人机通信协议。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3.操纵台集成实体按键面板，包含一键起飞/降落、一键返航、云台控制、任务启停等快捷操作按键。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4.支持鼠标、键盘辅助操作，兼容航线规划、参数设置等复杂操作场景。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四、远程通信与飞控系统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1.支持4G/5G、以太网、无线网桥等多种通信方式，可与无人机机巢、地面站系统无缝对接。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2.通信链路延迟≤300ms，支持高清视频流（≥1080P/30fps）实时回传，传输速率≥50Mbps。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3.具备多机监控能力，可同时管理≥2架无人机作业状态，支持多任务并行调度。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4.集成失联保护、低电量报警、信号中断自动返航等安全机制，保障无人机作业安全。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5.支持飞行数据、航拍影像自动回传与存储，支持飞行日志导出与回溯。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五、核心算力与数据处理单元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1.具备高性能并行计算与图形渲染能力，可满足无人机航测数据实时解算、三维实景建模需求。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2.可在60分钟内完成不低于2平方公里范围的高精度三维实景模型重建，支持点云生成、空三解算、纹理映射及模型优化输出。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3.内置高速大容量存储单元，可完整存储不低于15平方公里规模的三维模型及航测原始数据，同时支持存储不少于1000小时的1080P高清航拍视频数据。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4.系统兼容国产化软硬件运行环境，支持与主流无人机控制平台、三维建模软件、地理信息平台及行业指挥调度系统稳定对接。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5.提供标准化开发接口，支持第三方算法集成与功能扩展，满足后续场景化应用开发需求。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六、供电与安全系统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1.支持AC220V±15%标准市电供电，配备专用电源管理模块，具备过压、过流、漏电、过热保护功能。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2.可选配UPS不间断电源，支持断电后≥15分钟应急供电，保障数据安全与设备稳定关机。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3.操纵台配备紧急停止按钮，可一键切断关键控制信号，应对突发安全场景。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七、软件与兼容性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1.预装主流无人机飞控软件，支持航线规划、任务下发、云台控制、视频监控等全流程功能。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2.兼容大疆智图、ContextCapture等主流三维建模软件，支持航拍影像批量处理与模型输出。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3.支持数据格式导出，可输出通用格式三维模型、点云数据、航拍影像等成果文件。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4.提供SDK开发接口，支持与第三方指挥调度平台、机巢系统进行二次开发对接。</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ACC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D2E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13EC1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713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969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手持式监测测向系统</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6A94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1.频率范围：20MHz～8GH（z 频率扩展选件9kHz-20MHz，8GHz-26.5GHz， 26.5GHz-40GHz）；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2.电平测量范围：-120dBm～+10dBm（2MHz～8GHz） -120dBm～-30dBm（8GHz～26.5GHz） -110dBm～-30dBm（26.5GHz～40GHz）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3.解调模式：AM，FM，SSB，CW；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4.电平指示模式：AVG，FAST，PEAK，RMS；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5.噪声系数：≤12dB(低噪声模式，2MHz～8GHz) ≤15dB(低噪声模式，8GHz～26.5GHz) ≤18dB(低噪声模式，26.5GHz～40GHz)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6.相位噪声：≤-98dBc/Hz@10kHz , fc=1501 MHz（2MHz～8GHz） ≤-80dBc/Hz@10kHz , fc=12001 MHz（8GHz～40GHz）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7.三阶截点：≥12dBm（低失真模式，2MHz～8GHz） ≥2dBm（低失真模式，8GHz～26.5GHz） ≥-5dBm（低失真模式，26.5GHz～40GHz）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8.中频带宽：80MHz；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9.最大扫描速度：≥80 GHz/s（25kHz 步进，2MHz～8GHz） ≥40GHz/s（25kHz 步进，8GHz～40GHz）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10.电池供电时间：≥3h（单块电池）（9kHz～8GHz） ≥2h（单块电池）（8GHz～40GHz）；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11.定向天线： 低段天线：20MHz～200MHz 中段天线：200MHz～500MHz 高频段天线：500MHz～8GHz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12.工作重量：≤2.5kg（含天线和电池）；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13.工作温度范围：-10℃～50℃；</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819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F12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42129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DDAD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28F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示波器</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0FB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1.带宽：≥150MHz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2.通道数：≥4通道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3.采样率≥1.25GSa/s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4.高清触摸屏尺寸：≥7英寸</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AC7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998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59EF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C80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BC1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C-RID无人机识别模块</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348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1.主频240MHz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2.存储空间内置512KB SRAM、384KBROM</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AB3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4F2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6C245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146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8EF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无人机远程识别外挂2.4GHz模块</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68E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1.内置2.4g和全球导航卫星系统天线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2.电池续航：2.5-6小时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3.多种定位方式：BD、GPS、GLONASS、Galileo</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DBA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8EE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63649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307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94F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矢量网络分析仪</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857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1.频率范围：1MHz - 6GHz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2.射频输出功率：-10dBm (Max)</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3.频偏：≤t1ppm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4.扫描点数：≥801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5.迹线数：≥4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6.标记点数：≥4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7.校准结果存储数：≥12组</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8.扫描时间：≥200点/秒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9.显示屏：≥4.3寸IPS LCD</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10.电池：≥3.7V 4500mAh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11.充电/数据接口：USB Type-C</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456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4BDD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3222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198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B15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移动路由器</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440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1.无线速率：≥18000M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2.信号放大器：≥16路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3.高速网口：≥10G</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F60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A60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539CD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0CA4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C13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图传4G模块</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BD2F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模块1*1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1.技术标准：TDD-LTE/FDD-LTE/WCDMA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2.接口：数据接口：USB TypeC（2.0）；SIM/USIM 卡接口：6 PIN NANO SIM 卡接口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3.天线：≥1T2R，支持发射天线选择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4.工作电压电流：电流最大：5V/750mA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模块2*2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1.发射功率（EIRP）：2.400 GHz 至 2.4835 GHz：&lt;33 dBm（FCC）；&lt;20 dBm（CE/SRRC/MIC）；5.725 GHz 至 5.850 GHz：&lt;33 dBm（FCC）；&lt;30 dBm（SRRC）；&lt;14 dBm（CE）</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2.4G 融合功能：支持TD-LTE无线数据终端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3.4G 功能：支持热插拔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4.4G 功能：支持远程控制无人机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5.数据安全：AES-256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6.ADS-B：支持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RTK模块*4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1.技术标准：TDD-LTE/FDD-LTE/WCDMA/GSM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2.工作频段：TDD-LTE:B34/38/39/40/41；FDD-LTE:B1/B2/B3/B4/B5/B7/B8/B12/B13/B18/B19/B20B25/B26/B28/B66/B71；WCDMA: B1/B2/B4/B5/B6/B8/B19；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GSM:850/900/1800/1900 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3.接口：USB-C接口；nano-SIM卡接口；TS-5天线接口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4.天线：双天线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5.工作电压电流：5V,1A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6.工作环境温度：-20°C至55°C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7.存储环境温度：-40°C至70°C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模块3*1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1.技术标准：TDD-LTE/FDD-LTE/WCDMA/GSM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2.工作频段：TDD-LTE:B34/38/39/40/41；FDD-LTE:B1/B2/B3/B4/B5/B7/B8/B12/B13/B18/B19/B20B25/B26/B28/B66/B71；WCDMA: B1/B2/B4/B5/B6/B8/B19；GSM:850/90/1800/1900 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3.接口：USB-C接口；nano-SIM卡接口；TS-5天线接口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4.天线：双天线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5.工作电压电流：5V,1A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6.工作环境温度：-20°C至55°C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7.存储环境温度：-40°C至70°C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模块4*1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1.技术标准：TDD-LTE/FDD-LTE/WCDMA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2.工作频段：TDD-LTE:B34/38/39/40/41(194M)；FDD-LTE: B1/B2/B3/B4/B5/B7/B8/B12/B13/B18/B19/B20/B25/B26/B28/B66/B71；WCDMA: B1/B2/B4/B5/B6/B8/B19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3.接口：USB-C接口；nano-SIM卡接口；TS-5天线接口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4.天线：双天线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5.工作电压电流：5V,1A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6.工作环境温度：-30°C至65°C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7.存储环境温度：-40°C至85°C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模块5*2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1.技术标准：TDD-LTE/FDD-LTE/WCDMA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2.工作频段：TDD-LTE:B34/38/39/40/41(194M)；FDD-LTE: B1/B2/B3/B4/B5/B7/B8/B12/B13/B18/B19/B20/B25/B26/B28/B66/B71；WCDMA: B1/B2/B4/B5/B6/B8/B19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3.接口：USB-C接口；nano-SIM卡接口；TS-5天线接口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4.天线：双天线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5.工作电压电流：5V,1A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6.工作环境温度：-30°C至65°C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7.存储环境温度：-40°C至85°C</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913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811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9604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8B9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E30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专业取证设备</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3E24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1.屏幕尺寸：≥3英寸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2.传感器类型：CMOS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3.重量：301g(含)-400g(含)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4.像素：≥2420万像素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外接电池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1.尺寸：≥45*31.8*18.5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2.电池延长线：≥34cm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3.外接电池输出电压:7.4V-8.4V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减震座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1.尺寸:≥14.5*11*7cm(长宽高)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2.重量:≥36g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3.材质:EVA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含配套设备</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9CB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6BD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1FFE3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29E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361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航拍相机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847B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航拍相机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1.最高分辨率:4K/60帧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2.尺寸:≥67x45x34mm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3.最高像素:≥1200万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4.数码变焦：≥8倍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航模航拍遥控线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1.传感器尺寸：≤1/2.3英寸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2.感光原件：CMOS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含相机、航模航拍遥控线</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276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14D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1726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664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239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激光3D扫描仪</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532A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1.光源：14束蓝色激光交叉线/7束蓝色激光平行线/62线全场蓝光结构光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2.单帧重复精度：≥0.01mm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3.单帧扫描范围：≥160x70mm@200mm(近景)≥320x215mm@400mm(远景)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4.推荐扫描物体：中小物体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5.技术原理：多线激光及全场蓝光结构光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6.工作距离：200-400mm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7.最小扫描尺寸：≥10x10x10mm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8.最高扫描帧率：多线激光扫描:≥800,000点/秒；全场蓝光扫描:≥7,000,000点/秒</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43D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0EE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44275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4F9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09E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智能VR拍摄平台</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ACC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1.像素：≥1.34亿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2.伸缩尺寸：≥8.4cm</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175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850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1A09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981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D33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遥控航模固定翼</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FAA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1.翼展:≥610mm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2.电池:≥650mah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3.起落架:后三点式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4.续航：≥10分钟(全速率)~15分钟(平飞）</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5.重量:≥145g(不含电池)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6.遥控器:2.4GHz，4通道，专业级轴承总成(支持FXZ)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7.飞 控:6轴自稳，3轴增稳(支持FXZ)</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652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372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架</w:t>
            </w:r>
          </w:p>
        </w:tc>
      </w:tr>
      <w:tr w14:paraId="5BFC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AB7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13B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无人机维修工具套件</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1B1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包含一套拆焊台、一套热风枪、两台维修工作台及一套工具车组成。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一、拆焊台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1.多种供电方式:140W/100W/65W氮化镓充电头充电宝(支持快充)，DC电源适配器20V~32V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2.工作模式：恒温，维修，包流焊、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3.加热功率：≥200W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二、热风枪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1.功率：≥1300W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2.风档1-200档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3.温度100-500度可调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4.机器模式：通用模式 高速模式 曲线模式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三、维修工作台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1.尺寸：≥5180*2000*520mm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2.材料：加厚钢板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四、工具车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1.含轮尺寸:≥750*490*1015mm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2.抽屉1-5:≥575X414X60mm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3.抽屉6-7:≥575X414X140mm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4.轮高:≥155mm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工具套装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1.梅开两用扳手(8 9 10 11 12 13 141516171819)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2.两用棘轮扳手(17*19)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3.大师螺丝刀(十字一字)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4.火花塞套筒(1621)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5.1/2接杆(10寸)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6.1/4短套筒 (4567891011121314)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7.3/8短套筒 (910111213141516171819)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8.1/2短套筒 (2021222427 30 32)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9.工业级棘轮扳手1/23/81/2)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10.汽车测电笔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11.1/2接杆(5寸)3/8接杆(3寸6寸)1/4接杆(2寸)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12.1/4方杆旋柄</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13.18PC胶条批头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14.转换接头(中转大中转小1/4弹套)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15.E型套筒 (810111214161820)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16.3/8旋具套筒一字(5.56.5)十字(12)米字(12)六角 (3456)花型(20 304045 50 55 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17.内六角扳手9PCS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18.万向转接头(1/23/81/4)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19.3/8长套筒(1314151619171819)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20.1/4长套筒(89101112)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21.1/2旋具套筒花型(52)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22.滤清器扳手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内六角螺丝刀套装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1.内六角：8.0BOX 7.0BOX 5.5BOX 4.0BOX 3.0mm 2.5mm 2.0mm 1.5mm 4.0mm- 3.0mm- 4.0mm+ 3.0mm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扭力扳手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1.精度：顺±2%逆+2.5%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2.分度值：0.01mm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3.全长：240mm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扭力螺丝刀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1.量程:1-6N.m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2.分度值:0.1N.m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3.精度:±6%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4.接头尺寸:6.35mm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含工具车、工具套装、内六角螺丝刀套装、扭力扳手、扭力螺丝刀</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33D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179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0EBF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F58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7EC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激光雕刻机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75853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含单机、垫高台、送料配件及传送轨等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1.额定功率：≥55 W（二氧化碳玻璃激光管）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2.最大雕刻速度：≥600 mm/s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3.加工精度：≥0.01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4.激光器上下移动距离：≥75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5.安全认证：四类（FDA 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6.激光光斑：≥0.15 mm × 0.2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7.工作台幅面：≥680 mm × 360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8.实际加工幅面：≥600 mm × 305 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9.支持的最大材料厚度：底板未拆除：64mm；底板拆除：71mm；使用垫高架：215mm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10.支持的最大材料宽度：无垫高架：700mm；使用垫高架：640mm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11.摄像头：远景摄像头+近景摄像头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12.有效像素数：≥16MP×2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13.图像精度：≥0.3mm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14.图像分辨率：≥1000DPI</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15.对焦模式：自动对焦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16.定位方式：AI 视觉定位</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762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551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2DF90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89C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BEB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充电柜</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297F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1.材质：全钢双层加厚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2.外尺寸：≥长1150mm*宽520mm*高1780mm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3.内尺寸：≥长1015mm*宽430mm*高1440mm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4.充电空间：≥4层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5.门数：双门</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791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BCF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3E987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2C8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179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激光测距仪</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C76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1、测量距离0.05m-80m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2、测量精度±（2mm+d*万分之一）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3；激光等级：二级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4、激光类型500-800nm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5、满电工作时间：≥6000次</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515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76B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D5F1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299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FEC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无人机CPU维修套装</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FE8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由一套防静电手套、2把电动螺丝刀、一个电气万用表、一台智能焊台、一套台虎钳、一套热风枪及一套工具套装组成。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一、防静电手套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1.表面材质：尼龙；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2.内里材质：尼龙；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3.可触屏,防静电,耐磨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二、电动螺丝刀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1.夹头类型：通用夹头；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三、电气万用表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1.直流电流：4A/10A；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2.交流电流：4A/10A；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3.直流电压：400mV/4V/40V/400V/600V；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4.交流电压：400mV/4V/40V/400V/600V；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5.电阻：400Ω/4KΩ/40KΩ/400KΩ/4MΩ/40MΩ/;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6.电容：3.999nF/39.99 nF/399.9 nF/3.999uF/39.99uF/399.9uF/3.999mF；</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7.温度测试：-40°C~1000°C/-40°F ~ 1832°F；</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8.频率：9.999Hz/99.99Hz/999.9Hz/9.999kHz/99.99kHz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四、智能焊台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1.电源方案：环牛变压器+理想二极管；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2.最大功率：≥160W；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3.手柄通道:2CH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4.屏幕尺寸:≥2.8寸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5.供电电压:220VAC；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五、台虎钳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1.材质：铸钢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2.产品规格：≥6寸；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3.整体高度：≥250mm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4.整体长度≥260mm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5.最大张口：≥120mm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6.钳口宽度：≥155mm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7.钳口厚度：≥10mm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8.砧台尺寸：≥50mm*60mm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9.产品净重：≥7kg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9.喉深：≥60mm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10.底座夹持厚度:≥62mm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六、热风枪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1.产品尺寸：≥25CM*25CM；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3.产品重量：≥360g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4.产品功率：≥400W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5.工作温度：250-400℃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6.产品电压：220V-50HZ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七、工具套装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 216件套24齿机套筒扳手组合</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1DF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04C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5A42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DF6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371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3D打印机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6D7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3D打印机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1.显示屏类型触摸屏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2.自动调平：支持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3.成型原理：FDM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4.成型尺寸：≥256x256x256mm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5.断电续打：支持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6.线材直径：1.75mm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3D打印耗材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1.含料盘：黑色10盘；红色10盘；白色10盘；绿色10盘；黄色10盘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2.密度:≥1.05 g/cm3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3.维卡软化温度:≥94℃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4.热变形温度:≥87℃</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5.熔融温度:≥200℃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6.熔融指数:≥34.2 +3.8g/10 min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7.拉伸强度:≥33 + 3 MPa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8.断裂伸长率:≥10.5 + 1.0%</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5A1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283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2AFA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3BE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51B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电子元器件模块</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B84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PIR红外热释电感应开关探头*100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1.工作电压:DC 2.7-12V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2.静态功耗:≤0.1mA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3.封锁时间:≤2秒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3.触发方式:可重复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4.感应范围:≤100度锥角,3-5米(需根据具体的透镜)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5.工作温度:-20-+60℃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6.PCB外形尺寸:≤10mm*8mm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微波雷达感应开关模块*100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1.宽工作电压范4.0~28.0V,与传统红外感应PIR相比，具有穿透探测能力,封锁时间，距离可调,可输出3.3V电源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红外遥控模块*100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1.工作电压5V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2.输出形式:数字量输出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3.VCC:外接3.3V-5电压(可以直接与5v单片机和3.3v单片机连），GND:外接GND，IN:外接单片机I/0口，I/0口已设计10K上拉电阻</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光敏电阻传感器模块*100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1.工作电压3.3V-5V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2.输出形式:D0数字开关量输出(0和1)和A0模拟电压输出，比较器输出，信号干净，波形好，驱动能力强，超过15mA，配可调电位器可调节检测光线亮度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铂电阻温度检测器模块*20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支持100Q至1kQ (0°C时)铂电阻RTD(PT100至PT1000),兼容于2线、3线和4线传感器连接,SPI兼容接口,15位ADC分辨率，标称温度分辨率为0.03125C(随RTD非线性变化),整个工作条件下，总精度保持在0.5°C(0.05%满量程),全差分VREF输入,转换时间:21ms(最大值),集成故障检测，增加系统稳定性:(RTD开路、RTD短路到量程范围以外的电压或RTD元件短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颜色识别传感器明光感应模块*20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1.工作电压：3.3V/5V  控制芯片：TCS3472XFN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2.逻辑电压:3.3V/5V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3.通信接口:I2C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酒精传感器 乙醇、酒精检测模块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1.输入电压:DC5V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2.功耗(电流):≥150mA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3.D0输出:TTL数字量0和1(0.1和5V)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超声波传感器*20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1.使用电压:DC5V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2.静态电流:≤2mA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3.电平输出:高5V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4.电平输出:低0V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5.感应角度:≤15度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6.探测距离:2cm-450cm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7.高精度:≥0.3cm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振动传感器*20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1.产品规格：≥9.0*9.15mm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2.震动侦测范围：无方向限制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50kg称重传感器*50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1.量程:≥50kg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2.零点输出:士0.3mV/V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3.输出灵敏度:1.0土0.15mV/V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4.线性:0.2%F.S；滞后:0.2%F.S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5.重复性:0.1%F.S；蠕变:0.1%F.S (3min)</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6.输出(入)阻抗:1000士10Q</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7.使用温度:-10°C~+40°C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轻触开关*10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尺寸：≥3*5*6mm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船形按钮小开关*20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尺寸：≥开孔11.5mm；规格：无档；线长：11cm；类型：圆形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船形按钮小开关*20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尺寸：≥开孔11.5mm；规格：有档；线长：11cm；类型：圆形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船型按钮小开关*20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尺寸：≥开孔20mm；规格：无档；线长：11cm；类型：圆形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船型按钮小开关*20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尺寸：≥开孔20mm；规格：有档；线长：11cm；类型：圆形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LED发光二极管*20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（5mm 绿发翠绿50个)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LED发光二极管*20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（5mm 红发50个)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LED发光二极管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（5mm 黄发50个)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LED带线灯珠*20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灯珠尺寸：5mm；限大耐压：14V DC/AC；限大电流：20MA；使用功率：0.06W；灯珠类型：LED；环境温度：20°C~55°C；相对湿度：95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LED灯珠发光二极管*50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包含红色20个，蓝色20个，绿色20个，白色20个，黄色20个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1路继电器模块 5V低电平触发*20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43mm*17mm；本模块符合际安全标准，控制区域与负载区域有隔离槽；采用5V继电器;具有电源和继电器动作指示，吸合亮，断开不亮；信号输入端有信号时，公共端与常开端会导通；控制直流或者交流信号，可以控制220V交流负载;有一个常开和一个常闭触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无源蜂鸣器*20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模块采用S8050三管驱动；工作电压3.3V-5V；设有固定螺栓孔，方便安装；小板PCB尺寸:≤3.2cm*1.3cm；当I/0口输入高电平时，蜂鸣器发声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高分贝报警器*20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额定电压：12V;电压范围:3-24V;额定电流：≤12A；声压电平：≥95dB；谐振频率：3000±500HZ;工作温度:-20-60℃；储存温度：-30-70℃；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5号电池盒（3节5号 带线)*100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尺寸：≤58*47*15mm，三节5号电池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5号电池盒（4节5号 带线)*100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尺寸：≤68*58*15mm，四节5号电池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智能循迹小车套件diy*50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供电电压:3V；板子尺寸:≤7.2*10.5cM；主控芯片:LM393电压比较器芯片，不需要编程控制。</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E36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6C5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DEE5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C53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F36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海上发烟装置</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B1D9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1.使用方式：拉环式或者备用方式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2.持续时间：时间35-40秒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3.尺寸：≥12cm*3.5cm</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FE3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77A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r>
      <w:tr w14:paraId="3AF9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EB64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DBF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98寸智能终端</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28CA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1.尺寸≥98寸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2.屏幕：Mini LED</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3.亮度：3000-4000尼特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4.CPU:≥四核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5.运行内存：≥4GB</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08B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646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231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9CE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8D5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同步触控一体机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307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1.尺寸≥15寸，带同步触控系统、触摸屏等</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540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405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2029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67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F8A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前置放大器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DBFD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1.提供该型号中国质量认证中心CQC产品认证；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2.≥十路输入（5路话筒输入，2路紧急输入，2路线路输入，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 1路MP3输入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4.≥8路输出（4组非平衡输出，4组凤凰端子输出）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5.内置MP3/USB音源接口和提示钟声音乐；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6.具有三级优先权设计：MIC1和内置钟声为最高优先级，紧急音频信号输入（EMC）为第二级，MIC2-5、内置MP3音源和线路输入（AUX1，AUX2）为第三级</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8AC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E37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7F078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D9F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B88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功率放大器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F389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1.提供该型号中国质量认证中心CQC产品认证；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 1000W功率输入，100V、70V定压输出和4Ω-16Ω定阻输出。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3.具备远程短路开机功能。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4.LED电平指示。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5.具备有源线路输出功能，方便多台功放并接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6.具备常规的RCA、TRS和XLR三种信号输入接口。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7.完善的电路保护，输出短路、过流、过载保护及告警、过热告警和饱和失真报警。</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A31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117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2CC96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865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5C8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同轴吸顶音箱</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504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1.喇叭口径 8inch同轴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2.额定功率 60W/100V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3.最大功率 ≥100W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4.频率响应 70-20,000Hz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5.灵敏度(1w/1m) 86dB</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FFC7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3B3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22B2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91C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601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一拖二无线头戴话筒</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361E9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1.一拖二无线话筒（2个头戴）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2.结合最新的第二代无线技术,可在更窄的频宽内提供更多不受干扰的可选频道。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3.采用专利技术,超音波对频功能 REMOSE,只需一个按键便能将频道、频率、增益值、发射功率等设定资料同步至发射器。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4.最大36MHz频宽,提供1440个可选频率。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5.预设6组群组,每组最多22个预设频道。</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1E3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29E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2497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AAD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7AE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天线放大器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017BCF5A">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1.全频道的UHF天线分配器，它可以在多频道系统中导引天线讯号从一对天线到数个接收机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2.会放大射频讯号以弥补在分配过程中的衰減</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3.內建直流电配电器，可提供四组12V直流电给接收机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4.单一台分配器可支持最多四台无线接收机。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5.频率响应: 470-960 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天线整合器参数：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1.提供2x4天线输入可大幅降低在大型舞台或任何场所可能会遇到接收死角的问题。接收输入开/关，输入衰减-31到0dB及输入讯号开/关控制等功能皆搭载在此整合器上让工程师更轻松及迅速的完成设定。</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90E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EB0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D5F4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86F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B81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UHF主动式指向性天线</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440F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一种有源/无源定向天线，可提供信号的定向接收或发射，提供多增益放大设置，完善无线收、发系统。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产品参数：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1.全频段：470Mhz～960Mhz；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2.有效角度：100度；</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E25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883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0D4F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08D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4DB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天线延长线</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2545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1.阻抗：50欧；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2.可和各种BNC型式的天线搭配使用；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3.长度：20m BNC/BNC；</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4.内含：两条线、两个BNC-F/BNC-F转接头</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8C3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2EF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r>
      <w:tr w14:paraId="070B7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662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5A9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音频效果处理器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5ABA88B6">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1.提供该型号中国质量认证中心CQC产品认证；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 8通道输入音频通道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 8通道支持MIC输入，每个MIC输入支持48V幻象供电</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 8个音频输出通道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 8通道独立的自适应反馈抑制器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 8通道自动混音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7.ADC CS5368 114dB动态 ，AC CS4385 114dB动态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8.输入每通道：前级放大、噪声门、压缩器、16段参量均衡、延时器、自动混音台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9.输出每通道： 16段参量均衡、分频器、高低通滤波器、限幅器、延时器</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93A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6B0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34D8B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D0D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4CD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多通道数字功放</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FAF6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1.超大容量的开关电源功放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2.自动限幅输出、短路、过载、过温、开机延时等保护功能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3.功放配备延时启动系统，保护音箱不受冲击而损坏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4.输入单通道，立体声，桥接模式选择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5.平衡输入接口SPEAKON 输出连接器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6.额定功率:4欧4*240W,8欧4*150W,8欧桥接2*480W</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3B3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806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6B508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A51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5FB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同轴吸顶音箱（60W）</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D6B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1.喇叭口径 8inch同轴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2.额定功率 ≥60W/8欧姆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3.最大功率 ≥100W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4.频率响应 70-20,000Hz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5.灵敏度(1w/1m) ≥86dB</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0D23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6FA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7AF0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DEF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A4C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8寸超低音吸顶扬声器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4C23362E">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1.8英寸单元，输出功率≥150W，前出接线设计，方便系统搭建。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2.设计10颗N42高强磁铁装置网罩，金属卡扣，四重安装防护。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3.拥有高声压级输出和大动态的响应。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4.类型：8寸超低音吸顶扬声器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5.单元组成：1x8"低音；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6.输入模式：8Ω；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7.额定功率(8Ω定阻)：150W（300W，PEAK）;</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8.有效频率范围：40Hz~1KHz；</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835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DB4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25F2E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717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0F0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CC19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1.42U标准机柜，600*600*2000（宽*深*高），全黑，前玻璃，后网板</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A59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E73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55BF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665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506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音频隔离器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60C7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1.降噪隔离干扰，解决由于电路各种干扰引起的交流声。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2.最科学的圈数比，顶级品质材质，合理阻抗比率，完美的电源和负载比。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3.降噪隔离干扰，解决由于电路各种干扰引起的交流声，主要应用于流动演出的音频系统与投影机、大屏LED系统间的交流声，还有灯光硅箱干扰音响系统音频系统连接乐队时产生的本底噪音等等问题。</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BD7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A3D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2441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1CE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2C5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时序电源器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E829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1.面板颜色:黑色铝面板  （带RS232接囗）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2.通道路数:8路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3.输出电源插座规格:13A万用插座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4.设备具备软件编辑功能，可独立调整通道开机及关机的延时时间，控制电源开启与关闭功能</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DB3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C28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D17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0DD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497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4K HDMI输入节点</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7E9B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所有信号与应用窗口可以在全墙任意位置、任意大小、任意顺序叠加显示。为符合系统内部业务需求，新加输入信号可以与市局的所有节信号互联互通。主要系统功能要求如下：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 采用分布式、无主控节点架构设计，无需配置专门的主控节点，任意节点故障不影响其他节点工作；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 支持整墙回显和局部回显，可以回显整墙或局部区域的显示内容，整墙回显分辨率≥16K，局部回显画面可以任意缩放和漫游；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 无需额外设备或软件，系统自带字幕功能，可在全墙任意区域显示固定或滚动字幕，可同时支持8路字幕显示；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4.▲需与公安现有分布式平台进行无缝兼容（投标人进行承诺）。</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C50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911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DFDF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0CD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82F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双路4K拼接输出节点</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D68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为符合系统内部业务需求，拼接节点可以调用市局所有节信号并在大屏上显示。产品具体参数如下：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采用去中心化分布式架构设计，分布式系统内无服务器。可设定任意一个或多个分布式节点提供分布式系统信息服务，无需服务器,任意分布式节点断开，系统不受影响；整墙回显画面流畅，拼接节点故障无输出时，能实时反馈拼墙故障画面:回显画面可支持整墙分辨率超过16K以上的拼墙，且不受拼墙开窗数量影响;整墙回显画面无撕裂、分割，整屏同步;回显画面最大可适配3台 4K 显示器。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1.采用分布式、无主控节点架构设计，无需配置专门的主控节点，任意节点故障不影响其他节点工作；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2.支持整墙回显和局部回显，可以回显整墙或局部区域的显示内容，整墙回显分辨率≥16K，局部回显画面可以任意缩放和漫游；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3.无需额外设备或软件，系统自带字幕功能，可在全墙任意区域显示固定或滚动字幕，可同时支持8路字幕显示，投标方提供具体实现方案说明；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4.▲需与公安现有分布式平台进行无缝兼容（投标人进行承诺）。</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B73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707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5CDF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5E7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945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中央控制系统主机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11A0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1.△采用≥1200MHz主频的ARM处理器，≥512M RAM和4Gb Flash ROM；（提供具备CMA资质的第三方评测机构测试报告）。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2.≥8路独立可编程的红外发射接口，支持控制多台相同或不同的红外设备；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3.≥8路独立可编程RS-232/422/485控制接口，用户可编程设置多种控制协议和代码；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4.自带HDMI监视接口，USB键鼠接口，可实时查看主机内部运行情况，分析主机运行数据；</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943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BB1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29CA0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EF2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1EC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中控系统</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3DC6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1．软件具备严格分级权限控制可通过256位无线加密技术与控制主机进行通讯，根据用户程序设定的 Join Number 发送对应的指令，使控制主机在接收指令后执行相应的控制命令，从而实现人机交互控制功能;对软件进行严格分级权限管理控制。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2．软件具备自定义模块功能可根据现场情况编写各种满足功能需求的程序;对不同场景定义不同功能模块;可自定义软件 LOGO、背景、所控制设备名称、排序、界面位置。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3．软件具备分组管理功能可对不同的显示单元进行分组管理，各组间互不干扰，可显示相同或不同的内容。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4．软件支持操作按钮包括全屏、单屏、四分屏、九分屏、十六分屏、128 分屏、一键清屏、自定义分屏的操作按钮。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5．软件可根据现场情况将信号源拖至显示单元，并可进行开窗、漫游、叠加、画中画、画外画、拉伸操作。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6．提供完全体现以上参数的第三方软件测试报告。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1DE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976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177C9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DCB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85A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移动控制设备</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AD7B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1.尺寸：≥10.9英寸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2.分辨率：≥2560x1600；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3.运行内存：≥8GB，存储容量：≥128GB；</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4.CPU类型：≥8核，≥2.8GHz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5.最高支持 120 Hz 刷新率</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0B9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648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6C30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1DC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1E4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定制研判桌1</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851D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3000mm*1400mm*740mm（根据现场情况定制）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1.台面板：面板使用防火板材，面板整体厚度≥27mm，面板前侧采用大于30mm宽的鸭嘴边封边，与桌面材质无缝粘接，保证整体外观协调统一。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控制台满足主桌面垂直静载荷试验采用2000N的力无损坏；桌面持续垂直静载荷800kg，均匀布载7天；水平静载荷试验通过1200N水平力无损坏；桌面水平耐久试验用150N的力加载60000次无损坏；桌面垂直冲击试验240mm高度跌落无损坏。（需提供相关带有CMA认证的检测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4119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3747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r>
      <w:tr w14:paraId="708C8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45C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981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人体工学椅调度椅</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47B70CB7">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1.头枕、背垫、腰枕及座垫均为网布；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2.黑色塑胶框架，PU扶手垫；塑胶头枕插条、头枕横把手；</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459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811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r>
      <w:tr w14:paraId="5F97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B08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214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工业除湿机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18D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1.除湿量：≥156L/D，适用面积≥200㎡</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E60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FB8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1E448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F8D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75B9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空气净化器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8B84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1.风量:≥1000立方米/小时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2.甲醛CADR值:≥644立方米/小时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3.测量功能:PM2.5浓度甲醛浓度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4.噪音:38-67.5dB</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CD6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074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5011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176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6D7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交互式装备柜</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33F7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含图片及视频显示单元、定制红外触摸框、钣金箱体、拼接显示卡、钢化玻璃隔断、UI设计、交互软件及配件图片及视频显示单元；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定制红外触摸框：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1.定制红外触摸框，支持十点触摸，含钢化玻璃</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钣金箱体：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1.定制钣金箱体，金属烤漆，机箱尺寸：2570*1500*600mm（根据现场情况定制）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拼接显示卡：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1.单屏，多屏合一等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提供交互控制软件，支持二次开发。</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1FB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1B8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197B5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79"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00B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5E3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LED显示屏2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57D0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1.▲点间距≤1.25mm；整屏尺寸≥4.16米×2.4米=9.984平方米；整屏分辨率≥3328×1920；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2.▲封装：采用COB封装方式，倒装设计，无引线；单个像素由1R1G1B构成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3.包含配套电源和配套接收卡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4.水平视角≥165°，垂直视角≥165°；每个灯芯的亮度误差值在5%以内；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5.所投产品表面采用高分子材料，高透光率，发光晶片损耗降低，达到低耗低温升效果；产品表面反光率≤1%，可有效防止反光和静电，具备摩尔纹抑制功能；（提供具备CMA资质的第三方评测机构测试报告）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6.亮度≥600（cd/㎡），模组间间隙≤0.1mm，平整度＜0.1mm；亮度均匀性＞97%；色温支持2500K-9500K；发光点中心距偏差＜1%；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7.水平燃烧试验：符合GB/T 2408-2021塑料燃烧性能的测定水平法和垂直法标准中水平燃烧试验要求，满足HB等级；（提供具备CMA资质的第三方评测机构测试报告）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8.△LED显示屏灯珠抗拉机械强度≥1kg，下压受力≥200kN，抗拉拉力≥14Fm（kN）；（提供具备CMA资质的第三方评测机构测试报告）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9.依据GB/T 17626.11-2023测试方法，要求Ut降低到70%持续1周期，恢复时间25周期，样品应当符合判据B；（提供具备CMA资质的第三方评测机构测试报告）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▲10.所投产品通过国家强制认证，提供CCC认证证书和全国认证认可信息公共服务平台查询截图；</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66A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B19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m²</w:t>
            </w:r>
          </w:p>
        </w:tc>
      </w:tr>
      <w:tr w14:paraId="0F14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77F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EC8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1048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1.产品规格：≥15kw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2.本产品与LED显示屏配套使用，采用“分步加电”的上电方式，可以有效地保护显示屏体的工作组件，延长屏体的使用寿命；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3.具有短路、过流、过压、过载、避雷、过温等保护特性；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4.支持挂墙安装或落地安装</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B163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F97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3D6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7BD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960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LED屏体控制器（4K）2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81D1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1.支持≥1路HDMI2.0输入和≥1路DP1.2输入；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2.支持≥20路网口；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3.支持输入画质管理，包括亮度、对比度、饱和度 和色度调整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4.支持逐点亮色度校正 对每个灯点的亮度和色度进行校正，有效消除色差，使整屏的亮度和色度达到高度均匀一致，提高显示屏的画质。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5.所投产品与LED显示屏为同一厂家；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▲6.所投产品通过国家强制认证，提供CCC认证证书和全国认证认可信息公共服务平台查询截图；</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014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4FC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64FB8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E85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BFC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安装结构2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7B74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1.根据现场情况定制LED屏安装结构</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FD3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9.98</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77AF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m²</w:t>
            </w:r>
          </w:p>
        </w:tc>
      </w:tr>
      <w:tr w14:paraId="20E2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7BC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45F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配套线材2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A830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1.网线、电源线等清单设备内部环接线缆，原厂运输箱、搬运、运输及保险费</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ABD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450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1C8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804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154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4席位定制操作控制台</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636933A7">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2940mm*2940mm*740mm（根据现场环境定制）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1.台面板：面板使用防火板材，面板整体厚度≥27mm，面板前侧采用大于30mm宽的鸭嘴边封边，与桌面材质无缝粘接，保证整体外观协调统一。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2.△为避免静电敏感元器件以及工作人员遭受静电损伤，产品需设置防静电接地处理，控制台整体应依据GB 4943.1-2022方法进行接地电阻检测，测试结果应符合国家标准要求，通过AC输入插座的地脚到最远端测试电阻值最大限值不得超过0.1Ω（需提供带有CMA认证标识的检测报告）</w:t>
            </w:r>
            <w:r>
              <w:rPr>
                <w:rFonts w:hint="eastAsia" w:ascii="仿宋" w:hAnsi="仿宋" w:eastAsia="仿宋" w:cs="仿宋"/>
                <w:i w:val="0"/>
                <w:iCs w:val="0"/>
                <w:color w:val="000000"/>
                <w:kern w:val="0"/>
                <w:sz w:val="20"/>
                <w:szCs w:val="20"/>
                <w:highlight w:val="yellow"/>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3.背墙按照业务需求进行定制化方式，有小件区和洞洞板区域组成。</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BD8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860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r>
      <w:tr w14:paraId="6127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413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E51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工业维修工具</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10ED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1、收纳包:维修工具收纳包*1。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2、螺丝刀:24合一S2超硬合金批头螺丝套装*1。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3、钳子:5寸斜嘴嵌*1，5寸老虎嵌*1。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4、剪刀:4.7号原钢色加厚小剪刀*1。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5、小刀:小号不锈钢小刀*2。</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5C5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B7E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54D6D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759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247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75寸交互一体机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568D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含交互一体机、OPS模块、书写笔、移动支架。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含交互一体机：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1.屏幕尺寸和显示分辨率：屏幕尺寸≥75英寸。屏幕分辨率3840 × 2160 @60 Hz超高清4K分辨率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全局交互设计：设备系统采用全屏框架设计，无侧边栏中控菜单遮挡主界面，主界面屏幕底部常驻系统操作栏，进入应用后，操作栏可通过手动下滑自动收起和底部向上滑动自动展开；系统操作栏各功能图标位置支持自定义调节。需提供带有 CMA标识的第三方检测报告。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3.负一屏：支持首页右滑显示负一屏界面，可查看会议预约信息，包括会议主题、会议时间、与会人员信息，支持一键签到；支持查看天气、设备状态、帮助与反馈信息，负一屏可与首页常用应用软件同时显示。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4.无限画板：可查看版面缩略图进行页面内容预览，支持删除任意画板。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 投屏器支持：支持无线投屏。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6.屏幕群组：支持屏幕群组功能，多台大屏与大屏之间可无线实时同步屏幕画面。支持单台终端（手机、PAD或电脑）的画面无线投屏到多台会议平板同时显示。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7.OPS模块：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1.内嵌于显示设备背部，无外露线缆。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2.支持2K@60Hz同步输出，触控延迟≤20ms</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3.硬解硬编4K@60Hz，支持多路视频并发处理</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266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8A5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3EE2A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E88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373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3人位操作台</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ECCF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1.台面板：面板使用防火板材，面板整体厚度≥27mm，面板前侧采用大于30mm宽的鸭嘴边封边，与桌面材质无缝粘接，保证整体外观协调统一。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控制台满足主桌面垂直静载荷试验采用2000N的力无损坏；桌面持续垂直静载荷800kg，均匀布载7天；水平静载荷试验通过1200N水平力无损坏；桌面水平耐久试验用150N的力加载60000次无损坏；桌面垂直冲击试验240mm高度跌落无损坏。（需提供相关带有CMA认证的检测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59B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591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r>
      <w:tr w14:paraId="7A7D2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2B4D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C20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定制研判桌2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10B6CDBE">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1.基材：采用优质环保中密度纤维板，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2.饰面：采用优质木皮（实木木皮），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3.封边：采用优质实木封边条，4.白乳胶：采用优质环保白乳胶。</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578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4EB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r>
      <w:tr w14:paraId="5AB92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9F8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F6C7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4人位操作台</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07AD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1.台面板：面板使用防火板材，面板整体厚度≥27mm，面板前侧采用大于30mm宽的鸭嘴边封边，与桌面材质无缝粘接，保证整体外观协调统一。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控制台满足主桌面垂直静载荷试验采用2000N的力无损坏；桌面持续垂直静载荷800kg，均匀布载7天；水平静载荷试验通过1200N水平力无损坏；桌面水平耐久试验用150N的力加载60000次无损坏；桌面垂直冲击试验240mm高度跌落无损坏。（需提供相关带有CMA认证的检测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016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ED9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r>
      <w:tr w14:paraId="3FC2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982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DE5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6席位定制操作控制台</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815E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3600mm*1600mm*740mm（根据现场情况定制）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1.台面板：面板使用防火板材，面板整体厚度≥27mm，面板前侧采用大于30mm宽的鸭嘴边封边，与桌面材质无缝粘接，保证整体外观协调统一。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控制台满足主桌面垂直静载荷试验采用2000N的力无损坏；桌面持续垂直静载荷800kg，均匀布载7天；水平静载荷试验通过1200N水平力无损坏；桌面水平耐久试验用150N的力加载60000次无损坏；桌面垂直冲击试验240mm高度跌落无损坏。（需提供相关带有CMA认证的检测报告）。</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EFB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DF4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r>
      <w:tr w14:paraId="1F16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F4C6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F38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小型3D打印机</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719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1.成型工艺：FDM 熔融沉积成型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2.打印尺寸：256mm × 256mm × 256mm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3.最大打印速度：≥600mm/s，最大加速度：≥20000mm/s²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4.喷嘴规格：标配 ≥0.4mm，最高温度 ≥300℃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5.热床温度：最高 ≥110℃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6.挤出系统：伺服电机驱动，支持自动断料检测与切断功能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7.适用耗材：1.75mm，支持 PLA、PETG、TPU、ABS、ASA、尼龙、碳纤维增强材料等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8.控制系统：≥5 英寸高清触摸屏，内置 AI 打印异常检测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9.监控系统：集成 1080P 高清摄像头，支持远程监控与延时摄影</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10.电气性能：AC100-240V 宽幅电压输入，支持断电续打、断料续打</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 3D打印机含耗材（含料盘：黑色10盘；红色10盘；白色10盘；绿色10盘；黄色10盘）</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8DF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7C7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r>
      <w:tr w14:paraId="6A34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5DD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8FB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混音功率放大器（130W）</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top"/>
          </w:tcPr>
          <w:p w14:paraId="31B71BD9">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1.提供该型号中国质量认证中心CQC产品认证；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2.定压输出：提供100V定压输出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3.多功能调节：各通道独立音量调节，高低音调节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4.内置MP3播放器：插入U盘可播放MP3音乐，面板带有播放控制键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5.分区控制：带有6分区控制及一全区控制按键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6.输出功率 130W</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734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B92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107F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3A9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2E9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吸顶喇叭（6W）</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83D4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1.喇叭口径 6.5inch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2.额定功率 ≥6W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3.最大功率 ≥10W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4.可选功率 6W/3W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5.输入阻抗 1.7KΩ/3.3KΩ</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0D4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623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3A5FC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773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3CE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电源时序器</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C8CC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1.面板颜色:黑色铝面板  （带RS232接囗）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2.通道路数:8路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3.输出电源插座规格:13A万用插座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4.设备具备软件编辑功能，可独立调整通道开机及关机的延时时间，控制电源开启与关闭功能</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E9D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323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4E293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1DD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7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12C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机柜2</w:t>
            </w:r>
          </w:p>
        </w:tc>
        <w:tc>
          <w:tcPr>
            <w:tcW w:w="3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A5A4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 22U标准机柜，600*600*1200（宽*深*高），全黑，前玻璃，后网板</w:t>
            </w:r>
          </w:p>
        </w:tc>
        <w:tc>
          <w:tcPr>
            <w:tcW w:w="3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97D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709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7CBEE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EB4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3DA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8口交换机</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026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1.设备要求：千兆以太网端口≥8个,千兆SFP端口≥2个。</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902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1C8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r>
      <w:tr w14:paraId="09DCE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683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34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控制台设备柜</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3F33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尺寸：W320*D500*H625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材质：用0.7mm优质冷轧板，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安全性：所有抽屉配防倾倒装置(一次只能打开一个抽屉)，柜背加承重板；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功能性：配直槽凹拉手，柜底配裝4个1.5寸万向轮（其中2个带刹）；</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FA2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2CF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r w14:paraId="0BAA7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966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E92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单人应急水上动力装置</w:t>
            </w:r>
          </w:p>
        </w:tc>
        <w:tc>
          <w:tcPr>
            <w:tcW w:w="3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DD0A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推进器                                                                                                                                                                                               1.产品尺寸;≤58x36*18CM ，含电池净重：≤9.5KG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2.水中行驶可拖动两位100KG成年人，拖载70KG成年人持续续航≥30分钟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3.电机功率：≥1500W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4.推力：≥15KG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5.推进器电池仓材质为6063航空铝，电池容量：≥9000mah，额定电压48V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6.桨叶护栅格：≤5MM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7.整机防水：≥IP68级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8.推进器头部有防水摄相机安装位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9.推进器头部内置高亮照明灯,亮度：≥600流明，水下照明≥10米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10.推进器工作状态下可潜水：≥30M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11.推进器左右各有一块可拆浮力板，提供≥30N浮力支持推进器自浮于水面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12.推进器具备单手驾驶模式，内置防水感应器开关，手指触摸启动驾驶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推进器专用可充气防水背包                                                                                                                                                                                   1.背包尺寸：≥350*250*700mm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2.背包重量：≤2kg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3.背包容量：≥46L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4.防水背包具备密封防水，以≥210D双层夹网TPU涂层布料制成，充满后的背包提供≥400N的浮力。</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5.防水背包使用气密拉链密封具备≥IP68级防水                                                                                                                                                                                                                                                                                                                                 推进器配有专用充气救生衣                                                                                                                                                                        1.双气囊独立气室充气救生衣，浮力≥275N。                                                                                                                                                                                                                                                                                                                                  2.救生衣充气后可自动翻转身体面部浮于水面。                                                                                                                                                                       3.救生衣气囊材质≥210D尼龙复合TPU防水涂层                                                                                                                                                                      推进器配备水域救援头盔：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1.外壳采用ABS 强度工程塑料材质，头盔内壳与外壳之间采用高压发泡 EVA 泡沫棉粘结，排水孔数量≥11个,低重心无帽沿结构。</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2.带通气孔的耳部设计可以确保听觉不受干扰，绑带长≥30cm，带有快速卡扣，可调节大小。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3.战术导轨滑道数量：≥2个。可用于安装手电等配件。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4.通过下颚带抗拉强度实验，下颚带未发生断裂、滑脱、其延伸长度≤20mm。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5.冲击吸收性能：≥3500。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6.漂浮性能：将头盔置于20C水中浸泡4h,头盔仍漂浮在水面上。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7.质量：≤500g</w:t>
            </w:r>
          </w:p>
        </w:tc>
        <w:tc>
          <w:tcPr>
            <w:tcW w:w="3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E524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97D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r>
    </w:tbl>
    <w:p w14:paraId="3DBFCC43">
      <w:pPr>
        <w:rPr>
          <w:rFonts w:hint="eastAsia" w:ascii="仿宋_GB2312" w:hAnsi="仿宋_GB2312" w:eastAsia="仿宋_GB2312" w:cs="仿宋_GB2312"/>
          <w:sz w:val="24"/>
          <w:szCs w:val="24"/>
          <w:highlight w:val="none"/>
        </w:rPr>
      </w:pPr>
    </w:p>
    <w:p w14:paraId="0581E786">
      <w:pPr>
        <w:rPr>
          <w:rFonts w:hint="eastAsia" w:ascii="仿宋_GB2312" w:hAnsi="仿宋_GB2312" w:eastAsia="仿宋_GB2312" w:cs="仿宋_GB2312"/>
          <w:sz w:val="24"/>
          <w:szCs w:val="24"/>
          <w:highlight w:val="none"/>
        </w:rPr>
      </w:pPr>
    </w:p>
    <w:p w14:paraId="0DE185CD">
      <w:pPr>
        <w:spacing w:line="360" w:lineRule="auto"/>
        <w:rPr>
          <w:rFonts w:hint="eastAsia" w:ascii="仿宋_GB2312" w:hAnsi="仿宋_GB2312" w:eastAsia="仿宋_GB2312" w:cs="仿宋_GB2312"/>
          <w:sz w:val="24"/>
          <w:szCs w:val="24"/>
          <w:highlight w:val="none"/>
        </w:rPr>
      </w:pPr>
    </w:p>
    <w:p w14:paraId="639C549A">
      <w:pPr>
        <w:rPr>
          <w:rFonts w:hint="eastAsia" w:ascii="仿宋_GB2312" w:hAnsi="仿宋_GB2312" w:eastAsia="仿宋_GB2312" w:cs="仿宋_GB2312"/>
          <w:sz w:val="24"/>
          <w:szCs w:val="24"/>
          <w:highlight w:val="none"/>
        </w:rPr>
      </w:pPr>
    </w:p>
    <w:p w14:paraId="211A424D">
      <w:pPr>
        <w:spacing w:line="360" w:lineRule="auto"/>
        <w:rPr>
          <w:rFonts w:hint="eastAsia" w:ascii="仿宋_GB2312" w:hAnsi="仿宋_GB2312" w:eastAsia="仿宋_GB2312" w:cs="仿宋_GB2312"/>
          <w:sz w:val="24"/>
          <w:szCs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AndChars" w:linePitch="312" w:charSpace="0"/>
        </w:sectPr>
      </w:pPr>
    </w:p>
    <w:p w14:paraId="5368000C">
      <w:pPr>
        <w:pStyle w:val="5"/>
        <w:bidi w:val="0"/>
        <w:rPr>
          <w:rFonts w:hint="eastAsia"/>
          <w:lang w:val="en-US" w:eastAsia="zh-CN"/>
        </w:rPr>
      </w:pPr>
      <w:r>
        <w:rPr>
          <w:rFonts w:hint="eastAsia"/>
          <w:lang w:val="en-US" w:eastAsia="zh-CN"/>
        </w:rPr>
        <w:t>3.2.2模块化数据中心机房建设</w:t>
      </w:r>
    </w:p>
    <w:p w14:paraId="49C378E8">
      <w:pPr>
        <w:pStyle w:val="6"/>
        <w:bidi w:val="0"/>
        <w:rPr>
          <w:rFonts w:hint="eastAsia"/>
          <w:lang w:val="en-US" w:eastAsia="zh-CN"/>
        </w:rPr>
      </w:pPr>
      <w:r>
        <w:rPr>
          <w:rFonts w:hint="eastAsia"/>
          <w:lang w:val="en-US" w:eastAsia="zh-CN"/>
        </w:rPr>
        <w:t>3.2.2.1数据中心机房微模块</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1622"/>
        <w:gridCol w:w="5227"/>
        <w:gridCol w:w="417"/>
        <w:gridCol w:w="608"/>
      </w:tblGrid>
      <w:tr w14:paraId="6CE7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2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8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9D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E1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2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5E44F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E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C2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机柜部分</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1E74">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9C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B0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D34C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3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8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42U服务器机柜</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6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1.服务器机柜尺寸（宽*深*高）：600*1200*2000mm，设备安装空间≥42U。</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2.机柜柜体采用一体化组装式结构设计，由前框、后框、横梁、前后门、顶板、底板、理线板组成，前后框采用整体焊接结构，侧门为内嵌上下两节式，方便拆卸维护。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3.前门采用网孔门设计，为保证良好的散热条件，前门开孔率不小于80%，前门开孔区域面积比不小于80%，提供具备CMA资质的第三方评测机构测试报告。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4.机柜主框架和立柱材料为厚度不小于2.0mm冷轧钢板制作，门板、侧板材料厚度不小于1.2mm冷轧钢板制作。为保证产品质量及安全，提供具备CMA资质的第三方评测机构测试报告。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5.机柜顶部配置加强筋，防止顶部钣金变形，提供实物图片证明。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6.每套机柜标准配置两条垂直理线板，可安装PDU及理线。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△7.机柜抗震性能：按照标准YD5083《电信设备抗地震性能检测规范》要求，服务器机柜需满足带载</w:t>
            </w:r>
            <w:r>
              <w:rPr>
                <w:rFonts w:hint="eastAsia" w:ascii="仿宋" w:hAnsi="仿宋" w:eastAsia="仿宋" w:cs="仿宋"/>
                <w:i w:val="0"/>
                <w:iCs w:val="0"/>
                <w:color w:val="auto"/>
                <w:kern w:val="0"/>
                <w:sz w:val="20"/>
                <w:szCs w:val="20"/>
                <w:u w:val="none"/>
                <w:lang w:val="en-US" w:eastAsia="zh-CN" w:bidi="ar"/>
              </w:rPr>
              <w:t>≥500Kg</w:t>
            </w:r>
            <w:r>
              <w:rPr>
                <w:rFonts w:hint="eastAsia" w:ascii="仿宋" w:hAnsi="仿宋" w:eastAsia="仿宋" w:cs="仿宋"/>
                <w:i w:val="0"/>
                <w:iCs w:val="0"/>
                <w:color w:val="000000"/>
                <w:kern w:val="0"/>
                <w:sz w:val="20"/>
                <w:szCs w:val="20"/>
                <w:u w:val="none"/>
                <w:lang w:val="en-US" w:eastAsia="zh-CN" w:bidi="ar"/>
              </w:rPr>
              <w:t>工况下，连续通过8、9级烈度结构抗地震考核，提供具备CMA资质的第三方评测机构测试报告。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机柜前门为平面六角网孔门，后门为平面六角网孔插销铰链式结构，能快速免工具拆卸及组装，前后门铰链侧焊接有加强筋，结构牢固，同时便于转轴插销的安装及灵活的拆卸，前后门均采用弹簧插销铰链结构，前后门采用旋把门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9.机柜并柜后门开启角度应≥130°，开启后不妨碍柜内设备安装和维护，提供具备CMA资质的第三方评测机构测试报告。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10.前后门4条可移动调节式立柱，可以根据客户实际需求灵活调整，调节至设备所需要的尺寸再进行固定。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△11.机柜静态承载能力≥2500Kg，机柜动态承载能力≥1500Kg，提供具备CMA资质的第三方评测机构测试报告。</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7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CB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r>
      <w:tr w14:paraId="1F789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35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2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机柜侧板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CA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一侧两块，上下两段式结构，适用于深度1200mm高度2000mm机柜</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A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边</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A23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16</w:t>
            </w:r>
          </w:p>
        </w:tc>
      </w:tr>
      <w:tr w14:paraId="2720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5B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EE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机柜底座</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7D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组合式钣金结构，600*1200*400mm，具体高度以静电地板架空高度为准，需与静电地板表面齐平。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1.通道底座，静态承载能力≥2500Kg，符合YD/T 2319《数据设备用网络机柜》和YD/T 1819《通信设备用综合集装架》等相关标准。</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C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09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86</w:t>
            </w:r>
          </w:p>
        </w:tc>
      </w:tr>
      <w:tr w14:paraId="2A109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4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39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包柱组件</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8D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一侧两块，上下两段式结构，适用于深度1200mm高度2000mm机柜</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6D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6E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r>
      <w:tr w14:paraId="6D471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E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4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机柜配套</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E638">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FD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38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7D7A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70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68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L型导轨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2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长度≥700mm，承重≥60kg，适用于1200深度服务器机柜</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5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79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r>
      <w:tr w14:paraId="6C9F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27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9D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固定层板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6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适用于1200深柜子，承重≥60kg，与机柜适配</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E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68</w:t>
            </w:r>
          </w:p>
        </w:tc>
      </w:tr>
      <w:tr w14:paraId="05F7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E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E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毛刷理线架</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916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用于机柜横向理线，1U高度，带毛刷</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8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F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68</w:t>
            </w:r>
          </w:p>
        </w:tc>
      </w:tr>
      <w:tr w14:paraId="4301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B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9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1U塑料盲板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4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ABS塑胶盲板，1U高度，快拆结构，用于机柜气流遏制</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0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73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1360</w:t>
            </w:r>
          </w:p>
        </w:tc>
      </w:tr>
      <w:tr w14:paraId="72765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5B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0E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21口PDU</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B8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1、1.5U黑色,380V输入，内部分A,B,C三相，3*6位国标10A+1位国标16A+指示灯，带三相32A接线盒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△2、为保证产品安全性可靠性，PDU须符合产品标准YD/T2063，需提供投标品牌产品符合通信用配电设备泰尔认证证书；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△3、为响应国家节能减排，降低碳排放政策，PDU产品应符合依据IS014067: 温室气体-产品碳足迹-量化要求和指南PAS 2050:产品和服务的全生命周期温室气体排放评价规范要求；</w:t>
            </w:r>
          </w:p>
          <w:p w14:paraId="6022E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lang w:val="en-US"/>
              </w:rPr>
            </w:pPr>
            <w:r>
              <w:rPr>
                <w:rFonts w:hint="eastAsia" w:ascii="仿宋" w:hAnsi="仿宋" w:eastAsia="仿宋" w:cs="仿宋"/>
                <w:i w:val="0"/>
                <w:iCs w:val="0"/>
                <w:color w:val="000000"/>
                <w:kern w:val="0"/>
                <w:sz w:val="20"/>
                <w:szCs w:val="20"/>
                <w:u w:val="none"/>
                <w:lang w:val="en-US" w:eastAsia="zh-CN" w:bidi="ar"/>
              </w:rPr>
              <w:t>4、每个可用电源分配单元(电源插座或连接端子)的消耗功率不应大于0.5 W。</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8A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39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82</w:t>
            </w:r>
          </w:p>
        </w:tc>
      </w:tr>
      <w:tr w14:paraId="7841B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D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72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24口PDU</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9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1、1.5U黑色，20位10A国标+4位16A国标+指示灯，+32A接线盒 ，每台机柜配置2条；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△2、为保证产品安全性可靠性，PDU须符合产品标准YD/T2063，需提供投标品牌产品符合通信用配电设备泰尔认证证书；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△3、为响应国家节能减排，降低碳排放政策，PDU产品应符合依据IS014067: 温室气体-产品碳足迹-量化要求和指南PAS 2050:产品和服务的全生命周期温室气体排放评价规范要求；</w:t>
            </w:r>
          </w:p>
          <w:p w14:paraId="2C7F5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4、每个可用电源分配单元(电源插座或连接端子)的消耗功率不应大于0.5 W。</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8A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条</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8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54</w:t>
            </w:r>
          </w:p>
        </w:tc>
      </w:tr>
      <w:tr w14:paraId="3A105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9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三、</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1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通道组件</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48DE4">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4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C6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54B12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C7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D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钣金固定天窗</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5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1、功能天窗、控制天窗，可安装摄像头、烟感、温湿度等动环设备，无翻转功能，通道照明，适用于全玻璃天窗配套使用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2、材质为冷轧钢板，厚度≥1.2mm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3、适用于600宽1200深通道使用，宽度≥1350mm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4、玻璃天窗之间无金属框架，保证天窗通透性。</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7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68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661C4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9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125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全玻璃单翻天窗</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56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1、根据机房的消防提供的联动信号自动打开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2、全钢化玻璃安装，玻璃厚度≥6mm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3、单开翻转，配置电磁锁控制，实现开启及关闭 </w:t>
            </w:r>
          </w:p>
          <w:p w14:paraId="253FA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4、含通道照明灯，600宽天窗，适用于1200深通道，宽度≥1350mm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5、翻转天窗为全景玻璃天窗，翻转天窗开启角度≥85°，同时可设置调节角度≥两种，如30°、60°，提供具备CMA资质的第三方评测机构测试报告。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6、玻璃天窗之间无金属框架，保证天窗通透性。</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2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9E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38</w:t>
            </w:r>
          </w:p>
        </w:tc>
      </w:tr>
      <w:tr w14:paraId="6E55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5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71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天窗支撑板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0E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机柜后部围板、装饰板，≥600宽≥300mm高，配套氛围灯，带灯罩</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4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544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r>
      <w:tr w14:paraId="1EB00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7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6B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装饰板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DB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机柜后部围板、装饰板，≥600宽≥300mm高</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7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B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r>
      <w:tr w14:paraId="1AA7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1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A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H型槽道</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69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钣金结构，厚度≥1.2mm，用于600宽机柜，高度≥100mm，长度≥600mm，≥三个槽道，单个槽道空间≥170mm，提供线槽槽道实物图片。</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E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1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92</w:t>
            </w:r>
          </w:p>
        </w:tc>
      </w:tr>
      <w:tr w14:paraId="02A5C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1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7B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列间走线梯</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D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钣金结构，用于1200宽通道使用，两排通道跨接</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1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1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r w14:paraId="0280E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9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ABD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通道控制模块</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90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1.包含消防联动、天窗翻转控制、照明供电、电动门供电、三色氛围灯控制，应急天窗按钮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2.冷通道预置端口与机房消防整体联动，翻转玻璃天窗能够根据机房的消防提供的联动信号自动翻转，接到消防告警信号1秒范围内瞬速自动打开，提供具备CMA资质的第三方评测机构测试报告。</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E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1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792B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0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3B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2米自动移门及冷通道配套组件</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A9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通道组件由天窗（固定天窗、翻转天窗）、天窗支撑板、自动移门、强弱电走线槽、列间跨线梯、装饰围板、照明灯、氛围报警灯、微模块智能控制系统等组成，与服务器机柜、通道组件、配电列头柜、精密空调及智能监控等核心系统组成密闭冷通道系统，形成良好的密封效果，避免冷热气流混合造成能量损失。</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2.冷通道内所有单元组件采用具良好耐磨性、耐蚀性，精细加工，整体冲压成型，高可靠接触，安全而用无松动现象，能够保证气流输出密封性。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3.冷通道各个金属部件均须接地，以实现整体接地，而且接地应通过接地铜带上的接地引出线接至机房接地铜排上。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标准自动移门采用≥12mm厚钢化玻璃，含电动导轨，可自动开启关闭，支持手动开启及关闭，配套门禁控制（采用指纹门禁一体机），配套安全光束防夹系统，配套不锈钢开门按钮，冷通道入口配置≥32寸液晶显示屏，可同步显示动环数据信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5.通道组件应通过48小时以上的抗盐雾抗腐蚀等试验测试。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6.机柜表面涂层平均厚度应≥83um，提供具备CMA资质的第三方评测机构测试报告。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7.冷通道系统各组件的金属部件之间均导通接地，通道需通过整体接地电阻测试，接地电阻要求满足小于0.1Ω的国家标准要求。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8.整体通道须连续通过8、9级抗震，提供具备CMA资质的第三方评测机构测试报告。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△9.整体通道具备C级防雷保护功能，提供具备CMA资质的第三方评测机构测试报告。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10.微模块100%负载率时，所有测点温度范围需满足GB 50174的18℃～27℃的环境温度要求，且服务器机柜进风口所有测点温度平均值，与所有空调回风温度平均值最大温差≤15℃时，测试并记录其每个机柜进风口的温度变化范围1小时，应满足变动范围为平均温度的-3.6%～4.2%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11.通道门门盒及门板采用铰链设计，方便可打开对自动移门及触摸屏进行维护，需提供通道门门盒及门板打开实物图片。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配置照明设备，微模块内照明需具有节能设计，具备人来灯亮，人走灯延时熄灭功能。模块内置I类照明灯具，灯具供电线路具有保护线，保护线需与金属灯具外壳做电气连接，模块内照明照度值≥420Lx。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13.冷通道需配置三色氛围灯，安装于每个机柜顶部模块上，常规显示蓝色，开门显示绿色，报警时显示红色。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14.需提供原厂安装、售后安装后的质量检测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D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F5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r w14:paraId="4E8F7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E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四、</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1B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配电系统</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439B">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72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4C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666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5F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D2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双路精密配电柜</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96F5">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精密配电柜尺寸为600*1200*2000mm，外观与服务器机柜一致，安装于冷通道中，技术要求：380V总输入2路200A/3P，380V输出2*7路32A/3P。包含≥7寸触摸屏，主路监测、支路监测，C级防雷，支持485通讯，PC后防护板。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断路器要求：配电柜内部断路器应采用施耐德NSX/IC65N、西门子3VA/5SY、ABBXT/S200或不低于上述系列产品。除特殊说明外，配电柜63A及以下断路器全部采用微型断路器，63A以上开关采用塑壳断路器，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3.交流配电设备应具有防雷保护装置，提供同系列泰尔证书及报告。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4.提供开放协议通讯接口，采用Modbus协议并无偿提供通讯协议，接入上位机监控系统实现集中统一管理。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5.支持顶部和底部上下进出线方式；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6.监控功能：在配电柜前门配置显示终端，包括以下要素：系统配置≥7寸全图形化真彩高分辨率TFT LCD显示，触摸液晶屏为人机操作界面，简洁、直观、触摸操作方便，系统内置存储电路，所有设定的参数及电度计量数据掉电不丢失。</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7.远程报警功能：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a)主回路过载、过压、欠压、电压不平衡、相序错误、缺相；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b)通信接口：采用开放式通讯协议接口： RS485，所有配电柜参数信息一个智能接口上传；</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8.配电柜连续通过8、9级烈度抗震试验，应符合YD 5083规范要求，提供产品抗震检测报告。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9.智能配电柜拥有数据采集管理功能，需提供智能配电柜数据采集系统相应的软件著作权证明文件。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10.产品须通过温升试验、短路耐受强度试验、电击防护和保护电路完整性试验、介电性能试验、电气间隙和爬电距离等型式试验，提供第三方检测机构出具的检测报告。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△11.提供投标品牌精密配电柜的CQC认证证书</w:t>
            </w:r>
          </w:p>
          <w:p w14:paraId="6942CD8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12.配电柜系统交流电流测量准确度检验误差：不超过±1.0%；系统交流电压测量准确度检验误差：不超过±5V；系统功率测量准确度检验误差：不超过±1%。</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53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1FD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6F50A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F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五、</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9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制冷系统</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AB06">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92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EF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757D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35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A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风冷列间空调1</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AAED2">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△制冷量≥60kW,恒温恒湿型，水平送风，采用环保冷媒：R410A，≥7寸触摸屏，变频压缩机，EC风机，电子膨胀阀，湿膜加湿，冷凝风机无极调速，紧凑型室外机，提供具备CMA资质的第三方评测机构测试报告。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2.机组采用前送风后回风方式，尺寸：≥600*1200*2000mm。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3.电源要求，电压380±10%，频率50Hz±2Hz。要求具有过欠压保护、频率保护等电源保护功能，当空调机组的输入电源因故障恢复正常后,空调机组应能自动启动。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4.列间精密空调应具有高效节能性，压缩机须采用变频涡旋式压缩机，压缩机出口须配置油分离器组件。须配置电子膨胀阀，采用R410a环保制冷剂。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5.须选用“V”型大面积蒸发器，换热器须采用内螺纹铜管加亲水铝翅片制作而成。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6.列间精密空调室内风机必须采用EC风机，可通过控制面板直接调整风机输出风量及机外余压，不接受直流模块带DC风机的配置做法。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7.列间精密空调须采用能耗低、不受水质影响的湿膜加湿器。须采用PTC电加热器，电加热器配置安全保护功能。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8.列间精密空调应具有先进的微处理控制器，采用不小于7英寸彩色触摸屏，可显示设备运行状态和报警信息，并且存储历史告警信息不小于3000条。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9.列间空调必须具有群控功能，提供国家级相关机构出具的文件证明。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10.列间精密空调机组应采用风冷的冷却方式，风冷冷凝器可水平或垂直安装，冷凝器风扇可根据制冷系统管道压力无级调速运行，降低列间精密空调能耗。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11.列间精密空调标准配置漏水报警功能，在发生漏水时发出报警。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12.须提供同型号产品节能认证证书。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13.为保证投标设备控制系统质量，避免知识产权纠纷，需提供原厂精密空调控制系统软件及精密空调加湿控制系统软件著作权登记证书。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14.精密空调需满足《电信设备抗地震性能检测规范》中九烈度要求，提供同系列产品抗震测试报告。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15.设备厂商具备原厂安装维修服务，提供≥A/I级和D/I级的空调行业维修安装企业能力等级证书。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16.△精密空调具备制冷剂不足智能检测功能，提供同系列具备CMA资质的第三方评测机构测试报告。</w:t>
            </w:r>
          </w:p>
          <w:p w14:paraId="02C31F9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default" w:eastAsia="宋体"/>
                <w:lang w:val="en-US" w:eastAsia="zh-CN"/>
              </w:rPr>
            </w:pPr>
            <w:r>
              <w:rPr>
                <w:rFonts w:hint="eastAsia" w:ascii="仿宋" w:hAnsi="仿宋" w:eastAsia="仿宋" w:cs="仿宋"/>
                <w:i w:val="0"/>
                <w:iCs w:val="0"/>
                <w:color w:val="000000"/>
                <w:kern w:val="0"/>
                <w:sz w:val="20"/>
                <w:szCs w:val="20"/>
                <w:u w:val="none"/>
                <w:lang w:val="en-US" w:eastAsia="zh-CN" w:bidi="ar"/>
              </w:rPr>
              <w:t>17.数据中心机房冷却系统制冷剂消耗臭氧潜能值（ODP）为0，并符合《消耗臭氧层物质管理条例》和《中国受控消耗臭氧层物质清单》中的相关要求。</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B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D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58EDA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40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56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风冷列间空调2</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E9104">
            <w:pPr>
              <w:keepNext w:val="0"/>
              <w:keepLines w:val="0"/>
              <w:pageBreakBefore w:val="0"/>
              <w:widowControl/>
              <w:numPr>
                <w:ilvl w:val="0"/>
                <w:numId w:val="8"/>
              </w:numPr>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制冷量≥40kW,恒温恒湿型，水平送风，采用环保冷媒：R410A，≥7寸触摸屏，变频压缩机，EC风机，电子膨胀阀，湿膜加湿，冷凝风机无极调速，紧凑型室外机，提供同型号产品第三方检测报告证明。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2.机组采用前送风后回风方式，尺寸：≥600*1200*2000mm。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3.电源要求，电压380±10%，频率50Hz±2Hz。要求具有过欠压保护、频率保护等电源保护功能，当空调机组的输入电源因故障恢复正常后,空调机组应能自动启动。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4.列间精密空调应具有高效节能性，压缩机须采用变频涡旋式压缩机，压缩机出口须配置油分离器组件。须配置电子膨胀阀，采用R410a环保制冷剂。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5.须选用“V”型大面积蒸发器，换热器须采用内螺纹铜管加亲水铝翅片制作而成。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6.列间精密空调室内风机必须采用EC风机，可通过控制面板直接调整风机输出风量及机外余压，不接受直流模块带DC风机的配置做法。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7.列间精密空调须采用能耗低、不受水质影响的湿膜加湿器。须采用PTC电加热器，电加热器配置安全保护功能。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8.列间精密空调应具有先进的微处理控制器，采用不小于7英寸彩色触摸屏，可显示设备运行状态和报警信息，并且存储历史告警信息不小于3000条。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9.列间空调必须具有群控功能，提供国家级相关机构出具的文件证明。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10.列间精密空调机组应采用风冷的冷却方式，风冷冷凝器可水平或垂直安装，冷凝器风扇可根据制冷系统管道压力无级调速运行，降低列间精密空调能耗。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11.列间精密空调标准配置漏水报警功能，在发生漏水时发出报警。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12.须提供同型号产品节能认证证书。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△13.为保证投标设备控制系统质量，避免知识产权纠纷，需提供原厂精密空调控制系统软件及精密空调加湿控制系统软件著作权登记证书。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14.精密空调需满足《电信设备抗地震性能检测规范》中九烈度要求，提供同系列产品抗震测试报告。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15.设备厂商具备原厂安装维修服务，提供≥A/I级和D/I级的空调行业维修安装企业能力等级证书。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16.△精密空调具备制冷剂不足智能检测功能，提供同系列具备CMA资质的第三方评测机构测试报告。</w:t>
            </w:r>
          </w:p>
          <w:p w14:paraId="3A3C505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17.数据中心机房冷却系统制冷剂消耗臭氧潜能值（ODP）为0，并符合《消耗臭氧层物质管理条例》和《中国受控消耗臭氧层物质清单》中的相关要求。</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A2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D4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r>
      <w:tr w14:paraId="37D8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3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82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风冷列间空调3</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480C">
            <w:pPr>
              <w:keepNext w:val="0"/>
              <w:keepLines w:val="0"/>
              <w:pageBreakBefore w:val="0"/>
              <w:widowControl/>
              <w:numPr>
                <w:ilvl w:val="0"/>
                <w:numId w:val="9"/>
              </w:numPr>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制冷量≥50kW,恒温恒湿型，水平送风，采用环保冷媒：R410A，≥7寸触摸屏，变频压缩机，EC风机，电子膨胀阀，湿膜加湿，冷凝风机无极调速，紧凑型室外机，提供同型号产品第三方检测报告证明。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2.机组采用前送风后回风方式，尺寸：≥600*1200*2000mm。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3.电源要求，电压380±10%，频率50Hz±2Hz。要求具有过欠压保护、频率保护等电源保护功能，当空调机组的输入电源因故障恢复正常后,空调机组应能自动启动。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4.列间精密空调应具有高效节能性，压缩机须采用变频涡旋式压缩机，压缩机出口须配置油分离器组件。须配置电子膨胀阀，采用R410a环保制冷剂。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5.须选用“V”型大面积蒸发器，换热器须采用内螺纹铜管加亲水铝翅片制作而成。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6.列间精密空调室内风机必须采用EC风机，可通过控制面板直接调整风机输出风量及机外余压，不接受直流模块带DC风机的配置做法。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7.列间精密空调须采用能耗低、不受水质影响的湿膜加湿器。须采用PTC电加热器，电加热器配置安全保护功能。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8.列间精密空调应具有先进的微处理控制器，采用不小于7英寸彩色触摸屏，可显示设备运行状态和报警信息，并且存储历史告警信息不小于3000条。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9.列间空调必须具有群控功能，提供国家级相关机构出具的文件证明。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10.列间精密空调机组应采用风冷的冷却方式，风冷冷凝器可水平或垂直安装，冷凝器风扇可根据制冷系统管道压力无级调速运行，降低列间精密空调能耗。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11.列间精密空调标准配置漏水报警功能，在发生漏水时发出报警。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12.须提供同型号产品节能认证证书。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△13.为保证投标设备控制系统质量，避免知识产权纠纷，需提供原厂精密空调控制系统软件及精密空调加湿控制系统软件著作权登记证书。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14.精密空调需满足《电信设备抗地震性能检测规范》中九烈度要求，提供同系列产品抗震测试报告。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15.设备厂商具备原厂安装维修服务，提供≥A/I级和D/I级的空调行业维修安装企业能力等级证书。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16.△精密空调具备制冷剂不足智能检测功能，提供同系列具备CMA资质的第三方评测机构测试报告。</w:t>
            </w:r>
          </w:p>
          <w:p w14:paraId="1C6F927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17.数据中心机房冷却系统制冷剂消耗臭氧潜能值（ODP）为0，并符合《消耗臭氧层物质管理条例》和《中国受控消耗臭氧层物质清单》中的相关要求。</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31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E3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w:t>
            </w:r>
          </w:p>
        </w:tc>
      </w:tr>
      <w:tr w14:paraId="03ED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6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六、</w:t>
            </w:r>
          </w:p>
        </w:tc>
        <w:tc>
          <w:tcPr>
            <w:tcW w:w="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5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微模块动环监控</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E7F40">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CB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DB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33306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6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1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一体化数据采集器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F1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1、动环监控一体化采集器采用1U标准机架式结构，双电源冗余热备，RS485口≥10个、DI口≥12个、DO口≥4个、DC12V1A输出≥2路，提供≥2个网口，1000M和100/10M自适应各1个，接线方式采用RJ45接口，方便理线。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2、系统自带不小于32英寸彩色触摸屏，镶嵌于微模块端门，可通过触摸屏查看微模块实时监测数据，包含通道内配电、空调、温湿度、漏水、门禁、视频、烟感等。系统预留其他设备接入接口，方便后期扩展。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3、系统采用B/S架构，可通过远程web访问的方式，查看微模块智能管理软件监测数据，且数据与触摸屏访问数据一致。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4、系统支持2D、3D可视化管理，展示微模块外观，查看微模块当前运行状态及关键设备参数。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5、系统提供易操作、低代码的方式，搭建系统页面，内置丰富的模板库，可通过web在线配置页面版式、标签、图表、按钮等组件。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6、系统支持平台界面、声光、氛围灯、短信、电话等多种告警方式，当通道内监测参数异常或设备状态异常时，可通过多种方式进行告警。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7、系统支持进行权限管理，可根据用户实际管理情况，设置区域设备查看权限和页面操作或查看权限。支持进行用户登录限制，可设置临时用户及长期用户。</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8、系统支持消防告警联动，当系统监测到消防告警信息时，可联动完成微模块天窗掉落、门打开、空调关机等操作。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9、微模块端门配置门禁，可人脸、密码、刷卡、指纹开门。支持远程进行门禁设备发卡授权，查看门禁记录，支持远程开门控制。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10、微模块两端配置视频摄像头，配套硬盘录像机及4T硬盘，可查看微模块视频。</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11、系统支持查询数据报表，可查看告警数据、监测历史数据、系统日志等报表，报表支持导出。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12、系统支持查看微模块能耗情况，IT系统及辅助系统能耗占比及趋势图。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13、系统整体呈现兼具美观和便捷，支持多种主题风格切换。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14、为保证产品的可用性和易用性，投标产品必须通过权威机构的软件评测。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15、为保证系统的稳定性和可靠性，采集器应与软件系统同品牌，并提供静电放电抗扰度、电快速瞬变脉冲群抗扰度、浪涌抗扰度等电磁耐受检测报告。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16、动环采集主机需具备CE认证。</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8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69A1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8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8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微模块动环软件</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3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嵌入式动环监控系统，纯B/S架构，支持WEB管理。集中监控管理软件，用于监控环境设备、门禁、视频等设备数据统一采集、分析、管理。</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5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B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5AA5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D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9E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工业触摸屏</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38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安卓屏，≥32英寸，配置≥ARM Cortex-A17四核 1.8 GHZ，Android6.0系统，DDR3：4GB 64bit，NANDFLASH 32GB/EMMC 8G，ARM Mali-400 MP4，视频输出接口：标准HDMI1.4</w:t>
            </w:r>
            <w:r>
              <w:rPr>
                <w:rStyle w:val="111"/>
                <w:rFonts w:hint="eastAsia" w:ascii="仿宋" w:hAnsi="仿宋" w:eastAsia="仿宋" w:cs="仿宋"/>
                <w:sz w:val="20"/>
                <w:szCs w:val="20"/>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 xml:space="preserve"> LVDS，音频接口：数字音频输出，网络接口：以太网RJ45接口，10M/100M自适应 WIFI802.11b/g/n，其它接口：USB接口，SD卡，分辨率1920*1080（1080P），16:9，G+G 10点触摸</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C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D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3FA36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9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9D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声光报警器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80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DC12V供电，通过干接点控制，音量可调</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2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F4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66EC9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2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7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电话短信模块</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7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4G全网通（移动/联通/电信）短信模块，RS485通信一体化数据采集器通讯,电话或短信告警，需配4G通讯卡，质保期内由中标人承担通讯费用。</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D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86A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2664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8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D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环境温湿度传感器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E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工作电压：12VDC/工作电流：&lt;10mA/显示：LED显示测量值/测湿范围：0～95％RH/精度：±3%RH（25℃时）/测温范围：-20～75℃/精度：±0.3℃（全量程内）/串行输出：RS485，MODBUS协议输出/工作环境：-20～75℃，5～95%RH</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D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76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6ED5C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13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3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烟雾探测器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AC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监测环境内烟雾浓度来反馈消防状态，吸顶安装，DC12V供电，开关量接口常开常闭可选</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2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C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3F4EF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F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4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不定位漏水传感器</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7F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供电电压：DC12V± 10%，具有反接保护/使用环境：室内0~50℃ 0～100%RH 无凝露/功耗：&lt;1.2W/应用液体：自来水/输出形式：固态继电器（&lt;100mA）;I/O输出</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7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88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14</w:t>
            </w:r>
          </w:p>
        </w:tc>
      </w:tr>
      <w:tr w14:paraId="38F6C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F0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6A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5米不定位漏水感应线</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11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不定位漏水检测线5M，含引出线、水浸侦测线、固定胶贴、终止端</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D9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14</w:t>
            </w:r>
          </w:p>
        </w:tc>
      </w:tr>
      <w:tr w14:paraId="755E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B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0FA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人脸指纹刷卡密码一体机</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3E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设备外观：≥4.3英寸LCD触摸显示屏，分辨率:480：272,200万像素宽动态，面部识别距离0.3-2m；设备容量：支持1500张人脸白名单，1：N人脸比对时间＜0.2S/人，支持3000枚指纹，3000张卡片，150000条记录；认证方式：支持人脸、指纹、密码二维码及其组合的认证方式；配套对应IC卡、CPU卡序列号、身份证序列号；通讯方式：上行通讯为TCP/IP；支持外接RS485，Wiegand副读卡器；基线支持标准韦根26/34/27/35；符合国密要求。</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8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CF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r w14:paraId="038AA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9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D3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不锈钢出门按钮（长条）</w:t>
            </w:r>
          </w:p>
        </w:tc>
        <w:tc>
          <w:tcPr>
            <w:tcW w:w="31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9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常开型，不锈钢面板;不锈钢面板,接点输出NO/COM,面板材质：不锈钢面板,耐用测试 50万次老化测试合格 25.0 mm</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D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6F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bl>
    <w:p w14:paraId="14E2F681">
      <w:pPr>
        <w:pStyle w:val="6"/>
        <w:bidi w:val="0"/>
        <w:rPr>
          <w:rFonts w:hint="eastAsia"/>
          <w:lang w:val="en-US" w:eastAsia="zh-CN"/>
        </w:rPr>
      </w:pPr>
      <w:r>
        <w:rPr>
          <w:rFonts w:hint="eastAsia"/>
          <w:lang w:val="en-US" w:eastAsia="zh-CN"/>
        </w:rPr>
        <w:t>3.2.2.2供配电</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4"/>
        <w:gridCol w:w="1431"/>
        <w:gridCol w:w="5238"/>
        <w:gridCol w:w="564"/>
        <w:gridCol w:w="685"/>
      </w:tblGrid>
      <w:tr w14:paraId="4F0C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CFB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2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A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5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F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28F07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5C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0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桥架敷设1</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0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槽式桥架400*100*1.5mm(机房内接入部分)</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5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6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r>
      <w:tr w14:paraId="74ED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BE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C8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桥架敷设2</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B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槽式桥架600*100*2mm(机房主干内接入部分)</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EF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E0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44CC1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A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33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JDG25管敷设</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88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JDG25，含配套镀锌金属86底盒及安装附件；</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7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7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r>
      <w:tr w14:paraId="1E0A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0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8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电线管穿线1</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05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WDZB-BYJ-2.5应急照明及维修插座穿线</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6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1D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r>
      <w:tr w14:paraId="0754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E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8B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电线管穿线2</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A14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WDZB-BYJR-2.5应急照明及维修插座穿线</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D5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F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r>
      <w:tr w14:paraId="68103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F6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9D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电缆敷设1</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F12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UPS1、2主机输入、输出双拼电缆，外置维修旁路输入双拼电缆WDZB-YJY-4*185+1*95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4E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5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r>
      <w:tr w14:paraId="07176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D1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319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电缆敷设</w:t>
            </w:r>
            <w:r>
              <w:rPr>
                <w:rFonts w:hint="eastAsia" w:ascii="仿宋" w:hAnsi="仿宋" w:eastAsia="仿宋" w:cs="仿宋"/>
                <w:sz w:val="20"/>
                <w:szCs w:val="20"/>
                <w:lang w:val="en-US" w:eastAsia="zh-CN"/>
              </w:rPr>
              <w:t>2</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8F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UPS输出柜至普通区精密列头柜WDZB-YJY-4*120+1*70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A3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02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r>
      <w:tr w14:paraId="2B02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54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4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电缆敷设3</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0B5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UPS输出柜至高密区精密列头柜WDZB-YJY-4*70+1*35</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5B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EF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r>
      <w:tr w14:paraId="5129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8D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69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电缆敷设4</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28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列间精密空调输入电缆WDZB-YJY-5*16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F4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3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r>
      <w:tr w14:paraId="4699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7B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A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电缆敷设5</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B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列间精密空调输入电缆WDZB-YJY-5*10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621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5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w:t>
            </w:r>
          </w:p>
        </w:tc>
      </w:tr>
      <w:tr w14:paraId="6AC36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90B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76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电缆敷设6</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C3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房间级空调输入电缆WDZB-YJY-5*6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7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C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r>
      <w:tr w14:paraId="41CD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9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B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电缆敷设7</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B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精密配电列头柜至普通服务器柜、网络柜双路PDU电缆WDZB-YJY-3*6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E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20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660</w:t>
            </w:r>
          </w:p>
        </w:tc>
      </w:tr>
      <w:tr w14:paraId="23B5F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2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A2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电缆敷设8</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3E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精密配电列头柜至高密服务器柜、网络柜双路PDU电缆WDZB-YJY-5*6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F3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F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190</w:t>
            </w:r>
          </w:p>
        </w:tc>
      </w:tr>
      <w:tr w14:paraId="03070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10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F1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市电ATS输入柜</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FB3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W1000*H2000*D800mm，详见图纸；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8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D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E0A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7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E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市电配电柜</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67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W800*H2000*D800mm，详见图纸；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E9A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BD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1D88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25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E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UPS输入柜</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EB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W800*H2000*D800mm，详见图纸；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35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417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BA90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39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A3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UPS1输出柜</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F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W600*H2000*D800mm，详见图纸；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BE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A3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CC2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D5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1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UPS2输出柜</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1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W600*H2000*D800mm，详见图纸；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9C1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15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1F0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54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5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空调配电柜-1</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W800*H2000*D600mm，详见图纸；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188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BE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70BE0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F3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C3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空调配电柜-2</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E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W800*H2000*D600mm，详见图纸；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△配电柜系统交流电流测量准确度检验误差：不超过±1.0%；系统交流电压测量准确度检验误差：不超过±5V；系统功率测量准确度检验误差：不超过±1%，提供具备CMA资质的第三方评测机构测试报告</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4B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C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00D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F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55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框架断路器</w:t>
            </w:r>
          </w:p>
        </w:tc>
        <w:tc>
          <w:tcPr>
            <w:tcW w:w="30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3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800A/3P，框架断路器，固定式，需与原有配电柜兼容</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94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6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bl>
    <w:p w14:paraId="4A857602">
      <w:pPr>
        <w:pStyle w:val="6"/>
        <w:bidi w:val="0"/>
        <w:rPr>
          <w:rFonts w:hint="eastAsia"/>
          <w:lang w:val="en-US" w:eastAsia="zh-CN"/>
        </w:rPr>
      </w:pPr>
      <w:r>
        <w:rPr>
          <w:rFonts w:hint="eastAsia"/>
          <w:lang w:val="en-US" w:eastAsia="zh-CN"/>
        </w:rPr>
        <w:t>3.2.2.3UPS及电池</w:t>
      </w:r>
    </w:p>
    <w:tbl>
      <w:tblPr>
        <w:tblStyle w:val="28"/>
        <w:tblW w:w="49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364"/>
        <w:gridCol w:w="5592"/>
        <w:gridCol w:w="329"/>
        <w:gridCol w:w="578"/>
      </w:tblGrid>
      <w:tr w14:paraId="58C2A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7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E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22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5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0D375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5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4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800KVA UPS（高密区）</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D42E">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6C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FF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79403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C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C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UPS不间断电源</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C33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rPr>
            </w:pPr>
            <w:r>
              <w:rPr>
                <w:rFonts w:hint="eastAsia" w:ascii="仿宋" w:hAnsi="仿宋" w:eastAsia="仿宋" w:cs="仿宋"/>
                <w:i w:val="0"/>
                <w:iCs w:val="0"/>
                <w:color w:val="000000"/>
                <w:kern w:val="0"/>
                <w:sz w:val="20"/>
                <w:szCs w:val="20"/>
                <w:u w:val="none"/>
                <w:lang w:val="en-US" w:eastAsia="zh-CN" w:bidi="ar"/>
              </w:rPr>
              <w:t>1.模块化UPS电力模块，50KVA/50KW；</w:t>
            </w:r>
          </w:p>
          <w:p w14:paraId="79EA429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rPr>
            </w:pPr>
            <w:r>
              <w:rPr>
                <w:rFonts w:hint="eastAsia" w:ascii="仿宋" w:hAnsi="仿宋" w:eastAsia="仿宋" w:cs="仿宋"/>
                <w:i w:val="0"/>
                <w:iCs w:val="0"/>
                <w:color w:val="000000"/>
                <w:kern w:val="0"/>
                <w:sz w:val="20"/>
                <w:szCs w:val="20"/>
                <w:u w:val="none"/>
                <w:lang w:val="en-US" w:eastAsia="zh-CN" w:bidi="ar"/>
              </w:rPr>
              <w:t>2.信息设备的不间断电源能效应符合GB/T 14715中一级能效要求。</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24C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81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r>
      <w:tr w14:paraId="13A6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B5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B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免维护铅酸蓄电池</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A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1.当蓄电池环境温度在-15℃~45℃条件下，其性能指标应满足正常使用要求。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2.单个蓄电池≥12V</w:t>
            </w:r>
            <w:r>
              <w:rPr>
                <w:rFonts w:hint="eastAsia" w:ascii="宋体" w:hAnsi="宋体" w:eastAsia="宋体" w:cs="宋体"/>
                <w:i w:val="0"/>
                <w:iCs w:val="0"/>
                <w:color w:val="000000"/>
                <w:kern w:val="0"/>
                <w:sz w:val="20"/>
                <w:szCs w:val="20"/>
                <w:u w:val="none"/>
                <w:lang w:val="en-US" w:eastAsia="zh-CN" w:bidi="ar"/>
              </w:rPr>
              <w:t>250AH</w:t>
            </w:r>
            <w:r>
              <w:rPr>
                <w:rFonts w:hint="eastAsia" w:ascii="仿宋" w:hAnsi="仿宋" w:eastAsia="仿宋" w:cs="仿宋"/>
                <w:i w:val="0"/>
                <w:iCs w:val="0"/>
                <w:color w:val="000000"/>
                <w:kern w:val="0"/>
                <w:sz w:val="20"/>
                <w:szCs w:val="20"/>
                <w:u w:val="none"/>
                <w:lang w:val="en-US" w:eastAsia="zh-CN" w:bidi="ar"/>
              </w:rPr>
              <w:t>，蓄电池在环境温度20℃时的浮充运行寿命应≥10年。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3.气密性：应能承受50kPa的正压或负压而不破裂、不开胶，压力释放后壳体无残余变形。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w:t>
            </w:r>
            <w:r>
              <w:rPr>
                <w:rFonts w:hint="eastAsia" w:ascii="仿宋" w:hAnsi="仿宋" w:eastAsia="仿宋" w:cs="仿宋"/>
                <w:b w:val="0"/>
                <w:bCs w:val="0"/>
                <w:i w:val="0"/>
                <w:iCs w:val="0"/>
                <w:color w:val="000000"/>
                <w:kern w:val="0"/>
                <w:sz w:val="20"/>
                <w:szCs w:val="20"/>
                <w:u w:val="none"/>
                <w:lang w:val="en-US" w:eastAsia="zh-CN" w:bidi="ar"/>
              </w:rPr>
              <w:t>大电流放电：</w:t>
            </w:r>
            <w:r>
              <w:rPr>
                <w:rFonts w:hint="eastAsia" w:ascii="仿宋" w:hAnsi="仿宋" w:eastAsia="仿宋" w:cs="仿宋"/>
                <w:b w:val="0"/>
                <w:bCs w:val="0"/>
                <w:sz w:val="20"/>
                <w:szCs w:val="20"/>
              </w:rPr>
              <w:t>以</w:t>
            </w:r>
            <w:r>
              <w:rPr>
                <w:rStyle w:val="31"/>
                <w:rFonts w:hint="eastAsia" w:ascii="仿宋" w:hAnsi="仿宋" w:eastAsia="仿宋" w:cs="仿宋"/>
                <w:b w:val="0"/>
                <w:bCs w:val="0"/>
                <w:color w:val="000000"/>
                <w:sz w:val="20"/>
                <w:szCs w:val="20"/>
              </w:rPr>
              <w:t>30I</w:t>
            </w:r>
            <w:r>
              <w:rPr>
                <w:rStyle w:val="31"/>
                <w:rFonts w:hint="eastAsia" w:ascii="仿宋" w:hAnsi="仿宋" w:eastAsia="仿宋" w:cs="仿宋"/>
                <w:b w:val="0"/>
                <w:bCs w:val="0"/>
                <w:color w:val="000000"/>
                <w:sz w:val="20"/>
                <w:szCs w:val="20"/>
                <w:vertAlign w:val="subscript"/>
                <w:lang w:val="en-US" w:eastAsia="zh-CN"/>
              </w:rPr>
              <w:t>10</w:t>
            </w:r>
            <w:r>
              <w:rPr>
                <w:rFonts w:hint="eastAsia" w:ascii="仿宋" w:hAnsi="仿宋" w:eastAsia="仿宋" w:cs="仿宋"/>
                <w:b w:val="0"/>
                <w:bCs w:val="0"/>
                <w:sz w:val="20"/>
                <w:szCs w:val="20"/>
              </w:rPr>
              <w:t>电流放电 3min，试验期间极柱不应熔断，内部汇流排不应熔断，产品外观应无异常</w:t>
            </w:r>
            <w:r>
              <w:rPr>
                <w:rFonts w:hint="eastAsia" w:ascii="仿宋" w:hAnsi="仿宋" w:eastAsia="仿宋" w:cs="仿宋"/>
                <w:b w:val="0"/>
                <w:bCs w:val="0"/>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5.容量保存率：蓄电池静置28天后，容量保存率≥该电池实际容量的98%。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6.蓄电池的密封反应效率≥98%。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7.防酸雾性能：蓄电池在正常工作中应无酸雾逸出。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8.安全阀要求：应具有自动开启和自动关闭的功能，开阀压力和闭阀压力应满足以下要求：开阀压力：16~18； 闭阀压力：14~15。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9.耐过充电能力：完全充电的蓄电池以0.3I10 (A)电流再充电160h，过充完毕后静置1h，其外观应无明显变形和渗液。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10.电池开路电压均衡性应满足最高与最低差值≤18mV。进入放电状态后端电压差值≤0.14V。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11.电池间连接电压降：5.5 I10放电条件下，△U应≤4.7mV。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12.防爆性能：蓄电池在充电过程中遇有明火内部不应引爆。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13.采用封口剂蓄电池，在温度-30℃～+65℃之间，封口剂不应有裂纹与溢流现象。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14.热失控敏感性：在（25士5)℃环境中，以（2.45±0.1)V／单体的恒定电压（不限流）连续充电168h，应满足以下要求：（1）蓄电池表面（端子部位）温度应≤30℃；（2）每24h的电流增长率应≤42%。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15.蓄电池过度放电后，容量恢复值应≥99%。</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16.低温敏感性: 低温敏感性试验结束后，10h率容量应0.9C10，外观应无破裂、过度膨胀,槽盖应无分离现象。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17.再充电性能：蓄电池恒压充电24h后的在充电能力因素Rbf24h≥91%。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18.容量一致性：同组蓄电池10h率容量试验时，最大实际容量与最小实际容量差值应≤1%。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△19.需提供所投产品的泰尔认证证书。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△20.需提供所投产品的泰尔检测报告。</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03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A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r>
      <w:tr w14:paraId="6A1A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2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5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电池架</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C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组合式电池架，4层2列摆放，可内置40节12V 250AH免维护铅酸蓄电池，电池架尺寸≥(宽*深*高,mm)：1500*1300*1500；需与微模块系统选用同一品牌</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1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AD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12</w:t>
            </w:r>
          </w:p>
        </w:tc>
      </w:tr>
      <w:tr w14:paraId="46CD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6B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8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电池连接铜排</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8F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电池连接铜排套件，30mm*3mm规格铜排长180=32条,95平方线：1.2米=4条，1.5米=3条，含电线护套和串入式铜排护套。</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E6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EF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4442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A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54E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电池开关箱</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B5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带分开电池开关箱，适用于36节及以上电池180K及以下UPS,500A/4P直流开关(国产一线）1个，分250A/4P直流开关(国产一线）3个，颜色：黑色</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90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86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5FB9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D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172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原有电池接入</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BD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原有40节12V200AH电池及电池架接入</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FB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4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3525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6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F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电池间制冷系统</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59847">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B7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8E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012E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3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66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精密空调</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9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 机房空调主要技术参数要求，制冷量≥13.1kW，显冷量≥12.1kW，风量≥3800m³/h，加热量≥3kW，加湿量≥3kg/h，显热比≥0.92，能效比≥3.0，采用R410A制冷剂。以上技术参数提供同型号产品第三方检测报告证明。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2.电源要求：电压380±10%，频率50Hz±2Hz。要求具有过欠压保护、频率保护等电源保护功能，当空调机组的输入电源因故障恢复正常后,空调机组应能自动启动。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3.制冷系统须配置电子膨胀阀，调节速度快、范围大、精度高。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4.机房空调室内机须采用EC风机，可通过控制面板调整风机转速，上送风。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5.压缩机选用高能效比的涡旋式压缩机，压缩机需安装在室内机内部，以确保制冷系统运行稳定和方便维护。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6.须采用大面积“/”型结构蒸发器，采用铜管铝翅片材质。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7.须采用电极式加湿器。须采用PTC电加热器，加热器配置安全保护功能。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8.机房空调采用金属框架可清洗并反复使用空气过滤器，需紧贴蒸发器安装，过滤网形状为“W”褶皱型，过滤效率达到G4标准。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9.须采用先进的微处理控制器，采用不小于4英寸彩色触摸屏，能显示温湿度曲线，具有图形显示机组内各组件的运行状态的功能，应具有≥500条故障报警记录储存的功能，可储存和显示当前和历史报警信息。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10.标配RS485接口，可进行远程监控，实现远程开关机、状态查看、参数设置、告警查看等功能。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11.机房空调必须具有群控功能。</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12.室外机冷凝器采用铜管铝翅片，而非全铝微通道，冷凝器风扇需可根据制冷系统管道压力无级调速运行，降低精密空调能耗。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13.精密空调标准配置漏水报警功能，在发生漏水时发出报警。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14.为方便空调安装，避免使用明火，空调须标配螺纹快速接头，现场快速安装无需焊接。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15.须提供产品节能认证证书，提供具备CMA资质的第三方评测机构测试报告。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16.设备厂商具备原厂安装维修服务，提供≥A/I级和D/I级的空调行业维修安装企业能力等级证书。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△17.精密空调具备制冷剂不足智能检测功能，提供具备CMA资质的第三方评测机构测试报告。</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5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E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1AC47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5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6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除湿机</w:t>
            </w:r>
          </w:p>
        </w:tc>
        <w:tc>
          <w:tcPr>
            <w:tcW w:w="3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35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机房用除湿机，额定除湿量≥5KG/小时，适用面积≥150平方</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92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29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bl>
    <w:p w14:paraId="4A556A35">
      <w:pPr>
        <w:pStyle w:val="6"/>
        <w:bidi w:val="0"/>
        <w:rPr>
          <w:rFonts w:hint="eastAsia"/>
          <w:lang w:val="en-US" w:eastAsia="zh-CN"/>
        </w:rPr>
      </w:pPr>
      <w:r>
        <w:rPr>
          <w:rFonts w:hint="eastAsia"/>
          <w:lang w:val="en-US" w:eastAsia="zh-CN"/>
        </w:rPr>
        <w:t>3.2.2.4防雷接地</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1435"/>
        <w:gridCol w:w="5254"/>
        <w:gridCol w:w="535"/>
        <w:gridCol w:w="689"/>
      </w:tblGrid>
      <w:tr w14:paraId="7DA9B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41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9B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5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E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B7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2EB8E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E5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9C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等电位泄流网格</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E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100*0.3mm紫铜箔</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3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68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r>
      <w:tr w14:paraId="491B8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E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E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等电位泄流铜排</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D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3*30mm紫铜排</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7F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80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r>
      <w:tr w14:paraId="6D129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D6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52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绝缘子</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DF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Φ50绝缘子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F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05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r>
      <w:tr w14:paraId="49664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B7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BE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接地联接线</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4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50mm双色</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A0B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59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r>
      <w:tr w14:paraId="1A5A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6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E9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接地跨接线</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61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16mm双色、6mm双色定制</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BB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99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r>
    </w:tbl>
    <w:p w14:paraId="06145B92">
      <w:pPr>
        <w:rPr>
          <w:rFonts w:hint="eastAsia"/>
          <w:b w:val="0"/>
          <w:bCs/>
          <w:sz w:val="28"/>
          <w:szCs w:val="28"/>
          <w:lang w:val="en-US" w:eastAsia="zh-CN"/>
        </w:rPr>
      </w:pPr>
      <w:r>
        <w:rPr>
          <w:rFonts w:hint="eastAsia"/>
          <w:b w:val="0"/>
          <w:bCs/>
          <w:sz w:val="28"/>
          <w:szCs w:val="28"/>
          <w:lang w:val="en-US" w:eastAsia="zh-CN"/>
        </w:rPr>
        <w:br w:type="page"/>
      </w:r>
    </w:p>
    <w:p w14:paraId="6AF56726">
      <w:pPr>
        <w:pStyle w:val="6"/>
        <w:bidi w:val="0"/>
        <w:rPr>
          <w:rFonts w:hint="eastAsia"/>
          <w:lang w:val="en-US" w:eastAsia="zh-CN"/>
        </w:rPr>
      </w:pPr>
      <w:r>
        <w:rPr>
          <w:rFonts w:hint="eastAsia"/>
          <w:lang w:val="en-US" w:eastAsia="zh-CN"/>
        </w:rPr>
        <w:t>3.2.2.5电池间消防系统</w:t>
      </w: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3"/>
        <w:gridCol w:w="1653"/>
        <w:gridCol w:w="5298"/>
        <w:gridCol w:w="617"/>
        <w:gridCol w:w="489"/>
      </w:tblGrid>
      <w:tr w14:paraId="0C9C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71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B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CE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3C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8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5883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7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E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七氟丙烷柜式瓶组（含药剂）</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24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贮存压力2.5+0.1MPa（绝对压力），最大工作压力≥4.2MPa，灭火剂储存容器容积100L，喷射时间≤8s，最大喷射时间≥10s，装置工作电源AC220V 50Hz DC24V，气体储存环境温度0℃～50℃，启动气体氮气(N2)，启动气体充装压力（20℃）6MPa。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含箱体、压力信号器、高压软管、喷嘴、检测压力表。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药剂纯度≥99.6﹪；水份/（mg/kg）≤10；酸度（以HF计）/（mg/kg）≤1；蒸发残留物/﹪≤0.01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3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7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8CC7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46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4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灭火系统标牌</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AD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1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D6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7657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93F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0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泄压口</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9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由窗体、窗叶、开启控制机构和泄压面积控制机构等组成；平时关闭，当发生火情灭火系统释放灭火剂时灭火区域气压升高，泄压装置窗叶内外形成气压差，当达到一定值时即推动窗叶开启，从而维持灭火区域一定的灭火浓度又保护维护结构免遭破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开洞尺寸：400x400，外形尺寸：450x450x80,有效泄压面积：0.12（㎡）；开启压力：1000Pa±50Pa,关闭压力：700Pa±50Pa。</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F3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4D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3E72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8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B0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气体灭火控制器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CC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供电电源：主电AC 220V/50Hz（187V～242V），备电DC24V/5Ah；容量：2个保护区，4个回路，共200个地址点（紧急启停按钮、手自动转换盒、声光警报器、输入/输出模块）；接线方式：无极性二线制；回路长度：报警信号线≤1000米；电磁阀最大驱动电流：8A/24V；环境温度：室内0℃～+40℃，环境湿度：≤95%（40℃±2℃，无凝露）。</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3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7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7798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7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9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感烟探测器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2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电压：DC24V，工作电流：＜300uA(监视）、＜1.5mA（动作）,工作指示：红色指示灯（巡检闪亮、报警常亮；接线方式：无极性两线制（L1/L2)；保护面积：≤80㎡（高度≤12m）；环境温度：-10℃～+55℃，相对湿度：≤95%（40℃±2℃，无凝露）；编码方式：电编码（地址：1～324）。</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C2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EB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1F216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2E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F3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感温探测器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61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电压：DC24V，工作电流：＜300uA(监视）、＜1.5mA（动作）,工作指示：红色指示灯（巡检闪亮、报警常亮）；报警类型：A2类54°～70°；接线方式：无极性两线制（L1/L2)；保护面积：≤30㎡（高度≤8m）；环境温度：-10℃～+55℃，相对湿度：≤95%（40℃±2℃，无凝露）；编码方式：电编码（地址：1～324）。</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4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7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5F81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1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5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放气指示灯</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8B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置于气体护区门上方，发生火灾时，控制器发出联动控制命令，气体释放警报器LED灯红色闪烁，提示人员不得进入灭火场所。具有“放气勿入”红色发光标志，背景为白色，文字高度≥107mm。四线制，气体灭火信号线无极性，24V电源线无极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作电压：总线DC24V；工作电流：总线＜1.5mA(静态）、＜40mA（启动）；闪光频率：1Hz～2Hz，字体亮度：50cd/㎡～300cd/㎡；声压级：75dB～120dB；变调周期：0.2S～5S；接线方式：无极性二线制；环境温度：0℃～+55℃（±3），相对湿度：≤95%（40℃±2℃，无凝露）。</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D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DC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F35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5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A9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编码型火灾声光警报器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2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电压：总线DC24V；工作电流：≤1mA(监视）、≤8mA（动作）；闪光频率：1Hz～1.5Hz；声压等级：80dB～100dB；接线方式：无极性二线制；环境温度：-10℃～+55℃，相对湿度：≤95%（40℃±2℃，无凝露）；编码方式：电编码（地址：1～324）。</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A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E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66A8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78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7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紧急启停按钮</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BE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置于气体护区门外，用于现场紧急启动、停止气体灭火控制设备。紧急启动时，按下“压下喷洒”按钮，此时红灯亮，实现气体灭火启动操作。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工作电压：DC24V（脉冲调制）；工作电流：＜600uA(检测）、＜2mA（动作）；接线方式：无极性两线制；环境温度：室内，-10℃～+55℃，环境湿度：≤95%（40℃±2℃，无凝露）。</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A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23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6F14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BDF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9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手自动转换盒</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D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置于气体护区门外，在系统检修时，现场将系统状态转为手动，避免因误操作导致气体灭火动作。可将现场自身状态发送给气体灭火控制器，显示系统当前运行的手/自动状态。工作电压：DC24V；工作电流：＜1.5mA(手动状态）、＜2mA（自动状态）；尺寸规格：90*90*40.(mm)；接线方式：无极性两线制；环境温度：室内，-10℃～+55℃，环境湿度：≤95%（40℃±2℃，无凝露）。</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E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DF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256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397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D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安全出口指示灯</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1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满足消防许可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3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E6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68EE6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9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BA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电子编码器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3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工作电压：DC5V（DC4.5V-9V）；待机功耗130mW；最大功耗380mW；供电方式4节5#AA镍氢电池或外置电源DC5V。</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C2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FF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bl>
    <w:p w14:paraId="0E76ABA8">
      <w:pPr>
        <w:pStyle w:val="6"/>
        <w:bidi w:val="0"/>
        <w:rPr>
          <w:rFonts w:hint="eastAsia"/>
          <w:lang w:val="en-US" w:eastAsia="zh-CN"/>
        </w:rPr>
      </w:pPr>
      <w:r>
        <w:rPr>
          <w:rFonts w:hint="eastAsia"/>
          <w:lang w:val="en-US" w:eastAsia="zh-CN"/>
        </w:rPr>
        <w:t>3.2.2.6动环监控</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1327"/>
        <w:gridCol w:w="5377"/>
        <w:gridCol w:w="554"/>
        <w:gridCol w:w="656"/>
      </w:tblGrid>
      <w:tr w14:paraId="5F4AE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8E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E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B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DC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F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5D1B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9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F0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配电监测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846E">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1F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5E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3452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2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DC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数据中心配电监测软件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EB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智能设备接入（含发电机、配电柜、UPS、ATS、直流屏、智能PDU、精密空调、新风机、蓄电池监测等）；</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C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A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r>
      <w:tr w14:paraId="688B4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D9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F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UPS监测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5C87">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46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243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2E1C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0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1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数据中心UPS监测软件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014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智能设备接入（含发电机、配电柜、UPS、ATS、直流屏、智能PDU、精密空调、新风机、蓄电池监测等）；</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FB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5C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D7CB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8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F1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空调监测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F0703">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5E4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96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ECCB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C0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C6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数据中心空调监测软件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3C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智能设备接入（含发电机、配电柜、UPS、ATS、直流屏、智能PDU、精密空调、新风机、蓄电池监测等）；</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86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0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7AF57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B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CD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温湿度监测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69FDC">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67E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BE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2C4AE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F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53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温湿度传感器</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3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带LCD显示；温度测量范围：-20℃～70℃，温度误差：&lt;±0.3℃（在25℃时测试）；湿度测量范围：0～100%RH，湿度误差：&lt;±3%RH（在25℃、60%RH时测试）；通信接口：RS485；工作电压：12VDC（10V～30VDC）；</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9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8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r>
      <w:tr w14:paraId="5242D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F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6D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数据中心动环综合监控软件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B22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环境监测设备接入（含温湿度、漏水、红外、各类气体传感器）；</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61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9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r>
      <w:tr w14:paraId="7E9E1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4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0A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漏水监测-不定位漏水</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7748">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FF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FA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31474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A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08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不定位漏水传感器</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9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通过RS485串口进行远程采集，支持标准的Modbus RTU通讯协议，带有1路继电器输出。支持1路最长1500米漏水检测，4档漏水灵敏度可设置，内置蜂鸣器，检测到液体泄漏或断线时可发出声音告警，通过外置按键消除报警蜂鸣声，实现一键消音，具备断线检测功能。</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5C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3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9AB1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B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B1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5米不定位漏水感应线</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E9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5米不定位漏水感应线，芯数：2C+2T；线芯材质：镀锌铁丝；导线材质：≥0.16*7；线缆直径（引出线-漏水线）：4.0mm-6.0mm；线缆颜色：黄色；抗拉力：≥50KG；表面电阻：5Ω/200米。；</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0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D6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28D9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8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AE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防水接线盒</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304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外观尺寸：≥160*160*90mm</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1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7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7C62B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AA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D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数据中心漏水监测软件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E9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环境监测设备接入（含温湿度、漏水、红外、各类气体传感器）；</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49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1B9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5ACF0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8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C2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氢气监测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1E21F">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C2B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3F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491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89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01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氢气传感器</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A4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量程范围：3%LEL-100%LEL；分辨率：1%LEL；测量精度：≤3%FS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预热时间：≤60秒；响应时间：≤30S；采样方式：扩散式；显示：LED数码管显示(四位) ；低报设定值：20%LEL；高报设定值：50%LEL；报警：声光报警，继电器输出报警；指示灯：报警指示灯/故障指示灯/运行指示灯；红外遥控：支持红外遥控功能；输出信号：RS485/4-20mA输出；继电器：无源继电器；输出容量12-220V 2A；工作温湿度：-10℃~55℃;10%~95%RH；安装方式：壁挂管道一体式安装；工作电压：DC 24V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工作功耗：≤1.5W</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D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57C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0848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8B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52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导轨式开关电源</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A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输入：电压范围：85~264VAC或120~373VDC，频率范围：47~63Hz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输出：直流电压：24V，额定电流：≥1.5A，额定功率：36W</w:t>
            </w:r>
            <w:r>
              <w:rPr>
                <w:rFonts w:hint="eastAsia" w:ascii="仿宋" w:hAnsi="仿宋" w:eastAsia="仿宋" w:cs="仿宋"/>
                <w:i w:val="0"/>
                <w:iCs w:val="0"/>
                <w:color w:val="000000"/>
                <w:kern w:val="0"/>
                <w:sz w:val="20"/>
                <w:szCs w:val="20"/>
                <w:u w:val="none"/>
                <w:lang w:val="en-US" w:eastAsia="zh-CN" w:bidi="ar"/>
              </w:rPr>
              <w:br w:type="textWrapping"/>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B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B4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545A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4AA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5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数据中心氢气监测软件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29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环境监测设备接入（含温湿度、漏水、红外、各类气体传感器）；</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F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4E7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76579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1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七</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6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蓄电池监测</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C07B">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D5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60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FDA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4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1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蓄电池组监控主机</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F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无线方式与采集模块通讯，最大接入 360 节，监测4路组电流及1路组电压。支持AC 220V或DC 12V供电，通过485或TCP与动环主机对接，将数据传送给动环存储并查看；</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94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4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74E4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1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8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单体电池采集模块</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7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12V单体采集模块，每节电池配置一个，实时监测单体电池电压、内阻及负极柱温度；需与微模块系统选用同一品牌</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8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26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360</w:t>
            </w:r>
          </w:p>
        </w:tc>
      </w:tr>
      <w:tr w14:paraId="0A0C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0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25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霍尔电流传感器</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E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每组配置1个，监测组电流，量程0~1000A；内孔径 40mm²；</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1A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70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14:paraId="2E3F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23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4C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数据中心蓄电池监测软件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4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智能设备接入（含发电机、配电柜、UPS、ATS、直流屏、智能PDU、精密空调、新风机、蓄电池监测等）；</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61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A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r>
      <w:tr w14:paraId="49DDE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8C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八</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479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视频监控</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0F513">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C8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78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CCD0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1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E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网络摄像机</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6EA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400万 1/2.7"CMOS 红外阵列海螺型网络摄像机；最低照度: 彩色：0.005 Lux @（F1.2, AGC ON），0 Lux with IR；最大图像尺寸: 2560 × 1440；视频压缩标准: 主码流：H.265/H.264；音频: 1个内置麦克风；网络: 1个RJ45 10 M/100 M自适应以太网口；供电方式: DC：12 V ± 25%，支持防反接保护；PoE：802.3af，Class 3；电流及功耗: DC：12 V，0.4 A，最大功耗：5 W；</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01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08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r>
      <w:tr w14:paraId="02E2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36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6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网络硬盘录像机</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F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16路4盘位硬盘录像机，2U机架式4盘位嵌入式网络硬盘录像机，采用短机箱设计，搭载高性能ATX电源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【硬件规格】</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存储接口：4个SATA接口，可满配4TB硬盘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视频接口：2×HDMI，2×VGA</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网络接口：2×RJ45 10/100/1000Mbps自适应以太网口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报警接口：16路报警输入，4路报警输出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串行接口：1路RS-232接口，1路半双工RS-485接口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USB接口：2×USB 2.0，1×USB 3.0</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F2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0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A59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6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47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硬盘</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3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6TB容量，3.5英寸，SATA3.0接口，7200RPM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空气盘， CMR传统磁记录</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传输速率255 MB/s，流畅存储视频有效防止丢帧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高级格式（AF）512e扇区技术，保障硬盘扇区4K对齐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满足数据严苛的7*24小时运行可靠性、安全性的需求</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0B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602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6BEBD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F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8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POE交换机</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AD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提供24个千兆PoE电口、≥2个千兆光口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端口最大供电功率：30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整机最大供电功率：370 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支持管理平台管理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支持安防网络拓扑管理、链路聚合、端口管理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支持PoE输出功率管理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安装方式：机架式</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E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E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5FC3F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5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9E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数据中心视频接入软件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CF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提供视频接入能力；</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6F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D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4489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1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九</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8D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平台层</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88A8F">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5E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F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3FE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6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C9F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短信电话报警模块</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16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电源输入：DC9~27V 或 USB DC 5V；串口：1路RS485、1 路USB；频段：LTE-TDD B34/B38/B39/B40/B41，LTE-FDD B1/B3/B5/B8，GSM/GPRS/EDGE 900/1800 MHZ；过压保护：18V；过流保护：500mA；工作温度：-40°C~85°；工作湿度：5%~95%(无凝结)；</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C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8E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8828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A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79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动环服务器</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52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形态：2U机架式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CPU：国产双路（海光C86/鲲鹏920/飞腾S2500），≥16核</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内存：≥32GB DDR4 ECC（≥8槽位，可扩）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存储：≥2×960GB SSD + ≥4×2TB SATA，支持RAID 0/1/5/6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电源：2×冗余，热插拔</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管理：国产BMC，支持远程KVM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系统：麒麟/统信服务器OS，兼容国产数据库与中间件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认证：信创产品入库、国密、等保三级</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80D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6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1</w:t>
            </w:r>
          </w:p>
        </w:tc>
      </w:tr>
      <w:tr w14:paraId="459D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3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CC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数据中心动环综合监控软件</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F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行动力、环境、安防等设备数据统一采集、分析、管理。可满足全国→园区→楼栋→楼层→房间→设备的监测层级，实时直观显示设备的运行数据和运行状态，体现数据中心楼层房间设备物理布局，可通过点击图标或导航栏快速跳转至指定页面。对于告警设备，在园区、大楼、楼层和机房组态界面上可配置告警颜色或设备闪烁提示，在2.5D组态上能够查询到具体的告警信息；</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F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94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985D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C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81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动环建模</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B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三维模型搭建：采用3D编辑器对楼层房间分布进行1:1比例绘制，并且可以对墙面、地板进行贴图材质的修改；</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76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6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5FF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C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A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汇聚交换机</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1A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交换容量≥8Tbps，包转发率≥2400Mpps；支持VLAN≥4K、STP/RSTP/MSTP、DHCPrelay、IPv4/v6双栈、动态路由协议（如OSPF、BGP）、ECMP、组播功能等；硬件包括≥48个10/25GESFP28接口和≥8个40/100GESFP28接口；满配光模块</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D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C9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r>
      <w:tr w14:paraId="4C65D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0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9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资产可视化模块</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1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产可视化：实现资产设备的虚拟仿真，包括空调、机柜、发电机、配电柜、UPS等独立设备，以及PC服务器、交换机、路由器等架式设备。支持3D场景资产上下架操作，查询、搜索资产功能，并能进行快速定位查询；</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A4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6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595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5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82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微模块接入</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9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微模块接入；</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2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38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48958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4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F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接口模块</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12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南北向接口开发；</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B6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94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bl>
    <w:p w14:paraId="6F1AD29C">
      <w:pPr>
        <w:pStyle w:val="6"/>
        <w:bidi w:val="0"/>
        <w:rPr>
          <w:rFonts w:hint="eastAsia"/>
          <w:lang w:val="en-US" w:eastAsia="zh-CN"/>
        </w:rPr>
      </w:pPr>
      <w:r>
        <w:rPr>
          <w:rFonts w:hint="eastAsia"/>
          <w:lang w:val="en-US" w:eastAsia="zh-CN"/>
        </w:rPr>
        <w:t>3.2.2.7综合布线</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1434"/>
        <w:gridCol w:w="5255"/>
        <w:gridCol w:w="535"/>
        <w:gridCol w:w="689"/>
      </w:tblGrid>
      <w:tr w14:paraId="2C8A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676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A2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95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D37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A2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7365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A1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BB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桥架敷设1</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B0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槽式桥架300*100*1.5mm(机房内接入部分)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6E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F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r>
      <w:tr w14:paraId="2FB80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626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8A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桥架敷设2</w:t>
            </w:r>
          </w:p>
        </w:tc>
        <w:tc>
          <w:tcPr>
            <w:tcW w:w="3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E7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网格桥架300*100(机房内接入部分)，含吊杆、卡扣、连接件等</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C3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4C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r>
      <w:tr w14:paraId="556F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5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5E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六类非屏蔽网线</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7F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产品参照标准ISO/IEC11801, ANSI/TIA-568-C.2六类标准；在Cat.6系统应用中，提供至少250MHz的信道带宽，防火级别为低烟无卤阻燃；支持千兆以太网应用，以及传输速率高达2.4Gbps的局域网协议。骨芯结构：十字骨龙芯，提供更稳定的性能及线缆支撑，可有效防止因线对之间绞距变化带来的性能下降。线芯规格：23AWG无氧铜。每IT柜至配线列头柜配置12电口，配线列头柜间互联24电口，每配线列头柜至ODF间配置24电口，每配线列头柜至接入间配置24电口    </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3F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9E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r>
      <w:tr w14:paraId="4D247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176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CB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6类非屏蔽24口数据配线架</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13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1.六类24口模块化LED智能导航非屏蔽配线架；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2.模块金针厚金区镀金50U；模块带LED指示功能，可以根据LED不同的颜色判定面板内模块、配线架模块和交换机的链接状况；</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3.配线架带有标识系统设计；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4.可插拔1500次以上和大于30次的重复端接，传输速率≥150MHz条件下的传输要求；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5.材料采用ST-12中碳钢，表面厚度为1.6mm。金属粉末涂层框架结实耐用，保护配线架免受腐蚀和刮伤；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6.须符合ISO/IEC11801:2017.TIA-568.2-D等国家通用布线标准，提供具备CMA资质的第三方评测机构测试报告</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74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B1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r>
      <w:tr w14:paraId="3E009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B1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36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1U理线器</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E9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面槽理线架按19英寸机架标准设计，适用于配线架及设备跳线的水平和垂直方向的线缆管理；设计简洁、对于各种线缆提供灵活、有效和安全的管理，使布线系统整洁美观，提供24个管理环；采用滑槽式封闭结构；全金属材质；管理跳线数≥50，满足跳线或交叉线弯曲半径的合理性；</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47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59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r>
      <w:tr w14:paraId="789F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2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8A0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12芯室内多模光缆</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19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12芯室内万兆多模光缆，900μm紧套光纤，纤芯直径：50 ±2.5μm,包层直径：125±2.5μm，支持10Gbps传输最高达150米，芳纶加强元件，符合YD/T 1258.4标准。护套防火级别为低烟无卤阻燃。</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DAC1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482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t>
            </w:r>
          </w:p>
        </w:tc>
      </w:tr>
      <w:tr w14:paraId="7C3B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EB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223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24芯室内多模光缆</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85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24芯室内万兆多模光缆，900μm紧套光纤，纤芯直径：50 ±2.5μm,包层直径：125±2.5μm，支持10Gbps传输最高达150米，芳纶加强元件，符合YD/T 1258.4标准。护套防火级别为低烟无卤阻燃。</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3B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7C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r>
      <w:tr w14:paraId="6D8A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7"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0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3F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24口光纤配线架</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3A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1.1U48芯LC接口光纤配线架；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2.符合ISO/IEC11801:2002Ed2.0等标准；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3.材料采用厚度1.2低碳钢表面磨砂金属粉末涂层不易划伤，整套配备完善丰富的安装熔接安装配件；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4.抽拉式设计优化操作便于安装检查和测试，配线架中自带的尼龙自粘扎带光纤盘绕环可支持多余光纤并保持光纤的弯曲半径，带有2个直径为25MM引入孔便于将光缆引入配线架；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6A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A2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r>
      <w:tr w14:paraId="4C64B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E0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F9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多模单芯光纤尾纤</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2A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1米多模万兆LC尾纤</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2C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D5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1872</w:t>
            </w:r>
          </w:p>
        </w:tc>
      </w:tr>
      <w:tr w14:paraId="45FC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B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9E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光纤熔接</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7936B">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85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芯</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32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1872</w:t>
            </w:r>
          </w:p>
        </w:tc>
      </w:tr>
      <w:tr w14:paraId="06BCE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5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2A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数据跳线</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22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规格：2米六类UTP4对7*0.127机房专用软跳线；2.特点：线径4对7*0.127，只有常规数据跳线的五分之一，可大大节省机柜空间，方便施工和日后维护，对机房高密度解决方案起很大的作用；3.标准：符合ANSI/TIA/EIA568B.2-1.ISO/IEC11801第二版、EN50173-1第二版标准，跳线性能指标完全优于现行六类250MHZ标准；4.结构：跳线内部7*0.127多芯软线结构；PVC护套，符合UL防火标准；跳线尾部采用模具注塑的尾套，RJ45头、护套、线缆一体化，确保多次插拔，以保证产品可靠性；5.测试：跳线100%原装出厂测试；6.要求：多种颜色可供选择，充分满足综合布线系统色彩管理思想；多种长度可供选择，充分满足综合布线系统灵活应用要求；</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07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AC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r>
      <w:tr w14:paraId="26D75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33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AC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光纤跳线1</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97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2米双芯多模万兆光纤跳线</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B2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B6A8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w:t>
            </w:r>
          </w:p>
        </w:tc>
      </w:tr>
      <w:tr w14:paraId="7FDC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1A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8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EB7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光纤跳线2</w:t>
            </w:r>
          </w:p>
        </w:tc>
        <w:tc>
          <w:tcPr>
            <w:tcW w:w="30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20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3米双芯多模万兆光纤跳线</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2F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w:t>
            </w:r>
          </w:p>
        </w:tc>
        <w:tc>
          <w:tcPr>
            <w:tcW w:w="4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1B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r>
    </w:tbl>
    <w:p w14:paraId="17F89AEE">
      <w:pPr>
        <w:pStyle w:val="6"/>
        <w:bidi w:val="0"/>
        <w:rPr>
          <w:rFonts w:hint="eastAsia"/>
          <w:lang w:val="en-US" w:eastAsia="zh-CN"/>
        </w:rPr>
      </w:pPr>
      <w:r>
        <w:rPr>
          <w:rFonts w:hint="eastAsia"/>
          <w:lang w:val="en-US" w:eastAsia="zh-CN"/>
        </w:rPr>
        <w:t>3.2.2.8配套部署</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7"/>
        <w:gridCol w:w="1383"/>
        <w:gridCol w:w="5064"/>
        <w:gridCol w:w="824"/>
        <w:gridCol w:w="664"/>
      </w:tblGrid>
      <w:tr w14:paraId="20B38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3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7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D0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招标技术要求</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C7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25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4C6B7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9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a</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A9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顶面部分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C388">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30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A2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4BB8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7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92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顶面防潮漆处理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9B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天棚顶面防潮涂料、二遍成活</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D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C9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310</w:t>
            </w:r>
          </w:p>
        </w:tc>
      </w:tr>
      <w:tr w14:paraId="03CBE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FB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FB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顶面防尘漆处理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B7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天棚顶面防尘涂料、二遍成活</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B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2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310</w:t>
            </w:r>
          </w:p>
        </w:tc>
      </w:tr>
      <w:tr w14:paraId="3E56B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9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b</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DD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地面部分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B8EF5">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30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CD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163C2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F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E7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地面防潮漆处理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C4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地面防潮涂料、二遍成活</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6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2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14:paraId="567F3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6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B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地面防尘漆处理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975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地面防尘涂料、二遍成活</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4D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DC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w:t>
            </w:r>
          </w:p>
        </w:tc>
      </w:tr>
      <w:tr w14:paraId="4119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D2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7C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散力架1</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BF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房间级精密空调散力架，暂定800*400*200mm，5#槽钢现场制作，具体尺寸以实际选用空调和现场实际情况为准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17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53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9359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5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6D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散力架2</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22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配电柜散力架，800*600*300mm，5#槽钢现场制作，具体高度以现场实际情况为准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53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AA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4D566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6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DD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散力架3</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35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配电柜散力架，800*800*300mm，5#槽钢现场制作，具体高度以现场实际情况为准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F5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2D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8362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7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A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散力架4</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54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配电柜散力架，1000*800*300mm，5#槽钢现场制作，具体高度以现场实际情况为准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59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8E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025FE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40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F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散力架5</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3F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电池组散力架，1500*11300*200mm，8#槽钢现场制作，具体高度以现场实际情况为准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8A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37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7748B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1B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3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空调防水堰</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EA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现场制作，C20混凝土挡水坝浇筑，挡水坝高度≥200 mm，宽度≥100mm，内部混凝土垫高100mm；安装专用地漏或自闭式地漏，防溢、防虫、防臭，防水处理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61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78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r>
      <w:tr w14:paraId="4499E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CB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F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吸盘</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C1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单爪</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21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9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F2EC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A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BD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物流斜坡</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57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4mm厚花纹钢板、L75*5镀锌角钢、L50*5镀锌角钢零星金属构件制作、零星金属构件安装、刷防锈漆2道后再做2道与静电地板近似色的聚脂漆，1mm厚304不锈钢收边条收边；</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2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AB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7E667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3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c</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8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墙面部分</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6029D">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A46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AC2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F48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65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861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砖墙隔断</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0F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200mm加气混凝土砌块墙体，耐火极限≥2小时，含水泥砂浆腻子抹平及白色乳胶漆处理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D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9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r>
      <w:tr w14:paraId="2D6C0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77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62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防火玻璃隔断</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40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成品铝合金边框防火铯钾玻璃隔断，贴雾化摸</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2A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DA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r>
      <w:tr w14:paraId="7C07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6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1F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防火玻璃门</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B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成品铝合金边框防火铯钾玻璃双开门，尺寸≥1500*2200mm,依据现场实际定制，贴雾化摸；具备消防认证标识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6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9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748A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C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2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不锈钢踢脚线</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F7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高80mm,0.8拉丝不锈钢+细木工板基层</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1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12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r>
      <w:tr w14:paraId="351B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65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0E9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甲级钢制防火双开门</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B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耐火时间≥2H，含闭门器、顺位器、防火门锁等五金配件，尺寸≥1500*2300mm；具备消防认证标识</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6B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扇</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6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0F07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07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d</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E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其他</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EAECB">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仿宋" w:hAnsi="仿宋" w:eastAsia="仿宋" w:cs="仿宋"/>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A6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A62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14:paraId="06A3B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B7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8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备件柜</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E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喷塑钢制储物柜，≥800*600*1600，双开门</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36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2C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0674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C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6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隐蔽密闭工程</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82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桥架，线管等机房出入口防火封堵</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F8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C7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8399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E4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F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自动灭火装置</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95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七氟丙烷自动灭火装置，自动感温，自动灭火；≥15KG灭火剂</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33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CF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0B3FE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736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09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铜管</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C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空调冷媒链接铜管</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9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DCC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1060</w:t>
            </w:r>
          </w:p>
        </w:tc>
      </w:tr>
      <w:tr w14:paraId="6D04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9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B6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空调补水</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3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含Φ50、Φ32、Φ20热水型UPVC管材、阀门、过滤器、保温、支架等（自二层水表间补水接入）</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52B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8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4402F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10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3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空调排水</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694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含Φ32、Φ50PPR热水型管材、T型自动密封式地漏、保温、支架等</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B91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1A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789A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1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8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85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新风主机</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A2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送风量≥1000m³/h</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B4B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44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4634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0B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6B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排风主机</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BC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排风量≥800m³/h</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D3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B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86BA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06C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E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新排风机管道</w:t>
            </w:r>
          </w:p>
        </w:tc>
        <w:tc>
          <w:tcPr>
            <w:tcW w:w="2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892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配套新风、排风风管、防火阀、散流器</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23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78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bl>
    <w:p w14:paraId="1B41A791">
      <w:pPr>
        <w:pStyle w:val="6"/>
        <w:bidi w:val="0"/>
        <w:rPr>
          <w:rFonts w:hint="eastAsia"/>
          <w:lang w:val="en-US" w:eastAsia="zh-CN"/>
        </w:rPr>
      </w:pPr>
      <w:r>
        <w:rPr>
          <w:rFonts w:hint="eastAsia"/>
          <w:lang w:val="en-US" w:eastAsia="zh-CN"/>
        </w:rPr>
        <w:t>3.2.2.9服务器设备</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3"/>
        <w:gridCol w:w="1116"/>
        <w:gridCol w:w="4847"/>
        <w:gridCol w:w="913"/>
        <w:gridCol w:w="913"/>
      </w:tblGrid>
      <w:tr w14:paraId="1F544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1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20BB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65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9A23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设备名称</w:t>
            </w:r>
          </w:p>
        </w:tc>
        <w:tc>
          <w:tcPr>
            <w:tcW w:w="28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BEC7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技术规格</w:t>
            </w:r>
          </w:p>
        </w:tc>
        <w:tc>
          <w:tcPr>
            <w:tcW w:w="5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33F03">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5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B257E">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5B2B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1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E3E9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w:t>
            </w:r>
          </w:p>
        </w:tc>
        <w:tc>
          <w:tcPr>
            <w:tcW w:w="3510"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43301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800KVA UPS（高密区）</w:t>
            </w:r>
          </w:p>
        </w:tc>
        <w:tc>
          <w:tcPr>
            <w:tcW w:w="5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0C97F">
            <w:pPr>
              <w:jc w:val="center"/>
              <w:rPr>
                <w:rFonts w:hint="eastAsia" w:ascii="仿宋" w:hAnsi="仿宋" w:eastAsia="仿宋" w:cs="仿宋"/>
                <w:b/>
                <w:bCs/>
                <w:i w:val="0"/>
                <w:iCs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8DCD80">
            <w:pPr>
              <w:jc w:val="center"/>
              <w:rPr>
                <w:rFonts w:hint="eastAsia" w:ascii="仿宋" w:hAnsi="仿宋" w:eastAsia="仿宋" w:cs="仿宋"/>
                <w:b/>
                <w:bCs/>
                <w:i w:val="0"/>
                <w:iCs w:val="0"/>
                <w:color w:val="000000"/>
                <w:sz w:val="20"/>
                <w:szCs w:val="20"/>
                <w:u w:val="none"/>
              </w:rPr>
            </w:pPr>
          </w:p>
        </w:tc>
      </w:tr>
      <w:tr w14:paraId="1EC2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AB95">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3E8E">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算力服务器</w:t>
            </w:r>
          </w:p>
        </w:tc>
        <w:tc>
          <w:tcPr>
            <w:tcW w:w="2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F987">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1.设备高度不超过4U空间，可提供算力≥2.24 P FLOPS FP16；</w:t>
            </w:r>
          </w:p>
          <w:p w14:paraId="6DE7EAA9">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2.CPU：配置≥4颗通用</w:t>
            </w:r>
            <w:r>
              <w:rPr>
                <w:rFonts w:hint="eastAsia" w:ascii="仿宋" w:hAnsi="仿宋" w:eastAsia="仿宋" w:cs="仿宋"/>
                <w:i w:val="0"/>
                <w:iCs w:val="0"/>
                <w:color w:val="000000"/>
                <w:sz w:val="20"/>
                <w:szCs w:val="20"/>
                <w:u w:val="none"/>
                <w:lang w:val="en-US" w:eastAsia="zh-CN"/>
              </w:rPr>
              <w:t>国产</w:t>
            </w:r>
            <w:r>
              <w:rPr>
                <w:rFonts w:hint="eastAsia" w:ascii="仿宋" w:hAnsi="仿宋" w:eastAsia="仿宋" w:cs="仿宋"/>
                <w:i w:val="0"/>
                <w:iCs w:val="0"/>
                <w:color w:val="000000"/>
                <w:sz w:val="20"/>
                <w:szCs w:val="20"/>
                <w:u w:val="none"/>
              </w:rPr>
              <w:t>计算处理器,单颗CPU主频≥2.6GHz，单颗CPU核数≥48核，处理器符合安全可靠测评结果，提供截图证明材料；</w:t>
            </w:r>
          </w:p>
          <w:p w14:paraId="596AE03B">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3.内存：配置≥16根32GB DDR4内存条，支持DDR4  RDIMM内存插槽，内存槽位≥32个，频率 ≥2933MHz ；</w:t>
            </w:r>
          </w:p>
          <w:p w14:paraId="2C0B70ED">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4.硬盘：配置≥2*480G SATA  SSD硬盘，≥2*3.84TB NVMe SSD硬盘；</w:t>
            </w:r>
          </w:p>
          <w:p w14:paraId="7190AB9B">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5.</w:t>
            </w:r>
            <w:r>
              <w:rPr>
                <w:rFonts w:hint="eastAsia" w:ascii="仿宋" w:hAnsi="仿宋" w:eastAsia="仿宋" w:cs="仿宋"/>
                <w:i w:val="0"/>
                <w:iCs w:val="0"/>
                <w:color w:val="000000"/>
                <w:kern w:val="0"/>
                <w:sz w:val="20"/>
                <w:szCs w:val="20"/>
                <w:u w:val="none"/>
                <w:lang w:val="en-US" w:eastAsia="zh-CN" w:bidi="ar"/>
              </w:rPr>
              <w:t>△</w:t>
            </w:r>
            <w:r>
              <w:rPr>
                <w:rFonts w:hint="eastAsia" w:ascii="仿宋" w:hAnsi="仿宋" w:eastAsia="仿宋" w:cs="仿宋"/>
                <w:i w:val="0"/>
                <w:iCs w:val="0"/>
                <w:color w:val="000000"/>
                <w:sz w:val="20"/>
                <w:szCs w:val="20"/>
                <w:u w:val="none"/>
              </w:rPr>
              <w:t>AI处理器：配置8颗国产AI处理器，单颗AI处理器提供</w:t>
            </w:r>
            <w:r>
              <w:rPr>
                <w:rFonts w:hint="eastAsia" w:ascii="仿宋" w:hAnsi="仿宋" w:eastAsia="仿宋" w:cs="仿宋"/>
                <w:i w:val="0"/>
                <w:iCs w:val="0"/>
                <w:color w:val="000000"/>
                <w:sz w:val="20"/>
                <w:szCs w:val="20"/>
                <w:u w:val="none"/>
                <w:lang w:eastAsia="zh-CN"/>
              </w:rPr>
              <w:t>≥</w:t>
            </w:r>
            <w:r>
              <w:rPr>
                <w:rFonts w:hint="eastAsia" w:ascii="仿宋" w:hAnsi="仿宋" w:eastAsia="仿宋" w:cs="仿宋"/>
                <w:i w:val="0"/>
                <w:iCs w:val="0"/>
                <w:color w:val="000000"/>
                <w:sz w:val="20"/>
                <w:szCs w:val="20"/>
                <w:u w:val="none"/>
              </w:rPr>
              <w:t>64GB 显存，FP16峰值算力≥280 TFLOPS，AI处理器间支持全互联，AI处理器间互联带宽≥392GB/s，提供证明材料；</w:t>
            </w:r>
          </w:p>
          <w:p w14:paraId="5F81323F">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6.网卡：AI处理器支持直出200G 网口（提供证明材料），支持4*GE板载电口，配置≥4个25GE网口(含模块)，≥8个200GE网口(含模块);</w:t>
            </w:r>
          </w:p>
          <w:p w14:paraId="1BA945D0">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7.RAID卡：配置≥1*RAID卡，支持RAID 0/1/10/5/50/6/60；</w:t>
            </w:r>
          </w:p>
          <w:p w14:paraId="1147532E">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8.扩展槽：支持扩展PCIe 4.0槽位；</w:t>
            </w:r>
          </w:p>
          <w:p w14:paraId="2F6DD906">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9.其它接口：支持配置≥1*VGA接口，≥2*RJ45(串口+管理网口)，≥2*USB3.0接口；</w:t>
            </w:r>
          </w:p>
          <w:p w14:paraId="002CBCE2">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10.风扇：配置8*冗余风扇，支持风扇热插拔,支持单风扇失效；</w:t>
            </w:r>
          </w:p>
          <w:p w14:paraId="580F0178">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11.CPU、AI处理器使用国产自研芯片，提供官方证明材料；</w:t>
            </w:r>
          </w:p>
          <w:p w14:paraId="6EB9372B">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12.服务器管理系统支持国产自研管理芯片，提供官方证明材料；</w:t>
            </w:r>
          </w:p>
          <w:p w14:paraId="1731685F">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13.电源：满配冗余热插拔电源，并提供配套的电源连接线，配置4*热插拔2600W交流电源模块，支持2+2冗余；</w:t>
            </w:r>
          </w:p>
          <w:p w14:paraId="1FED4C2F">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14.质保期:要求设备为原厂3年维保，3年硬盘不返还服务；</w:t>
            </w:r>
          </w:p>
          <w:p w14:paraId="5E732F2C">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15.为确保及时供货，投标人需要承诺中标结果公示之日起5个工作日内提供满足招标人要求的服务器厂商和CPU、AI芯片厂商优先保障供货函。</w:t>
            </w:r>
          </w:p>
          <w:p w14:paraId="092EABC4">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16.满足绿色数据中心</w:t>
            </w:r>
            <w:r>
              <w:rPr>
                <w:rFonts w:hint="eastAsia" w:ascii="仿宋" w:hAnsi="仿宋" w:eastAsia="仿宋" w:cs="仿宋"/>
                <w:i w:val="0"/>
                <w:iCs w:val="0"/>
                <w:color w:val="000000"/>
                <w:sz w:val="20"/>
                <w:szCs w:val="20"/>
                <w:u w:val="none"/>
              </w:rPr>
              <w:t>服务器技术指标要求</w:t>
            </w:r>
            <w:r>
              <w:rPr>
                <w:rFonts w:hint="eastAsia" w:ascii="仿宋" w:hAnsi="仿宋" w:eastAsia="仿宋" w:cs="仿宋"/>
                <w:i w:val="0"/>
                <w:iCs w:val="0"/>
                <w:color w:val="000000"/>
                <w:sz w:val="20"/>
                <w:szCs w:val="20"/>
                <w:u w:val="none"/>
                <w:lang w:eastAsia="zh-CN"/>
              </w:rPr>
              <w:t>（</w:t>
            </w:r>
            <w:r>
              <w:rPr>
                <w:rFonts w:hint="eastAsia" w:ascii="仿宋" w:hAnsi="仿宋" w:eastAsia="仿宋" w:cs="仿宋"/>
                <w:i w:val="0"/>
                <w:iCs w:val="0"/>
                <w:color w:val="000000"/>
                <w:sz w:val="20"/>
                <w:szCs w:val="20"/>
                <w:u w:val="none"/>
                <w:lang w:val="en-US" w:eastAsia="zh-CN"/>
              </w:rPr>
              <w:t>详见3.2.2.10</w:t>
            </w:r>
            <w:r>
              <w:rPr>
                <w:rFonts w:hint="eastAsia" w:ascii="仿宋" w:hAnsi="仿宋" w:eastAsia="仿宋" w:cs="仿宋"/>
                <w:i w:val="0"/>
                <w:iCs w:val="0"/>
                <w:color w:val="000000"/>
                <w:sz w:val="20"/>
                <w:szCs w:val="20"/>
                <w:u w:val="none"/>
                <w:lang w:eastAsia="zh-CN"/>
              </w:rPr>
              <w:t>）</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741A">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4CAB">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14:paraId="39810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B646">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4F851">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交换机</w:t>
            </w:r>
          </w:p>
        </w:tc>
        <w:tc>
          <w:tcPr>
            <w:tcW w:w="2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01FEF">
            <w:pPr>
              <w:keepNext w:val="0"/>
              <w:keepLines w:val="0"/>
              <w:widowControl/>
              <w:suppressLineNumbers w:val="0"/>
              <w:spacing w:line="240" w:lineRule="auto"/>
              <w:ind w:firstLine="0" w:firstLineChars="0"/>
              <w:jc w:val="left"/>
              <w:textAlignment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 xml:space="preserve">1、△整机性能：交换容量≥4.8Tbps，包转发率≥2000Mpps。配置要求：实配≥48个万兆光端口，≥8个100GE QSFP28口；实配冗余电源、冗余风扇，配置≥48个万兆光模块，≥4个40G光模块，1根40G堆叠线缆。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2、二层功能：支持802.1Q（VLAN），数目不小于4k；支持802.1ad（QinQ），支持基于端口、协议、IP子网、MAC地址VLAN划分，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3、三层功能：支持IPv4静态路由、RIP、OSPF、ISISv4及加密、BGP及加密；支持IPv6静态路由、RIPng、OSPFv3及加密、ISISv6及加密、BGP4+及加密，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4、虚拟化：支持集群或堆叠多虚一技术，实现单一界面管理多台设备，支持跨框链路聚合（M-LAG)，M-Lag 支持 VXLAN，M-LAG 支持三层组播，</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5、VxLAN：支持VXLAN over IPv6，支持IPv6 VXLAN over IPv4，支持VxLAN OAM: VxLAN ping, VxLAN tracert，支持BGP EVPN协议，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6、国产化要求：采用国产自主可控核心设备，采用国产化芯片。作为网络关键设备，要求CPU芯片入围中国信息安全测评中心公布的安全可靠测评结果公告，提供中国信息安全测评中心官网截图证明。</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w:t>
            </w:r>
            <w:r>
              <w:rPr>
                <w:rFonts w:hint="eastAsia" w:ascii="仿宋" w:hAnsi="仿宋" w:eastAsia="仿宋" w:cs="仿宋"/>
                <w:i w:val="0"/>
                <w:iCs w:val="0"/>
                <w:color w:val="000000"/>
                <w:sz w:val="20"/>
                <w:szCs w:val="20"/>
                <w:u w:val="none"/>
                <w:lang w:val="en-US" w:eastAsia="zh-CN"/>
              </w:rPr>
              <w:t>满足绿色数据中心</w:t>
            </w:r>
            <w:r>
              <w:rPr>
                <w:rFonts w:hint="eastAsia" w:ascii="仿宋" w:hAnsi="仿宋" w:eastAsia="仿宋" w:cs="仿宋"/>
                <w:i w:val="0"/>
                <w:iCs w:val="0"/>
                <w:color w:val="000000"/>
                <w:sz w:val="20"/>
                <w:szCs w:val="20"/>
                <w:u w:val="none"/>
              </w:rPr>
              <w:t>以太网交换机技术指标要求</w:t>
            </w:r>
            <w:r>
              <w:rPr>
                <w:rFonts w:hint="eastAsia" w:ascii="仿宋" w:hAnsi="仿宋" w:eastAsia="仿宋" w:cs="仿宋"/>
                <w:i w:val="0"/>
                <w:iCs w:val="0"/>
                <w:color w:val="000000"/>
                <w:sz w:val="20"/>
                <w:szCs w:val="20"/>
                <w:u w:val="none"/>
                <w:lang w:eastAsia="zh-CN"/>
              </w:rPr>
              <w:t>（</w:t>
            </w:r>
            <w:r>
              <w:rPr>
                <w:rFonts w:hint="eastAsia" w:ascii="仿宋" w:hAnsi="仿宋" w:eastAsia="仿宋" w:cs="仿宋"/>
                <w:i w:val="0"/>
                <w:iCs w:val="0"/>
                <w:color w:val="000000"/>
                <w:sz w:val="20"/>
                <w:szCs w:val="20"/>
                <w:u w:val="none"/>
                <w:lang w:val="en-US" w:eastAsia="zh-CN"/>
              </w:rPr>
              <w:t>详见3.2.2.11</w:t>
            </w:r>
            <w:r>
              <w:rPr>
                <w:rFonts w:hint="eastAsia" w:ascii="仿宋" w:hAnsi="仿宋" w:eastAsia="仿宋" w:cs="仿宋"/>
                <w:i w:val="0"/>
                <w:iCs w:val="0"/>
                <w:color w:val="000000"/>
                <w:sz w:val="20"/>
                <w:szCs w:val="20"/>
                <w:u w:val="none"/>
                <w:lang w:eastAsia="zh-CN"/>
              </w:rPr>
              <w:t>）</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FA03">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4E52">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bl>
    <w:p w14:paraId="7AA6F2FC">
      <w:pPr>
        <w:pStyle w:val="6"/>
        <w:bidi w:val="0"/>
        <w:rPr>
          <w:rFonts w:hint="eastAsia"/>
          <w:lang w:val="en-US" w:eastAsia="zh-CN"/>
        </w:rPr>
      </w:pPr>
      <w:r>
        <w:rPr>
          <w:rFonts w:hint="eastAsia"/>
          <w:b w:val="0"/>
          <w:bCs/>
          <w:sz w:val="28"/>
          <w:szCs w:val="28"/>
          <w:lang w:val="en-US" w:eastAsia="zh-CN"/>
        </w:rPr>
        <w:br w:type="page"/>
      </w:r>
      <w:r>
        <w:rPr>
          <w:rFonts w:hint="eastAsia"/>
          <w:lang w:val="en-US" w:eastAsia="zh-CN"/>
        </w:rPr>
        <w:t>3.2.2.10绿色数据中心服务器技术指标要求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426"/>
        <w:gridCol w:w="1689"/>
        <w:gridCol w:w="1269"/>
        <w:gridCol w:w="1687"/>
        <w:gridCol w:w="2808"/>
      </w:tblGrid>
      <w:tr w14:paraId="3916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shd w:val="clear" w:color="auto" w:fill="auto"/>
          </w:tcPr>
          <w:p w14:paraId="12A4D817">
            <w:pPr>
              <w:spacing w:line="276" w:lineRule="auto"/>
              <w:jc w:val="center"/>
              <w:rPr>
                <w:rFonts w:ascii="Times New Roman" w:hAnsi="Times New Roman"/>
                <w:color w:val="000000" w:themeColor="text1"/>
                <w:szCs w:val="21"/>
                <w:highlight w:val="none"/>
                <w14:textFill>
                  <w14:solidFill>
                    <w14:schemeClr w14:val="tx1"/>
                  </w14:solidFill>
                </w14:textFill>
              </w:rPr>
            </w:pPr>
          </w:p>
        </w:tc>
        <w:tc>
          <w:tcPr>
            <w:tcW w:w="0" w:type="auto"/>
            <w:gridSpan w:val="3"/>
            <w:shd w:val="clear" w:color="auto" w:fill="D8D8D8"/>
            <w:vAlign w:val="center"/>
          </w:tcPr>
          <w:p w14:paraId="6D5D3E3A">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指标</w:t>
            </w:r>
          </w:p>
        </w:tc>
        <w:tc>
          <w:tcPr>
            <w:tcW w:w="1687" w:type="dxa"/>
            <w:shd w:val="clear" w:color="auto" w:fill="D8D8D8"/>
            <w:vAlign w:val="center"/>
          </w:tcPr>
          <w:p w14:paraId="63FA64AD">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限制值</w:t>
            </w:r>
          </w:p>
        </w:tc>
        <w:tc>
          <w:tcPr>
            <w:tcW w:w="2808" w:type="dxa"/>
            <w:shd w:val="clear" w:color="auto" w:fill="D8D8D8"/>
            <w:vAlign w:val="center"/>
          </w:tcPr>
          <w:p w14:paraId="03E22563">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判定依据</w:t>
            </w:r>
            <w:r>
              <w:rPr>
                <w:rFonts w:ascii="Times New Roman" w:hAnsi="Times New Roman"/>
                <w:color w:val="000000" w:themeColor="text1"/>
                <w:szCs w:val="21"/>
                <w:highlight w:val="none"/>
                <w14:textFill>
                  <w14:solidFill>
                    <w14:schemeClr w14:val="tx1"/>
                  </w14:solidFill>
                </w14:textFill>
              </w:rPr>
              <w:t>/</w:t>
            </w:r>
            <w:r>
              <w:rPr>
                <w:rFonts w:hint="eastAsia" w:ascii="Times New Roman" w:hAnsi="Times New Roman"/>
                <w:color w:val="000000" w:themeColor="text1"/>
                <w:szCs w:val="21"/>
                <w:highlight w:val="none"/>
                <w14:textFill>
                  <w14:solidFill>
                    <w14:schemeClr w14:val="tx1"/>
                  </w14:solidFill>
                </w14:textFill>
              </w:rPr>
              <w:t>方法</w:t>
            </w:r>
          </w:p>
        </w:tc>
      </w:tr>
      <w:tr w14:paraId="27E6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17" w:type="dxa"/>
            <w:shd w:val="clear" w:color="auto" w:fill="auto"/>
            <w:vAlign w:val="center"/>
          </w:tcPr>
          <w:p w14:paraId="5C2499BB">
            <w:pPr>
              <w:spacing w:line="276" w:lineRule="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c>
          <w:tcPr>
            <w:tcW w:w="3384" w:type="dxa"/>
            <w:gridSpan w:val="3"/>
            <w:shd w:val="clear" w:color="auto" w:fill="auto"/>
            <w:vAlign w:val="center"/>
          </w:tcPr>
          <w:p w14:paraId="05E27181">
            <w:pPr>
              <w:spacing w:line="276" w:lineRule="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产品可再生利用率</w:t>
            </w:r>
          </w:p>
        </w:tc>
        <w:tc>
          <w:tcPr>
            <w:tcW w:w="1687" w:type="dxa"/>
            <w:shd w:val="clear" w:color="auto" w:fill="auto"/>
            <w:vAlign w:val="center"/>
          </w:tcPr>
          <w:p w14:paraId="2CDA666F">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80%</w:t>
            </w:r>
          </w:p>
        </w:tc>
        <w:tc>
          <w:tcPr>
            <w:tcW w:w="2808" w:type="dxa"/>
            <w:shd w:val="clear" w:color="auto" w:fill="auto"/>
            <w:vAlign w:val="center"/>
          </w:tcPr>
          <w:p w14:paraId="6ED88DA4">
            <w:pPr>
              <w:spacing w:line="276" w:lineRule="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18"/>
                <w:highlight w:val="none"/>
                <w:lang w:eastAsia="zh-CN"/>
                <w14:textFill>
                  <w14:solidFill>
                    <w14:schemeClr w14:val="tx1"/>
                  </w14:solidFill>
                </w14:textFill>
              </w:rPr>
              <w:t>根据</w:t>
            </w:r>
            <w:r>
              <w:rPr>
                <w:rFonts w:ascii="Times New Roman" w:hAnsi="Times New Roman"/>
                <w:color w:val="000000" w:themeColor="text1"/>
                <w:kern w:val="0"/>
                <w:szCs w:val="18"/>
                <w:highlight w:val="none"/>
                <w14:textFill>
                  <w14:solidFill>
                    <w14:schemeClr w14:val="tx1"/>
                  </w14:solidFill>
                </w14:textFill>
              </w:rPr>
              <w:t>GB/T 32355.2</w:t>
            </w:r>
            <w:r>
              <w:rPr>
                <w:rFonts w:hint="eastAsia" w:ascii="Times New Roman" w:hAnsi="Times New Roman"/>
                <w:color w:val="000000" w:themeColor="text1"/>
                <w:kern w:val="0"/>
                <w:szCs w:val="18"/>
                <w:highlight w:val="none"/>
                <w14:textFill>
                  <w14:solidFill>
                    <w14:schemeClr w14:val="tx1"/>
                  </w14:solidFill>
                </w14:textFill>
              </w:rPr>
              <w:t>及附录</w:t>
            </w:r>
            <w:r>
              <w:rPr>
                <w:rFonts w:ascii="Times New Roman" w:hAnsi="Times New Roman"/>
                <w:color w:val="000000" w:themeColor="text1"/>
                <w:kern w:val="0"/>
                <w:szCs w:val="18"/>
                <w:highlight w:val="none"/>
                <w14:textFill>
                  <w14:solidFill>
                    <w14:schemeClr w14:val="tx1"/>
                  </w14:solidFill>
                </w14:textFill>
              </w:rPr>
              <w:t>C</w:t>
            </w:r>
            <w:r>
              <w:rPr>
                <w:rFonts w:hint="eastAsia" w:ascii="Times New Roman" w:hAnsi="Times New Roman"/>
                <w:color w:val="000000" w:themeColor="text1"/>
                <w:kern w:val="0"/>
                <w:szCs w:val="18"/>
                <w:highlight w:val="none"/>
                <w14:textFill>
                  <w14:solidFill>
                    <w14:schemeClr w14:val="tx1"/>
                  </w14:solidFill>
                </w14:textFill>
              </w:rPr>
              <w:t>要求</w:t>
            </w:r>
            <w:r>
              <w:rPr>
                <w:rFonts w:hint="eastAsia" w:ascii="Times New Roman" w:hAnsi="Times New Roman"/>
                <w:color w:val="000000" w:themeColor="text1"/>
                <w:kern w:val="0"/>
                <w:szCs w:val="18"/>
                <w:highlight w:val="none"/>
                <w:lang w:eastAsia="zh-CN"/>
                <w14:textFill>
                  <w14:solidFill>
                    <w14:schemeClr w14:val="tx1"/>
                  </w14:solidFill>
                </w14:textFill>
              </w:rPr>
              <w:t>进行判定</w:t>
            </w:r>
          </w:p>
        </w:tc>
      </w:tr>
      <w:tr w14:paraId="3A4D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restart"/>
            <w:shd w:val="clear" w:color="auto" w:fill="auto"/>
            <w:vAlign w:val="center"/>
          </w:tcPr>
          <w:p w14:paraId="7456A561">
            <w:pPr>
              <w:spacing w:line="276" w:lineRule="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w:t>
            </w:r>
          </w:p>
        </w:tc>
        <w:tc>
          <w:tcPr>
            <w:tcW w:w="426" w:type="dxa"/>
            <w:vMerge w:val="restart"/>
            <w:shd w:val="clear" w:color="auto" w:fill="auto"/>
            <w:vAlign w:val="center"/>
          </w:tcPr>
          <w:p w14:paraId="7E7CFC61">
            <w:pPr>
              <w:spacing w:line="276" w:lineRule="auto"/>
              <w:rPr>
                <w:rFonts w:ascii="Times New Roman" w:hAns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供电模块效率</w:t>
            </w:r>
          </w:p>
        </w:tc>
        <w:tc>
          <w:tcPr>
            <w:tcW w:w="1689" w:type="dxa"/>
            <w:vMerge w:val="restart"/>
            <w:shd w:val="clear" w:color="auto" w:fill="auto"/>
            <w:vAlign w:val="center"/>
          </w:tcPr>
          <w:p w14:paraId="42DC390D">
            <w:pPr>
              <w:spacing w:line="276" w:lineRule="auto"/>
              <w:rPr>
                <w:rFonts w:ascii="Times New Roman" w:hAns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20%</w:t>
            </w:r>
            <w:r>
              <w:rPr>
                <w:rFonts w:hint="eastAsia" w:ascii="Times New Roman" w:hAnsi="Times New Roman"/>
                <w:color w:val="000000" w:themeColor="text1"/>
                <w:kern w:val="0"/>
                <w:szCs w:val="21"/>
                <w:highlight w:val="none"/>
                <w14:textFill>
                  <w14:solidFill>
                    <w14:schemeClr w14:val="tx1"/>
                  </w14:solidFill>
                </w14:textFill>
              </w:rPr>
              <w:t>负载率</w:t>
            </w:r>
          </w:p>
        </w:tc>
        <w:tc>
          <w:tcPr>
            <w:tcW w:w="1269" w:type="dxa"/>
            <w:shd w:val="clear" w:color="auto" w:fill="auto"/>
            <w:vAlign w:val="center"/>
          </w:tcPr>
          <w:p w14:paraId="0DE56BFD">
            <w:pPr>
              <w:spacing w:line="276" w:lineRule="auto"/>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电源效率</w:t>
            </w:r>
          </w:p>
        </w:tc>
        <w:tc>
          <w:tcPr>
            <w:tcW w:w="1687" w:type="dxa"/>
            <w:shd w:val="clear" w:color="auto" w:fill="auto"/>
            <w:vAlign w:val="center"/>
          </w:tcPr>
          <w:p w14:paraId="0A954F10">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90%</w:t>
            </w:r>
          </w:p>
        </w:tc>
        <w:tc>
          <w:tcPr>
            <w:tcW w:w="2808" w:type="dxa"/>
            <w:vMerge w:val="restart"/>
            <w:shd w:val="clear" w:color="auto" w:fill="auto"/>
            <w:vAlign w:val="center"/>
          </w:tcPr>
          <w:p w14:paraId="745B514A">
            <w:pPr>
              <w:spacing w:line="276" w:lineRule="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kern w:val="0"/>
                <w:szCs w:val="18"/>
                <w:highlight w:val="none"/>
                <w14:textFill>
                  <w14:solidFill>
                    <w14:schemeClr w14:val="tx1"/>
                  </w14:solidFill>
                </w14:textFill>
              </w:rPr>
              <w:t>检测方法</w:t>
            </w:r>
            <w:r>
              <w:rPr>
                <w:rFonts w:hint="eastAsia" w:ascii="Times New Roman" w:hAnsi="Times New Roman"/>
                <w:color w:val="000000" w:themeColor="text1"/>
                <w:kern w:val="0"/>
                <w:szCs w:val="18"/>
                <w:highlight w:val="none"/>
                <w:lang w:eastAsia="zh-CN"/>
                <w14:textFill>
                  <w14:solidFill>
                    <w14:schemeClr w14:val="tx1"/>
                  </w14:solidFill>
                </w14:textFill>
              </w:rPr>
              <w:t>按照</w:t>
            </w:r>
            <w:r>
              <w:rPr>
                <w:rFonts w:ascii="Times New Roman" w:hAnsi="Times New Roman"/>
                <w:color w:val="000000" w:themeColor="text1"/>
                <w:kern w:val="0"/>
                <w:szCs w:val="18"/>
                <w:highlight w:val="none"/>
                <w14:textFill>
                  <w14:solidFill>
                    <w14:schemeClr w14:val="tx1"/>
                  </w14:solidFill>
                </w14:textFill>
              </w:rPr>
              <w:t>HJ 2507</w:t>
            </w:r>
            <w:r>
              <w:rPr>
                <w:rFonts w:hint="eastAsia" w:ascii="Times New Roman" w:hAnsi="Times New Roman"/>
                <w:color w:val="000000" w:themeColor="text1"/>
                <w:kern w:val="0"/>
                <w:szCs w:val="18"/>
                <w:highlight w:val="none"/>
                <w14:textFill>
                  <w14:solidFill>
                    <w14:schemeClr w14:val="tx1"/>
                  </w14:solidFill>
                </w14:textFill>
              </w:rPr>
              <w:t>附录</w:t>
            </w:r>
            <w:r>
              <w:rPr>
                <w:rFonts w:ascii="Times New Roman" w:hAnsi="Times New Roman"/>
                <w:color w:val="000000" w:themeColor="text1"/>
                <w:kern w:val="0"/>
                <w:szCs w:val="18"/>
                <w:highlight w:val="none"/>
                <w14:textFill>
                  <w14:solidFill>
                    <w14:schemeClr w14:val="tx1"/>
                  </w14:solidFill>
                </w14:textFill>
              </w:rPr>
              <w:t>B</w:t>
            </w:r>
            <w:r>
              <w:rPr>
                <w:rFonts w:hint="eastAsia" w:ascii="Times New Roman" w:hAnsi="Times New Roman"/>
                <w:color w:val="000000" w:themeColor="text1"/>
                <w:kern w:val="0"/>
                <w:szCs w:val="18"/>
                <w:highlight w:val="none"/>
                <w14:textFill>
                  <w14:solidFill>
                    <w14:schemeClr w14:val="tx1"/>
                  </w14:solidFill>
                </w14:textFill>
              </w:rPr>
              <w:t>要求</w:t>
            </w:r>
            <w:r>
              <w:rPr>
                <w:rFonts w:hint="eastAsia" w:ascii="Times New Roman" w:hAnsi="Times New Roman"/>
                <w:color w:val="000000" w:themeColor="text1"/>
                <w:kern w:val="0"/>
                <w:szCs w:val="18"/>
                <w:highlight w:val="none"/>
                <w:lang w:eastAsia="zh-CN"/>
                <w14:textFill>
                  <w14:solidFill>
                    <w14:schemeClr w14:val="tx1"/>
                  </w14:solidFill>
                </w14:textFill>
              </w:rPr>
              <w:t>执行</w:t>
            </w:r>
          </w:p>
        </w:tc>
      </w:tr>
      <w:tr w14:paraId="5D93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continue"/>
            <w:shd w:val="clear" w:color="auto" w:fill="auto"/>
            <w:vAlign w:val="center"/>
          </w:tcPr>
          <w:p w14:paraId="691B1058">
            <w:pPr>
              <w:spacing w:line="276" w:lineRule="auto"/>
              <w:rPr>
                <w:rFonts w:ascii="Times New Roman" w:hAnsi="Times New Roman"/>
                <w:color w:val="000000" w:themeColor="text1"/>
                <w:szCs w:val="21"/>
                <w:highlight w:val="none"/>
                <w14:textFill>
                  <w14:solidFill>
                    <w14:schemeClr w14:val="tx1"/>
                  </w14:solidFill>
                </w14:textFill>
              </w:rPr>
            </w:pPr>
          </w:p>
        </w:tc>
        <w:tc>
          <w:tcPr>
            <w:tcW w:w="426" w:type="dxa"/>
            <w:vMerge w:val="continue"/>
            <w:shd w:val="clear" w:color="auto" w:fill="auto"/>
            <w:vAlign w:val="center"/>
          </w:tcPr>
          <w:p w14:paraId="0E1F4854">
            <w:pPr>
              <w:spacing w:line="276" w:lineRule="auto"/>
              <w:rPr>
                <w:rFonts w:ascii="Times New Roman"/>
                <w:color w:val="000000" w:themeColor="text1"/>
                <w:szCs w:val="21"/>
                <w:highlight w:val="none"/>
                <w14:textFill>
                  <w14:solidFill>
                    <w14:schemeClr w14:val="tx1"/>
                  </w14:solidFill>
                </w14:textFill>
              </w:rPr>
            </w:pPr>
          </w:p>
        </w:tc>
        <w:tc>
          <w:tcPr>
            <w:tcW w:w="1689" w:type="dxa"/>
            <w:vMerge w:val="continue"/>
            <w:shd w:val="clear" w:color="auto" w:fill="auto"/>
            <w:vAlign w:val="center"/>
          </w:tcPr>
          <w:p w14:paraId="4161CEDF">
            <w:pPr>
              <w:spacing w:line="276" w:lineRule="auto"/>
              <w:rPr>
                <w:rFonts w:ascii="Times New Roman"/>
                <w:color w:val="000000" w:themeColor="text1"/>
                <w:szCs w:val="21"/>
                <w:highlight w:val="none"/>
                <w14:textFill>
                  <w14:solidFill>
                    <w14:schemeClr w14:val="tx1"/>
                  </w14:solidFill>
                </w14:textFill>
              </w:rPr>
            </w:pPr>
          </w:p>
        </w:tc>
        <w:tc>
          <w:tcPr>
            <w:tcW w:w="1269" w:type="dxa"/>
            <w:shd w:val="clear" w:color="auto" w:fill="auto"/>
            <w:vAlign w:val="center"/>
          </w:tcPr>
          <w:p w14:paraId="54E6C542">
            <w:pPr>
              <w:spacing w:line="276" w:lineRule="auto"/>
              <w:rPr>
                <w:rFonts w:asci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功率因数（</w:t>
            </w:r>
            <w:r>
              <w:rPr>
                <w:rFonts w:ascii="Times New Roman" w:hAnsi="Times New Roman"/>
                <w:color w:val="000000" w:themeColor="text1"/>
                <w:kern w:val="0"/>
                <w:szCs w:val="21"/>
                <w:highlight w:val="none"/>
                <w14:textFill>
                  <w14:solidFill>
                    <w14:schemeClr w14:val="tx1"/>
                  </w14:solidFill>
                </w14:textFill>
              </w:rPr>
              <w:t>PF</w:t>
            </w:r>
            <w:r>
              <w:rPr>
                <w:rFonts w:hint="eastAsia" w:ascii="Times New Roman" w:hAnsi="Times New Roman"/>
                <w:color w:val="000000" w:themeColor="text1"/>
                <w:kern w:val="0"/>
                <w:szCs w:val="21"/>
                <w:highlight w:val="none"/>
                <w14:textFill>
                  <w14:solidFill>
                    <w14:schemeClr w14:val="tx1"/>
                  </w14:solidFill>
                </w14:textFill>
              </w:rPr>
              <w:t>）</w:t>
            </w:r>
          </w:p>
        </w:tc>
        <w:tc>
          <w:tcPr>
            <w:tcW w:w="1687" w:type="dxa"/>
            <w:shd w:val="clear" w:color="auto" w:fill="auto"/>
            <w:vAlign w:val="center"/>
          </w:tcPr>
          <w:p w14:paraId="212DD213">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0.95</w:t>
            </w:r>
          </w:p>
        </w:tc>
        <w:tc>
          <w:tcPr>
            <w:tcW w:w="2808" w:type="dxa"/>
            <w:vMerge w:val="continue"/>
            <w:shd w:val="clear" w:color="auto" w:fill="auto"/>
            <w:vAlign w:val="center"/>
          </w:tcPr>
          <w:p w14:paraId="08CCC5F4">
            <w:pPr>
              <w:spacing w:line="276" w:lineRule="auto"/>
              <w:rPr>
                <w:rFonts w:ascii="Times New Roman" w:hAnsi="Times New Roman"/>
                <w:color w:val="000000" w:themeColor="text1"/>
                <w:szCs w:val="21"/>
                <w:highlight w:val="none"/>
                <w14:textFill>
                  <w14:solidFill>
                    <w14:schemeClr w14:val="tx1"/>
                  </w14:solidFill>
                </w14:textFill>
              </w:rPr>
            </w:pPr>
          </w:p>
        </w:tc>
      </w:tr>
      <w:tr w14:paraId="7087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continue"/>
            <w:shd w:val="clear" w:color="auto" w:fill="auto"/>
            <w:vAlign w:val="center"/>
          </w:tcPr>
          <w:p w14:paraId="0257FF3F">
            <w:pPr>
              <w:spacing w:line="276" w:lineRule="auto"/>
              <w:rPr>
                <w:rFonts w:ascii="Times New Roman" w:hAnsi="Times New Roman"/>
                <w:color w:val="000000" w:themeColor="text1"/>
                <w:szCs w:val="21"/>
                <w:highlight w:val="none"/>
                <w14:textFill>
                  <w14:solidFill>
                    <w14:schemeClr w14:val="tx1"/>
                  </w14:solidFill>
                </w14:textFill>
              </w:rPr>
            </w:pPr>
          </w:p>
        </w:tc>
        <w:tc>
          <w:tcPr>
            <w:tcW w:w="426" w:type="dxa"/>
            <w:vMerge w:val="continue"/>
            <w:shd w:val="clear" w:color="auto" w:fill="auto"/>
            <w:vAlign w:val="center"/>
          </w:tcPr>
          <w:p w14:paraId="5BAAD134">
            <w:pPr>
              <w:spacing w:line="276" w:lineRule="auto"/>
              <w:rPr>
                <w:rFonts w:ascii="Times New Roman"/>
                <w:color w:val="000000" w:themeColor="text1"/>
                <w:szCs w:val="21"/>
                <w:highlight w:val="none"/>
                <w14:textFill>
                  <w14:solidFill>
                    <w14:schemeClr w14:val="tx1"/>
                  </w14:solidFill>
                </w14:textFill>
              </w:rPr>
            </w:pPr>
          </w:p>
        </w:tc>
        <w:tc>
          <w:tcPr>
            <w:tcW w:w="1689" w:type="dxa"/>
            <w:vMerge w:val="restart"/>
            <w:shd w:val="clear" w:color="auto" w:fill="auto"/>
            <w:vAlign w:val="center"/>
          </w:tcPr>
          <w:p w14:paraId="46E23866">
            <w:pPr>
              <w:spacing w:line="276" w:lineRule="auto"/>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50%</w:t>
            </w:r>
            <w:r>
              <w:rPr>
                <w:rFonts w:hint="eastAsia" w:ascii="Times New Roman" w:hAnsi="Times New Roman"/>
                <w:color w:val="000000" w:themeColor="text1"/>
                <w:kern w:val="0"/>
                <w:szCs w:val="21"/>
                <w:highlight w:val="none"/>
                <w14:textFill>
                  <w14:solidFill>
                    <w14:schemeClr w14:val="tx1"/>
                  </w14:solidFill>
                </w14:textFill>
              </w:rPr>
              <w:t>负载率</w:t>
            </w:r>
          </w:p>
        </w:tc>
        <w:tc>
          <w:tcPr>
            <w:tcW w:w="1269" w:type="dxa"/>
            <w:shd w:val="clear" w:color="auto" w:fill="auto"/>
            <w:vAlign w:val="center"/>
          </w:tcPr>
          <w:p w14:paraId="68412FB7">
            <w:pPr>
              <w:spacing w:line="276" w:lineRule="auto"/>
              <w:rPr>
                <w:rFonts w:asci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电源效率</w:t>
            </w:r>
          </w:p>
        </w:tc>
        <w:tc>
          <w:tcPr>
            <w:tcW w:w="1687" w:type="dxa"/>
            <w:shd w:val="clear" w:color="auto" w:fill="auto"/>
            <w:vAlign w:val="center"/>
          </w:tcPr>
          <w:p w14:paraId="2E2AABC1">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94%</w:t>
            </w:r>
          </w:p>
        </w:tc>
        <w:tc>
          <w:tcPr>
            <w:tcW w:w="2808" w:type="dxa"/>
            <w:vMerge w:val="continue"/>
            <w:shd w:val="clear" w:color="auto" w:fill="auto"/>
            <w:vAlign w:val="center"/>
          </w:tcPr>
          <w:p w14:paraId="02EB9438">
            <w:pPr>
              <w:spacing w:line="276" w:lineRule="auto"/>
              <w:rPr>
                <w:rFonts w:ascii="Times New Roman" w:hAnsi="Times New Roman"/>
                <w:color w:val="000000" w:themeColor="text1"/>
                <w:szCs w:val="21"/>
                <w:highlight w:val="none"/>
                <w14:textFill>
                  <w14:solidFill>
                    <w14:schemeClr w14:val="tx1"/>
                  </w14:solidFill>
                </w14:textFill>
              </w:rPr>
            </w:pPr>
          </w:p>
        </w:tc>
      </w:tr>
      <w:tr w14:paraId="537E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continue"/>
            <w:shd w:val="clear" w:color="auto" w:fill="auto"/>
            <w:vAlign w:val="center"/>
          </w:tcPr>
          <w:p w14:paraId="074603E3">
            <w:pPr>
              <w:spacing w:line="276" w:lineRule="auto"/>
              <w:rPr>
                <w:rFonts w:ascii="Times New Roman" w:hAnsi="Times New Roman"/>
                <w:color w:val="000000" w:themeColor="text1"/>
                <w:szCs w:val="21"/>
                <w:highlight w:val="none"/>
                <w14:textFill>
                  <w14:solidFill>
                    <w14:schemeClr w14:val="tx1"/>
                  </w14:solidFill>
                </w14:textFill>
              </w:rPr>
            </w:pPr>
          </w:p>
        </w:tc>
        <w:tc>
          <w:tcPr>
            <w:tcW w:w="426" w:type="dxa"/>
            <w:vMerge w:val="continue"/>
            <w:shd w:val="clear" w:color="auto" w:fill="auto"/>
            <w:vAlign w:val="center"/>
          </w:tcPr>
          <w:p w14:paraId="24D6DF93">
            <w:pPr>
              <w:spacing w:line="276" w:lineRule="auto"/>
              <w:rPr>
                <w:rFonts w:ascii="Times New Roman"/>
                <w:color w:val="000000" w:themeColor="text1"/>
                <w:szCs w:val="21"/>
                <w:highlight w:val="none"/>
                <w14:textFill>
                  <w14:solidFill>
                    <w14:schemeClr w14:val="tx1"/>
                  </w14:solidFill>
                </w14:textFill>
              </w:rPr>
            </w:pPr>
          </w:p>
        </w:tc>
        <w:tc>
          <w:tcPr>
            <w:tcW w:w="1689" w:type="dxa"/>
            <w:vMerge w:val="continue"/>
            <w:shd w:val="clear" w:color="auto" w:fill="auto"/>
            <w:vAlign w:val="center"/>
          </w:tcPr>
          <w:p w14:paraId="7E5A1B2D">
            <w:pPr>
              <w:spacing w:line="276" w:lineRule="auto"/>
              <w:rPr>
                <w:rFonts w:ascii="Times New Roman"/>
                <w:color w:val="000000" w:themeColor="text1"/>
                <w:szCs w:val="21"/>
                <w:highlight w:val="none"/>
                <w14:textFill>
                  <w14:solidFill>
                    <w14:schemeClr w14:val="tx1"/>
                  </w14:solidFill>
                </w14:textFill>
              </w:rPr>
            </w:pPr>
          </w:p>
        </w:tc>
        <w:tc>
          <w:tcPr>
            <w:tcW w:w="1269" w:type="dxa"/>
            <w:shd w:val="clear" w:color="auto" w:fill="auto"/>
            <w:vAlign w:val="center"/>
          </w:tcPr>
          <w:p w14:paraId="0E415DE1">
            <w:pPr>
              <w:spacing w:line="276" w:lineRule="auto"/>
              <w:rPr>
                <w:rFonts w:asci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功率因数（</w:t>
            </w:r>
            <w:r>
              <w:rPr>
                <w:rFonts w:ascii="Times New Roman" w:hAnsi="Times New Roman"/>
                <w:color w:val="000000" w:themeColor="text1"/>
                <w:kern w:val="0"/>
                <w:szCs w:val="21"/>
                <w:highlight w:val="none"/>
                <w14:textFill>
                  <w14:solidFill>
                    <w14:schemeClr w14:val="tx1"/>
                  </w14:solidFill>
                </w14:textFill>
              </w:rPr>
              <w:t>PF</w:t>
            </w:r>
            <w:r>
              <w:rPr>
                <w:rFonts w:hint="eastAsia" w:ascii="Times New Roman" w:hAnsi="Times New Roman"/>
                <w:color w:val="000000" w:themeColor="text1"/>
                <w:kern w:val="0"/>
                <w:szCs w:val="21"/>
                <w:highlight w:val="none"/>
                <w14:textFill>
                  <w14:solidFill>
                    <w14:schemeClr w14:val="tx1"/>
                  </w14:solidFill>
                </w14:textFill>
              </w:rPr>
              <w:t>）</w:t>
            </w:r>
          </w:p>
        </w:tc>
        <w:tc>
          <w:tcPr>
            <w:tcW w:w="1687" w:type="dxa"/>
            <w:shd w:val="clear" w:color="auto" w:fill="auto"/>
            <w:vAlign w:val="center"/>
          </w:tcPr>
          <w:p w14:paraId="7C7DD2E2">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0.95</w:t>
            </w:r>
          </w:p>
        </w:tc>
        <w:tc>
          <w:tcPr>
            <w:tcW w:w="2808" w:type="dxa"/>
            <w:vMerge w:val="continue"/>
            <w:shd w:val="clear" w:color="auto" w:fill="auto"/>
            <w:vAlign w:val="center"/>
          </w:tcPr>
          <w:p w14:paraId="5557CF18">
            <w:pPr>
              <w:spacing w:line="276" w:lineRule="auto"/>
              <w:rPr>
                <w:rFonts w:ascii="Times New Roman" w:hAnsi="Times New Roman"/>
                <w:color w:val="000000" w:themeColor="text1"/>
                <w:szCs w:val="21"/>
                <w:highlight w:val="none"/>
                <w14:textFill>
                  <w14:solidFill>
                    <w14:schemeClr w14:val="tx1"/>
                  </w14:solidFill>
                </w14:textFill>
              </w:rPr>
            </w:pPr>
          </w:p>
        </w:tc>
      </w:tr>
      <w:tr w14:paraId="6C74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continue"/>
            <w:shd w:val="clear" w:color="auto" w:fill="auto"/>
            <w:vAlign w:val="center"/>
          </w:tcPr>
          <w:p w14:paraId="22CBCB1D">
            <w:pPr>
              <w:spacing w:line="276" w:lineRule="auto"/>
              <w:rPr>
                <w:rFonts w:ascii="Times New Roman" w:hAnsi="Times New Roman"/>
                <w:color w:val="000000" w:themeColor="text1"/>
                <w:szCs w:val="21"/>
                <w:highlight w:val="none"/>
                <w14:textFill>
                  <w14:solidFill>
                    <w14:schemeClr w14:val="tx1"/>
                  </w14:solidFill>
                </w14:textFill>
              </w:rPr>
            </w:pPr>
          </w:p>
        </w:tc>
        <w:tc>
          <w:tcPr>
            <w:tcW w:w="426" w:type="dxa"/>
            <w:vMerge w:val="continue"/>
            <w:shd w:val="clear" w:color="auto" w:fill="auto"/>
            <w:vAlign w:val="center"/>
          </w:tcPr>
          <w:p w14:paraId="156B2D77">
            <w:pPr>
              <w:spacing w:line="276" w:lineRule="auto"/>
              <w:rPr>
                <w:rFonts w:ascii="Times New Roman"/>
                <w:color w:val="000000" w:themeColor="text1"/>
                <w:szCs w:val="21"/>
                <w:highlight w:val="none"/>
                <w14:textFill>
                  <w14:solidFill>
                    <w14:schemeClr w14:val="tx1"/>
                  </w14:solidFill>
                </w14:textFill>
              </w:rPr>
            </w:pPr>
          </w:p>
        </w:tc>
        <w:tc>
          <w:tcPr>
            <w:tcW w:w="1689" w:type="dxa"/>
            <w:vMerge w:val="restart"/>
            <w:shd w:val="clear" w:color="auto" w:fill="auto"/>
            <w:vAlign w:val="center"/>
          </w:tcPr>
          <w:p w14:paraId="0ED43B47">
            <w:pPr>
              <w:spacing w:line="276" w:lineRule="auto"/>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100%</w:t>
            </w:r>
            <w:r>
              <w:rPr>
                <w:rFonts w:hint="eastAsia" w:ascii="Times New Roman" w:hAnsi="Times New Roman"/>
                <w:color w:val="000000" w:themeColor="text1"/>
                <w:kern w:val="0"/>
                <w:szCs w:val="21"/>
                <w:highlight w:val="none"/>
                <w14:textFill>
                  <w14:solidFill>
                    <w14:schemeClr w14:val="tx1"/>
                  </w14:solidFill>
                </w14:textFill>
              </w:rPr>
              <w:t>负载率</w:t>
            </w:r>
          </w:p>
        </w:tc>
        <w:tc>
          <w:tcPr>
            <w:tcW w:w="1269" w:type="dxa"/>
            <w:shd w:val="clear" w:color="auto" w:fill="auto"/>
            <w:vAlign w:val="center"/>
          </w:tcPr>
          <w:p w14:paraId="787B2BF5">
            <w:pPr>
              <w:spacing w:line="276" w:lineRule="auto"/>
              <w:rPr>
                <w:rFonts w:asci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电源效率</w:t>
            </w:r>
          </w:p>
        </w:tc>
        <w:tc>
          <w:tcPr>
            <w:tcW w:w="1687" w:type="dxa"/>
            <w:shd w:val="clear" w:color="auto" w:fill="auto"/>
            <w:vAlign w:val="center"/>
          </w:tcPr>
          <w:p w14:paraId="14C859DA">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91%</w:t>
            </w:r>
          </w:p>
        </w:tc>
        <w:tc>
          <w:tcPr>
            <w:tcW w:w="2808" w:type="dxa"/>
            <w:vMerge w:val="continue"/>
            <w:shd w:val="clear" w:color="auto" w:fill="auto"/>
            <w:vAlign w:val="center"/>
          </w:tcPr>
          <w:p w14:paraId="6C0988C9">
            <w:pPr>
              <w:spacing w:line="276" w:lineRule="auto"/>
              <w:rPr>
                <w:rFonts w:ascii="Times New Roman" w:hAnsi="Times New Roman"/>
                <w:color w:val="000000" w:themeColor="text1"/>
                <w:szCs w:val="21"/>
                <w:highlight w:val="none"/>
                <w14:textFill>
                  <w14:solidFill>
                    <w14:schemeClr w14:val="tx1"/>
                  </w14:solidFill>
                </w14:textFill>
              </w:rPr>
            </w:pPr>
          </w:p>
        </w:tc>
      </w:tr>
      <w:tr w14:paraId="5B9C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17" w:type="dxa"/>
            <w:vMerge w:val="continue"/>
            <w:shd w:val="clear" w:color="auto" w:fill="auto"/>
            <w:vAlign w:val="center"/>
          </w:tcPr>
          <w:p w14:paraId="53572B06">
            <w:pPr>
              <w:spacing w:line="276" w:lineRule="auto"/>
              <w:rPr>
                <w:rFonts w:ascii="Times New Roman" w:hAnsi="Times New Roman"/>
                <w:color w:val="000000" w:themeColor="text1"/>
                <w:szCs w:val="21"/>
                <w:highlight w:val="none"/>
                <w14:textFill>
                  <w14:solidFill>
                    <w14:schemeClr w14:val="tx1"/>
                  </w14:solidFill>
                </w14:textFill>
              </w:rPr>
            </w:pPr>
          </w:p>
        </w:tc>
        <w:tc>
          <w:tcPr>
            <w:tcW w:w="426" w:type="dxa"/>
            <w:vMerge w:val="continue"/>
            <w:shd w:val="clear" w:color="auto" w:fill="auto"/>
            <w:vAlign w:val="center"/>
          </w:tcPr>
          <w:p w14:paraId="1D3B9519">
            <w:pPr>
              <w:spacing w:line="276" w:lineRule="auto"/>
              <w:rPr>
                <w:rFonts w:ascii="Times New Roman"/>
                <w:color w:val="000000" w:themeColor="text1"/>
                <w:szCs w:val="21"/>
                <w:highlight w:val="none"/>
                <w14:textFill>
                  <w14:solidFill>
                    <w14:schemeClr w14:val="tx1"/>
                  </w14:solidFill>
                </w14:textFill>
              </w:rPr>
            </w:pPr>
          </w:p>
        </w:tc>
        <w:tc>
          <w:tcPr>
            <w:tcW w:w="1689" w:type="dxa"/>
            <w:vMerge w:val="continue"/>
            <w:shd w:val="clear" w:color="auto" w:fill="auto"/>
            <w:vAlign w:val="center"/>
          </w:tcPr>
          <w:p w14:paraId="7F752880">
            <w:pPr>
              <w:spacing w:line="276" w:lineRule="auto"/>
              <w:rPr>
                <w:rFonts w:ascii="Times New Roman"/>
                <w:color w:val="000000" w:themeColor="text1"/>
                <w:szCs w:val="21"/>
                <w:highlight w:val="none"/>
                <w14:textFill>
                  <w14:solidFill>
                    <w14:schemeClr w14:val="tx1"/>
                  </w14:solidFill>
                </w14:textFill>
              </w:rPr>
            </w:pPr>
          </w:p>
        </w:tc>
        <w:tc>
          <w:tcPr>
            <w:tcW w:w="1269" w:type="dxa"/>
            <w:shd w:val="clear" w:color="auto" w:fill="auto"/>
            <w:vAlign w:val="center"/>
          </w:tcPr>
          <w:p w14:paraId="4FA9CD01">
            <w:pPr>
              <w:spacing w:line="276" w:lineRule="auto"/>
              <w:rPr>
                <w:rFonts w:ascii="Times New Roman"/>
                <w:color w:val="000000" w:themeColor="text1"/>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功率因数（</w:t>
            </w:r>
            <w:r>
              <w:rPr>
                <w:rFonts w:ascii="Times New Roman" w:hAnsi="Times New Roman"/>
                <w:color w:val="000000" w:themeColor="text1"/>
                <w:kern w:val="0"/>
                <w:szCs w:val="21"/>
                <w:highlight w:val="none"/>
                <w14:textFill>
                  <w14:solidFill>
                    <w14:schemeClr w14:val="tx1"/>
                  </w14:solidFill>
                </w14:textFill>
              </w:rPr>
              <w:t>PF</w:t>
            </w:r>
            <w:r>
              <w:rPr>
                <w:rFonts w:hint="eastAsia" w:ascii="Times New Roman" w:hAnsi="Times New Roman"/>
                <w:color w:val="000000" w:themeColor="text1"/>
                <w:kern w:val="0"/>
                <w:szCs w:val="21"/>
                <w:highlight w:val="none"/>
                <w14:textFill>
                  <w14:solidFill>
                    <w14:schemeClr w14:val="tx1"/>
                  </w14:solidFill>
                </w14:textFill>
              </w:rPr>
              <w:t>）</w:t>
            </w:r>
          </w:p>
        </w:tc>
        <w:tc>
          <w:tcPr>
            <w:tcW w:w="1687" w:type="dxa"/>
            <w:shd w:val="clear" w:color="auto" w:fill="auto"/>
            <w:vAlign w:val="center"/>
          </w:tcPr>
          <w:p w14:paraId="78EDC23C">
            <w:pPr>
              <w:spacing w:line="276" w:lineRule="auto"/>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0.95</w:t>
            </w:r>
          </w:p>
        </w:tc>
        <w:tc>
          <w:tcPr>
            <w:tcW w:w="2808" w:type="dxa"/>
            <w:vMerge w:val="continue"/>
            <w:shd w:val="clear" w:color="auto" w:fill="auto"/>
            <w:vAlign w:val="center"/>
          </w:tcPr>
          <w:p w14:paraId="5D8528F8">
            <w:pPr>
              <w:spacing w:line="276" w:lineRule="auto"/>
              <w:rPr>
                <w:rFonts w:ascii="Times New Roman" w:hAnsi="Times New Roman"/>
                <w:color w:val="000000" w:themeColor="text1"/>
                <w:szCs w:val="21"/>
                <w:highlight w:val="none"/>
                <w14:textFill>
                  <w14:solidFill>
                    <w14:schemeClr w14:val="tx1"/>
                  </w14:solidFill>
                </w14:textFill>
              </w:rPr>
            </w:pPr>
          </w:p>
        </w:tc>
      </w:tr>
    </w:tbl>
    <w:p w14:paraId="1622FD54">
      <w:pPr>
        <w:pStyle w:val="6"/>
        <w:bidi w:val="0"/>
        <w:rPr>
          <w:rFonts w:hint="eastAsia"/>
          <w:lang w:val="en-US" w:eastAsia="zh-CN"/>
        </w:rPr>
      </w:pPr>
      <w:r>
        <w:rPr>
          <w:rFonts w:hint="eastAsia"/>
          <w:lang w:val="en-US" w:eastAsia="zh-CN"/>
        </w:rPr>
        <w:t>3.2.2.11绿色数据中心以太网交换机技术指标要求</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2190"/>
        <w:gridCol w:w="18"/>
        <w:gridCol w:w="1684"/>
        <w:gridCol w:w="1266"/>
        <w:gridCol w:w="2672"/>
      </w:tblGrid>
      <w:tr w14:paraId="4733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shd w:val="clear" w:color="auto" w:fill="auto"/>
            <w:vAlign w:val="center"/>
          </w:tcPr>
          <w:p w14:paraId="66C3B1D9">
            <w:pPr>
              <w:pStyle w:val="96"/>
              <w:spacing w:after="0" w:line="276" w:lineRule="auto"/>
              <w:ind w:left="0" w:right="153" w:firstLine="0" w:firstLineChars="0"/>
              <w:rPr>
                <w:color w:val="000000" w:themeColor="text1"/>
                <w14:textFill>
                  <w14:solidFill>
                    <w14:schemeClr w14:val="tx1"/>
                  </w14:solidFill>
                </w14:textFill>
              </w:rPr>
            </w:pPr>
          </w:p>
        </w:tc>
        <w:tc>
          <w:tcPr>
            <w:tcW w:w="3892" w:type="dxa"/>
            <w:gridSpan w:val="3"/>
            <w:shd w:val="clear" w:color="auto" w:fill="D8D8D8"/>
            <w:vAlign w:val="center"/>
          </w:tcPr>
          <w:p w14:paraId="5483369F">
            <w:pPr>
              <w:pStyle w:val="96"/>
              <w:spacing w:after="0" w:line="276" w:lineRule="auto"/>
              <w:ind w:left="0" w:right="153" w:firstLine="0" w:firstLineChars="0"/>
              <w:jc w:val="center"/>
              <w:rPr>
                <w:color w:val="000000" w:themeColor="text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指标</w:t>
            </w:r>
          </w:p>
        </w:tc>
        <w:tc>
          <w:tcPr>
            <w:tcW w:w="1266" w:type="dxa"/>
            <w:shd w:val="clear" w:color="auto" w:fill="D8D8D8"/>
            <w:vAlign w:val="center"/>
          </w:tcPr>
          <w:p w14:paraId="35942DE4">
            <w:pPr>
              <w:pStyle w:val="96"/>
              <w:spacing w:after="0" w:line="276" w:lineRule="auto"/>
              <w:ind w:left="0" w:right="153"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限制值</w:t>
            </w:r>
          </w:p>
        </w:tc>
        <w:tc>
          <w:tcPr>
            <w:tcW w:w="2672" w:type="dxa"/>
            <w:shd w:val="clear" w:color="auto" w:fill="D8D8D8"/>
            <w:vAlign w:val="center"/>
          </w:tcPr>
          <w:p w14:paraId="00250C5B">
            <w:pPr>
              <w:pStyle w:val="96"/>
              <w:spacing w:after="0" w:line="276" w:lineRule="auto"/>
              <w:ind w:left="0" w:right="153"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判定依据</w:t>
            </w:r>
            <w:r>
              <w:rPr>
                <w:rFonts w:ascii="Times New Roman" w:hAnsi="Times New Roman" w:cs="Times New Roman"/>
                <w:color w:val="000000" w:themeColor="text1"/>
                <w:kern w:val="0"/>
                <w:sz w:val="21"/>
                <w:szCs w:val="21"/>
                <w14:textFill>
                  <w14:solidFill>
                    <w14:schemeClr w14:val="tx1"/>
                  </w14:solidFill>
                </w14:textFill>
              </w:rPr>
              <w:t>/</w:t>
            </w:r>
            <w:r>
              <w:rPr>
                <w:rFonts w:hint="eastAsia" w:ascii="Times New Roman" w:hAnsi="Times New Roman" w:cs="Times New Roman"/>
                <w:color w:val="000000" w:themeColor="text1"/>
                <w:kern w:val="0"/>
                <w:sz w:val="21"/>
                <w:szCs w:val="21"/>
                <w14:textFill>
                  <w14:solidFill>
                    <w14:schemeClr w14:val="tx1"/>
                  </w14:solidFill>
                </w14:textFill>
              </w:rPr>
              <w:t>方法</w:t>
            </w:r>
          </w:p>
        </w:tc>
      </w:tr>
      <w:tr w14:paraId="0B0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shd w:val="clear" w:color="auto" w:fill="auto"/>
            <w:vAlign w:val="center"/>
          </w:tcPr>
          <w:p w14:paraId="028C343F">
            <w:pPr>
              <w:pStyle w:val="96"/>
              <w:spacing w:after="0" w:line="276" w:lineRule="auto"/>
              <w:ind w:left="0" w:right="153"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3892" w:type="dxa"/>
            <w:gridSpan w:val="3"/>
            <w:shd w:val="clear" w:color="auto" w:fill="auto"/>
            <w:vAlign w:val="center"/>
          </w:tcPr>
          <w:p w14:paraId="72835B05">
            <w:pPr>
              <w:pStyle w:val="96"/>
              <w:spacing w:after="0" w:line="276" w:lineRule="auto"/>
              <w:ind w:left="0" w:right="153" w:firstLine="0" w:firstLineChars="0"/>
              <w:rPr>
                <w:color w:val="000000" w:themeColor="text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固定端口以太网交换机能效比值（</w:t>
            </w:r>
            <w:r>
              <w:rPr>
                <w:rFonts w:ascii="Times New Roman" w:hAnsi="Times New Roman" w:cs="Times New Roman"/>
                <w:color w:val="000000" w:themeColor="text1"/>
                <w:kern w:val="0"/>
                <w:sz w:val="21"/>
                <w:szCs w:val="21"/>
                <w14:textFill>
                  <w14:solidFill>
                    <w14:schemeClr w14:val="tx1"/>
                  </w14:solidFill>
                </w14:textFill>
              </w:rPr>
              <w:t>TEER</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1266" w:type="dxa"/>
            <w:shd w:val="clear" w:color="auto" w:fill="auto"/>
            <w:vAlign w:val="center"/>
          </w:tcPr>
          <w:p w14:paraId="2CD58E70">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300</w:t>
            </w:r>
          </w:p>
        </w:tc>
        <w:tc>
          <w:tcPr>
            <w:tcW w:w="2672" w:type="dxa"/>
            <w:shd w:val="clear" w:color="auto" w:fill="auto"/>
            <w:vAlign w:val="center"/>
          </w:tcPr>
          <w:p w14:paraId="550FAED9">
            <w:pPr>
              <w:spacing w:line="276" w:lineRule="auto"/>
              <w:rPr>
                <w:rFonts w:ascii="Times New Roman" w:hAnsi="Times New Roman"/>
                <w:color w:val="000000" w:themeColor="text1"/>
                <w:kern w:val="0"/>
                <w:szCs w:val="18"/>
                <w14:textFill>
                  <w14:solidFill>
                    <w14:schemeClr w14:val="tx1"/>
                  </w14:solidFill>
                </w14:textFill>
              </w:rPr>
            </w:pPr>
            <w:r>
              <w:rPr>
                <w:rFonts w:hint="eastAsia" w:ascii="Times New Roman" w:hAnsi="Times New Roman"/>
                <w:color w:val="000000" w:themeColor="text1"/>
                <w:kern w:val="0"/>
                <w:szCs w:val="18"/>
                <w14:textFill>
                  <w14:solidFill>
                    <w14:schemeClr w14:val="tx1"/>
                  </w14:solidFill>
                </w14:textFill>
              </w:rPr>
              <w:t>检测方法依据附录</w:t>
            </w:r>
            <w:r>
              <w:rPr>
                <w:rFonts w:ascii="Times New Roman" w:hAnsi="Times New Roman"/>
                <w:color w:val="000000" w:themeColor="text1"/>
                <w:kern w:val="0"/>
                <w:szCs w:val="18"/>
                <w14:textFill>
                  <w14:solidFill>
                    <w14:schemeClr w14:val="tx1"/>
                  </w14:solidFill>
                </w14:textFill>
              </w:rPr>
              <w:t>E</w:t>
            </w:r>
            <w:r>
              <w:rPr>
                <w:rFonts w:hint="eastAsia" w:ascii="Times New Roman" w:hAnsi="Times New Roman"/>
                <w:color w:val="000000" w:themeColor="text1"/>
                <w:kern w:val="0"/>
                <w:szCs w:val="21"/>
                <w14:textFill>
                  <w14:solidFill>
                    <w14:schemeClr w14:val="tx1"/>
                  </w14:solidFill>
                </w14:textFill>
              </w:rPr>
              <w:t>中</w:t>
            </w:r>
            <w:r>
              <w:rPr>
                <w:rFonts w:hint="eastAsia" w:ascii="Times New Roman" w:hAnsi="Times New Roman"/>
                <w:color w:val="000000" w:themeColor="text1"/>
                <w:kern w:val="0"/>
                <w:szCs w:val="18"/>
                <w14:textFill>
                  <w14:solidFill>
                    <w14:schemeClr w14:val="tx1"/>
                  </w14:solidFill>
                </w14:textFill>
              </w:rPr>
              <w:t>要求</w:t>
            </w:r>
          </w:p>
        </w:tc>
      </w:tr>
      <w:tr w14:paraId="5967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vAlign w:val="center"/>
          </w:tcPr>
          <w:p w14:paraId="60F089AC">
            <w:pPr>
              <w:pStyle w:val="96"/>
              <w:spacing w:after="0" w:line="276" w:lineRule="auto"/>
              <w:ind w:left="0" w:right="153" w:firstLine="0" w:firstLineChar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208" w:type="dxa"/>
            <w:gridSpan w:val="2"/>
            <w:vMerge w:val="restart"/>
            <w:shd w:val="clear" w:color="auto" w:fill="auto"/>
            <w:vAlign w:val="center"/>
          </w:tcPr>
          <w:p w14:paraId="15A838F1">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单路电源输出效率</w:t>
            </w:r>
          </w:p>
        </w:tc>
        <w:tc>
          <w:tcPr>
            <w:tcW w:w="1684" w:type="dxa"/>
            <w:shd w:val="clear" w:color="auto" w:fill="auto"/>
            <w:vAlign w:val="center"/>
          </w:tcPr>
          <w:p w14:paraId="2FE0289D">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20%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43DC5C64">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88%</w:t>
            </w:r>
          </w:p>
        </w:tc>
        <w:tc>
          <w:tcPr>
            <w:tcW w:w="2672" w:type="dxa"/>
            <w:vMerge w:val="restart"/>
            <w:shd w:val="clear" w:color="auto" w:fill="auto"/>
            <w:vAlign w:val="center"/>
          </w:tcPr>
          <w:p w14:paraId="4B60372D">
            <w:pPr>
              <w:spacing w:line="276" w:lineRule="auto"/>
              <w:rPr>
                <w:rFonts w:ascii="Times New Roman" w:hAnsi="Times New Roman"/>
                <w:color w:val="000000" w:themeColor="text1"/>
                <w:kern w:val="0"/>
                <w:szCs w:val="18"/>
                <w14:textFill>
                  <w14:solidFill>
                    <w14:schemeClr w14:val="tx1"/>
                  </w14:solidFill>
                </w14:textFill>
              </w:rPr>
            </w:pPr>
            <w:r>
              <w:rPr>
                <w:rFonts w:hint="eastAsia" w:ascii="Times New Roman" w:hAnsi="Times New Roman"/>
                <w:color w:val="000000" w:themeColor="text1"/>
                <w:kern w:val="0"/>
                <w:szCs w:val="18"/>
                <w14:textFill>
                  <w14:solidFill>
                    <w14:schemeClr w14:val="tx1"/>
                  </w14:solidFill>
                </w14:textFill>
              </w:rPr>
              <w:t>检测方法依据</w:t>
            </w:r>
            <w:r>
              <w:rPr>
                <w:rFonts w:ascii="Times New Roman" w:hAnsi="Times New Roman"/>
                <w:color w:val="000000" w:themeColor="text1"/>
                <w:kern w:val="0"/>
                <w:szCs w:val="18"/>
                <w14:textFill>
                  <w14:solidFill>
                    <w14:schemeClr w14:val="tx1"/>
                  </w14:solidFill>
                </w14:textFill>
              </w:rPr>
              <w:t>HJ 2507</w:t>
            </w:r>
            <w:r>
              <w:rPr>
                <w:rFonts w:hint="eastAsia" w:ascii="Times New Roman" w:hAnsi="Times New Roman"/>
                <w:color w:val="000000" w:themeColor="text1"/>
                <w:kern w:val="0"/>
                <w:szCs w:val="18"/>
                <w14:textFill>
                  <w14:solidFill>
                    <w14:schemeClr w14:val="tx1"/>
                  </w14:solidFill>
                </w14:textFill>
              </w:rPr>
              <w:t>附录</w:t>
            </w:r>
            <w:r>
              <w:rPr>
                <w:rFonts w:ascii="Times New Roman" w:hAnsi="Times New Roman"/>
                <w:color w:val="000000" w:themeColor="text1"/>
                <w:kern w:val="0"/>
                <w:szCs w:val="18"/>
                <w14:textFill>
                  <w14:solidFill>
                    <w14:schemeClr w14:val="tx1"/>
                  </w14:solidFill>
                </w14:textFill>
              </w:rPr>
              <w:t>B</w:t>
            </w:r>
            <w:r>
              <w:rPr>
                <w:rFonts w:hint="eastAsia" w:ascii="Times New Roman" w:hAnsi="Times New Roman"/>
                <w:color w:val="000000" w:themeColor="text1"/>
                <w:kern w:val="0"/>
                <w:szCs w:val="18"/>
                <w14:textFill>
                  <w14:solidFill>
                    <w14:schemeClr w14:val="tx1"/>
                  </w14:solidFill>
                </w14:textFill>
              </w:rPr>
              <w:t>要求</w:t>
            </w:r>
          </w:p>
        </w:tc>
      </w:tr>
      <w:tr w14:paraId="6E5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74" w:type="dxa"/>
            <w:vMerge w:val="continue"/>
            <w:shd w:val="clear" w:color="auto" w:fill="auto"/>
            <w:vAlign w:val="center"/>
          </w:tcPr>
          <w:p w14:paraId="0CD3DD55">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2208" w:type="dxa"/>
            <w:gridSpan w:val="2"/>
            <w:vMerge w:val="continue"/>
            <w:shd w:val="clear" w:color="auto" w:fill="auto"/>
            <w:vAlign w:val="center"/>
          </w:tcPr>
          <w:p w14:paraId="57D641F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1684" w:type="dxa"/>
            <w:shd w:val="clear" w:color="auto" w:fill="auto"/>
            <w:vAlign w:val="center"/>
          </w:tcPr>
          <w:p w14:paraId="6396B90B">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50%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186D00BB">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92%</w:t>
            </w:r>
          </w:p>
        </w:tc>
        <w:tc>
          <w:tcPr>
            <w:tcW w:w="2672" w:type="dxa"/>
            <w:vMerge w:val="continue"/>
            <w:shd w:val="clear" w:color="auto" w:fill="auto"/>
            <w:vAlign w:val="center"/>
          </w:tcPr>
          <w:p w14:paraId="5D9BC5C2">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250F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vAlign w:val="center"/>
          </w:tcPr>
          <w:p w14:paraId="0A20C3A5">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2208" w:type="dxa"/>
            <w:gridSpan w:val="2"/>
            <w:vMerge w:val="continue"/>
            <w:shd w:val="clear" w:color="auto" w:fill="auto"/>
            <w:vAlign w:val="center"/>
          </w:tcPr>
          <w:p w14:paraId="478E7973">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1684" w:type="dxa"/>
            <w:shd w:val="clear" w:color="auto" w:fill="auto"/>
            <w:vAlign w:val="center"/>
          </w:tcPr>
          <w:p w14:paraId="3682217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100%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335386EF">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88%</w:t>
            </w:r>
          </w:p>
        </w:tc>
        <w:tc>
          <w:tcPr>
            <w:tcW w:w="2672" w:type="dxa"/>
            <w:vMerge w:val="continue"/>
            <w:shd w:val="clear" w:color="auto" w:fill="auto"/>
            <w:vAlign w:val="center"/>
          </w:tcPr>
          <w:p w14:paraId="6FF69D70">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7D64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shd w:val="clear" w:color="auto" w:fill="auto"/>
            <w:vAlign w:val="center"/>
          </w:tcPr>
          <w:p w14:paraId="20C116CB">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3</w:t>
            </w:r>
          </w:p>
        </w:tc>
        <w:tc>
          <w:tcPr>
            <w:tcW w:w="3892" w:type="dxa"/>
            <w:gridSpan w:val="3"/>
            <w:shd w:val="clear" w:color="auto" w:fill="auto"/>
            <w:vAlign w:val="center"/>
          </w:tcPr>
          <w:p w14:paraId="10A39288">
            <w:pPr>
              <w:pStyle w:val="96"/>
              <w:spacing w:after="0" w:line="276" w:lineRule="auto"/>
              <w:ind w:left="0" w:right="153" w:firstLine="0" w:firstLineChars="0"/>
              <w:rPr>
                <w:color w:val="000000" w:themeColor="text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单路电源最低功率因数</w:t>
            </w:r>
            <w:r>
              <w:rPr>
                <w:rFonts w:ascii="Times New Roman" w:hAnsi="Times New Roman" w:cs="Times New Roman"/>
                <w:color w:val="000000" w:themeColor="text1"/>
                <w:kern w:val="0"/>
                <w:sz w:val="21"/>
                <w:szCs w:val="21"/>
                <w14:textFill>
                  <w14:solidFill>
                    <w14:schemeClr w14:val="tx1"/>
                  </w14:solidFill>
                </w14:textFill>
              </w:rPr>
              <w:t>(50%</w:t>
            </w:r>
            <w:r>
              <w:rPr>
                <w:rFonts w:hint="eastAsia" w:ascii="Times New Roman" w:hAnsi="Times New Roman" w:cs="Times New Roman"/>
                <w:color w:val="000000" w:themeColor="text1"/>
                <w:kern w:val="0"/>
                <w:sz w:val="21"/>
                <w:szCs w:val="21"/>
                <w14:textFill>
                  <w14:solidFill>
                    <w14:schemeClr w14:val="tx1"/>
                  </w14:solidFill>
                </w14:textFill>
              </w:rPr>
              <w:t>负载下的</w:t>
            </w:r>
            <w:r>
              <w:rPr>
                <w:rFonts w:ascii="Times New Roman" w:hAnsi="Times New Roman" w:cs="Times New Roman"/>
                <w:color w:val="000000" w:themeColor="text1"/>
                <w:kern w:val="0"/>
                <w:sz w:val="21"/>
                <w:szCs w:val="21"/>
                <w14:textFill>
                  <w14:solidFill>
                    <w14:schemeClr w14:val="tx1"/>
                  </w14:solidFill>
                </w14:textFill>
              </w:rPr>
              <w:t>)</w:t>
            </w:r>
            <w:r>
              <w:rPr>
                <w:color w:val="000000" w:themeColor="text1"/>
                <w14:textFill>
                  <w14:solidFill>
                    <w14:schemeClr w14:val="tx1"/>
                  </w14:solidFill>
                </w14:textFill>
              </w:rPr>
              <w:t xml:space="preserve">     </w:t>
            </w:r>
          </w:p>
        </w:tc>
        <w:tc>
          <w:tcPr>
            <w:tcW w:w="1266" w:type="dxa"/>
            <w:shd w:val="clear" w:color="auto" w:fill="auto"/>
            <w:vAlign w:val="center"/>
          </w:tcPr>
          <w:p w14:paraId="2AE4C9BD">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0.90</w:t>
            </w:r>
          </w:p>
        </w:tc>
        <w:tc>
          <w:tcPr>
            <w:tcW w:w="2672" w:type="dxa"/>
            <w:vMerge w:val="continue"/>
            <w:shd w:val="clear" w:color="auto" w:fill="auto"/>
            <w:vAlign w:val="center"/>
          </w:tcPr>
          <w:p w14:paraId="763AC65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3DF6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vAlign w:val="center"/>
          </w:tcPr>
          <w:p w14:paraId="7F8ED132">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w:t>
            </w:r>
          </w:p>
        </w:tc>
        <w:tc>
          <w:tcPr>
            <w:tcW w:w="2208" w:type="dxa"/>
            <w:gridSpan w:val="2"/>
            <w:vMerge w:val="restart"/>
            <w:shd w:val="clear" w:color="auto" w:fill="auto"/>
            <w:vAlign w:val="center"/>
          </w:tcPr>
          <w:p w14:paraId="694D94B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多路电源输出效率</w:t>
            </w:r>
          </w:p>
        </w:tc>
        <w:tc>
          <w:tcPr>
            <w:tcW w:w="1684" w:type="dxa"/>
            <w:shd w:val="clear" w:color="auto" w:fill="auto"/>
            <w:vAlign w:val="center"/>
          </w:tcPr>
          <w:p w14:paraId="08742CD4">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20%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06171C81">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85%</w:t>
            </w:r>
          </w:p>
        </w:tc>
        <w:tc>
          <w:tcPr>
            <w:tcW w:w="2672" w:type="dxa"/>
            <w:vMerge w:val="continue"/>
            <w:shd w:val="clear" w:color="auto" w:fill="auto"/>
            <w:vAlign w:val="center"/>
          </w:tcPr>
          <w:p w14:paraId="529F62E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2F7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vAlign w:val="center"/>
          </w:tcPr>
          <w:p w14:paraId="08B60172">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2208" w:type="dxa"/>
            <w:gridSpan w:val="2"/>
            <w:vMerge w:val="continue"/>
            <w:shd w:val="clear" w:color="auto" w:fill="auto"/>
            <w:vAlign w:val="center"/>
          </w:tcPr>
          <w:p w14:paraId="515812F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1684" w:type="dxa"/>
            <w:shd w:val="clear" w:color="auto" w:fill="auto"/>
            <w:vAlign w:val="center"/>
          </w:tcPr>
          <w:p w14:paraId="4183F504">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50%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60DEF7DE">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89%</w:t>
            </w:r>
          </w:p>
        </w:tc>
        <w:tc>
          <w:tcPr>
            <w:tcW w:w="2672" w:type="dxa"/>
            <w:vMerge w:val="continue"/>
            <w:shd w:val="clear" w:color="auto" w:fill="auto"/>
            <w:vAlign w:val="center"/>
          </w:tcPr>
          <w:p w14:paraId="1E4D7AD1">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144C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vAlign w:val="center"/>
          </w:tcPr>
          <w:p w14:paraId="5935A3F7">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2208" w:type="dxa"/>
            <w:gridSpan w:val="2"/>
            <w:vMerge w:val="continue"/>
            <w:shd w:val="clear" w:color="auto" w:fill="auto"/>
            <w:vAlign w:val="center"/>
          </w:tcPr>
          <w:p w14:paraId="555FB2D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1684" w:type="dxa"/>
            <w:shd w:val="clear" w:color="auto" w:fill="auto"/>
            <w:vAlign w:val="center"/>
          </w:tcPr>
          <w:p w14:paraId="06790E91">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100%</w:t>
            </w:r>
            <w:r>
              <w:rPr>
                <w:rFonts w:hint="eastAsia" w:ascii="Times New Roman" w:hAnsi="Times New Roman" w:cs="Times New Roman"/>
                <w:color w:val="000000" w:themeColor="text1"/>
                <w:kern w:val="0"/>
                <w:sz w:val="21"/>
                <w:szCs w:val="21"/>
                <w14:textFill>
                  <w14:solidFill>
                    <w14:schemeClr w14:val="tx1"/>
                  </w14:solidFill>
                </w14:textFill>
              </w:rPr>
              <w:t>负载</w:t>
            </w:r>
          </w:p>
        </w:tc>
        <w:tc>
          <w:tcPr>
            <w:tcW w:w="1266" w:type="dxa"/>
            <w:shd w:val="clear" w:color="auto" w:fill="auto"/>
            <w:vAlign w:val="center"/>
          </w:tcPr>
          <w:p w14:paraId="609D7128">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85%</w:t>
            </w:r>
          </w:p>
        </w:tc>
        <w:tc>
          <w:tcPr>
            <w:tcW w:w="2672" w:type="dxa"/>
            <w:vMerge w:val="continue"/>
            <w:shd w:val="clear" w:color="auto" w:fill="auto"/>
            <w:vAlign w:val="center"/>
          </w:tcPr>
          <w:p w14:paraId="48D2862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3174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shd w:val="clear" w:color="auto" w:fill="auto"/>
            <w:vAlign w:val="center"/>
          </w:tcPr>
          <w:p w14:paraId="5CDFC71D">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5</w:t>
            </w:r>
          </w:p>
        </w:tc>
        <w:tc>
          <w:tcPr>
            <w:tcW w:w="3892" w:type="dxa"/>
            <w:gridSpan w:val="3"/>
            <w:shd w:val="clear" w:color="auto" w:fill="auto"/>
            <w:vAlign w:val="center"/>
          </w:tcPr>
          <w:p w14:paraId="6A5E1B8F">
            <w:pPr>
              <w:pStyle w:val="96"/>
              <w:spacing w:after="0" w:line="276" w:lineRule="auto"/>
              <w:ind w:left="0" w:right="153" w:firstLine="0" w:firstLineChars="0"/>
              <w:rPr>
                <w:color w:val="000000" w:themeColor="text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多路电源最低功率因数</w:t>
            </w:r>
            <w:r>
              <w:rPr>
                <w:rFonts w:ascii="Times New Roman" w:hAnsi="Times New Roman" w:cs="Times New Roman"/>
                <w:color w:val="000000" w:themeColor="text1"/>
                <w:kern w:val="0"/>
                <w:sz w:val="21"/>
                <w:szCs w:val="21"/>
                <w14:textFill>
                  <w14:solidFill>
                    <w14:schemeClr w14:val="tx1"/>
                  </w14:solidFill>
                </w14:textFill>
              </w:rPr>
              <w:t>(50%</w:t>
            </w:r>
            <w:r>
              <w:rPr>
                <w:rFonts w:hint="eastAsia" w:ascii="Times New Roman" w:hAnsi="Times New Roman" w:cs="Times New Roman"/>
                <w:color w:val="000000" w:themeColor="text1"/>
                <w:kern w:val="0"/>
                <w:sz w:val="21"/>
                <w:szCs w:val="21"/>
                <w14:textFill>
                  <w14:solidFill>
                    <w14:schemeClr w14:val="tx1"/>
                  </w14:solidFill>
                </w14:textFill>
              </w:rPr>
              <w:t>负载下的</w:t>
            </w:r>
            <w:r>
              <w:rPr>
                <w:rFonts w:ascii="Times New Roman" w:hAnsi="Times New Roman" w:cs="Times New Roman"/>
                <w:color w:val="000000" w:themeColor="text1"/>
                <w:kern w:val="0"/>
                <w:sz w:val="21"/>
                <w:szCs w:val="21"/>
                <w14:textFill>
                  <w14:solidFill>
                    <w14:schemeClr w14:val="tx1"/>
                  </w14:solidFill>
                </w14:textFill>
              </w:rPr>
              <w:t>)</w:t>
            </w:r>
          </w:p>
        </w:tc>
        <w:tc>
          <w:tcPr>
            <w:tcW w:w="1266" w:type="dxa"/>
            <w:shd w:val="clear" w:color="auto" w:fill="auto"/>
            <w:vAlign w:val="center"/>
          </w:tcPr>
          <w:p w14:paraId="1E7AD96A">
            <w:pPr>
              <w:pStyle w:val="96"/>
              <w:spacing w:after="0" w:line="276" w:lineRule="auto"/>
              <w:ind w:left="0" w:right="153"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0.90</w:t>
            </w:r>
          </w:p>
        </w:tc>
        <w:tc>
          <w:tcPr>
            <w:tcW w:w="2672" w:type="dxa"/>
            <w:vMerge w:val="continue"/>
            <w:shd w:val="clear" w:color="auto" w:fill="auto"/>
            <w:vAlign w:val="center"/>
          </w:tcPr>
          <w:p w14:paraId="3D33CE82">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r w14:paraId="0A89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restart"/>
            <w:shd w:val="clear" w:color="auto" w:fill="auto"/>
            <w:vAlign w:val="center"/>
          </w:tcPr>
          <w:p w14:paraId="15DFD51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6</w:t>
            </w:r>
          </w:p>
        </w:tc>
        <w:tc>
          <w:tcPr>
            <w:tcW w:w="2190" w:type="dxa"/>
            <w:vMerge w:val="restart"/>
            <w:shd w:val="clear" w:color="auto" w:fill="auto"/>
            <w:vAlign w:val="center"/>
          </w:tcPr>
          <w:p w14:paraId="2CBDFC39">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噪声发射</w:t>
            </w:r>
          </w:p>
        </w:tc>
        <w:tc>
          <w:tcPr>
            <w:tcW w:w="1702" w:type="dxa"/>
            <w:gridSpan w:val="2"/>
            <w:shd w:val="clear" w:color="auto" w:fill="auto"/>
            <w:vAlign w:val="center"/>
          </w:tcPr>
          <w:p w14:paraId="0696B173">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有人值守</w:t>
            </w:r>
          </w:p>
        </w:tc>
        <w:tc>
          <w:tcPr>
            <w:tcW w:w="1266" w:type="dxa"/>
            <w:shd w:val="clear" w:color="auto" w:fill="auto"/>
            <w:vAlign w:val="center"/>
          </w:tcPr>
          <w:p w14:paraId="6797D279">
            <w:pPr>
              <w:pStyle w:val="96"/>
              <w:spacing w:after="0" w:line="276" w:lineRule="auto"/>
              <w:ind w:left="0" w:right="153" w:firstLine="0" w:firstLineChars="0"/>
              <w:jc w:val="center"/>
              <w:rPr>
                <w:rFonts w:ascii="Times New Roman" w:hAnsi="Times New Roman" w:cs="Times New Roman"/>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Times New Roman" w:hAnsi="Times New Roman" w:cs="Times New Roman"/>
                <w:color w:val="000000" w:themeColor="text1"/>
                <w:kern w:val="0"/>
                <w:sz w:val="21"/>
                <w:szCs w:val="21"/>
                <w:highlight w:val="none"/>
                <w14:textFill>
                  <w14:solidFill>
                    <w14:schemeClr w14:val="tx1"/>
                  </w14:solidFill>
                </w14:textFill>
              </w:rPr>
              <w:t>7.6 Bels</w:t>
            </w:r>
          </w:p>
        </w:tc>
        <w:tc>
          <w:tcPr>
            <w:tcW w:w="2672" w:type="dxa"/>
            <w:vMerge w:val="restart"/>
            <w:shd w:val="clear" w:color="auto" w:fill="auto"/>
            <w:vAlign w:val="center"/>
          </w:tcPr>
          <w:p w14:paraId="4FD0556E">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检测方法依据</w:t>
            </w:r>
            <w:r>
              <w:rPr>
                <w:rFonts w:ascii="Times New Roman" w:hAnsi="Times New Roman" w:cs="Times New Roman"/>
                <w:color w:val="000000" w:themeColor="text1"/>
                <w:kern w:val="0"/>
                <w:sz w:val="21"/>
                <w:szCs w:val="21"/>
                <w14:textFill>
                  <w14:solidFill>
                    <w14:schemeClr w14:val="tx1"/>
                  </w14:solidFill>
                </w14:textFill>
              </w:rPr>
              <w:t>YD/T 1816</w:t>
            </w:r>
            <w:r>
              <w:rPr>
                <w:rFonts w:hint="eastAsia" w:ascii="Times New Roman" w:hAnsi="Times New Roman" w:cs="Times New Roman"/>
                <w:color w:val="000000" w:themeColor="text1"/>
                <w:kern w:val="0"/>
                <w:sz w:val="21"/>
                <w:szCs w:val="21"/>
                <w14:textFill>
                  <w14:solidFill>
                    <w14:schemeClr w14:val="tx1"/>
                  </w14:solidFill>
                </w14:textFill>
              </w:rPr>
              <w:t>要求</w:t>
            </w:r>
          </w:p>
        </w:tc>
      </w:tr>
      <w:tr w14:paraId="2212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Merge w:val="continue"/>
            <w:shd w:val="clear" w:color="auto" w:fill="auto"/>
            <w:vAlign w:val="center"/>
          </w:tcPr>
          <w:p w14:paraId="2EAEB61B">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2190" w:type="dxa"/>
            <w:vMerge w:val="continue"/>
            <w:shd w:val="clear" w:color="auto" w:fill="auto"/>
            <w:vAlign w:val="center"/>
          </w:tcPr>
          <w:p w14:paraId="2B852E2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c>
          <w:tcPr>
            <w:tcW w:w="1702" w:type="dxa"/>
            <w:gridSpan w:val="2"/>
            <w:shd w:val="clear" w:color="auto" w:fill="auto"/>
            <w:vAlign w:val="center"/>
          </w:tcPr>
          <w:p w14:paraId="3E520615">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无人值守</w:t>
            </w:r>
          </w:p>
        </w:tc>
        <w:tc>
          <w:tcPr>
            <w:tcW w:w="1266" w:type="dxa"/>
            <w:shd w:val="clear" w:color="auto" w:fill="auto"/>
            <w:vAlign w:val="center"/>
          </w:tcPr>
          <w:p w14:paraId="6012BA56">
            <w:pPr>
              <w:pStyle w:val="96"/>
              <w:spacing w:after="0" w:line="276" w:lineRule="auto"/>
              <w:ind w:left="0" w:right="153" w:firstLine="0" w:firstLineChars="0"/>
              <w:jc w:val="center"/>
              <w:rPr>
                <w:rFonts w:ascii="Times New Roman" w:hAnsi="Times New Roman" w:cs="Times New Roman"/>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Times New Roman" w:hAnsi="Times New Roman" w:cs="Times New Roman"/>
                <w:color w:val="000000" w:themeColor="text1"/>
                <w:kern w:val="0"/>
                <w:sz w:val="21"/>
                <w:szCs w:val="21"/>
                <w:highlight w:val="none"/>
                <w14:textFill>
                  <w14:solidFill>
                    <w14:schemeClr w14:val="tx1"/>
                  </w14:solidFill>
                </w14:textFill>
              </w:rPr>
              <w:t>8.1 Bels</w:t>
            </w:r>
          </w:p>
        </w:tc>
        <w:tc>
          <w:tcPr>
            <w:tcW w:w="2672" w:type="dxa"/>
            <w:vMerge w:val="continue"/>
            <w:shd w:val="clear" w:color="auto" w:fill="auto"/>
            <w:vAlign w:val="center"/>
          </w:tcPr>
          <w:p w14:paraId="6852892F">
            <w:pPr>
              <w:pStyle w:val="96"/>
              <w:spacing w:after="0" w:line="276" w:lineRule="auto"/>
              <w:ind w:left="0" w:right="153" w:firstLine="0" w:firstLineChars="0"/>
              <w:rPr>
                <w:rFonts w:ascii="Times New Roman" w:hAnsi="Times New Roman" w:cs="Times New Roman"/>
                <w:color w:val="000000" w:themeColor="text1"/>
                <w:kern w:val="0"/>
                <w:sz w:val="21"/>
                <w:szCs w:val="21"/>
                <w14:textFill>
                  <w14:solidFill>
                    <w14:schemeClr w14:val="tx1"/>
                  </w14:solidFill>
                </w14:textFill>
              </w:rPr>
            </w:pPr>
          </w:p>
        </w:tc>
      </w:tr>
    </w:tbl>
    <w:p w14:paraId="30A154B6">
      <w:pPr>
        <w:rPr>
          <w:rFonts w:hint="eastAsia"/>
          <w:b w:val="0"/>
          <w:bCs/>
          <w:sz w:val="28"/>
          <w:szCs w:val="28"/>
          <w:lang w:val="en-US" w:eastAsia="zh-CN"/>
        </w:rPr>
      </w:pPr>
    </w:p>
    <w:p w14:paraId="01E902F6">
      <w:pPr>
        <w:pStyle w:val="2"/>
        <w:numPr>
          <w:ilvl w:val="0"/>
          <w:numId w:val="5"/>
        </w:numPr>
        <w:bidi w:val="0"/>
        <w:rPr>
          <w:rFonts w:hint="eastAsia" w:ascii="方正仿宋_GB2312" w:hAnsi="方正仿宋_GB2312" w:eastAsia="方正仿宋_GB2312" w:cs="方正仿宋_GB2312"/>
          <w:sz w:val="24"/>
          <w:szCs w:val="24"/>
        </w:rPr>
      </w:pPr>
      <w:bookmarkStart w:id="26" w:name="_Hlk49459799"/>
      <w:r>
        <w:rPr>
          <w:rFonts w:hint="eastAsia" w:ascii="方正仿宋_GB2312" w:hAnsi="方正仿宋_GB2312" w:eastAsia="方正仿宋_GB2312" w:cs="方正仿宋_GB2312"/>
          <w:sz w:val="24"/>
          <w:szCs w:val="24"/>
          <w:lang w:val="en-US" w:eastAsia="zh-CN"/>
        </w:rPr>
        <w:t>其他技术要求</w:t>
      </w:r>
    </w:p>
    <w:p w14:paraId="36788FB7">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投标人应提供所代表品牌厂商原装、全新的、符合国家及用户提出的有关质量标准的设备和产品。</w:t>
      </w:r>
    </w:p>
    <w:p w14:paraId="00B53D07">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所有设备、器材在开箱检验时必须完好，无破损，配置与装箱单相符。数量、质量及性能≥本方案中提出的指标要求。</w:t>
      </w:r>
    </w:p>
    <w:p w14:paraId="38953EDC">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所建议的设备的性能应达到或超过指标要求表中所列技术指标。投标人应注意该表的值仅列出了最低限度。投标人在响应建议中必须列出具体数值。</w:t>
      </w:r>
    </w:p>
    <w:p w14:paraId="616E91A2">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投标人在投标文件中建议提供的设备能反映投标人在设备配置技术要求中建议的指标。</w:t>
      </w:r>
    </w:p>
    <w:p w14:paraId="3B173D03">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投标时所提供的设备如在实际供货时已经废型（不列入该厂家当时的产品系统），如果未能按原价提供更高配置的设备，则按违约处理。其中，操作台部分如涉及尺寸要求的，允许尺寸偏差在±5CM以内，或根据现场实际情况按招标人要求定制。</w:t>
      </w:r>
    </w:p>
    <w:p w14:paraId="4509D822">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▲集成实施要求:</w:t>
      </w:r>
    </w:p>
    <w:p w14:paraId="7FEF54C3">
      <w:pPr>
        <w:pStyle w:val="104"/>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lang w:val="en-US" w:eastAsia="zh-CN"/>
        </w:rPr>
        <w:t>施工过程中，需对原有装修、消防设施或其他设施做好复原保护工作，可能涉及</w:t>
      </w:r>
      <w:r>
        <w:rPr>
          <w:rFonts w:hint="eastAsia" w:ascii="仿宋_GB2312" w:hAnsi="仿宋_GB2312" w:eastAsia="仿宋_GB2312" w:cs="仿宋_GB2312"/>
          <w:snapToGrid w:val="0"/>
          <w:sz w:val="24"/>
          <w:szCs w:val="24"/>
          <w:highlight w:val="none"/>
        </w:rPr>
        <w:t>隔断墙砌筑、垃圾清运、开孔及修补，结构装饰系统辅材及安装实施等；</w:t>
      </w:r>
    </w:p>
    <w:p w14:paraId="590F623F">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2）投标人承担负责设备的集成安装、调试、使用培训及维护保养工作，系统割接后系统测试等，各类故障处理、平台调优、系统培训等；</w:t>
      </w:r>
    </w:p>
    <w:p w14:paraId="3C7A4756">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3）投标人承担所需要的接插件、管材、辅助用线材、系统标签、铝合金固线器、铝合金理线器等；</w:t>
      </w:r>
    </w:p>
    <w:p w14:paraId="5A1E1B3E">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4）</w:t>
      </w:r>
      <w:r>
        <w:rPr>
          <w:rFonts w:hint="eastAsia" w:ascii="仿宋_GB2312" w:hAnsi="仿宋_GB2312" w:eastAsia="仿宋_GB2312" w:cs="仿宋_GB2312"/>
          <w:snapToGrid w:val="0"/>
          <w:sz w:val="24"/>
          <w:szCs w:val="24"/>
          <w:highlight w:val="none"/>
          <w:lang w:val="en-US" w:eastAsia="zh-CN"/>
        </w:rPr>
        <w:t>竣工验收前</w:t>
      </w:r>
      <w:r>
        <w:rPr>
          <w:rFonts w:hint="eastAsia" w:ascii="仿宋_GB2312" w:hAnsi="仿宋_GB2312" w:eastAsia="仿宋_GB2312" w:cs="仿宋_GB2312"/>
          <w:snapToGrid w:val="0"/>
          <w:sz w:val="24"/>
          <w:szCs w:val="24"/>
          <w:highlight w:val="none"/>
        </w:rPr>
        <w:t>投标人</w:t>
      </w:r>
      <w:r>
        <w:rPr>
          <w:rFonts w:hint="eastAsia" w:ascii="仿宋_GB2312" w:hAnsi="仿宋_GB2312" w:eastAsia="仿宋_GB2312" w:cs="仿宋_GB2312"/>
          <w:snapToGrid w:val="0"/>
          <w:sz w:val="24"/>
          <w:szCs w:val="24"/>
          <w:highlight w:val="none"/>
          <w:lang w:val="en-US" w:eastAsia="zh-CN"/>
        </w:rPr>
        <w:t>需根据采购人需求完成</w:t>
      </w:r>
      <w:r>
        <w:rPr>
          <w:rFonts w:hint="eastAsia" w:ascii="仿宋_GB2312" w:hAnsi="仿宋_GB2312" w:eastAsia="仿宋_GB2312" w:cs="仿宋_GB2312"/>
          <w:snapToGrid w:val="0"/>
          <w:sz w:val="24"/>
          <w:szCs w:val="24"/>
          <w:highlight w:val="none"/>
        </w:rPr>
        <w:t>播放内容</w:t>
      </w:r>
      <w:r>
        <w:rPr>
          <w:rFonts w:hint="eastAsia" w:ascii="仿宋_GB2312" w:hAnsi="仿宋_GB2312" w:eastAsia="仿宋_GB2312" w:cs="仿宋_GB2312"/>
          <w:snapToGrid w:val="0"/>
          <w:sz w:val="24"/>
          <w:szCs w:val="24"/>
          <w:highlight w:val="none"/>
          <w:lang w:val="en-US" w:eastAsia="zh-CN"/>
        </w:rPr>
        <w:t>定制工作</w:t>
      </w:r>
      <w:r>
        <w:rPr>
          <w:rFonts w:hint="eastAsia" w:ascii="仿宋_GB2312" w:hAnsi="仿宋_GB2312" w:eastAsia="仿宋_GB2312" w:cs="仿宋_GB2312"/>
          <w:snapToGrid w:val="0"/>
          <w:sz w:val="24"/>
          <w:szCs w:val="24"/>
          <w:highlight w:val="none"/>
        </w:rPr>
        <w:t>。</w:t>
      </w:r>
    </w:p>
    <w:p w14:paraId="02799035">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现场勘察</w:t>
      </w:r>
    </w:p>
    <w:p w14:paraId="19C4B8EC">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1）采购人不统一组织现场勘察，投标人可自行决定是否需要对项目所在场地及周围环境进行现场勘察，现场勘察所发生的费用由投标供应商自行承担。</w:t>
      </w:r>
    </w:p>
    <w:p w14:paraId="600AAD84">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2）现场勘察完毕，将认为供应商已了解现场情况，并充分理解了为之所承担的风险、义务和责任。</w:t>
      </w:r>
    </w:p>
    <w:p w14:paraId="169721B9">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3）在现场勘察过程中，投标供应商应承担在此期间所造成的人身伤害、财产损失或损坏的责任，无论何种原因所造成，采购人均不负责，如由此导致采购人承担责任的，采购人有权向该供应商行使追偿权。</w:t>
      </w:r>
    </w:p>
    <w:p w14:paraId="149AFD0B">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投标人投标时应提供设备技术偏离情况、企业实力、业绩、质保期、响应能力、项目团队、对项目的理解、整体建设方案、施工组织方案、售后服务方案等材料。</w:t>
      </w:r>
    </w:p>
    <w:p w14:paraId="0A238783">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中标人需完成所有设备的安装、调试，确保交付时采购人能够直接正常使用；成品软件提供免费的参数、配置等的调教，确保符合使用要求。如中标人提供的设备无法正常使用或者兼容系统，需无条件进行整改，直至正常使用为止。</w:t>
      </w:r>
    </w:p>
    <w:p w14:paraId="69B8D5D3">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▲中标人免费提供后期相关建设项目的参考方案以及与其它相关系统设备的提供商合作，包括软硬件数据协议接口。</w:t>
      </w:r>
    </w:p>
    <w:p w14:paraId="2BA9B0FA">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▲UPS不间断电源设备需与原有UPS主机兼容。</w:t>
      </w:r>
    </w:p>
    <w:p w14:paraId="307B523C">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▲模块化机房设备的机柜、底座、通道控制模块、自动移门及冷通道配套组件需为同一品牌。</w:t>
      </w:r>
    </w:p>
    <w:p w14:paraId="2AE85A6C">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检测要求：本次机房项目建成后须通过业主委托的第三方检测机构开展的全面验收检测。检测机构资质须经业主确认，检测范围覆盖机房基础设施及所有配套子系统，需满足绿色数据中心政府采购需求标准。第三方检测机构出具的正式检测报告为项目竣工验收必备文件。检测产生的所有费用（含检测机构差旅、测试负载、仪器校准等）由中标单位全额承担，在投标报价中综合考虑，业主不另行支付。 检测结论为“合格”后，方可办理最终结算及移交手续。</w:t>
      </w:r>
    </w:p>
    <w:p w14:paraId="5A994046">
      <w:pPr>
        <w:pStyle w:val="104"/>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▲机房动环监控除视频监控外所有模块需与微模块系统选用同一品牌。</w:t>
      </w:r>
      <w:r>
        <w:rPr>
          <w:rFonts w:hint="eastAsia" w:ascii="仿宋_GB2312" w:hAnsi="仿宋_GB2312" w:eastAsia="仿宋_GB2312" w:cs="仿宋_GB2312"/>
          <w:snapToGrid w:val="0"/>
          <w:sz w:val="24"/>
          <w:szCs w:val="24"/>
          <w:highlight w:val="none"/>
          <w:lang w:val="zh-CN" w:eastAsia="zh-CN"/>
        </w:rPr>
        <w:t xml:space="preserve">  </w:t>
      </w:r>
    </w:p>
    <w:p w14:paraId="44439F5C">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商务要求</w:t>
      </w:r>
    </w:p>
    <w:p w14:paraId="6E5C266D">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实施要求：中标人应负责按合同中规定的建设项目内容完成硬件设计部署，并保证按合同相关要求按时完成硬件及后台相关系统设备安装、调试、运行等工作；施工期间，中标人应遵守有关部门的管理，并遵照相关的规定。系统设备安装（包括所使用的设备、材料、布线方法、安装工艺、调试开通等）必须符合国家、行业法规和规范要求。在施工中应做好对其他设施的保护，凡造成人员受伤、设施及设备损坏的，一律由施工单位负责赔偿；提供的设备、配件必须提供随机资料（说明书、合格证、图纸、保修单及操作保养等资料），其他附件及材料必须符合国家有关标准。</w:t>
      </w:r>
    </w:p>
    <w:p w14:paraId="6DBFA635">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测试要求：中标人应按照合同要求测试所有硬件，负责合同中所有软硬件的现场部署、现场验收测试。</w:t>
      </w:r>
    </w:p>
    <w:p w14:paraId="439529F3">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验收要求：</w:t>
      </w:r>
    </w:p>
    <w:p w14:paraId="3167501F">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default" w:ascii="仿宋_GB2312" w:hAnsi="仿宋_GB2312" w:eastAsia="仿宋_GB2312" w:cs="仿宋_GB2312"/>
          <w:snapToGrid w:val="0"/>
          <w:sz w:val="24"/>
          <w:szCs w:val="24"/>
          <w:highlight w:val="none"/>
          <w:lang w:val="en-US"/>
        </w:rPr>
      </w:pPr>
      <w:r>
        <w:rPr>
          <w:rFonts w:hint="eastAsia" w:ascii="仿宋_GB2312" w:hAnsi="仿宋_GB2312" w:eastAsia="仿宋_GB2312" w:cs="仿宋_GB2312"/>
          <w:snapToGrid w:val="0"/>
          <w:sz w:val="24"/>
          <w:szCs w:val="24"/>
          <w:highlight w:val="none"/>
        </w:rPr>
        <w:t>1）</w:t>
      </w:r>
      <w:r>
        <w:rPr>
          <w:rFonts w:hint="eastAsia" w:ascii="仿宋_GB2312" w:hAnsi="仿宋_GB2312" w:eastAsia="仿宋_GB2312" w:cs="仿宋_GB2312"/>
          <w:snapToGrid w:val="0"/>
          <w:sz w:val="24"/>
          <w:szCs w:val="24"/>
          <w:highlight w:val="none"/>
          <w:lang w:val="en-US" w:eastAsia="zh-CN"/>
        </w:rPr>
        <w:t>无人机管控中心及岸海协同多元感传感技术实验室设备需在</w:t>
      </w:r>
      <w:r>
        <w:rPr>
          <w:rFonts w:hint="eastAsia" w:ascii="仿宋_GB2312" w:hAnsi="仿宋_GB2312" w:eastAsia="仿宋_GB2312" w:cs="仿宋_GB2312"/>
          <w:snapToGrid w:val="0"/>
          <w:sz w:val="24"/>
          <w:szCs w:val="24"/>
          <w:highlight w:val="none"/>
        </w:rPr>
        <w:t>合同签订后</w:t>
      </w:r>
      <w:r>
        <w:rPr>
          <w:rFonts w:hint="eastAsia" w:ascii="仿宋_GB2312" w:hAnsi="仿宋_GB2312" w:eastAsia="仿宋_GB2312" w:cs="仿宋_GB2312"/>
          <w:snapToGrid w:val="0"/>
          <w:sz w:val="24"/>
          <w:szCs w:val="24"/>
          <w:highlight w:val="none"/>
          <w:lang w:val="en-US" w:eastAsia="zh-CN"/>
        </w:rPr>
        <w:t>45天内完成全部设备到货，机房建设在6</w:t>
      </w:r>
      <w:r>
        <w:rPr>
          <w:rFonts w:hint="eastAsia" w:ascii="仿宋_GB2312" w:hAnsi="仿宋_GB2312" w:eastAsia="仿宋_GB2312" w:cs="仿宋_GB2312"/>
          <w:snapToGrid w:val="0"/>
          <w:sz w:val="24"/>
          <w:szCs w:val="24"/>
          <w:highlight w:val="none"/>
        </w:rPr>
        <w:t>个月内完成</w:t>
      </w:r>
      <w:r>
        <w:rPr>
          <w:rFonts w:hint="eastAsia" w:ascii="仿宋_GB2312" w:hAnsi="仿宋_GB2312" w:eastAsia="仿宋_GB2312" w:cs="仿宋_GB2312"/>
          <w:snapToGrid w:val="0"/>
          <w:sz w:val="24"/>
          <w:szCs w:val="24"/>
          <w:highlight w:val="none"/>
          <w:lang w:val="en-US" w:eastAsia="zh-CN"/>
        </w:rPr>
        <w:t>并通过初验</w:t>
      </w:r>
      <w:r>
        <w:rPr>
          <w:rFonts w:hint="eastAsia" w:ascii="仿宋_GB2312" w:hAnsi="仿宋_GB2312" w:eastAsia="仿宋_GB2312" w:cs="仿宋_GB2312"/>
          <w:snapToGrid w:val="0"/>
          <w:sz w:val="24"/>
          <w:szCs w:val="24"/>
          <w:highlight w:val="none"/>
        </w:rPr>
        <w:t>。</w:t>
      </w:r>
      <w:r>
        <w:rPr>
          <w:rFonts w:hint="eastAsia" w:ascii="仿宋_GB2312" w:hAnsi="仿宋_GB2312" w:eastAsia="仿宋_GB2312" w:cs="仿宋_GB2312"/>
          <w:snapToGrid w:val="0"/>
          <w:sz w:val="24"/>
          <w:szCs w:val="24"/>
          <w:highlight w:val="none"/>
          <w:lang w:val="en-US" w:eastAsia="zh-CN"/>
        </w:rPr>
        <w:t>经不少于3个月的试运行后组织竣工验收。</w:t>
      </w:r>
    </w:p>
    <w:p w14:paraId="16E0A75C">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2）通过测试判断产品质量是否符合产品需求、功能实现是否正确，性能方面是否符合运行要求，并且产品可以最终上线。</w:t>
      </w:r>
    </w:p>
    <w:p w14:paraId="388BAFB5">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3）采购人负责组织验收小组及第三方监理单位共同参与项目验收。</w:t>
      </w:r>
    </w:p>
    <w:p w14:paraId="4DBE3018">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4）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14:paraId="70359D5C">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5）免费提供后期相关建设项目的参考方案以及与其它相关系统设备的提供商合作，包括软硬件数据协议接口。</w:t>
      </w:r>
    </w:p>
    <w:p w14:paraId="3E4C89E3">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6）如中标人无法如期完成设备安装调试、系统配置、项目验收等情况的，逾期每日向采购人支付合同额的万分之五作为违约金。中标人超过约定日期30个工作日仍不能完成相关服务的，采购人可解除本合同。中标人因未能如期提供相关服务或其他违约行为导致采购人解除合同的，中标人应向采购人支付合同额的10%作为违约金，如造成采购人损失超过违约金的，超出部分由中标人继续承担赔付责任。</w:t>
      </w:r>
    </w:p>
    <w:p w14:paraId="20200416">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报价要求：</w:t>
      </w:r>
    </w:p>
    <w:p w14:paraId="1EF9AB73">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投标人应自行勘察现场，如认为有本表未列明的其他必须设备、材料，清单数量不足或需要其他相关费用，由各投标人自行列明并报价，计入投标总价；在项目实施中，由于投标人漏项、错项造成需要增加项目或数量的，由投标人承担，招标人不接受投标人以该项目未列入以上清单或数量不足而要求招标人增加费用。</w:t>
      </w:r>
    </w:p>
    <w:p w14:paraId="4DD5B802">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2）投标人应根据招标文件报出合同总价。合同总价一旦核实确认，不得再做更改。对投标人漏报致使系统未能达到需求的功能和效果，其费用和后果由投标人自行负责。</w:t>
      </w:r>
    </w:p>
    <w:p w14:paraId="2DA263F8">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3）在符合总体要求的前提下，投标人可对招标文件中没有提及的内容，按自己的理解适当增加，但有关价格及费用必须在报价文件中单独列出，并说明理由。</w:t>
      </w:r>
    </w:p>
    <w:p w14:paraId="4BD66CDE">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4）所有报价均应已包含国家规定的所有税费、项目采购委托费、第三方质量检测费等。</w:t>
      </w:r>
    </w:p>
    <w:p w14:paraId="5B493D36">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5）投标总报价应等于“报价明细表”的设备、系统集成费、保修期内售后服务培训费用等实施本项目所需的一切费用之和。不能在投标总报价之外还有其他费用出现。“报价明细表”中投标人对所投价的投标报价必须按项目分别报价。投标人提供的部件必须包含在投标报价中。</w:t>
      </w:r>
    </w:p>
    <w:p w14:paraId="62735C81">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▲6）本项目为交钥匙工程，投标人需充分考虑项目风险及建筑物破坏的赔偿费用等不可预见性费用。</w:t>
      </w:r>
    </w:p>
    <w:p w14:paraId="500ED4C8">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7）本次采购的供货除包括上述设备外，还应包括随机的辅助设备、专用电线电缆、随机软件、技术资料（包括操作手册、使用指南、维修指南和含维修网点在内的服务手册等）、设备运行所必需的随机消耗材料，相应的技术服务与质量保证。</w:t>
      </w:r>
    </w:p>
    <w:p w14:paraId="305DAE61">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▲质保要求：本项目要求至少三年整体质保（项目终验通过之日起计算），质保期内承担原机房的每季度1次巡检工作，提供巡检报告和维护建议；原厂质保期高于投标人质保承诺的按原厂执行。</w:t>
      </w:r>
    </w:p>
    <w:p w14:paraId="53CF139C">
      <w:pPr>
        <w:pStyle w:val="104"/>
        <w:widowControl w:val="0"/>
        <w:numPr>
          <w:ilvl w:val="0"/>
          <w:numId w:val="12"/>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其他要求：</w:t>
      </w:r>
    </w:p>
    <w:p w14:paraId="3AFE3097">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1）要求投标人提供的服务不得低于标准服务，即与投标设备制造厂商通过网站等对外公布的有效服务标准相一致（投标人不得另行制作网页）。在标准服务基础上，投标人还应达到以下标准：</w:t>
      </w:r>
    </w:p>
    <w:p w14:paraId="3C5A0B86">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2）投标货物制造厂商应具有完善的服务保障体系（在最终供货地有直接设立或授权的售后服务机构，配备有足够的、有相应资质的专业技术人员）；供应商也应就投标货物的品质和服务对采购机构和采购单位负责。</w:t>
      </w:r>
    </w:p>
    <w:p w14:paraId="326D67B6">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3）投标人应明确说明此次投标的服务策略，提供此次投标货物的服务计划（售后服务内容、等级、相关服务指标、售后服务组织机构及人员安排情况及其联络信息）。</w:t>
      </w:r>
    </w:p>
    <w:p w14:paraId="0FD2807F">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lang w:eastAsia="zh-CN"/>
        </w:rPr>
      </w:pPr>
      <w:r>
        <w:rPr>
          <w:rFonts w:hint="eastAsia" w:ascii="仿宋_GB2312" w:hAnsi="仿宋_GB2312" w:eastAsia="仿宋_GB2312" w:cs="仿宋_GB2312"/>
          <w:snapToGrid w:val="0"/>
          <w:sz w:val="24"/>
          <w:szCs w:val="24"/>
          <w:highlight w:val="none"/>
        </w:rPr>
        <w:t>4）免费质保期内，乙方应提供7*24小时电话技术支持。接到甲方故障通知后，乙方技术人员应在2小时之内予以响应，进行故障排除工作。一般性故障保证在5小时内修复。对于严重故障，技术人员在2小时内到达现场，排查原因，提出解决方案，直至故障排除，若24小时内无法修复故障，则提供备用设备。不能维修的设备免费更换。质保期内承担原机房的每季度1次巡检工作，并对合同内设备进行巡检，提供巡检报告和维护建议；质保期外，对上述设备维修及配件更换仅收取成本价。如果逾期未作出响应，乙方应承担由于故障所造成的全部损失</w:t>
      </w:r>
      <w:r>
        <w:rPr>
          <w:rFonts w:hint="eastAsia" w:ascii="仿宋_GB2312" w:hAnsi="仿宋_GB2312" w:eastAsia="仿宋_GB2312" w:cs="仿宋_GB2312"/>
          <w:snapToGrid w:val="0"/>
          <w:sz w:val="24"/>
          <w:szCs w:val="24"/>
          <w:highlight w:val="none"/>
          <w:lang w:eastAsia="zh-CN"/>
        </w:rPr>
        <w:t>。</w:t>
      </w:r>
    </w:p>
    <w:p w14:paraId="4E4C14A9">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5）当投标货物发生非人为因素严重故障时，供应商应当免费在七日内将补充或者更换的货物运抵发生故障的货物所在地，由此产生的一切相关费用由供应商负担。</w:t>
      </w:r>
    </w:p>
    <w:p w14:paraId="490526BA">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6）质保期内所有因更换或修理设备或部件而导致设备停止运行的时间应从其质保期内扣除。</w:t>
      </w:r>
    </w:p>
    <w:p w14:paraId="72769ACD">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7）供应商在质保期内安装的任何零配件，必须是其投标设备制造厂商原产的或是经其认可的。</w:t>
      </w:r>
    </w:p>
    <w:p w14:paraId="34EACA05">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8）所有的替代零配件必须是新的未使用和未经修复的，除非最终用户提供书面许可，否则不可使用此范围外的其他（非新的）配件。</w:t>
      </w:r>
    </w:p>
    <w:p w14:paraId="41593DFD">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9）供应商必须为维修和技术支持所未能解决的问题和故障提供正式的升级方案。</w:t>
      </w:r>
    </w:p>
    <w:p w14:paraId="74E83561">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10）在质保期内，供应商有责任解决所提供的投标设备和软件系统的任何问题，在质保期满后，当需要时，供应商仍须对因投标设备本身的固有缺陷和瑕疵承担相应责任。</w:t>
      </w:r>
    </w:p>
    <w:p w14:paraId="0D44C920">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11）▲免费运维服务（等同于质保期）：系统调试开通移交后，甲方（采购人）组织人员在设备乙方（供应商）的指导下上岗操作，乙方进行系统维护；运维期同质保期。</w:t>
      </w:r>
    </w:p>
    <w:p w14:paraId="5C5D4CC0">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12）如遇重大活动，接到甲方通知后，必须无条件派工程师实行现场技术保障，确保系统在活动期间正常运行。</w:t>
      </w:r>
      <w:r>
        <w:rPr>
          <w:rFonts w:hint="eastAsia" w:ascii="仿宋_GB2312" w:hAnsi="仿宋_GB2312" w:eastAsia="仿宋_GB2312" w:cs="仿宋_GB2312"/>
          <w:snapToGrid w:val="0"/>
          <w:kern w:val="0"/>
          <w:sz w:val="24"/>
          <w:szCs w:val="24"/>
          <w:highlight w:val="none"/>
          <w:lang w:val="zh-CN" w:eastAsia="zh-CN" w:bidi="ar-SA"/>
        </w:rPr>
        <w:t xml:space="preserve">  </w:t>
      </w:r>
    </w:p>
    <w:p w14:paraId="02564FAD">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保密要求</w:t>
      </w:r>
    </w:p>
    <w:bookmarkEnd w:id="26"/>
    <w:p w14:paraId="45758D54">
      <w:pPr>
        <w:pStyle w:val="104"/>
        <w:widowControl w:val="0"/>
        <w:numPr>
          <w:ilvl w:val="0"/>
          <w:numId w:val="13"/>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投标人应对招标、实施、操作等过程中采取保密和安全措施，因投标人造成的不良影响和损失，投标人应承担相应责任。</w:t>
      </w:r>
    </w:p>
    <w:p w14:paraId="69F2CE6B">
      <w:pPr>
        <w:pStyle w:val="104"/>
        <w:widowControl w:val="0"/>
        <w:numPr>
          <w:ilvl w:val="0"/>
          <w:numId w:val="13"/>
        </w:numPr>
        <w:autoSpaceDE w:val="0"/>
        <w:autoSpaceDN w:val="0"/>
        <w:spacing w:line="360" w:lineRule="auto"/>
        <w:ind w:left="0" w:firstLine="480"/>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投标人必须提交保密承诺函，成交方需签订保密协议及提供本单位与实施人员签订的个人保密承诺书。</w:t>
      </w:r>
      <w:r>
        <w:rPr>
          <w:rFonts w:hint="eastAsia" w:ascii="仿宋_GB2312" w:hAnsi="仿宋_GB2312" w:eastAsia="仿宋_GB2312" w:cs="仿宋_GB2312"/>
          <w:snapToGrid w:val="0"/>
          <w:kern w:val="0"/>
          <w:sz w:val="24"/>
          <w:szCs w:val="24"/>
          <w:highlight w:val="none"/>
          <w:lang w:val="zh-CN" w:eastAsia="zh-CN" w:bidi="ar-SA"/>
        </w:rPr>
        <w:t xml:space="preserve">  </w:t>
      </w:r>
    </w:p>
    <w:p w14:paraId="14E3221F">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工期进度要求</w:t>
      </w:r>
    </w:p>
    <w:p w14:paraId="78167899">
      <w:pPr>
        <w:pStyle w:val="10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lang w:val="en-US" w:eastAsia="zh-CN"/>
        </w:rPr>
        <w:t>无人机管控中心及岸海协同多元感传感技术实验室设备需在</w:t>
      </w:r>
      <w:r>
        <w:rPr>
          <w:rFonts w:hint="eastAsia" w:ascii="仿宋_GB2312" w:hAnsi="仿宋_GB2312" w:eastAsia="仿宋_GB2312" w:cs="仿宋_GB2312"/>
          <w:snapToGrid w:val="0"/>
          <w:sz w:val="24"/>
          <w:szCs w:val="24"/>
          <w:highlight w:val="none"/>
        </w:rPr>
        <w:t>合同签订后</w:t>
      </w:r>
      <w:r>
        <w:rPr>
          <w:rFonts w:hint="eastAsia" w:ascii="仿宋_GB2312" w:hAnsi="仿宋_GB2312" w:eastAsia="仿宋_GB2312" w:cs="仿宋_GB2312"/>
          <w:snapToGrid w:val="0"/>
          <w:sz w:val="24"/>
          <w:szCs w:val="24"/>
          <w:highlight w:val="none"/>
          <w:lang w:val="en-US" w:eastAsia="zh-CN"/>
        </w:rPr>
        <w:t>45天内完成全部设备到货，机房建设在6</w:t>
      </w:r>
      <w:r>
        <w:rPr>
          <w:rFonts w:hint="eastAsia" w:ascii="仿宋_GB2312" w:hAnsi="仿宋_GB2312" w:eastAsia="仿宋_GB2312" w:cs="仿宋_GB2312"/>
          <w:snapToGrid w:val="0"/>
          <w:sz w:val="24"/>
          <w:szCs w:val="24"/>
          <w:highlight w:val="none"/>
        </w:rPr>
        <w:t>个月内完成</w:t>
      </w:r>
      <w:r>
        <w:rPr>
          <w:rFonts w:hint="eastAsia" w:ascii="仿宋_GB2312" w:hAnsi="仿宋_GB2312" w:eastAsia="仿宋_GB2312" w:cs="仿宋_GB2312"/>
          <w:snapToGrid w:val="0"/>
          <w:sz w:val="24"/>
          <w:szCs w:val="24"/>
          <w:highlight w:val="none"/>
          <w:lang w:val="en-US" w:eastAsia="zh-CN"/>
        </w:rPr>
        <w:t>并通过初验</w:t>
      </w:r>
      <w:r>
        <w:rPr>
          <w:rFonts w:hint="eastAsia" w:ascii="仿宋_GB2312" w:hAnsi="仿宋_GB2312" w:eastAsia="仿宋_GB2312" w:cs="仿宋_GB2312"/>
          <w:snapToGrid w:val="0"/>
          <w:sz w:val="24"/>
          <w:szCs w:val="24"/>
          <w:highlight w:val="none"/>
        </w:rPr>
        <w:t>。</w:t>
      </w:r>
      <w:r>
        <w:rPr>
          <w:rFonts w:hint="eastAsia" w:ascii="仿宋_GB2312" w:hAnsi="仿宋_GB2312" w:eastAsia="仿宋_GB2312" w:cs="仿宋_GB2312"/>
          <w:snapToGrid w:val="0"/>
          <w:sz w:val="24"/>
          <w:szCs w:val="24"/>
          <w:highlight w:val="none"/>
          <w:lang w:val="en-US" w:eastAsia="zh-CN"/>
        </w:rPr>
        <w:t>经不少于3个月的试运行后组织竣工验收。</w:t>
      </w:r>
    </w:p>
    <w:p w14:paraId="12E25126">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付款方式</w:t>
      </w:r>
    </w:p>
    <w:p w14:paraId="68787432">
      <w:pPr>
        <w:widowControl/>
        <w:spacing w:line="360" w:lineRule="auto"/>
        <w:ind w:firstLine="480" w:firstLineChars="200"/>
        <w:rPr>
          <w:rFonts w:hint="eastAsia" w:ascii="仿宋_GB2312" w:hAnsi="仿宋_GB2312" w:eastAsia="仿宋_GB2312" w:cs="仿宋_GB2312"/>
          <w:snapToGrid w:val="0"/>
          <w:kern w:val="0"/>
          <w:sz w:val="24"/>
          <w:szCs w:val="24"/>
          <w:highlight w:val="none"/>
          <w:lang w:val="zh-CN" w:eastAsia="zh-CN" w:bidi="ar-SA"/>
        </w:rPr>
      </w:pPr>
      <w:r>
        <w:rPr>
          <w:rFonts w:hint="eastAsia" w:ascii="仿宋_GB2312" w:hAnsi="仿宋_GB2312" w:eastAsia="仿宋_GB2312" w:cs="仿宋_GB2312"/>
          <w:snapToGrid w:val="0"/>
          <w:kern w:val="0"/>
          <w:sz w:val="24"/>
          <w:szCs w:val="24"/>
          <w:highlight w:val="none"/>
          <w:lang w:val="zh-CN" w:eastAsia="zh-CN" w:bidi="ar-SA"/>
        </w:rPr>
        <w:t>（1）合同签订生效及具备履约实施条件并开具正式发票后</w:t>
      </w:r>
      <w:r>
        <w:rPr>
          <w:rFonts w:hint="default" w:ascii="仿宋_GB2312" w:hAnsi="仿宋_GB2312" w:eastAsia="仿宋_GB2312" w:cs="仿宋_GB2312"/>
          <w:snapToGrid w:val="0"/>
          <w:kern w:val="0"/>
          <w:sz w:val="24"/>
          <w:szCs w:val="24"/>
          <w:highlight w:val="none"/>
          <w:lang w:val="en-US" w:eastAsia="zh-CN" w:bidi="ar-SA"/>
        </w:rPr>
        <w:t>7</w:t>
      </w:r>
      <w:r>
        <w:rPr>
          <w:rFonts w:hint="eastAsia" w:ascii="仿宋_GB2312" w:hAnsi="仿宋_GB2312" w:eastAsia="仿宋_GB2312" w:cs="仿宋_GB2312"/>
          <w:snapToGrid w:val="0"/>
          <w:kern w:val="0"/>
          <w:sz w:val="24"/>
          <w:szCs w:val="24"/>
          <w:highlight w:val="none"/>
          <w:lang w:val="zh-CN" w:eastAsia="zh-CN" w:bidi="ar-SA"/>
        </w:rPr>
        <w:t>个工作日内，支付合同款的</w:t>
      </w:r>
      <w:r>
        <w:rPr>
          <w:rFonts w:hint="eastAsia" w:ascii="仿宋_GB2312" w:hAnsi="仿宋_GB2312" w:eastAsia="仿宋_GB2312" w:cs="仿宋_GB2312"/>
          <w:snapToGrid w:val="0"/>
          <w:kern w:val="0"/>
          <w:sz w:val="24"/>
          <w:szCs w:val="24"/>
          <w:highlight w:val="none"/>
          <w:lang w:val="en-US" w:eastAsia="zh-CN" w:bidi="ar-SA"/>
        </w:rPr>
        <w:t>45</w:t>
      </w:r>
      <w:r>
        <w:rPr>
          <w:rFonts w:hint="eastAsia" w:ascii="仿宋_GB2312" w:hAnsi="仿宋_GB2312" w:eastAsia="仿宋_GB2312" w:cs="仿宋_GB2312"/>
          <w:snapToGrid w:val="0"/>
          <w:kern w:val="0"/>
          <w:sz w:val="24"/>
          <w:szCs w:val="24"/>
          <w:highlight w:val="none"/>
          <w:lang w:val="zh-CN" w:eastAsia="zh-CN" w:bidi="ar-SA"/>
        </w:rPr>
        <w:t>%；</w:t>
      </w:r>
    </w:p>
    <w:p w14:paraId="0F4FD85A">
      <w:pPr>
        <w:widowControl/>
        <w:spacing w:line="360" w:lineRule="auto"/>
        <w:ind w:firstLine="480" w:firstLineChars="200"/>
        <w:rPr>
          <w:rFonts w:hint="eastAsia" w:ascii="仿宋_GB2312" w:hAnsi="仿宋_GB2312" w:eastAsia="仿宋_GB2312" w:cs="仿宋_GB2312"/>
          <w:snapToGrid w:val="0"/>
          <w:kern w:val="0"/>
          <w:sz w:val="24"/>
          <w:szCs w:val="24"/>
          <w:highlight w:val="none"/>
          <w:lang w:val="zh-CN" w:eastAsia="zh-CN" w:bidi="ar-SA"/>
        </w:rPr>
      </w:pPr>
      <w:r>
        <w:rPr>
          <w:rFonts w:hint="eastAsia" w:ascii="仿宋_GB2312" w:hAnsi="仿宋_GB2312" w:eastAsia="仿宋_GB2312" w:cs="仿宋_GB2312"/>
          <w:snapToGrid w:val="0"/>
          <w:kern w:val="0"/>
          <w:sz w:val="24"/>
          <w:szCs w:val="24"/>
          <w:highlight w:val="none"/>
          <w:lang w:val="zh-CN" w:eastAsia="zh-CN" w:bidi="ar-SA"/>
        </w:rPr>
        <w:t>（</w:t>
      </w:r>
      <w:r>
        <w:rPr>
          <w:rFonts w:hint="eastAsia" w:ascii="仿宋_GB2312" w:hAnsi="仿宋_GB2312" w:eastAsia="仿宋_GB2312" w:cs="仿宋_GB2312"/>
          <w:snapToGrid w:val="0"/>
          <w:kern w:val="0"/>
          <w:sz w:val="24"/>
          <w:szCs w:val="24"/>
          <w:highlight w:val="none"/>
          <w:lang w:val="en-US" w:eastAsia="zh-CN" w:bidi="ar-SA"/>
        </w:rPr>
        <w:t>2</w:t>
      </w:r>
      <w:r>
        <w:rPr>
          <w:rFonts w:hint="eastAsia" w:ascii="仿宋_GB2312" w:hAnsi="仿宋_GB2312" w:eastAsia="仿宋_GB2312" w:cs="仿宋_GB2312"/>
          <w:snapToGrid w:val="0"/>
          <w:kern w:val="0"/>
          <w:sz w:val="24"/>
          <w:szCs w:val="24"/>
          <w:highlight w:val="none"/>
          <w:lang w:val="zh-CN" w:eastAsia="zh-CN" w:bidi="ar-SA"/>
        </w:rPr>
        <w:t>）项目试运行结束，终验合格并开具正式发票后</w:t>
      </w:r>
      <w:r>
        <w:rPr>
          <w:rFonts w:hint="default" w:ascii="仿宋_GB2312" w:hAnsi="仿宋_GB2312" w:eastAsia="仿宋_GB2312" w:cs="仿宋_GB2312"/>
          <w:snapToGrid w:val="0"/>
          <w:kern w:val="0"/>
          <w:sz w:val="24"/>
          <w:szCs w:val="24"/>
          <w:highlight w:val="none"/>
          <w:lang w:val="en-US" w:eastAsia="zh-CN" w:bidi="ar-SA"/>
        </w:rPr>
        <w:t>7</w:t>
      </w:r>
      <w:r>
        <w:rPr>
          <w:rFonts w:hint="eastAsia" w:ascii="仿宋_GB2312" w:hAnsi="仿宋_GB2312" w:eastAsia="仿宋_GB2312" w:cs="仿宋_GB2312"/>
          <w:snapToGrid w:val="0"/>
          <w:kern w:val="0"/>
          <w:sz w:val="24"/>
          <w:szCs w:val="24"/>
          <w:highlight w:val="none"/>
          <w:lang w:val="zh-CN" w:eastAsia="zh-CN" w:bidi="ar-SA"/>
        </w:rPr>
        <w:t xml:space="preserve">个工作日内，支付剩余合同款。最终费用以审计为准。  </w:t>
      </w:r>
    </w:p>
    <w:p w14:paraId="3076BD16">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质保期</w:t>
      </w:r>
    </w:p>
    <w:p w14:paraId="0D29BF9F">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项目验收后提供项目整体3年质保。自项目通过验收之日起计算。质保期内：供应商有责任解决所提供的投标设备和软件系统的任何问题，在质保期满后，当需要时，供应商仍须对因投标设备本身的固有缺陷和瑕疵承担相应责任。</w:t>
      </w:r>
    </w:p>
    <w:p w14:paraId="6F96E009">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质保期</w:t>
      </w:r>
    </w:p>
    <w:p w14:paraId="23125894">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技术支持力量和优良的服务是系统正常、安全运行的保障。投标方应据此制定系统详细的售后服务方案。中标人应免费提供技术培训服务（包括授课费、资料费、参加培训人员的差旅食宿费）。投标人需在投标文件中列出详细的技术培训计划，包括培训课程、参加培训的人数、培训时间、培训地点等。</w:t>
      </w:r>
    </w:p>
    <w:p w14:paraId="250D9A2B">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培训目的：使甲方对系统布局、各子系统之间的关系以及系统整体构成有清晰、完整的认识，提高甲方自主分析问题和解决问题的能力，确保系统日常故障能在第一时间内由用户自行解决，从而提高设备和系统的有效性。同时，通过培训可提高用户使用、维护和管理整个系统的能力，从而提高用户技术人员的业务水平，确保整个系统可靠、稳定的运行，提高系统的可用性和可维护性。</w:t>
      </w:r>
    </w:p>
    <w:p w14:paraId="15A0F495">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1.培训</w:t>
      </w:r>
    </w:p>
    <w:p w14:paraId="468B5202">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1）培训方式：包括但不仅限于现场培训及集中培训。</w:t>
      </w:r>
    </w:p>
    <w:p w14:paraId="08E81FDD">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①现场培训：在设备系统到位时，将有针对性的对于不同的人员进行现场‎的实际培训，主要包括所安装的各项系统的基本安装步骤、维护、性能调试的数据指标；</w:t>
      </w:r>
    </w:p>
    <w:p w14:paraId="3038D5B4">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②集中培训：准备好培训相关培训资料和教材，对日常操作人员和系统维护人员进行集中培训，培训次数≥1次（以甲方实际要求为准）。</w:t>
      </w:r>
    </w:p>
    <w:p w14:paraId="4CEC332D">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③中标人为甲方提供的培训包括系统培训和设备培训，其中中标人需负责协调各设备供应商提供相关设备培训，整个培训由中标人召集和组织，由各设备‎供应商协助举办，期间所产生的相关费用由中标人承担。</w:t>
      </w:r>
    </w:p>
    <w:p w14:paraId="5EBCC6A4">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④投标人须专门设立一个培训组（≥2人）负责本次项目的培训任务，所有培训人员由资深管理人员和技术人员担当，所有主要培训人员都具有三年以上的实际教学经验。</w:t>
      </w:r>
    </w:p>
    <w:p w14:paraId="4B88B569">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⑤在项目正式实施前，中标人现场施工技术人员需对用户相关子系统的技术人员进行简单的培训，实施过程中，进行全程项目同步培训，培训人数根据项目的实际情况，‎每次培训的人员数量将以甲方的需求为准。</w:t>
      </w:r>
    </w:p>
    <w:p w14:paraId="54A19E3E">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2）培训时间：</w:t>
      </w:r>
    </w:p>
    <w:p w14:paraId="390F88BD">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①现场培训随项目实施在现场进行培训；</w:t>
      </w:r>
    </w:p>
    <w:p w14:paraId="1F7D4B25">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‎②集中系统的培训，时间定于试运行完成前开始，培训时间双方根据项目情况、用户技术人员技术基础情况协商。</w:t>
      </w:r>
    </w:p>
    <w:p w14:paraId="6C7D6260">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3）培训地点：</w:t>
      </w:r>
    </w:p>
    <w:p w14:paraId="19045029">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①在项目实施期在施工现场作为培训地点予以手把手的培训‎；</w:t>
      </w:r>
    </w:p>
    <w:p w14:paraId="0FCF224F">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②集中培训地点由双方协商安排培训会址‎。</w:t>
      </w:r>
    </w:p>
    <w:p w14:paraId="3440BE66">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2.运维服务</w:t>
      </w:r>
    </w:p>
    <w:p w14:paraId="6D77DD3B">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（1）投标人必须提供运维服务支持，必须建立专业的运行维护服务队伍。</w:t>
      </w:r>
    </w:p>
    <w:p w14:paraId="34FC4F73">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（2）如遇重大活动，接到甲方通知后，必须无条件派工程师实行现场技术保障，确保系统在活动期间正常运行。</w:t>
      </w:r>
    </w:p>
    <w:p w14:paraId="4DB871FC">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验收和系统移交要求</w:t>
      </w:r>
    </w:p>
    <w:p w14:paraId="45E53317">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投标人必须接受在目标计算机系统上对每个计算机软件单元、计算机软件部件、整个软件和系统进行测试验收。投标人所交付的硬件产品应是交付前最新生产且未被使用过的全新产品，同时必须具有在中国境内的合法使用权。本项目的所有设备须进行安装、调试，直到各系统设备能正常运行使用。</w:t>
      </w:r>
    </w:p>
    <w:p w14:paraId="34DD597E">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投标人必须制定测试验收计划、测试验收说明、测试验收记录、测试验收报告。及时修正测试验收过程中发现的问题。其中系统测试验收将由招标人组织进行验收。验收的主要内容包括：检查“合同”或“验收标准”要求的所有功能；检查“合同”或“验收标准”要求的所有质量特性；验证功能和接口与需求规格说明的一致性；检查交付的产品与“合同”或“验收标准”要求的一致性及符合有关标准的情况；由双方商定所进行的一些特殊测试和配置审核。</w:t>
      </w:r>
    </w:p>
    <w:p w14:paraId="2290AF70">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项目提交成果</w:t>
      </w:r>
    </w:p>
    <w:p w14:paraId="37F80E7D">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bookmarkStart w:id="27" w:name="_Toc167030879"/>
      <w:r>
        <w:rPr>
          <w:rFonts w:hint="eastAsia" w:ascii="仿宋_GB2312" w:hAnsi="仿宋_GB2312" w:eastAsia="仿宋_GB2312" w:cs="仿宋_GB2312"/>
          <w:snapToGrid w:val="0"/>
          <w:sz w:val="24"/>
          <w:szCs w:val="24"/>
          <w:highlight w:val="none"/>
          <w:lang w:val="zh-CN" w:eastAsia="zh-CN"/>
        </w:rPr>
        <w:t>（一）技术文档</w:t>
      </w:r>
      <w:bookmarkEnd w:id="27"/>
    </w:p>
    <w:p w14:paraId="26C5E942">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本项目的技术文档包括：本项目建设所涉及的技术规定文档、设计书、测试报告、用户手册、用户报告等，以及项目实施过程中形成的各类周报、月报、会议纪要、沟通记录</w:t>
      </w:r>
      <w:bookmarkStart w:id="28" w:name="_Toc167030880"/>
      <w:r>
        <w:rPr>
          <w:rFonts w:hint="eastAsia" w:ascii="仿宋_GB2312" w:hAnsi="仿宋_GB2312" w:eastAsia="仿宋_GB2312" w:cs="仿宋_GB2312"/>
          <w:snapToGrid w:val="0"/>
          <w:sz w:val="24"/>
          <w:szCs w:val="24"/>
          <w:highlight w:val="none"/>
          <w:lang w:val="zh-CN" w:eastAsia="zh-CN"/>
        </w:rPr>
        <w:t>等</w:t>
      </w:r>
    </w:p>
    <w:bookmarkEnd w:id="28"/>
    <w:p w14:paraId="29BFE259">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bookmarkStart w:id="29" w:name="_Toc167030881"/>
      <w:r>
        <w:rPr>
          <w:rFonts w:hint="eastAsia" w:ascii="仿宋_GB2312" w:hAnsi="仿宋_GB2312" w:eastAsia="仿宋_GB2312" w:cs="仿宋_GB2312"/>
          <w:snapToGrid w:val="0"/>
          <w:sz w:val="24"/>
          <w:szCs w:val="24"/>
          <w:highlight w:val="none"/>
          <w:lang w:val="zh-CN" w:eastAsia="zh-CN"/>
        </w:rPr>
        <w:t>（</w:t>
      </w:r>
      <w:r>
        <w:rPr>
          <w:rFonts w:hint="eastAsia" w:ascii="仿宋_GB2312" w:hAnsi="仿宋_GB2312" w:eastAsia="仿宋_GB2312" w:cs="仿宋_GB2312"/>
          <w:snapToGrid w:val="0"/>
          <w:sz w:val="24"/>
          <w:szCs w:val="24"/>
          <w:highlight w:val="none"/>
          <w:lang w:val="en-US" w:eastAsia="zh-CN"/>
        </w:rPr>
        <w:t>二</w:t>
      </w:r>
      <w:r>
        <w:rPr>
          <w:rFonts w:hint="eastAsia" w:ascii="仿宋_GB2312" w:hAnsi="仿宋_GB2312" w:eastAsia="仿宋_GB2312" w:cs="仿宋_GB2312"/>
          <w:snapToGrid w:val="0"/>
          <w:sz w:val="24"/>
          <w:szCs w:val="24"/>
          <w:highlight w:val="none"/>
          <w:lang w:val="zh-CN" w:eastAsia="zh-CN"/>
        </w:rPr>
        <w:t>）成果形式</w:t>
      </w:r>
      <w:bookmarkEnd w:id="29"/>
    </w:p>
    <w:p w14:paraId="457B6D0B">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所有内容都必须同时提供电子和纸质成果。</w:t>
      </w:r>
    </w:p>
    <w:p w14:paraId="3ABADBC1">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bookmarkStart w:id="30" w:name="_Toc167030882"/>
      <w:bookmarkStart w:id="31" w:name="_Toc296067331"/>
      <w:r>
        <w:rPr>
          <w:rFonts w:hint="eastAsia" w:ascii="仿宋_GB2312" w:hAnsi="仿宋_GB2312" w:eastAsia="仿宋_GB2312" w:cs="仿宋_GB2312"/>
          <w:snapToGrid w:val="0"/>
          <w:sz w:val="24"/>
          <w:szCs w:val="24"/>
          <w:highlight w:val="none"/>
          <w:lang w:val="zh-CN" w:eastAsia="zh-CN"/>
        </w:rPr>
        <w:t>（</w:t>
      </w:r>
      <w:r>
        <w:rPr>
          <w:rFonts w:hint="eastAsia" w:ascii="仿宋_GB2312" w:hAnsi="仿宋_GB2312" w:eastAsia="仿宋_GB2312" w:cs="仿宋_GB2312"/>
          <w:snapToGrid w:val="0"/>
          <w:sz w:val="24"/>
          <w:szCs w:val="24"/>
          <w:highlight w:val="none"/>
          <w:lang w:val="en-US" w:eastAsia="zh-CN"/>
        </w:rPr>
        <w:t>三</w:t>
      </w:r>
      <w:r>
        <w:rPr>
          <w:rFonts w:hint="eastAsia" w:ascii="仿宋_GB2312" w:hAnsi="仿宋_GB2312" w:eastAsia="仿宋_GB2312" w:cs="仿宋_GB2312"/>
          <w:snapToGrid w:val="0"/>
          <w:sz w:val="24"/>
          <w:szCs w:val="24"/>
          <w:highlight w:val="none"/>
          <w:lang w:val="zh-CN" w:eastAsia="zh-CN"/>
        </w:rPr>
        <w:t>）成果知识产权</w:t>
      </w:r>
      <w:bookmarkEnd w:id="30"/>
      <w:bookmarkEnd w:id="31"/>
    </w:p>
    <w:p w14:paraId="501A65B0">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snapToGrid w:val="0"/>
          <w:sz w:val="24"/>
          <w:szCs w:val="24"/>
          <w:highlight w:val="none"/>
          <w:lang w:val="zh-CN" w:eastAsia="zh-CN"/>
        </w:rPr>
      </w:pPr>
      <w:r>
        <w:rPr>
          <w:rFonts w:hint="eastAsia" w:ascii="仿宋_GB2312" w:hAnsi="仿宋_GB2312" w:eastAsia="仿宋_GB2312" w:cs="仿宋_GB2312"/>
          <w:snapToGrid w:val="0"/>
          <w:sz w:val="24"/>
          <w:szCs w:val="24"/>
          <w:highlight w:val="none"/>
          <w:lang w:val="zh-CN" w:eastAsia="zh-CN"/>
        </w:rPr>
        <w:t>本项目所形成的各类设计所取得成果所有权归舟山市公安局所有，中标单位在承担任务所完成的各种文件、电子文档以及其他相关资料和文件，其所有权和知识产权均归舟山市公安局所有，未经许可，中标单位不得移作他用或自行转让。</w:t>
      </w:r>
    </w:p>
    <w:p w14:paraId="468367AC">
      <w:pPr>
        <w:pStyle w:val="104"/>
        <w:widowControl w:val="0"/>
        <w:numPr>
          <w:ilvl w:val="0"/>
          <w:numId w:val="0"/>
        </w:numPr>
        <w:autoSpaceDE w:val="0"/>
        <w:autoSpaceDN w:val="0"/>
        <w:spacing w:line="360" w:lineRule="auto"/>
        <w:ind w:firstLine="480" w:firstLineChars="200"/>
        <w:jc w:val="left"/>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snapToGrid w:val="0"/>
          <w:sz w:val="24"/>
          <w:szCs w:val="24"/>
          <w:highlight w:val="none"/>
          <w:lang w:val="zh-CN" w:eastAsia="zh-CN"/>
        </w:rPr>
        <w:t>中标单位应保证其设计方案不涉及知识产权问题。</w:t>
      </w:r>
    </w:p>
    <w:p w14:paraId="6E48F8AA">
      <w:pPr>
        <w:pStyle w:val="2"/>
        <w:numPr>
          <w:ilvl w:val="0"/>
          <w:numId w:val="5"/>
        </w:numPr>
        <w:bidi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附件</w:t>
      </w:r>
    </w:p>
    <w:p w14:paraId="30B390B1">
      <w:pPr>
        <w:rPr>
          <w:rFonts w:hint="eastAsia" w:ascii="方正仿宋_GB2312" w:hAnsi="方正仿宋_GB2312" w:eastAsia="方正仿宋_GB2312" w:cs="方正仿宋_GB2312"/>
          <w:sz w:val="24"/>
          <w:szCs w:val="24"/>
          <w:lang w:val="en-US" w:eastAsia="zh-CN"/>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2F18090B">
      <w:pPr>
        <w:pStyle w:val="2"/>
        <w:rPr>
          <w:rFonts w:hint="eastAsia"/>
          <w:lang w:val="en-US" w:eastAsia="zh-CN"/>
        </w:rPr>
      </w:pPr>
      <w:r>
        <w:drawing>
          <wp:inline distT="0" distB="0" distL="114300" distR="114300">
            <wp:extent cx="4379595" cy="8429625"/>
            <wp:effectExtent l="0" t="0" r="317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rot="16200000">
                      <a:off x="0" y="0"/>
                      <a:ext cx="4379595" cy="8429625"/>
                    </a:xfrm>
                    <a:prstGeom prst="rect">
                      <a:avLst/>
                    </a:prstGeom>
                    <a:noFill/>
                    <a:ln>
                      <a:noFill/>
                    </a:ln>
                  </pic:spPr>
                </pic:pic>
              </a:graphicData>
            </a:graphic>
          </wp:inline>
        </w:drawing>
      </w:r>
      <w:r>
        <w:drawing>
          <wp:inline distT="0" distB="0" distL="114300" distR="114300">
            <wp:extent cx="4322445" cy="8128000"/>
            <wp:effectExtent l="0" t="0" r="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rot="16200000">
                      <a:off x="0" y="0"/>
                      <a:ext cx="4322445" cy="8128000"/>
                    </a:xfrm>
                    <a:prstGeom prst="rect">
                      <a:avLst/>
                    </a:prstGeom>
                    <a:noFill/>
                    <a:ln>
                      <a:noFill/>
                    </a:ln>
                  </pic:spPr>
                </pic:pic>
              </a:graphicData>
            </a:graphic>
          </wp:inline>
        </w:drawing>
      </w:r>
      <w:r>
        <w:drawing>
          <wp:inline distT="0" distB="0" distL="114300" distR="114300">
            <wp:extent cx="4247515" cy="8151495"/>
            <wp:effectExtent l="0" t="0" r="190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rot="16200000">
                      <a:off x="0" y="0"/>
                      <a:ext cx="4247515" cy="8151495"/>
                    </a:xfrm>
                    <a:prstGeom prst="rect">
                      <a:avLst/>
                    </a:prstGeom>
                    <a:noFill/>
                    <a:ln>
                      <a:noFill/>
                    </a:ln>
                  </pic:spPr>
                </pic:pic>
              </a:graphicData>
            </a:graphic>
          </wp:inline>
        </w:drawing>
      </w:r>
      <w:r>
        <w:drawing>
          <wp:inline distT="0" distB="0" distL="114300" distR="114300">
            <wp:extent cx="8206740" cy="51790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8206740" cy="5179060"/>
                    </a:xfrm>
                    <a:prstGeom prst="rect">
                      <a:avLst/>
                    </a:prstGeom>
                    <a:noFill/>
                    <a:ln>
                      <a:noFill/>
                    </a:ln>
                  </pic:spPr>
                </pic:pic>
              </a:graphicData>
            </a:graphic>
          </wp:inline>
        </w:drawing>
      </w:r>
      <w:r>
        <w:drawing>
          <wp:inline distT="0" distB="0" distL="114300" distR="114300">
            <wp:extent cx="7705725" cy="5100955"/>
            <wp:effectExtent l="0" t="0" r="3175"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7705725" cy="5100955"/>
                    </a:xfrm>
                    <a:prstGeom prst="rect">
                      <a:avLst/>
                    </a:prstGeom>
                    <a:noFill/>
                    <a:ln>
                      <a:noFill/>
                    </a:ln>
                  </pic:spPr>
                </pic:pic>
              </a:graphicData>
            </a:graphic>
          </wp:inline>
        </w:drawing>
      </w:r>
      <w:r>
        <w:drawing>
          <wp:inline distT="0" distB="0" distL="114300" distR="114300">
            <wp:extent cx="8087995" cy="5263515"/>
            <wp:effectExtent l="0" t="0" r="190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8087995" cy="5263515"/>
                    </a:xfrm>
                    <a:prstGeom prst="rect">
                      <a:avLst/>
                    </a:prstGeom>
                    <a:noFill/>
                    <a:ln>
                      <a:noFill/>
                    </a:ln>
                  </pic:spPr>
                </pic:pic>
              </a:graphicData>
            </a:graphic>
          </wp:inline>
        </w:drawing>
      </w:r>
      <w:r>
        <w:drawing>
          <wp:inline distT="0" distB="0" distL="114300" distR="114300">
            <wp:extent cx="7890510" cy="5356860"/>
            <wp:effectExtent l="0" t="0" r="8890" b="25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8"/>
                    <a:stretch>
                      <a:fillRect/>
                    </a:stretch>
                  </pic:blipFill>
                  <pic:spPr>
                    <a:xfrm>
                      <a:off x="0" y="0"/>
                      <a:ext cx="7890510" cy="5356860"/>
                    </a:xfrm>
                    <a:prstGeom prst="rect">
                      <a:avLst/>
                    </a:prstGeom>
                    <a:noFill/>
                    <a:ln>
                      <a:noFill/>
                    </a:ln>
                  </pic:spPr>
                </pic:pic>
              </a:graphicData>
            </a:graphic>
          </wp:inline>
        </w:drawing>
      </w:r>
      <w:r>
        <w:drawing>
          <wp:inline distT="0" distB="0" distL="114300" distR="114300">
            <wp:extent cx="8021955" cy="5229860"/>
            <wp:effectExtent l="0" t="0" r="4445" b="25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8021955" cy="5229860"/>
                    </a:xfrm>
                    <a:prstGeom prst="rect">
                      <a:avLst/>
                    </a:prstGeom>
                    <a:noFill/>
                    <a:ln>
                      <a:noFill/>
                    </a:ln>
                  </pic:spPr>
                </pic:pic>
              </a:graphicData>
            </a:graphic>
          </wp:inline>
        </w:drawing>
      </w:r>
      <w:r>
        <w:drawing>
          <wp:inline distT="0" distB="0" distL="114300" distR="114300">
            <wp:extent cx="7795895" cy="5234940"/>
            <wp:effectExtent l="0" t="0" r="1905"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0"/>
                    <a:stretch>
                      <a:fillRect/>
                    </a:stretch>
                  </pic:blipFill>
                  <pic:spPr>
                    <a:xfrm>
                      <a:off x="0" y="0"/>
                      <a:ext cx="7795895" cy="5234940"/>
                    </a:xfrm>
                    <a:prstGeom prst="rect">
                      <a:avLst/>
                    </a:prstGeom>
                    <a:noFill/>
                    <a:ln>
                      <a:noFill/>
                    </a:ln>
                  </pic:spPr>
                </pic:pic>
              </a:graphicData>
            </a:graphic>
          </wp:inline>
        </w:drawing>
      </w:r>
      <w:r>
        <w:drawing>
          <wp:inline distT="0" distB="0" distL="114300" distR="114300">
            <wp:extent cx="7896860" cy="5111115"/>
            <wp:effectExtent l="0" t="0" r="2540"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1"/>
                    <a:stretch>
                      <a:fillRect/>
                    </a:stretch>
                  </pic:blipFill>
                  <pic:spPr>
                    <a:xfrm>
                      <a:off x="0" y="0"/>
                      <a:ext cx="7896860" cy="5111115"/>
                    </a:xfrm>
                    <a:prstGeom prst="rect">
                      <a:avLst/>
                    </a:prstGeom>
                    <a:noFill/>
                    <a:ln>
                      <a:noFill/>
                    </a:ln>
                  </pic:spPr>
                </pic:pic>
              </a:graphicData>
            </a:graphic>
          </wp:inline>
        </w:drawing>
      </w:r>
      <w:r>
        <w:drawing>
          <wp:inline distT="0" distB="0" distL="114300" distR="114300">
            <wp:extent cx="7921625" cy="5073015"/>
            <wp:effectExtent l="0" t="0" r="3175" b="698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2"/>
                    <a:stretch>
                      <a:fillRect/>
                    </a:stretch>
                  </pic:blipFill>
                  <pic:spPr>
                    <a:xfrm>
                      <a:off x="0" y="0"/>
                      <a:ext cx="7921625" cy="5073015"/>
                    </a:xfrm>
                    <a:prstGeom prst="rect">
                      <a:avLst/>
                    </a:prstGeom>
                    <a:noFill/>
                    <a:ln>
                      <a:noFill/>
                    </a:ln>
                  </pic:spPr>
                </pic:pic>
              </a:graphicData>
            </a:graphic>
          </wp:inline>
        </w:drawing>
      </w:r>
      <w:r>
        <w:drawing>
          <wp:inline distT="0" distB="0" distL="114300" distR="114300">
            <wp:extent cx="7752715" cy="5003800"/>
            <wp:effectExtent l="0" t="0" r="698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3"/>
                    <a:stretch>
                      <a:fillRect/>
                    </a:stretch>
                  </pic:blipFill>
                  <pic:spPr>
                    <a:xfrm>
                      <a:off x="0" y="0"/>
                      <a:ext cx="7752715" cy="5003800"/>
                    </a:xfrm>
                    <a:prstGeom prst="rect">
                      <a:avLst/>
                    </a:prstGeom>
                    <a:noFill/>
                    <a:ln>
                      <a:noFill/>
                    </a:ln>
                  </pic:spPr>
                </pic:pic>
              </a:graphicData>
            </a:graphic>
          </wp:inline>
        </w:drawing>
      </w:r>
    </w:p>
    <w:p w14:paraId="6BCFE0A4">
      <w:pPr>
        <w:jc w:val="center"/>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sectPr>
          <w:pgSz w:w="16840" w:h="11907" w:orient="landscape"/>
          <w:pgMar w:top="1814" w:right="1474" w:bottom="1814" w:left="1474" w:header="851" w:footer="851" w:gutter="0"/>
          <w:pgBorders>
            <w:top w:val="none" w:sz="0" w:space="0"/>
            <w:left w:val="none" w:sz="0" w:space="0"/>
            <w:bottom w:val="none" w:sz="0" w:space="0"/>
            <w:right w:val="none" w:sz="0" w:space="0"/>
          </w:pgBorders>
          <w:cols w:space="720" w:num="1"/>
        </w:sectPr>
      </w:pPr>
    </w:p>
    <w:p w14:paraId="5C4799A7">
      <w:pPr>
        <w:jc w:val="center"/>
        <w:outlineLvl w:val="0"/>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第四部分</w:t>
      </w:r>
      <w:bookmarkStart w:id="32" w:name="_Toc184314410"/>
      <w:bookmarkEnd w:id="32"/>
      <w:bookmarkStart w:id="33" w:name="_Toc184314478"/>
      <w:bookmarkEnd w:id="33"/>
      <w:bookmarkStart w:id="34" w:name="_Toc184310283"/>
      <w:bookmarkEnd w:id="34"/>
      <w:bookmarkStart w:id="35" w:name="_Toc184308040"/>
      <w:bookmarkEnd w:id="35"/>
      <w:bookmarkStart w:id="36" w:name="_Toc184308079"/>
      <w:bookmarkEnd w:id="36"/>
      <w:bookmarkStart w:id="37" w:name="_Toc184313305"/>
      <w:bookmarkEnd w:id="37"/>
      <w:bookmarkStart w:id="38" w:name="_Toc184308060"/>
      <w:bookmarkEnd w:id="38"/>
      <w:bookmarkStart w:id="39" w:name="_Toc184310277"/>
      <w:bookmarkEnd w:id="39"/>
      <w:bookmarkStart w:id="40" w:name="_Toc184313246"/>
      <w:bookmarkEnd w:id="40"/>
      <w:bookmarkStart w:id="41" w:name="_Toc184313300"/>
      <w:bookmarkEnd w:id="41"/>
      <w:bookmarkStart w:id="42" w:name="_Toc184310304"/>
      <w:bookmarkEnd w:id="42"/>
      <w:bookmarkStart w:id="43" w:name="_Toc184312127"/>
      <w:bookmarkEnd w:id="43"/>
      <w:bookmarkStart w:id="44" w:name="_Toc184314450"/>
      <w:bookmarkEnd w:id="44"/>
      <w:bookmarkStart w:id="45" w:name="_Toc184314428"/>
      <w:bookmarkEnd w:id="45"/>
      <w:bookmarkStart w:id="46" w:name="_Toc184310315"/>
      <w:bookmarkEnd w:id="46"/>
      <w:bookmarkStart w:id="47" w:name="_Toc184312104"/>
      <w:bookmarkEnd w:id="47"/>
      <w:bookmarkStart w:id="48" w:name="_Toc184314474"/>
      <w:bookmarkEnd w:id="48"/>
      <w:bookmarkStart w:id="49" w:name="_Toc184308058"/>
      <w:bookmarkEnd w:id="49"/>
      <w:bookmarkStart w:id="50" w:name="_Toc184308095"/>
      <w:bookmarkEnd w:id="50"/>
      <w:bookmarkStart w:id="51" w:name="_Toc184313276"/>
      <w:bookmarkEnd w:id="51"/>
      <w:bookmarkStart w:id="52" w:name="_Toc184314448"/>
      <w:bookmarkEnd w:id="52"/>
      <w:bookmarkStart w:id="53" w:name="_Toc184313283"/>
      <w:bookmarkEnd w:id="53"/>
      <w:bookmarkStart w:id="54" w:name="_Toc184310285"/>
      <w:bookmarkEnd w:id="54"/>
      <w:bookmarkStart w:id="55" w:name="_Toc184310338"/>
      <w:bookmarkEnd w:id="55"/>
      <w:bookmarkStart w:id="56" w:name="_Toc184312133"/>
      <w:bookmarkEnd w:id="56"/>
      <w:bookmarkStart w:id="57" w:name="_Toc184313306"/>
      <w:bookmarkEnd w:id="57"/>
      <w:bookmarkStart w:id="58" w:name="_Toc184313286"/>
      <w:bookmarkEnd w:id="58"/>
      <w:bookmarkStart w:id="59" w:name="_Toc184312085"/>
      <w:bookmarkEnd w:id="59"/>
      <w:bookmarkStart w:id="60" w:name="_Toc184310337"/>
      <w:bookmarkEnd w:id="60"/>
      <w:bookmarkStart w:id="61" w:name="_Toc184308044"/>
      <w:bookmarkEnd w:id="61"/>
      <w:bookmarkStart w:id="62" w:name="_Toc184314427"/>
      <w:bookmarkEnd w:id="62"/>
      <w:bookmarkStart w:id="63" w:name="_Toc184308071"/>
      <w:bookmarkEnd w:id="63"/>
      <w:bookmarkStart w:id="64" w:name="_Toc184308038"/>
      <w:bookmarkEnd w:id="64"/>
      <w:bookmarkStart w:id="65" w:name="_Toc184312113"/>
      <w:bookmarkEnd w:id="65"/>
      <w:bookmarkStart w:id="66" w:name="_Toc184310292"/>
      <w:bookmarkEnd w:id="66"/>
      <w:bookmarkStart w:id="67" w:name="_Toc184312128"/>
      <w:bookmarkEnd w:id="67"/>
      <w:bookmarkStart w:id="68" w:name="_Toc184314454"/>
      <w:bookmarkEnd w:id="68"/>
      <w:bookmarkStart w:id="69" w:name="_Toc184312130"/>
      <w:bookmarkEnd w:id="69"/>
      <w:bookmarkStart w:id="70" w:name="_Toc184308041"/>
      <w:bookmarkEnd w:id="70"/>
      <w:bookmarkStart w:id="71" w:name="_Toc184310339"/>
      <w:bookmarkEnd w:id="71"/>
      <w:bookmarkStart w:id="72" w:name="_Toc184313250"/>
      <w:bookmarkEnd w:id="72"/>
      <w:bookmarkStart w:id="73" w:name="_Toc184314445"/>
      <w:bookmarkEnd w:id="73"/>
      <w:bookmarkStart w:id="74" w:name="_Toc184310335"/>
      <w:bookmarkEnd w:id="74"/>
      <w:bookmarkStart w:id="75" w:name="_Toc184310343"/>
      <w:bookmarkEnd w:id="75"/>
      <w:bookmarkStart w:id="76" w:name="_Toc184312070"/>
      <w:bookmarkEnd w:id="76"/>
      <w:bookmarkStart w:id="77" w:name="_Toc184314434"/>
      <w:bookmarkEnd w:id="77"/>
      <w:bookmarkStart w:id="78" w:name="_Toc184310318"/>
      <w:bookmarkEnd w:id="78"/>
      <w:bookmarkStart w:id="79" w:name="_Toc184308070"/>
      <w:bookmarkEnd w:id="79"/>
      <w:bookmarkStart w:id="80" w:name="_Toc184314470"/>
      <w:bookmarkEnd w:id="80"/>
      <w:bookmarkStart w:id="81" w:name="_Toc184308080"/>
      <w:bookmarkEnd w:id="81"/>
      <w:bookmarkStart w:id="82" w:name="_Toc184310323"/>
      <w:bookmarkEnd w:id="82"/>
      <w:bookmarkStart w:id="83" w:name="_Toc184314453"/>
      <w:bookmarkEnd w:id="83"/>
      <w:bookmarkStart w:id="84" w:name="_Toc184310302"/>
      <w:bookmarkEnd w:id="84"/>
      <w:bookmarkStart w:id="85" w:name="_Toc184310280"/>
      <w:bookmarkEnd w:id="85"/>
      <w:bookmarkStart w:id="86" w:name="_Toc184312098"/>
      <w:bookmarkEnd w:id="86"/>
      <w:bookmarkStart w:id="87" w:name="_Toc184313280"/>
      <w:bookmarkEnd w:id="87"/>
      <w:bookmarkStart w:id="88" w:name="_Toc184314473"/>
      <w:bookmarkEnd w:id="88"/>
      <w:bookmarkStart w:id="89" w:name="_Toc184312112"/>
      <w:bookmarkEnd w:id="89"/>
      <w:bookmarkStart w:id="90" w:name="_Toc184313243"/>
      <w:bookmarkEnd w:id="90"/>
      <w:bookmarkStart w:id="91" w:name="_Toc184308087"/>
      <w:bookmarkEnd w:id="91"/>
      <w:bookmarkStart w:id="92" w:name="_Toc184308048"/>
      <w:bookmarkEnd w:id="92"/>
      <w:bookmarkStart w:id="93" w:name="_Toc184313253"/>
      <w:bookmarkEnd w:id="93"/>
      <w:bookmarkStart w:id="94" w:name="_Toc184308082"/>
      <w:bookmarkEnd w:id="94"/>
      <w:bookmarkStart w:id="95" w:name="_Toc184308102"/>
      <w:bookmarkEnd w:id="95"/>
      <w:bookmarkStart w:id="96" w:name="_Toc184310311"/>
      <w:bookmarkEnd w:id="96"/>
      <w:bookmarkStart w:id="97" w:name="_Toc184313309"/>
      <w:bookmarkEnd w:id="97"/>
      <w:bookmarkStart w:id="98" w:name="_Toc184313242"/>
      <w:bookmarkEnd w:id="98"/>
      <w:bookmarkStart w:id="99" w:name="_Toc184314447"/>
      <w:bookmarkEnd w:id="99"/>
      <w:bookmarkStart w:id="100" w:name="_Toc184310340"/>
      <w:bookmarkEnd w:id="100"/>
      <w:bookmarkStart w:id="101" w:name="_Toc184312119"/>
      <w:bookmarkEnd w:id="101"/>
      <w:bookmarkStart w:id="102" w:name="_Toc184314418"/>
      <w:bookmarkEnd w:id="102"/>
      <w:bookmarkStart w:id="103" w:name="_Toc184312081"/>
      <w:bookmarkEnd w:id="103"/>
      <w:bookmarkStart w:id="104" w:name="_Toc184310309"/>
      <w:bookmarkEnd w:id="104"/>
      <w:bookmarkStart w:id="105" w:name="_Toc184313284"/>
      <w:bookmarkEnd w:id="105"/>
      <w:bookmarkStart w:id="106" w:name="_Toc184314476"/>
      <w:bookmarkEnd w:id="106"/>
      <w:bookmarkStart w:id="107" w:name="_Toc184308101"/>
      <w:bookmarkEnd w:id="107"/>
      <w:bookmarkStart w:id="108" w:name="_Toc184310316"/>
      <w:bookmarkEnd w:id="108"/>
      <w:bookmarkStart w:id="109" w:name="_Toc184314456"/>
      <w:bookmarkEnd w:id="109"/>
      <w:bookmarkStart w:id="110" w:name="_Toc184312101"/>
      <w:bookmarkEnd w:id="110"/>
      <w:bookmarkStart w:id="111" w:name="_Toc184308081"/>
      <w:bookmarkEnd w:id="111"/>
      <w:bookmarkStart w:id="112" w:name="_Toc184312118"/>
      <w:bookmarkEnd w:id="112"/>
      <w:bookmarkStart w:id="113" w:name="_Toc184312134"/>
      <w:bookmarkEnd w:id="113"/>
      <w:bookmarkStart w:id="114" w:name="_Toc184310330"/>
      <w:bookmarkEnd w:id="114"/>
      <w:bookmarkStart w:id="115" w:name="_Toc184312071"/>
      <w:bookmarkEnd w:id="115"/>
      <w:bookmarkStart w:id="116" w:name="_Toc184313279"/>
      <w:bookmarkEnd w:id="116"/>
      <w:bookmarkStart w:id="117" w:name="_Toc184308098"/>
      <w:bookmarkEnd w:id="117"/>
      <w:bookmarkStart w:id="118" w:name="_Toc184313271"/>
      <w:bookmarkEnd w:id="118"/>
      <w:bookmarkStart w:id="119" w:name="_Toc184313239"/>
      <w:bookmarkEnd w:id="119"/>
      <w:bookmarkStart w:id="120" w:name="_Toc184310278"/>
      <w:bookmarkEnd w:id="120"/>
      <w:bookmarkStart w:id="121" w:name="_Toc184313282"/>
      <w:bookmarkEnd w:id="121"/>
      <w:bookmarkStart w:id="122" w:name="_Toc184314415"/>
      <w:bookmarkEnd w:id="122"/>
      <w:bookmarkStart w:id="123" w:name="_Toc184313303"/>
      <w:bookmarkEnd w:id="123"/>
      <w:bookmarkStart w:id="124" w:name="_Toc184312095"/>
      <w:bookmarkEnd w:id="124"/>
      <w:bookmarkStart w:id="125" w:name="_Toc184312114"/>
      <w:bookmarkEnd w:id="125"/>
      <w:bookmarkStart w:id="126" w:name="_Toc184313304"/>
      <w:bookmarkEnd w:id="126"/>
      <w:bookmarkStart w:id="127" w:name="_Toc184308093"/>
      <w:bookmarkEnd w:id="127"/>
      <w:bookmarkStart w:id="128" w:name="_Toc184308105"/>
      <w:bookmarkEnd w:id="128"/>
      <w:bookmarkStart w:id="129" w:name="_Toc184314469"/>
      <w:bookmarkEnd w:id="129"/>
      <w:bookmarkStart w:id="130" w:name="_Toc184308089"/>
      <w:bookmarkEnd w:id="130"/>
      <w:bookmarkStart w:id="131" w:name="_Toc184313292"/>
      <w:bookmarkEnd w:id="131"/>
      <w:bookmarkStart w:id="132" w:name="_Toc184312132"/>
      <w:bookmarkEnd w:id="132"/>
      <w:bookmarkStart w:id="133" w:name="_Toc184313238"/>
      <w:bookmarkEnd w:id="133"/>
      <w:bookmarkStart w:id="134" w:name="_Toc184314449"/>
      <w:bookmarkEnd w:id="134"/>
      <w:bookmarkStart w:id="135" w:name="_Toc184313298"/>
      <w:bookmarkEnd w:id="135"/>
      <w:bookmarkStart w:id="136" w:name="_Toc184310282"/>
      <w:bookmarkEnd w:id="136"/>
      <w:bookmarkStart w:id="137" w:name="_Toc184310273"/>
      <w:bookmarkEnd w:id="137"/>
      <w:bookmarkStart w:id="138" w:name="_Toc184313251"/>
      <w:bookmarkEnd w:id="138"/>
      <w:bookmarkStart w:id="139" w:name="_Toc184312105"/>
      <w:bookmarkEnd w:id="139"/>
      <w:bookmarkStart w:id="140" w:name="_Toc184313274"/>
      <w:bookmarkEnd w:id="140"/>
      <w:bookmarkStart w:id="141" w:name="_Toc184313257"/>
      <w:bookmarkEnd w:id="141"/>
      <w:bookmarkStart w:id="142" w:name="_Toc184308106"/>
      <w:bookmarkEnd w:id="142"/>
      <w:bookmarkStart w:id="143" w:name="_Toc184314412"/>
      <w:bookmarkEnd w:id="143"/>
      <w:bookmarkStart w:id="144" w:name="_Toc184308051"/>
      <w:bookmarkEnd w:id="144"/>
      <w:bookmarkStart w:id="145" w:name="_Toc184308046"/>
      <w:bookmarkEnd w:id="145"/>
      <w:bookmarkStart w:id="146" w:name="_Toc184312099"/>
      <w:bookmarkEnd w:id="146"/>
      <w:bookmarkStart w:id="147" w:name="_Toc184310276"/>
      <w:bookmarkEnd w:id="147"/>
      <w:bookmarkStart w:id="148" w:name="_Toc184314441"/>
      <w:bookmarkEnd w:id="148"/>
      <w:bookmarkStart w:id="149" w:name="_Toc184312072"/>
      <w:bookmarkEnd w:id="149"/>
      <w:bookmarkStart w:id="150" w:name="_Toc184314472"/>
      <w:bookmarkEnd w:id="150"/>
      <w:bookmarkStart w:id="151" w:name="_Toc184312078"/>
      <w:bookmarkEnd w:id="151"/>
      <w:bookmarkStart w:id="152" w:name="_Toc184313241"/>
      <w:bookmarkEnd w:id="152"/>
      <w:bookmarkStart w:id="153" w:name="_Toc184310342"/>
      <w:bookmarkEnd w:id="153"/>
      <w:bookmarkStart w:id="154" w:name="_Toc184308037"/>
      <w:bookmarkEnd w:id="154"/>
      <w:bookmarkStart w:id="155" w:name="_Toc184313307"/>
      <w:bookmarkEnd w:id="155"/>
      <w:bookmarkStart w:id="156" w:name="_Toc184313281"/>
      <w:bookmarkEnd w:id="156"/>
      <w:bookmarkStart w:id="157" w:name="_Toc184314451"/>
      <w:bookmarkEnd w:id="157"/>
      <w:bookmarkStart w:id="158" w:name="_Toc184308104"/>
      <w:bookmarkEnd w:id="158"/>
      <w:bookmarkStart w:id="159" w:name="_Toc184312137"/>
      <w:bookmarkEnd w:id="159"/>
      <w:bookmarkStart w:id="160" w:name="_Toc184310332"/>
      <w:bookmarkEnd w:id="160"/>
      <w:bookmarkStart w:id="161" w:name="_Toc184310295"/>
      <w:bookmarkEnd w:id="161"/>
      <w:bookmarkStart w:id="162" w:name="_Toc184310300"/>
      <w:bookmarkEnd w:id="162"/>
      <w:bookmarkStart w:id="163" w:name="_Toc184308074"/>
      <w:bookmarkEnd w:id="163"/>
      <w:bookmarkStart w:id="164" w:name="_Toc184310284"/>
      <w:bookmarkEnd w:id="164"/>
      <w:bookmarkStart w:id="165" w:name="_Toc184312135"/>
      <w:bookmarkEnd w:id="165"/>
      <w:bookmarkStart w:id="166" w:name="_Toc184308076"/>
      <w:bookmarkEnd w:id="166"/>
      <w:bookmarkStart w:id="167" w:name="_Toc184310289"/>
      <w:bookmarkEnd w:id="167"/>
      <w:bookmarkStart w:id="168" w:name="_Toc184308090"/>
      <w:bookmarkEnd w:id="168"/>
      <w:bookmarkStart w:id="169" w:name="_Toc184314419"/>
      <w:bookmarkEnd w:id="169"/>
      <w:bookmarkStart w:id="170" w:name="_Toc184314467"/>
      <w:bookmarkEnd w:id="170"/>
      <w:bookmarkStart w:id="171" w:name="_Toc184310325"/>
      <w:bookmarkEnd w:id="171"/>
      <w:bookmarkStart w:id="172" w:name="_Toc184310329"/>
      <w:bookmarkEnd w:id="172"/>
      <w:bookmarkStart w:id="173" w:name="_Toc184314417"/>
      <w:bookmarkEnd w:id="173"/>
      <w:bookmarkStart w:id="174" w:name="_Toc184313270"/>
      <w:bookmarkEnd w:id="174"/>
      <w:bookmarkStart w:id="175" w:name="_Toc184310275"/>
      <w:bookmarkEnd w:id="175"/>
      <w:bookmarkStart w:id="176" w:name="_Toc184310326"/>
      <w:bookmarkEnd w:id="176"/>
      <w:bookmarkStart w:id="177" w:name="_Toc184314442"/>
      <w:bookmarkEnd w:id="177"/>
      <w:bookmarkStart w:id="178" w:name="_Toc184313266"/>
      <w:bookmarkEnd w:id="178"/>
      <w:bookmarkStart w:id="179" w:name="_Toc184312129"/>
      <w:bookmarkEnd w:id="179"/>
      <w:bookmarkStart w:id="180" w:name="_Toc184308065"/>
      <w:bookmarkEnd w:id="180"/>
      <w:bookmarkStart w:id="181" w:name="_Toc184314421"/>
      <w:bookmarkEnd w:id="181"/>
      <w:bookmarkStart w:id="182" w:name="_Toc184314461"/>
      <w:bookmarkEnd w:id="182"/>
      <w:bookmarkStart w:id="183" w:name="_Toc184312138"/>
      <w:bookmarkEnd w:id="183"/>
      <w:bookmarkStart w:id="184" w:name="_Toc184314435"/>
      <w:bookmarkEnd w:id="184"/>
      <w:bookmarkStart w:id="185" w:name="_Toc184310307"/>
      <w:bookmarkEnd w:id="185"/>
      <w:bookmarkStart w:id="186" w:name="_Toc184313293"/>
      <w:bookmarkEnd w:id="186"/>
      <w:bookmarkStart w:id="187" w:name="_Toc184314460"/>
      <w:bookmarkEnd w:id="187"/>
      <w:bookmarkStart w:id="188" w:name="_Toc184308068"/>
      <w:bookmarkEnd w:id="188"/>
      <w:bookmarkStart w:id="189" w:name="_Toc184312069"/>
      <w:bookmarkEnd w:id="189"/>
      <w:bookmarkStart w:id="190" w:name="_Toc184314459"/>
      <w:bookmarkEnd w:id="190"/>
      <w:bookmarkStart w:id="191" w:name="_Toc184312116"/>
      <w:bookmarkEnd w:id="191"/>
      <w:bookmarkStart w:id="192" w:name="_Toc184313261"/>
      <w:bookmarkEnd w:id="192"/>
      <w:bookmarkStart w:id="193" w:name="_Toc184312120"/>
      <w:bookmarkEnd w:id="193"/>
      <w:bookmarkStart w:id="194" w:name="_Toc184308054"/>
      <w:bookmarkEnd w:id="194"/>
      <w:bookmarkStart w:id="195" w:name="_Toc184313256"/>
      <w:bookmarkEnd w:id="195"/>
      <w:bookmarkStart w:id="196" w:name="_Toc184313296"/>
      <w:bookmarkEnd w:id="196"/>
      <w:bookmarkStart w:id="197" w:name="_Toc184310296"/>
      <w:bookmarkEnd w:id="197"/>
      <w:bookmarkStart w:id="198" w:name="_Toc184313265"/>
      <w:bookmarkEnd w:id="198"/>
      <w:bookmarkStart w:id="199" w:name="_Toc184310341"/>
      <w:bookmarkEnd w:id="199"/>
      <w:bookmarkStart w:id="200" w:name="_Toc184313301"/>
      <w:bookmarkEnd w:id="200"/>
      <w:bookmarkStart w:id="201" w:name="_Toc184313291"/>
      <w:bookmarkEnd w:id="201"/>
      <w:bookmarkStart w:id="202" w:name="_Toc184312068"/>
      <w:bookmarkEnd w:id="202"/>
      <w:bookmarkStart w:id="203" w:name="_Toc184310303"/>
      <w:bookmarkEnd w:id="203"/>
      <w:bookmarkStart w:id="204" w:name="_Toc184314422"/>
      <w:bookmarkEnd w:id="204"/>
      <w:bookmarkStart w:id="205" w:name="_Toc184314479"/>
      <w:bookmarkEnd w:id="205"/>
      <w:bookmarkStart w:id="206" w:name="_Toc184313269"/>
      <w:bookmarkEnd w:id="206"/>
      <w:bookmarkStart w:id="207" w:name="_Toc184308094"/>
      <w:bookmarkEnd w:id="207"/>
      <w:bookmarkStart w:id="208" w:name="_Toc184310301"/>
      <w:bookmarkEnd w:id="208"/>
      <w:bookmarkStart w:id="209" w:name="_Toc184312079"/>
      <w:bookmarkEnd w:id="209"/>
      <w:bookmarkStart w:id="210" w:name="_Toc184310272"/>
      <w:bookmarkEnd w:id="210"/>
      <w:bookmarkStart w:id="211" w:name="_Toc184313264"/>
      <w:bookmarkEnd w:id="211"/>
      <w:bookmarkStart w:id="212" w:name="_Toc184312067"/>
      <w:bookmarkEnd w:id="212"/>
      <w:bookmarkStart w:id="213" w:name="_Toc184314420"/>
      <w:bookmarkEnd w:id="213"/>
      <w:bookmarkStart w:id="214" w:name="_Toc184313268"/>
      <w:bookmarkEnd w:id="214"/>
      <w:bookmarkStart w:id="215" w:name="_Toc184313258"/>
      <w:bookmarkEnd w:id="215"/>
      <w:bookmarkStart w:id="216" w:name="_Toc184308088"/>
      <w:bookmarkEnd w:id="216"/>
      <w:bookmarkStart w:id="217" w:name="_Toc184314446"/>
      <w:bookmarkEnd w:id="217"/>
      <w:bookmarkStart w:id="218" w:name="_Toc184308061"/>
      <w:bookmarkEnd w:id="218"/>
      <w:bookmarkStart w:id="219" w:name="_Toc184310317"/>
      <w:bookmarkEnd w:id="219"/>
      <w:bookmarkStart w:id="220" w:name="_Toc184308043"/>
      <w:bookmarkEnd w:id="220"/>
      <w:bookmarkStart w:id="221" w:name="_Toc184312091"/>
      <w:bookmarkEnd w:id="221"/>
      <w:bookmarkStart w:id="222" w:name="_Toc184310314"/>
      <w:bookmarkEnd w:id="222"/>
      <w:bookmarkStart w:id="223" w:name="_Toc184308092"/>
      <w:bookmarkEnd w:id="223"/>
      <w:bookmarkStart w:id="224" w:name="_Toc184310333"/>
      <w:bookmarkEnd w:id="224"/>
      <w:bookmarkStart w:id="225" w:name="_Toc184308078"/>
      <w:bookmarkEnd w:id="225"/>
      <w:bookmarkStart w:id="226" w:name="_Toc184310298"/>
      <w:bookmarkEnd w:id="226"/>
      <w:bookmarkStart w:id="227" w:name="_Toc184312087"/>
      <w:bookmarkEnd w:id="227"/>
      <w:bookmarkStart w:id="228" w:name="_Toc184312082"/>
      <w:bookmarkEnd w:id="228"/>
      <w:bookmarkStart w:id="229" w:name="_Toc184310328"/>
      <w:bookmarkEnd w:id="229"/>
      <w:bookmarkStart w:id="230" w:name="_Toc184312076"/>
      <w:bookmarkEnd w:id="230"/>
      <w:bookmarkStart w:id="231" w:name="_Toc184313294"/>
      <w:bookmarkEnd w:id="231"/>
      <w:bookmarkStart w:id="232" w:name="_Toc184308056"/>
      <w:bookmarkEnd w:id="232"/>
      <w:bookmarkStart w:id="233" w:name="_Toc184314471"/>
      <w:bookmarkEnd w:id="233"/>
      <w:bookmarkStart w:id="234" w:name="_Toc184312117"/>
      <w:bookmarkEnd w:id="234"/>
      <w:bookmarkStart w:id="235" w:name="_Toc184312125"/>
      <w:bookmarkEnd w:id="235"/>
      <w:bookmarkStart w:id="236" w:name="_Toc184310324"/>
      <w:bookmarkEnd w:id="236"/>
      <w:bookmarkStart w:id="237" w:name="_Toc184308059"/>
      <w:bookmarkEnd w:id="237"/>
      <w:bookmarkStart w:id="238" w:name="_Toc184314458"/>
      <w:bookmarkEnd w:id="238"/>
      <w:bookmarkStart w:id="239" w:name="_Toc184314444"/>
      <w:bookmarkEnd w:id="239"/>
      <w:bookmarkStart w:id="240" w:name="_Toc184312080"/>
      <w:bookmarkEnd w:id="240"/>
      <w:bookmarkStart w:id="241" w:name="_Toc184308053"/>
      <w:bookmarkEnd w:id="241"/>
      <w:bookmarkStart w:id="242" w:name="_Toc184314438"/>
      <w:bookmarkEnd w:id="242"/>
      <w:bookmarkStart w:id="243" w:name="_Toc184312093"/>
      <w:bookmarkEnd w:id="243"/>
      <w:bookmarkStart w:id="244" w:name="_Toc184308066"/>
      <w:bookmarkEnd w:id="244"/>
      <w:bookmarkStart w:id="245" w:name="_Toc184314480"/>
      <w:bookmarkEnd w:id="245"/>
      <w:bookmarkStart w:id="246" w:name="_Toc184310306"/>
      <w:bookmarkEnd w:id="246"/>
      <w:bookmarkStart w:id="247" w:name="_Toc184310291"/>
      <w:bookmarkEnd w:id="247"/>
      <w:bookmarkStart w:id="248" w:name="_Toc184308075"/>
      <w:bookmarkEnd w:id="248"/>
      <w:bookmarkStart w:id="249" w:name="_Toc184312126"/>
      <w:bookmarkEnd w:id="249"/>
      <w:bookmarkStart w:id="250" w:name="_Toc184312109"/>
      <w:bookmarkEnd w:id="250"/>
      <w:bookmarkStart w:id="251" w:name="_Toc184314414"/>
      <w:bookmarkEnd w:id="251"/>
      <w:bookmarkStart w:id="252" w:name="_Toc184312124"/>
      <w:bookmarkEnd w:id="252"/>
      <w:bookmarkStart w:id="253" w:name="_Toc184312084"/>
      <w:bookmarkEnd w:id="253"/>
      <w:bookmarkStart w:id="254" w:name="_Toc184313254"/>
      <w:bookmarkEnd w:id="254"/>
      <w:bookmarkStart w:id="255" w:name="_Toc184308050"/>
      <w:bookmarkEnd w:id="255"/>
      <w:bookmarkStart w:id="256" w:name="_Toc184310305"/>
      <w:bookmarkEnd w:id="256"/>
      <w:bookmarkStart w:id="257" w:name="_Toc184313295"/>
      <w:bookmarkEnd w:id="257"/>
      <w:bookmarkStart w:id="258" w:name="_Toc184308096"/>
      <w:bookmarkEnd w:id="258"/>
      <w:bookmarkStart w:id="259" w:name="_Toc184308036"/>
      <w:bookmarkEnd w:id="259"/>
      <w:bookmarkStart w:id="260" w:name="_Toc184314431"/>
      <w:bookmarkEnd w:id="260"/>
      <w:bookmarkStart w:id="261" w:name="_Toc184308064"/>
      <w:bookmarkEnd w:id="261"/>
      <w:bookmarkStart w:id="262" w:name="_Toc184308100"/>
      <w:bookmarkEnd w:id="262"/>
      <w:bookmarkStart w:id="263" w:name="_Toc184312096"/>
      <w:bookmarkEnd w:id="263"/>
      <w:bookmarkStart w:id="264" w:name="_Toc184313249"/>
      <w:bookmarkEnd w:id="264"/>
      <w:bookmarkStart w:id="265" w:name="_Toc184310293"/>
      <w:bookmarkEnd w:id="265"/>
      <w:bookmarkStart w:id="266" w:name="_Toc184308055"/>
      <w:bookmarkEnd w:id="266"/>
      <w:bookmarkStart w:id="267" w:name="_Toc184312075"/>
      <w:bookmarkEnd w:id="267"/>
      <w:bookmarkStart w:id="268" w:name="_Toc184312103"/>
      <w:bookmarkEnd w:id="268"/>
      <w:bookmarkStart w:id="269" w:name="_Toc184314437"/>
      <w:bookmarkEnd w:id="269"/>
      <w:bookmarkStart w:id="270" w:name="_Toc184312131"/>
      <w:bookmarkEnd w:id="270"/>
      <w:bookmarkStart w:id="271" w:name="_Toc184313287"/>
      <w:bookmarkEnd w:id="271"/>
      <w:bookmarkStart w:id="272" w:name="_Toc184310274"/>
      <w:bookmarkEnd w:id="272"/>
      <w:bookmarkStart w:id="273" w:name="_Toc184312122"/>
      <w:bookmarkEnd w:id="273"/>
      <w:bookmarkStart w:id="274" w:name="_Toc184310286"/>
      <w:bookmarkEnd w:id="274"/>
      <w:bookmarkStart w:id="275" w:name="_Toc184314411"/>
      <w:bookmarkEnd w:id="275"/>
      <w:bookmarkStart w:id="276" w:name="_Toc184308047"/>
      <w:bookmarkEnd w:id="276"/>
      <w:bookmarkStart w:id="277" w:name="_Toc184314464"/>
      <w:bookmarkEnd w:id="277"/>
      <w:bookmarkStart w:id="278" w:name="_Toc184310287"/>
      <w:bookmarkEnd w:id="278"/>
      <w:bookmarkStart w:id="279" w:name="_Toc184312100"/>
      <w:bookmarkEnd w:id="279"/>
      <w:bookmarkStart w:id="280" w:name="_Toc184313278"/>
      <w:bookmarkEnd w:id="280"/>
      <w:bookmarkStart w:id="281" w:name="_Toc184310331"/>
      <w:bookmarkEnd w:id="281"/>
      <w:bookmarkStart w:id="282" w:name="_Toc184308091"/>
      <w:bookmarkEnd w:id="282"/>
      <w:bookmarkStart w:id="283" w:name="_Toc184310336"/>
      <w:bookmarkEnd w:id="283"/>
      <w:bookmarkStart w:id="284" w:name="_Toc184308107"/>
      <w:bookmarkEnd w:id="284"/>
      <w:bookmarkStart w:id="285" w:name="_Toc184313273"/>
      <w:bookmarkEnd w:id="285"/>
      <w:bookmarkStart w:id="286" w:name="_Toc184313262"/>
      <w:bookmarkEnd w:id="286"/>
      <w:bookmarkStart w:id="287" w:name="_Toc184308069"/>
      <w:bookmarkEnd w:id="287"/>
      <w:bookmarkStart w:id="288" w:name="_Toc184312086"/>
      <w:bookmarkEnd w:id="288"/>
      <w:bookmarkStart w:id="289" w:name="_Toc184312090"/>
      <w:bookmarkEnd w:id="289"/>
      <w:bookmarkStart w:id="290" w:name="_Toc184314439"/>
      <w:bookmarkEnd w:id="290"/>
      <w:bookmarkStart w:id="291" w:name="_Toc184310308"/>
      <w:bookmarkEnd w:id="291"/>
      <w:bookmarkStart w:id="292" w:name="_Toc184313277"/>
      <w:bookmarkEnd w:id="292"/>
      <w:bookmarkStart w:id="293" w:name="_Toc184314432"/>
      <w:bookmarkEnd w:id="293"/>
      <w:bookmarkStart w:id="294" w:name="_Toc184314425"/>
      <w:bookmarkEnd w:id="294"/>
      <w:bookmarkStart w:id="295" w:name="_Toc184308045"/>
      <w:bookmarkEnd w:id="295"/>
      <w:bookmarkStart w:id="296" w:name="_Toc184308083"/>
      <w:bookmarkEnd w:id="296"/>
      <w:bookmarkStart w:id="297" w:name="_Toc184314433"/>
      <w:bookmarkEnd w:id="297"/>
      <w:bookmarkStart w:id="298" w:name="_Toc184310322"/>
      <w:bookmarkEnd w:id="298"/>
      <w:bookmarkStart w:id="299" w:name="_Toc184314423"/>
      <w:bookmarkEnd w:id="299"/>
      <w:bookmarkStart w:id="300" w:name="_Toc184308103"/>
      <w:bookmarkEnd w:id="300"/>
      <w:bookmarkStart w:id="301" w:name="_Toc184312077"/>
      <w:bookmarkEnd w:id="301"/>
      <w:bookmarkStart w:id="302" w:name="_Toc184314481"/>
      <w:bookmarkEnd w:id="302"/>
      <w:bookmarkStart w:id="303" w:name="_Toc184314440"/>
      <w:bookmarkEnd w:id="303"/>
      <w:bookmarkStart w:id="304" w:name="_Toc184313299"/>
      <w:bookmarkEnd w:id="304"/>
      <w:bookmarkStart w:id="305" w:name="_Toc184313285"/>
      <w:bookmarkEnd w:id="305"/>
      <w:bookmarkStart w:id="306" w:name="_Toc184310299"/>
      <w:bookmarkEnd w:id="306"/>
      <w:bookmarkStart w:id="307" w:name="_Toc184314416"/>
      <w:bookmarkEnd w:id="307"/>
      <w:bookmarkStart w:id="308" w:name="_Toc184308057"/>
      <w:bookmarkEnd w:id="308"/>
      <w:bookmarkStart w:id="309" w:name="_Toc184310279"/>
      <w:bookmarkEnd w:id="309"/>
      <w:bookmarkStart w:id="310" w:name="_Toc184314430"/>
      <w:bookmarkEnd w:id="310"/>
      <w:bookmarkStart w:id="311" w:name="_Toc184310320"/>
      <w:bookmarkEnd w:id="311"/>
      <w:bookmarkStart w:id="312" w:name="_Toc184312121"/>
      <w:bookmarkEnd w:id="312"/>
      <w:bookmarkStart w:id="313" w:name="_Toc184313272"/>
      <w:bookmarkEnd w:id="313"/>
      <w:bookmarkStart w:id="314" w:name="_Toc184308072"/>
      <w:bookmarkEnd w:id="314"/>
      <w:bookmarkStart w:id="315" w:name="_Toc184313302"/>
      <w:bookmarkEnd w:id="315"/>
      <w:bookmarkStart w:id="316" w:name="_Toc184310344"/>
      <w:bookmarkEnd w:id="316"/>
      <w:bookmarkStart w:id="317" w:name="_Toc184312092"/>
      <w:bookmarkEnd w:id="317"/>
      <w:bookmarkStart w:id="318" w:name="_Toc184314466"/>
      <w:bookmarkEnd w:id="318"/>
      <w:bookmarkStart w:id="319" w:name="_Toc184308108"/>
      <w:bookmarkEnd w:id="319"/>
      <w:bookmarkStart w:id="320" w:name="_Toc184313290"/>
      <w:bookmarkEnd w:id="320"/>
      <w:bookmarkStart w:id="321" w:name="_Toc184308097"/>
      <w:bookmarkEnd w:id="321"/>
      <w:bookmarkStart w:id="322" w:name="_Toc184308042"/>
      <w:bookmarkEnd w:id="322"/>
      <w:bookmarkStart w:id="323" w:name="_Toc184312106"/>
      <w:bookmarkEnd w:id="323"/>
      <w:bookmarkStart w:id="324" w:name="_Toc184308084"/>
      <w:bookmarkEnd w:id="324"/>
      <w:bookmarkStart w:id="325" w:name="_Toc184308099"/>
      <w:bookmarkEnd w:id="325"/>
      <w:bookmarkStart w:id="326" w:name="_Toc184310288"/>
      <w:bookmarkEnd w:id="326"/>
      <w:bookmarkStart w:id="327" w:name="_Toc184310310"/>
      <w:bookmarkEnd w:id="327"/>
      <w:bookmarkStart w:id="328" w:name="_Toc184310281"/>
      <w:bookmarkEnd w:id="328"/>
      <w:bookmarkStart w:id="329" w:name="_Toc184310334"/>
      <w:bookmarkEnd w:id="329"/>
      <w:bookmarkStart w:id="330" w:name="_Toc184313255"/>
      <w:bookmarkEnd w:id="330"/>
      <w:bookmarkStart w:id="331" w:name="_Toc184310321"/>
      <w:bookmarkEnd w:id="331"/>
      <w:bookmarkStart w:id="332" w:name="_Toc184313245"/>
      <w:bookmarkEnd w:id="332"/>
      <w:bookmarkStart w:id="333" w:name="_Toc184312115"/>
      <w:bookmarkEnd w:id="333"/>
      <w:bookmarkStart w:id="334" w:name="_Toc184312083"/>
      <w:bookmarkEnd w:id="334"/>
      <w:bookmarkStart w:id="335" w:name="_Toc184308049"/>
      <w:bookmarkEnd w:id="335"/>
      <w:bookmarkStart w:id="336" w:name="_Toc184312094"/>
      <w:bookmarkEnd w:id="336"/>
      <w:bookmarkStart w:id="337" w:name="_Toc184312074"/>
      <w:bookmarkEnd w:id="337"/>
      <w:bookmarkStart w:id="338" w:name="_Toc184308067"/>
      <w:bookmarkEnd w:id="338"/>
      <w:bookmarkStart w:id="339" w:name="_Toc184313240"/>
      <w:bookmarkEnd w:id="339"/>
      <w:bookmarkStart w:id="340" w:name="_Toc184312111"/>
      <w:bookmarkEnd w:id="340"/>
      <w:bookmarkStart w:id="341" w:name="_Toc184312089"/>
      <w:bookmarkEnd w:id="341"/>
      <w:bookmarkStart w:id="342" w:name="_Toc184312073"/>
      <w:bookmarkEnd w:id="342"/>
      <w:bookmarkStart w:id="343" w:name="_Toc184308052"/>
      <w:bookmarkEnd w:id="343"/>
      <w:bookmarkStart w:id="344" w:name="_Toc184308077"/>
      <w:bookmarkEnd w:id="344"/>
      <w:bookmarkStart w:id="345" w:name="_Toc184314413"/>
      <w:bookmarkEnd w:id="345"/>
      <w:bookmarkStart w:id="346" w:name="_Toc184312139"/>
      <w:bookmarkEnd w:id="346"/>
      <w:bookmarkStart w:id="347" w:name="_Toc184308073"/>
      <w:bookmarkEnd w:id="347"/>
      <w:bookmarkStart w:id="348" w:name="_Toc184313289"/>
      <w:bookmarkEnd w:id="348"/>
      <w:bookmarkStart w:id="349" w:name="_Toc184314457"/>
      <w:bookmarkEnd w:id="349"/>
      <w:bookmarkStart w:id="350" w:name="_Toc184313310"/>
      <w:bookmarkEnd w:id="350"/>
      <w:bookmarkStart w:id="351" w:name="_Toc184314468"/>
      <w:bookmarkEnd w:id="351"/>
      <w:bookmarkStart w:id="352" w:name="_Toc184314477"/>
      <w:bookmarkEnd w:id="352"/>
      <w:bookmarkStart w:id="353" w:name="_Toc184308086"/>
      <w:bookmarkEnd w:id="353"/>
      <w:bookmarkStart w:id="354" w:name="_Toc184313275"/>
      <w:bookmarkEnd w:id="354"/>
      <w:bookmarkStart w:id="355" w:name="_Toc184313248"/>
      <w:bookmarkEnd w:id="355"/>
      <w:bookmarkStart w:id="356" w:name="_Toc184314452"/>
      <w:bookmarkEnd w:id="356"/>
      <w:bookmarkStart w:id="357" w:name="_Toc184314426"/>
      <w:bookmarkEnd w:id="357"/>
      <w:bookmarkStart w:id="358" w:name="_Toc184312136"/>
      <w:bookmarkEnd w:id="358"/>
      <w:bookmarkStart w:id="359" w:name="_Toc184310312"/>
      <w:bookmarkEnd w:id="359"/>
      <w:bookmarkStart w:id="360" w:name="_Toc184308063"/>
      <w:bookmarkEnd w:id="360"/>
      <w:bookmarkStart w:id="361" w:name="_Toc184313260"/>
      <w:bookmarkEnd w:id="361"/>
      <w:bookmarkStart w:id="362" w:name="_Toc184314443"/>
      <w:bookmarkEnd w:id="362"/>
      <w:bookmarkStart w:id="363" w:name="_Toc184314455"/>
      <w:bookmarkEnd w:id="363"/>
      <w:bookmarkStart w:id="364" w:name="_Toc184314463"/>
      <w:bookmarkEnd w:id="364"/>
      <w:bookmarkStart w:id="365" w:name="_Toc184313244"/>
      <w:bookmarkEnd w:id="365"/>
      <w:bookmarkStart w:id="366" w:name="_Toc184314462"/>
      <w:bookmarkEnd w:id="366"/>
      <w:bookmarkStart w:id="367" w:name="_Toc184313252"/>
      <w:bookmarkEnd w:id="367"/>
      <w:bookmarkStart w:id="368" w:name="_Toc184308062"/>
      <w:bookmarkEnd w:id="368"/>
      <w:bookmarkStart w:id="369" w:name="_Toc184313288"/>
      <w:bookmarkEnd w:id="369"/>
      <w:bookmarkStart w:id="370" w:name="_Toc184313308"/>
      <w:bookmarkEnd w:id="370"/>
      <w:bookmarkStart w:id="371" w:name="_Toc184313267"/>
      <w:bookmarkEnd w:id="371"/>
      <w:bookmarkStart w:id="372" w:name="_Toc184314436"/>
      <w:bookmarkEnd w:id="372"/>
      <w:bookmarkStart w:id="373" w:name="_Toc184310319"/>
      <w:bookmarkEnd w:id="373"/>
      <w:bookmarkStart w:id="374" w:name="_Toc184313263"/>
      <w:bookmarkEnd w:id="374"/>
      <w:bookmarkStart w:id="375" w:name="_Toc184308085"/>
      <w:bookmarkEnd w:id="375"/>
      <w:bookmarkStart w:id="376" w:name="_Toc184314475"/>
      <w:bookmarkEnd w:id="376"/>
      <w:bookmarkStart w:id="377" w:name="_Toc184313259"/>
      <w:bookmarkEnd w:id="377"/>
      <w:bookmarkStart w:id="378" w:name="_Toc184312102"/>
      <w:bookmarkEnd w:id="378"/>
      <w:bookmarkStart w:id="379" w:name="_Toc184313247"/>
      <w:bookmarkEnd w:id="379"/>
      <w:bookmarkStart w:id="380" w:name="_Toc184312107"/>
      <w:bookmarkEnd w:id="380"/>
      <w:bookmarkStart w:id="381" w:name="_Toc184312110"/>
      <w:bookmarkEnd w:id="381"/>
      <w:bookmarkStart w:id="382" w:name="_Toc184310297"/>
      <w:bookmarkEnd w:id="382"/>
      <w:bookmarkStart w:id="383" w:name="_Toc184312108"/>
      <w:bookmarkEnd w:id="383"/>
      <w:bookmarkStart w:id="384" w:name="_Toc184312088"/>
      <w:bookmarkEnd w:id="384"/>
      <w:bookmarkStart w:id="385" w:name="_Toc184312123"/>
      <w:bookmarkEnd w:id="385"/>
      <w:bookmarkStart w:id="386" w:name="_Toc184310327"/>
      <w:bookmarkEnd w:id="386"/>
      <w:bookmarkStart w:id="387" w:name="_Toc184310294"/>
      <w:bookmarkEnd w:id="387"/>
      <w:bookmarkStart w:id="388" w:name="_Toc184312097"/>
      <w:bookmarkEnd w:id="388"/>
      <w:bookmarkStart w:id="389" w:name="_Toc184314465"/>
      <w:bookmarkEnd w:id="389"/>
      <w:bookmarkStart w:id="390" w:name="_Toc184313297"/>
      <w:bookmarkEnd w:id="390"/>
      <w:bookmarkStart w:id="391" w:name="_Toc184314429"/>
      <w:bookmarkEnd w:id="391"/>
      <w:bookmarkStart w:id="392" w:name="_Toc184310290"/>
      <w:bookmarkEnd w:id="392"/>
      <w:bookmarkStart w:id="393" w:name="_Toc184310313"/>
      <w:bookmarkEnd w:id="393"/>
      <w:bookmarkStart w:id="394" w:name="_Toc184308039"/>
      <w:bookmarkEnd w:id="394"/>
      <w:bookmarkStart w:id="395" w:name="_Toc184314482"/>
      <w:bookmarkEnd w:id="395"/>
      <w:bookmarkStart w:id="396" w:name="_Toc184314424"/>
      <w:bookmarkEnd w:id="396"/>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highlight w:val="none"/>
          <w14:textFill>
            <w14:solidFill>
              <w14:schemeClr w14:val="tx1"/>
            </w14:solidFill>
          </w14:textFill>
        </w:rPr>
        <w:t>评标办法</w:t>
      </w:r>
    </w:p>
    <w:p w14:paraId="5E96719C">
      <w:pPr>
        <w:spacing w:line="540" w:lineRule="exact"/>
        <w:contextualSpacing/>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评标办法前附表</w:t>
      </w:r>
    </w:p>
    <w:tbl>
      <w:tblPr>
        <w:tblStyle w:val="28"/>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635"/>
        <w:gridCol w:w="4655"/>
        <w:gridCol w:w="630"/>
        <w:gridCol w:w="816"/>
        <w:gridCol w:w="1440"/>
      </w:tblGrid>
      <w:tr w14:paraId="2E9C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4B08286C">
            <w:pPr>
              <w:ind w:right="3"/>
              <w:jc w:val="center"/>
              <w:rPr>
                <w:rFonts w:hint="eastAsia" w:ascii="仿宋_GB2312" w:hAnsi="仿宋_GB2312" w:eastAsia="仿宋_GB2312" w:cs="仿宋_GB2312"/>
                <w:b/>
                <w:color w:val="000000" w:themeColor="text1"/>
                <w:spacing w:val="4"/>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类别</w:t>
            </w:r>
          </w:p>
        </w:tc>
        <w:tc>
          <w:tcPr>
            <w:tcW w:w="635" w:type="dxa"/>
            <w:tcBorders>
              <w:top w:val="single" w:color="auto" w:sz="4" w:space="0"/>
              <w:left w:val="single" w:color="auto" w:sz="4" w:space="0"/>
              <w:bottom w:val="single" w:color="auto" w:sz="4" w:space="0"/>
              <w:right w:val="single" w:color="auto" w:sz="4" w:space="0"/>
            </w:tcBorders>
            <w:noWrap w:val="0"/>
            <w:vAlign w:val="center"/>
          </w:tcPr>
          <w:p w14:paraId="65CB576A">
            <w:pPr>
              <w:ind w:right="3"/>
              <w:jc w:val="center"/>
              <w:rPr>
                <w:rFonts w:hint="eastAsia" w:ascii="仿宋_GB2312" w:hAnsi="仿宋_GB2312" w:eastAsia="仿宋_GB2312" w:cs="仿宋_GB2312"/>
                <w:b/>
                <w:color w:val="000000" w:themeColor="text1"/>
                <w:spacing w:val="4"/>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序号</w:t>
            </w:r>
          </w:p>
        </w:tc>
        <w:tc>
          <w:tcPr>
            <w:tcW w:w="4655" w:type="dxa"/>
            <w:tcBorders>
              <w:top w:val="single" w:color="auto" w:sz="4" w:space="0"/>
              <w:left w:val="single" w:color="auto" w:sz="4" w:space="0"/>
              <w:bottom w:val="single" w:color="auto" w:sz="4" w:space="0"/>
              <w:right w:val="single" w:color="auto" w:sz="4" w:space="0"/>
            </w:tcBorders>
            <w:noWrap w:val="0"/>
            <w:vAlign w:val="center"/>
          </w:tcPr>
          <w:p w14:paraId="6087B179">
            <w:pPr>
              <w:jc w:val="center"/>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评分标准</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1B7F2889">
            <w:pPr>
              <w:jc w:val="center"/>
              <w:rPr>
                <w:rFonts w:hint="eastAsia" w:ascii="仿宋_GB2312" w:hAnsi="仿宋_GB2312" w:eastAsia="仿宋_GB2312" w:cs="仿宋_GB2312"/>
                <w:b/>
                <w:color w:val="000000" w:themeColor="text1"/>
                <w:spacing w:val="4"/>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权重</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B28155B">
            <w:pPr>
              <w:jc w:val="center"/>
              <w:rPr>
                <w:rFonts w:hint="eastAsia" w:ascii="仿宋_GB2312" w:hAnsi="仿宋_GB2312" w:eastAsia="仿宋_GB2312" w:cs="仿宋_GB2312"/>
                <w:b/>
                <w:color w:val="000000" w:themeColor="text1"/>
                <w:spacing w:val="4"/>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主观分/客观分属性</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6301702">
            <w:pPr>
              <w:jc w:val="center"/>
              <w:rPr>
                <w:rFonts w:hint="eastAsia" w:ascii="仿宋_GB2312" w:hAnsi="仿宋_GB2312" w:eastAsia="仿宋_GB2312" w:cs="仿宋_GB2312"/>
                <w:b/>
                <w:color w:val="000000" w:themeColor="text1"/>
                <w:spacing w:val="4"/>
                <w:szCs w:val="21"/>
                <w:highlight w:val="none"/>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投标文件中评标标准相应的商务技术资料目录*</w:t>
            </w:r>
          </w:p>
        </w:tc>
      </w:tr>
      <w:tr w14:paraId="5113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jc w:val="center"/>
        </w:trPr>
        <w:tc>
          <w:tcPr>
            <w:tcW w:w="885" w:type="dxa"/>
            <w:vMerge w:val="restart"/>
            <w:tcBorders>
              <w:left w:val="single" w:color="auto" w:sz="4" w:space="0"/>
              <w:right w:val="single" w:color="auto" w:sz="4" w:space="0"/>
            </w:tcBorders>
            <w:noWrap w:val="0"/>
            <w:vAlign w:val="center"/>
          </w:tcPr>
          <w:p w14:paraId="49977C4A">
            <w:pPr>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商务部分（</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szCs w:val="21"/>
                <w:highlight w:val="none"/>
                <w14:textFill>
                  <w14:solidFill>
                    <w14:schemeClr w14:val="tx1"/>
                  </w14:solidFill>
                </w14:textFill>
              </w:rPr>
              <w:t>分）</w:t>
            </w:r>
          </w:p>
        </w:tc>
        <w:tc>
          <w:tcPr>
            <w:tcW w:w="635" w:type="dxa"/>
            <w:tcBorders>
              <w:left w:val="single" w:color="auto" w:sz="4" w:space="0"/>
              <w:right w:val="single" w:color="auto" w:sz="4" w:space="0"/>
            </w:tcBorders>
            <w:noWrap w:val="0"/>
            <w:vAlign w:val="center"/>
          </w:tcPr>
          <w:p w14:paraId="30F81F5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4655" w:type="dxa"/>
            <w:tcBorders>
              <w:top w:val="single" w:color="auto" w:sz="4" w:space="0"/>
              <w:left w:val="single" w:color="auto" w:sz="4" w:space="0"/>
              <w:bottom w:val="single" w:color="auto" w:sz="4" w:space="0"/>
              <w:right w:val="single" w:color="auto" w:sz="4" w:space="0"/>
            </w:tcBorders>
            <w:noWrap w:val="0"/>
            <w:vAlign w:val="center"/>
          </w:tcPr>
          <w:p w14:paraId="4394B9D6">
            <w:pPr>
              <w:pStyle w:val="13"/>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投标人具有数据中心机房实施案例业绩（每提供一份采购合同，得1分，最多得3分。）</w:t>
            </w:r>
          </w:p>
          <w:p w14:paraId="049B8392">
            <w:pPr>
              <w:pStyle w:val="13"/>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注：1.合同签订时间为2023年1月1日（含）至开标截止时间的时间段内，合同由投标人签订，否则不得分。</w:t>
            </w:r>
          </w:p>
          <w:p w14:paraId="7893B527">
            <w:pPr>
              <w:pStyle w:val="13"/>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2.类似案例业绩是指合同内容必须包含模块化机房</w:t>
            </w:r>
            <w:r>
              <w:rPr>
                <w:rFonts w:hint="eastAsia" w:ascii="仿宋_GB2312" w:eastAsia="仿宋_GB2312" w:cs="仿宋_GB2312"/>
                <w:i w:val="0"/>
                <w:iCs w:val="0"/>
                <w:color w:val="000000"/>
                <w:kern w:val="0"/>
                <w:sz w:val="24"/>
                <w:szCs w:val="24"/>
                <w:u w:val="none"/>
                <w:lang w:val="en-US" w:eastAsia="zh-CN" w:bidi="ar"/>
              </w:rPr>
              <w:t>或数字化机房</w:t>
            </w:r>
            <w:r>
              <w:rPr>
                <w:rFonts w:hint="default" w:ascii="仿宋_GB2312" w:hAnsi="宋体" w:eastAsia="仿宋_GB2312" w:cs="仿宋_GB2312"/>
                <w:i w:val="0"/>
                <w:iCs w:val="0"/>
                <w:color w:val="000000"/>
                <w:kern w:val="0"/>
                <w:sz w:val="24"/>
                <w:szCs w:val="24"/>
                <w:u w:val="none"/>
                <w:lang w:val="en-US" w:eastAsia="zh-CN" w:bidi="ar"/>
              </w:rPr>
              <w:t>相关内容，否则不得分。</w:t>
            </w:r>
          </w:p>
          <w:p w14:paraId="67165F13">
            <w:pPr>
              <w:pStyle w:val="13"/>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default" w:ascii="仿宋_GB2312" w:hAnsi="宋体" w:eastAsia="仿宋_GB2312" w:cs="仿宋_GB2312"/>
                <w:i w:val="0"/>
                <w:iCs w:val="0"/>
                <w:color w:val="000000"/>
                <w:kern w:val="0"/>
                <w:sz w:val="24"/>
                <w:szCs w:val="24"/>
                <w:u w:val="none"/>
                <w:lang w:val="en-US" w:eastAsia="zh-CN" w:bidi="ar"/>
              </w:rPr>
              <w:t>注：提供合同扫描件计分；合同中须反映项目名称、签订时间、合同服务内容等。若合同中不能反映上述内容，须另附经业主盖章的证明材料。</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54DDBB6D">
            <w:pPr>
              <w:jc w:val="center"/>
              <w:outlineLvl w:val="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55672DC">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71F87CB8">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77656846">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0C6618F6">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BB5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Merge w:val="continue"/>
            <w:tcBorders>
              <w:left w:val="single" w:color="auto" w:sz="4" w:space="0"/>
              <w:right w:val="single" w:color="auto" w:sz="4" w:space="0"/>
            </w:tcBorders>
            <w:noWrap w:val="0"/>
            <w:vAlign w:val="center"/>
          </w:tcPr>
          <w:p w14:paraId="676E7637">
            <w:pPr>
              <w:jc w:val="left"/>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63F571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p>
        </w:tc>
        <w:tc>
          <w:tcPr>
            <w:tcW w:w="4655" w:type="dxa"/>
            <w:tcBorders>
              <w:top w:val="single" w:color="auto" w:sz="4" w:space="0"/>
              <w:left w:val="single" w:color="auto" w:sz="4" w:space="0"/>
              <w:bottom w:val="single" w:color="auto" w:sz="4" w:space="0"/>
              <w:right w:val="single" w:color="auto" w:sz="4" w:space="0"/>
            </w:tcBorders>
            <w:noWrap w:val="0"/>
            <w:vAlign w:val="center"/>
          </w:tcPr>
          <w:p w14:paraId="757851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sz w:val="24"/>
                <w:szCs w:val="24"/>
                <w:highlight w:val="none"/>
              </w:rPr>
              <w:t>根据投标人提供的相关认证证书情况打分:</w:t>
            </w:r>
            <w:r>
              <w:rPr>
                <w:rFonts w:hint="eastAsia" w:ascii="仿宋_GB2312" w:hAnsi="宋体" w:eastAsia="仿宋_GB2312" w:cs="仿宋_GB2312"/>
                <w:i w:val="0"/>
                <w:iCs w:val="0"/>
                <w:color w:val="000000"/>
                <w:kern w:val="0"/>
                <w:sz w:val="24"/>
                <w:szCs w:val="24"/>
                <w:u w:val="none"/>
                <w:lang w:val="en-US" w:eastAsia="zh-CN" w:bidi="ar"/>
              </w:rPr>
              <w:t>具有ISO27001信息安全管理体系认证证书的，得1分；</w:t>
            </w:r>
          </w:p>
          <w:p w14:paraId="4B55ADD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注：1.提供有效期内的证书及全国认证认可信息公共服务平台网站http://www.cnca.gov.cn/查询页面截图,未按要求提供的，不得分。</w:t>
            </w:r>
          </w:p>
          <w:p w14:paraId="3D03170F">
            <w:pPr>
              <w:pStyle w:val="35"/>
              <w:keepNext w:val="0"/>
              <w:keepLines w:val="0"/>
              <w:pageBreakBefore w:val="0"/>
              <w:kinsoku/>
              <w:wordWrap/>
              <w:overflowPunct/>
              <w:topLinePunct w:val="0"/>
              <w:bidi w:val="0"/>
              <w:snapToGrid/>
              <w:spacing w:line="360" w:lineRule="auto"/>
              <w:ind w:left="0" w:leftChars="0" w:firstLine="0" w:firstLineChars="0"/>
              <w:textAlignment w:val="auto"/>
              <w:rPr>
                <w:rFonts w:hint="eastAsia"/>
              </w:rPr>
            </w:pPr>
            <w:r>
              <w:rPr>
                <w:rFonts w:hint="eastAsia" w:ascii="仿宋_GB2312" w:hAnsi="仿宋_GB2312" w:eastAsia="仿宋_GB2312" w:cs="仿宋_GB2312"/>
                <w:b/>
                <w:bCs/>
                <w:i w:val="0"/>
                <w:iCs w:val="0"/>
                <w:color w:val="000000"/>
                <w:kern w:val="0"/>
                <w:sz w:val="24"/>
                <w:szCs w:val="24"/>
                <w:u w:val="none"/>
                <w:lang w:val="en-US" w:eastAsia="zh-CN" w:bidi="ar"/>
              </w:rPr>
              <w:t>2.以上证书适用范围需包括“数据中心运营和维护”或“信息技术基础设施及软硬件运营维护”或“信息系统集成”，否则不得分。</w:t>
            </w:r>
            <w:r>
              <w:rPr>
                <w:rFonts w:hint="eastAsia" w:ascii="仿宋_GB2312" w:hAnsi="仿宋_GB2312" w:eastAsia="仿宋_GB2312" w:cs="仿宋_GB2312"/>
                <w:b/>
                <w:bCs/>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3.认证的主体名称须与投标人落款一致，否则不得分。</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30F2ED9E">
            <w:pPr>
              <w:jc w:val="center"/>
              <w:outlineLvl w:val="0"/>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1</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D116A2F">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2FAAC994">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5B3F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85" w:type="dxa"/>
            <w:vMerge w:val="continue"/>
            <w:tcBorders>
              <w:left w:val="single" w:color="auto" w:sz="4" w:space="0"/>
              <w:right w:val="single" w:color="auto" w:sz="4" w:space="0"/>
            </w:tcBorders>
            <w:noWrap w:val="0"/>
            <w:vAlign w:val="center"/>
          </w:tcPr>
          <w:p w14:paraId="78B2CB1E">
            <w:pPr>
              <w:jc w:val="left"/>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57DCB80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4655" w:type="dxa"/>
            <w:tcBorders>
              <w:top w:val="single" w:color="auto" w:sz="4" w:space="0"/>
              <w:left w:val="single" w:color="auto" w:sz="4" w:space="0"/>
              <w:bottom w:val="single" w:color="auto" w:sz="4" w:space="0"/>
              <w:right w:val="single" w:color="auto" w:sz="4" w:space="0"/>
            </w:tcBorders>
            <w:noWrap w:val="0"/>
            <w:vAlign w:val="center"/>
          </w:tcPr>
          <w:p w14:paraId="72B81B66">
            <w:pPr>
              <w:pStyle w:val="35"/>
              <w:keepNext w:val="0"/>
              <w:keepLines w:val="0"/>
              <w:pageBreakBefore w:val="0"/>
              <w:kinsoku/>
              <w:wordWrap/>
              <w:overflowPunct/>
              <w:topLinePunct w:val="0"/>
              <w:bidi w:val="0"/>
              <w:snapToGrid/>
              <w:spacing w:line="360" w:lineRule="auto"/>
              <w:ind w:left="0" w:leftChars="0" w:firstLine="0" w:firstLineChars="0"/>
              <w:textAlignment w:val="auto"/>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为本项目提供的项目经理（1名，如联合体投标的，由联合体牵头单位拟派）：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1.具有信息系统项目管理师（高级）资质证书得1.5分，具有系统集成项目管理工程师（中级）得0.5分；此项最高得1.5分；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2.具有网络规划设计师（高级）证书得1.5分，具有网络工程师（中级）得0.5分；此项最高得1.5分；</w:t>
            </w:r>
            <w:r>
              <w:rPr>
                <w:rFonts w:hint="eastAsia" w:ascii="仿宋" w:hAnsi="仿宋" w:eastAsia="仿宋" w:cs="仿宋"/>
                <w:i w:val="0"/>
                <w:iCs w:val="0"/>
                <w:color w:val="000000"/>
                <w:kern w:val="0"/>
                <w:sz w:val="24"/>
                <w:szCs w:val="24"/>
                <w:u w:val="none"/>
                <w:lang w:val="en-US" w:eastAsia="zh-CN" w:bidi="ar"/>
              </w:rPr>
              <w:br w:type="textWrapping"/>
            </w:r>
            <w:r>
              <w:rPr>
                <w:rFonts w:hint="default" w:ascii="仿宋_GB2312" w:hAnsi="宋体" w:eastAsia="仿宋_GB2312" w:cs="仿宋_GB2312"/>
                <w:b/>
                <w:bCs/>
                <w:i w:val="0"/>
                <w:iCs w:val="0"/>
                <w:color w:val="000000"/>
                <w:kern w:val="0"/>
                <w:sz w:val="24"/>
                <w:szCs w:val="24"/>
                <w:u w:val="none"/>
                <w:lang w:val="en-US" w:eastAsia="zh-CN" w:bidi="ar"/>
              </w:rPr>
              <w:t>注：1.须提供上述证书及</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上述人员在本单位的社保证明（2026年3月、4月、5月、6月</w:t>
            </w:r>
            <w:r>
              <w:rPr>
                <w:rFonts w:hint="eastAsia" w:ascii="仿宋_GB2312" w:hAnsi="仿宋_GB2312" w:eastAsia="仿宋_GB2312" w:cs="仿宋_GB2312"/>
                <w:b/>
                <w:bCs/>
                <w:color w:val="000000" w:themeColor="text1"/>
                <w:sz w:val="24"/>
                <w:szCs w:val="24"/>
                <w:highlight w:val="none"/>
                <w:lang w:val="zh-TW" w:eastAsia="zh-CN"/>
                <w14:textFill>
                  <w14:solidFill>
                    <w14:schemeClr w14:val="tx1"/>
                  </w14:solidFill>
                </w14:textFill>
              </w:rPr>
              <w:t>中的任意一个月</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），否则不得分。</w:t>
            </w:r>
            <w:r>
              <w:rPr>
                <w:rFonts w:hint="default" w:ascii="仿宋_GB2312" w:hAnsi="宋体" w:eastAsia="仿宋_GB2312" w:cs="仿宋_GB2312"/>
                <w:b/>
                <w:bCs/>
                <w:i w:val="0"/>
                <w:iCs w:val="0"/>
                <w:color w:val="000000"/>
                <w:kern w:val="0"/>
                <w:sz w:val="24"/>
                <w:szCs w:val="24"/>
                <w:u w:val="none"/>
                <w:lang w:val="en-US" w:eastAsia="zh-CN" w:bidi="ar"/>
              </w:rPr>
              <w:br w:type="textWrapping"/>
            </w:r>
            <w:r>
              <w:rPr>
                <w:rFonts w:hint="default" w:ascii="仿宋_GB2312" w:hAnsi="宋体" w:eastAsia="仿宋_GB2312" w:cs="仿宋_GB2312"/>
                <w:b/>
                <w:bCs/>
                <w:i w:val="0"/>
                <w:iCs w:val="0"/>
                <w:color w:val="000000"/>
                <w:kern w:val="0"/>
                <w:sz w:val="24"/>
                <w:szCs w:val="24"/>
                <w:u w:val="none"/>
                <w:lang w:val="en-US" w:eastAsia="zh-CN" w:bidi="ar"/>
              </w:rPr>
              <w:t>2.投标人提供的同类专业证书等级高于上述证书的，视作满足要求。</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2FA9BA9F">
            <w:pPr>
              <w:jc w:val="center"/>
              <w:outlineLvl w:val="0"/>
              <w:rPr>
                <w:rFonts w:hint="default"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3</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BF8AB00">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2362C061">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230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85" w:type="dxa"/>
            <w:vMerge w:val="continue"/>
            <w:tcBorders>
              <w:left w:val="single" w:color="auto" w:sz="4" w:space="0"/>
              <w:right w:val="single" w:color="auto" w:sz="4" w:space="0"/>
            </w:tcBorders>
            <w:noWrap w:val="0"/>
            <w:vAlign w:val="center"/>
          </w:tcPr>
          <w:p w14:paraId="63C382EA">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250D52E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p>
        </w:tc>
        <w:tc>
          <w:tcPr>
            <w:tcW w:w="4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4204D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为本项目提供的技术负责人（1名）：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1.具有网络安全管理员证书的得1.5分；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2.具有信息安全保障人员证书的得1.5分；</w:t>
            </w:r>
          </w:p>
          <w:p w14:paraId="4B1716D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i w:val="0"/>
                <w:iCs w:val="0"/>
                <w:color w:val="000000"/>
                <w:kern w:val="0"/>
                <w:sz w:val="24"/>
                <w:szCs w:val="24"/>
                <w:u w:val="none"/>
                <w:lang w:val="en-US" w:eastAsia="zh-CN" w:bidi="ar"/>
              </w:rPr>
            </w:pPr>
            <w:r>
              <w:rPr>
                <w:rFonts w:hint="default" w:ascii="仿宋_GB2312" w:hAnsi="宋体" w:eastAsia="仿宋_GB2312" w:cs="仿宋_GB2312"/>
                <w:b/>
                <w:bCs/>
                <w:i w:val="0"/>
                <w:iCs w:val="0"/>
                <w:color w:val="000000"/>
                <w:kern w:val="0"/>
                <w:sz w:val="24"/>
                <w:szCs w:val="24"/>
                <w:u w:val="none"/>
                <w:lang w:val="en-US" w:eastAsia="zh-CN" w:bidi="ar"/>
              </w:rPr>
              <w:t>注：1.须提供上述证书及</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上述人员在本单位的社保证明（2026年3月、4月、5月、6月</w:t>
            </w:r>
            <w:r>
              <w:rPr>
                <w:rFonts w:hint="eastAsia" w:ascii="仿宋_GB2312" w:hAnsi="仿宋_GB2312" w:eastAsia="仿宋_GB2312" w:cs="仿宋_GB2312"/>
                <w:b/>
                <w:bCs/>
                <w:color w:val="000000" w:themeColor="text1"/>
                <w:sz w:val="24"/>
                <w:szCs w:val="24"/>
                <w:highlight w:val="none"/>
                <w:lang w:val="zh-TW" w:eastAsia="zh-CN"/>
                <w14:textFill>
                  <w14:solidFill>
                    <w14:schemeClr w14:val="tx1"/>
                  </w14:solidFill>
                </w14:textFill>
              </w:rPr>
              <w:t>中的任意一个月</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），否则不得分。</w:t>
            </w:r>
            <w:r>
              <w:rPr>
                <w:rFonts w:hint="default" w:ascii="仿宋_GB2312" w:hAnsi="宋体" w:eastAsia="仿宋_GB2312" w:cs="仿宋_GB2312"/>
                <w:b/>
                <w:bCs/>
                <w:i w:val="0"/>
                <w:iCs w:val="0"/>
                <w:color w:val="000000"/>
                <w:kern w:val="0"/>
                <w:sz w:val="24"/>
                <w:szCs w:val="24"/>
                <w:u w:val="none"/>
                <w:lang w:val="en-US" w:eastAsia="zh-CN" w:bidi="ar"/>
              </w:rPr>
              <w:br w:type="textWrapping"/>
            </w:r>
            <w:r>
              <w:rPr>
                <w:rFonts w:hint="default" w:ascii="仿宋_GB2312" w:hAnsi="宋体" w:eastAsia="仿宋_GB2312" w:cs="仿宋_GB2312"/>
                <w:b/>
                <w:bCs/>
                <w:i w:val="0"/>
                <w:iCs w:val="0"/>
                <w:color w:val="000000"/>
                <w:kern w:val="0"/>
                <w:sz w:val="24"/>
                <w:szCs w:val="24"/>
                <w:u w:val="none"/>
                <w:lang w:val="en-US" w:eastAsia="zh-CN" w:bidi="ar"/>
              </w:rPr>
              <w:t>2.投标人提供的同类专业证书等级高于上述证书的，视作满足要求。</w:t>
            </w:r>
          </w:p>
        </w:tc>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6A056F">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strike w:val="0"/>
                <w:dstrike w:val="0"/>
                <w:color w:val="000000" w:themeColor="text1"/>
                <w:spacing w:val="4"/>
                <w:sz w:val="24"/>
                <w:szCs w:val="24"/>
                <w:highlight w:val="none"/>
                <w:lang w:val="en-US" w:eastAsia="zh-CN"/>
                <w14:textFill>
                  <w14:solidFill>
                    <w14:schemeClr w14:val="tx1"/>
                  </w14:solidFill>
                </w14:textFill>
              </w:rPr>
              <w:t>3</w:t>
            </w:r>
          </w:p>
        </w:tc>
        <w:tc>
          <w:tcPr>
            <w:tcW w:w="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CD7867">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543A4408">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3BAD4AB8">
            <w:pPr>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06E1551D">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47B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Merge w:val="continue"/>
            <w:tcBorders>
              <w:left w:val="single" w:color="auto" w:sz="4" w:space="0"/>
              <w:right w:val="single" w:color="auto" w:sz="4" w:space="0"/>
            </w:tcBorders>
            <w:noWrap w:val="0"/>
            <w:vAlign w:val="center"/>
          </w:tcPr>
          <w:p w14:paraId="0BA68547">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3D1313D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p>
        </w:tc>
        <w:tc>
          <w:tcPr>
            <w:tcW w:w="4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F87011">
            <w:pPr>
              <w:widowControl/>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投标人</w:t>
            </w:r>
            <w:r>
              <w:rPr>
                <w:rFonts w:hint="eastAsia" w:ascii="仿宋_GB2312" w:hAnsi="仿宋_GB2312" w:eastAsia="仿宋_GB2312" w:cs="仿宋_GB2312"/>
                <w:color w:val="000000" w:themeColor="text1"/>
                <w:sz w:val="24"/>
                <w:szCs w:val="24"/>
                <w:highlight w:val="none"/>
                <w14:textFill>
                  <w14:solidFill>
                    <w14:schemeClr w14:val="tx1"/>
                  </w14:solidFill>
                </w14:textFill>
              </w:rPr>
              <w:t>所投</w:t>
            </w:r>
            <w:r>
              <w:rPr>
                <w:rFonts w:hint="eastAsia" w:ascii="仿宋" w:hAnsi="仿宋" w:eastAsia="仿宋" w:cs="仿宋"/>
                <w:color w:val="000000" w:themeColor="text1"/>
                <w:sz w:val="24"/>
                <w:szCs w:val="24"/>
                <w:highlight w:val="none"/>
                <w:u w:val="single"/>
                <w14:textFill>
                  <w14:solidFill>
                    <w14:schemeClr w14:val="tx1"/>
                  </w14:solidFill>
                </w14:textFill>
              </w:rPr>
              <w:t>定制研判桌1、人体工学椅调度椅、交互式装备柜、4席位定制操作控制台、3人位操作台、定制研判桌2、4人位操作台、6席位定制操作控制台、控制台设备柜、风冷列间空调1、风冷列间空调2、风冷列间空调3、精密空调、顶面防潮漆、顶面防尘漆、地面防潮漆、地面防尘漆、备件柜、算力服务器</w:t>
            </w:r>
            <w:r>
              <w:rPr>
                <w:rFonts w:hint="eastAsia" w:ascii="仿宋_GB2312" w:hAnsi="仿宋_GB2312" w:eastAsia="仿宋_GB2312" w:cs="仿宋_GB2312"/>
                <w:color w:val="000000" w:themeColor="text1"/>
                <w:sz w:val="24"/>
                <w:szCs w:val="24"/>
                <w:highlight w:val="none"/>
                <w14:textFill>
                  <w14:solidFill>
                    <w14:schemeClr w14:val="tx1"/>
                  </w14:solidFill>
                </w14:textFill>
              </w:rPr>
              <w:t>产品具有有效期内的环境标志产品认证证书的，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每少一个扣</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0.053</w:t>
            </w:r>
            <w:r>
              <w:rPr>
                <w:rFonts w:hint="eastAsia" w:ascii="仿宋_GB2312" w:hAnsi="仿宋_GB2312" w:eastAsia="仿宋_GB2312" w:cs="仿宋_GB2312"/>
                <w:color w:val="000000" w:themeColor="text1"/>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扣光为止</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2D928DF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Calibri" w:hAnsi="Calibri" w:eastAsia="宋体" w:cs="宋体"/>
                <w:b w:val="0"/>
                <w:bCs/>
                <w:kern w:val="2"/>
                <w:sz w:val="21"/>
                <w:szCs w:val="22"/>
                <w:lang w:val="en-US" w:eastAsia="zh-CN" w:bidi="ar-SA"/>
              </w:rPr>
            </w:pPr>
            <w:r>
              <w:rPr>
                <w:rFonts w:hint="eastAsia" w:ascii="仿宋_GB2312" w:hAnsi="仿宋_GB2312" w:eastAsia="仿宋_GB2312" w:cs="仿宋_GB2312"/>
                <w:b/>
                <w:color w:val="000000" w:themeColor="text1"/>
                <w:kern w:val="2"/>
                <w:sz w:val="24"/>
                <w:szCs w:val="24"/>
                <w:highlight w:val="none"/>
                <w:lang w:val="en-US" w:eastAsia="zh-CN" w:bidi="ar-SA"/>
                <w14:textFill>
                  <w14:solidFill>
                    <w14:schemeClr w14:val="tx1"/>
                  </w14:solidFill>
                </w14:textFill>
              </w:rPr>
              <w:t>注：出具机构须在国家市场监督管理总局公布的《参与实施政府采购环境标志产品认证机构名录》内。</w:t>
            </w:r>
          </w:p>
        </w:tc>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1123B4">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w:t>
            </w:r>
          </w:p>
        </w:tc>
        <w:tc>
          <w:tcPr>
            <w:tcW w:w="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E59BB7">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4EDCE5B3">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04B4A1F3">
            <w:pPr>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63E248B1">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87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3" w:hRule="atLeast"/>
          <w:jc w:val="center"/>
        </w:trPr>
        <w:tc>
          <w:tcPr>
            <w:tcW w:w="885" w:type="dxa"/>
            <w:vMerge w:val="continue"/>
            <w:tcBorders>
              <w:left w:val="single" w:color="auto" w:sz="4" w:space="0"/>
              <w:right w:val="single" w:color="auto" w:sz="4" w:space="0"/>
            </w:tcBorders>
            <w:noWrap w:val="0"/>
            <w:vAlign w:val="center"/>
          </w:tcPr>
          <w:p w14:paraId="4C237C8A">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4F3FD6A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p>
        </w:tc>
        <w:tc>
          <w:tcPr>
            <w:tcW w:w="4655" w:type="dxa"/>
            <w:tcBorders>
              <w:top w:val="single" w:color="auto" w:sz="4" w:space="0"/>
              <w:left w:val="single" w:color="auto" w:sz="4" w:space="0"/>
              <w:right w:val="single" w:color="auto" w:sz="4" w:space="0"/>
            </w:tcBorders>
            <w:shd w:val="clear" w:color="auto" w:fill="auto"/>
            <w:noWrap w:val="0"/>
            <w:vAlign w:val="center"/>
          </w:tcPr>
          <w:p w14:paraId="300E8CF8">
            <w:pPr>
              <w:pStyle w:val="35"/>
              <w:ind w:left="0" w:leftChars="0" w:firstLine="0" w:firstLineChars="0"/>
              <w:rPr>
                <w:rFonts w:hint="default" w:ascii="仿宋_GB2312" w:hAnsi="宋体" w:eastAsia="仿宋_GB2312" w:cs="仿宋_GB2312"/>
                <w:i w:val="0"/>
                <w:iCs w:val="0"/>
                <w:color w:val="000000"/>
                <w:kern w:val="0"/>
                <w:sz w:val="24"/>
                <w:szCs w:val="24"/>
                <w:u w:val="none"/>
                <w:lang w:val="en-US" w:eastAsia="zh-CN" w:bidi="ar"/>
              </w:rPr>
            </w:pPr>
            <w:bookmarkStart w:id="405" w:name="_GoBack"/>
            <w:r>
              <w:rPr>
                <w:rFonts w:hint="default" w:ascii="仿宋_GB2312" w:hAnsi="宋体" w:eastAsia="仿宋_GB2312" w:cs="仿宋_GB2312"/>
                <w:i w:val="0"/>
                <w:iCs w:val="0"/>
                <w:color w:val="000000"/>
                <w:kern w:val="0"/>
                <w:sz w:val="24"/>
                <w:szCs w:val="24"/>
                <w:u w:val="none"/>
                <w:lang w:val="en-US" w:eastAsia="zh-CN" w:bidi="ar"/>
              </w:rPr>
              <w:t>除项目经理、技术负责人外，拟派项目人员中具有</w:t>
            </w:r>
            <w:r>
              <w:rPr>
                <w:rFonts w:hint="eastAsia" w:ascii="仿宋" w:hAnsi="仿宋" w:eastAsia="仿宋" w:cs="仿宋"/>
                <w:i w:val="0"/>
                <w:iCs w:val="0"/>
                <w:color w:val="000000"/>
                <w:kern w:val="0"/>
                <w:sz w:val="24"/>
                <w:szCs w:val="24"/>
                <w:u w:val="none"/>
                <w:lang w:val="en-US" w:eastAsia="zh-CN" w:bidi="ar"/>
              </w:rPr>
              <w:t>信息系统项目管理师（高级）、有线传输高级工程师、、高级工程师（电力工程技术或相关专业）</w:t>
            </w:r>
            <w:r>
              <w:rPr>
                <w:rFonts w:hint="default" w:ascii="仿宋_GB2312" w:hAnsi="宋体" w:eastAsia="仿宋_GB2312" w:cs="仿宋_GB2312"/>
                <w:i w:val="0"/>
                <w:iCs w:val="0"/>
                <w:color w:val="000000"/>
                <w:kern w:val="0"/>
                <w:sz w:val="24"/>
                <w:szCs w:val="24"/>
                <w:u w:val="none"/>
                <w:lang w:val="en-US" w:eastAsia="zh-CN" w:bidi="ar"/>
              </w:rPr>
              <w:t>的，每本得</w:t>
            </w:r>
            <w:r>
              <w:rPr>
                <w:rFonts w:hint="eastAsia" w:ascii="仿宋_GB2312" w:hAnsi="宋体" w:eastAsia="仿宋_GB2312" w:cs="仿宋_GB2312"/>
                <w:i w:val="0"/>
                <w:iCs w:val="0"/>
                <w:color w:val="000000"/>
                <w:kern w:val="0"/>
                <w:sz w:val="24"/>
                <w:szCs w:val="24"/>
                <w:u w:val="none"/>
                <w:lang w:val="en-US" w:eastAsia="zh-CN" w:bidi="ar"/>
              </w:rPr>
              <w:t>1</w:t>
            </w:r>
            <w:r>
              <w:rPr>
                <w:rFonts w:hint="default" w:ascii="仿宋_GB2312" w:hAnsi="宋体" w:eastAsia="仿宋_GB2312" w:cs="仿宋_GB2312"/>
                <w:i w:val="0"/>
                <w:iCs w:val="0"/>
                <w:color w:val="000000"/>
                <w:kern w:val="0"/>
                <w:sz w:val="24"/>
                <w:szCs w:val="24"/>
                <w:u w:val="none"/>
                <w:lang w:val="en-US" w:eastAsia="zh-CN" w:bidi="ar"/>
              </w:rPr>
              <w:t>分，最高得</w:t>
            </w:r>
            <w:r>
              <w:rPr>
                <w:rFonts w:hint="eastAsia" w:ascii="仿宋_GB2312" w:hAnsi="宋体" w:eastAsia="仿宋_GB2312" w:cs="仿宋_GB2312"/>
                <w:i w:val="0"/>
                <w:iCs w:val="0"/>
                <w:color w:val="000000"/>
                <w:kern w:val="0"/>
                <w:sz w:val="24"/>
                <w:szCs w:val="24"/>
                <w:u w:val="none"/>
                <w:lang w:val="en-US" w:eastAsia="zh-CN" w:bidi="ar"/>
              </w:rPr>
              <w:t>3</w:t>
            </w:r>
            <w:r>
              <w:rPr>
                <w:rFonts w:hint="default" w:ascii="仿宋_GB2312" w:hAnsi="宋体" w:eastAsia="仿宋_GB2312" w:cs="仿宋_GB2312"/>
                <w:i w:val="0"/>
                <w:iCs w:val="0"/>
                <w:color w:val="000000"/>
                <w:kern w:val="0"/>
                <w:sz w:val="24"/>
                <w:szCs w:val="24"/>
                <w:u w:val="none"/>
                <w:lang w:val="en-US" w:eastAsia="zh-CN" w:bidi="ar"/>
              </w:rPr>
              <w:t>分。</w:t>
            </w:r>
          </w:p>
          <w:p w14:paraId="798A4697">
            <w:pPr>
              <w:pStyle w:val="35"/>
              <w:ind w:left="0" w:leftChars="0" w:firstLine="0" w:firstLineChars="0"/>
              <w:rPr>
                <w:rFonts w:hint="default" w:ascii="Calibri" w:hAnsi="Calibri" w:eastAsia="宋体" w:cs="宋体"/>
                <w:kern w:val="2"/>
                <w:sz w:val="21"/>
                <w:szCs w:val="22"/>
                <w:lang w:val="en-US" w:eastAsia="zh-CN" w:bidi="ar-SA"/>
              </w:rPr>
            </w:pPr>
            <w:r>
              <w:rPr>
                <w:rFonts w:hint="default" w:ascii="仿宋_GB2312" w:hAnsi="宋体" w:eastAsia="仿宋_GB2312" w:cs="仿宋_GB2312"/>
                <w:b/>
                <w:bCs/>
                <w:i w:val="0"/>
                <w:iCs w:val="0"/>
                <w:color w:val="000000"/>
                <w:kern w:val="0"/>
                <w:sz w:val="24"/>
                <w:szCs w:val="24"/>
                <w:u w:val="none"/>
                <w:lang w:val="en-US" w:eastAsia="zh-CN" w:bidi="ar"/>
              </w:rPr>
              <w:t>注：1.须提供上述证书及</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上述人员在本单位的社保证明（2026年3月、4月、5月、6月</w:t>
            </w:r>
            <w:r>
              <w:rPr>
                <w:rFonts w:hint="eastAsia" w:ascii="仿宋_GB2312" w:hAnsi="仿宋_GB2312" w:eastAsia="仿宋_GB2312" w:cs="仿宋_GB2312"/>
                <w:b/>
                <w:bCs/>
                <w:color w:val="000000" w:themeColor="text1"/>
                <w:sz w:val="24"/>
                <w:szCs w:val="24"/>
                <w:highlight w:val="none"/>
                <w:lang w:val="zh-TW" w:eastAsia="zh-CN"/>
                <w14:textFill>
                  <w14:solidFill>
                    <w14:schemeClr w14:val="tx1"/>
                  </w14:solidFill>
                </w14:textFill>
              </w:rPr>
              <w:t>中的任意一个月</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），否则不得分。</w:t>
            </w:r>
            <w:r>
              <w:rPr>
                <w:rFonts w:hint="default" w:ascii="仿宋_GB2312" w:hAnsi="宋体" w:eastAsia="仿宋_GB2312" w:cs="仿宋_GB2312"/>
                <w:b/>
                <w:bCs/>
                <w:i w:val="0"/>
                <w:iCs w:val="0"/>
                <w:color w:val="000000"/>
                <w:kern w:val="0"/>
                <w:sz w:val="24"/>
                <w:szCs w:val="24"/>
                <w:u w:val="none"/>
                <w:lang w:val="en-US" w:eastAsia="zh-CN" w:bidi="ar"/>
              </w:rPr>
              <w:br w:type="textWrapping"/>
            </w:r>
            <w:r>
              <w:rPr>
                <w:rFonts w:hint="default" w:ascii="仿宋_GB2312" w:hAnsi="宋体" w:eastAsia="仿宋_GB2312" w:cs="仿宋_GB2312"/>
                <w:b/>
                <w:bCs/>
                <w:i w:val="0"/>
                <w:iCs w:val="0"/>
                <w:color w:val="000000"/>
                <w:kern w:val="0"/>
                <w:sz w:val="24"/>
                <w:szCs w:val="24"/>
                <w:u w:val="none"/>
                <w:lang w:val="en-US" w:eastAsia="zh-CN" w:bidi="ar"/>
              </w:rPr>
              <w:t>2.投标人提供的同类专业证书等级高于上述证书的，视作满足要求。</w:t>
            </w:r>
            <w:bookmarkEnd w:id="405"/>
          </w:p>
        </w:tc>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AAB843">
            <w:pPr>
              <w:jc w:val="cente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p>
        </w:tc>
        <w:tc>
          <w:tcPr>
            <w:tcW w:w="816" w:type="dxa"/>
            <w:tcBorders>
              <w:top w:val="single" w:color="auto" w:sz="4" w:space="0"/>
              <w:left w:val="single" w:color="auto" w:sz="4" w:space="0"/>
              <w:right w:val="single" w:color="auto" w:sz="4" w:space="0"/>
            </w:tcBorders>
            <w:shd w:val="clear" w:color="auto" w:fill="auto"/>
            <w:noWrap w:val="0"/>
            <w:vAlign w:val="center"/>
          </w:tcPr>
          <w:p w14:paraId="11D006EB">
            <w:pPr>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p w14:paraId="05C6D8A3">
            <w:pPr>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p>
        </w:tc>
        <w:tc>
          <w:tcPr>
            <w:tcW w:w="1440" w:type="dxa"/>
            <w:tcBorders>
              <w:top w:val="single" w:color="auto" w:sz="4" w:space="0"/>
              <w:left w:val="single" w:color="auto" w:sz="4" w:space="0"/>
              <w:right w:val="single" w:color="auto" w:sz="4" w:space="0"/>
            </w:tcBorders>
            <w:noWrap w:val="0"/>
            <w:vAlign w:val="top"/>
          </w:tcPr>
          <w:p w14:paraId="6D63D97B">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1E41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885" w:type="dxa"/>
            <w:vMerge w:val="continue"/>
            <w:tcBorders>
              <w:left w:val="single" w:color="auto" w:sz="4" w:space="0"/>
              <w:right w:val="single" w:color="auto" w:sz="4" w:space="0"/>
            </w:tcBorders>
            <w:noWrap w:val="0"/>
            <w:vAlign w:val="center"/>
          </w:tcPr>
          <w:p w14:paraId="19074503">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1C02F3AF">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p>
        </w:tc>
        <w:tc>
          <w:tcPr>
            <w:tcW w:w="4655" w:type="dxa"/>
            <w:tcBorders>
              <w:top w:val="single" w:color="auto" w:sz="4" w:space="0"/>
              <w:left w:val="single" w:color="auto" w:sz="4" w:space="0"/>
              <w:right w:val="single" w:color="auto" w:sz="4" w:space="0"/>
            </w:tcBorders>
            <w:shd w:val="clear" w:color="auto" w:fill="auto"/>
            <w:noWrap w:val="0"/>
            <w:vAlign w:val="center"/>
          </w:tcPr>
          <w:p w14:paraId="070C09AC">
            <w:pPr>
              <w:keepNext w:val="0"/>
              <w:keepLines w:val="0"/>
              <w:suppressLineNumbers w:val="0"/>
              <w:topLinePunct/>
              <w:spacing w:before="0" w:beforeAutospacing="0" w:after="0" w:afterAutospacing="0" w:line="400" w:lineRule="exact"/>
              <w:ind w:left="0" w:right="0"/>
              <w:contextualSpacing/>
              <w:rPr>
                <w:rFonts w:hint="eastAsia" w:ascii="仿宋_GB2312" w:hAnsi="仿宋_GB2312" w:eastAsia="仿宋_GB2312" w:cs="仿宋_GB2312"/>
                <w:sz w:val="24"/>
                <w:lang w:eastAsia="zh-CN"/>
              </w:rPr>
            </w:pPr>
            <w:r>
              <w:rPr>
                <w:rFonts w:hint="eastAsia" w:ascii="仿宋_GB2312" w:hAnsi="宋体" w:eastAsia="仿宋_GB2312" w:cs="宋体"/>
                <w:sz w:val="24"/>
                <w:szCs w:val="24"/>
              </w:rPr>
              <w:t>根据投标人对本项目制定的</w:t>
            </w:r>
            <w:r>
              <w:rPr>
                <w:rFonts w:hint="eastAsia" w:ascii="仿宋_GB2312" w:hAnsi="仿宋_GB2312" w:eastAsia="仿宋_GB2312" w:cs="仿宋_GB2312"/>
                <w:sz w:val="24"/>
              </w:rPr>
              <w:t>的售后服务方案</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包括备品备件配置、运维人员配置、服务承诺等情况</w:t>
            </w:r>
            <w:r>
              <w:rPr>
                <w:rFonts w:hint="eastAsia" w:ascii="仿宋_GB2312" w:hAnsi="仿宋_GB2312" w:eastAsia="仿宋_GB2312" w:cs="仿宋_GB2312"/>
                <w:sz w:val="24"/>
              </w:rPr>
              <w:t>打分</w:t>
            </w:r>
            <w:r>
              <w:rPr>
                <w:rFonts w:hint="eastAsia" w:ascii="仿宋_GB2312" w:hAnsi="仿宋_GB2312" w:eastAsia="仿宋_GB2312" w:cs="仿宋_GB2312"/>
                <w:sz w:val="24"/>
                <w:lang w:eastAsia="zh-CN"/>
              </w:rPr>
              <w:t>：</w:t>
            </w:r>
          </w:p>
          <w:p w14:paraId="71FAA278">
            <w:pPr>
              <w:keepNext w:val="0"/>
              <w:keepLines w:val="0"/>
              <w:numPr>
                <w:ilvl w:val="0"/>
                <w:numId w:val="0"/>
              </w:numPr>
              <w:suppressLineNumbers w:val="0"/>
              <w:topLinePunct/>
              <w:spacing w:before="0" w:beforeAutospacing="0" w:after="0" w:afterAutospacing="0" w:line="400" w:lineRule="exact"/>
              <w:ind w:right="0" w:rightChars="0"/>
              <w:contextualSpacing/>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以上每点，描述完整详细且与采购人实际需求完全契合的得1分；</w:t>
            </w:r>
          </w:p>
          <w:p w14:paraId="6EA791DF">
            <w:pPr>
              <w:keepNext w:val="0"/>
              <w:keepLines w:val="0"/>
              <w:numPr>
                <w:ilvl w:val="0"/>
                <w:numId w:val="0"/>
              </w:numPr>
              <w:suppressLineNumbers w:val="0"/>
              <w:topLinePunct/>
              <w:spacing w:before="0" w:beforeAutospacing="0" w:after="0" w:afterAutospacing="0" w:line="400" w:lineRule="exact"/>
              <w:ind w:right="0" w:rightChars="0"/>
              <w:contextualSpacing/>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描述较详细完整或与采购人实际需求基本符合的得0.5分；</w:t>
            </w:r>
          </w:p>
          <w:p w14:paraId="741B5769">
            <w:pPr>
              <w:keepNext w:val="0"/>
              <w:keepLines w:val="0"/>
              <w:numPr>
                <w:ilvl w:val="0"/>
                <w:numId w:val="0"/>
              </w:numPr>
              <w:suppressLineNumbers w:val="0"/>
              <w:topLinePunct/>
              <w:spacing w:before="0" w:beforeAutospacing="0" w:after="0" w:afterAutospacing="0" w:line="400" w:lineRule="exact"/>
              <w:ind w:left="0" w:leftChars="0" w:right="0" w:rightChars="0" w:firstLine="0" w:firstLineChars="0"/>
              <w:contextualSpacing/>
              <w:rPr>
                <w:rFonts w:hint="default" w:ascii="仿宋_GB2312" w:hAnsi="宋体"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color w:val="000000"/>
                <w:sz w:val="24"/>
                <w:szCs w:val="24"/>
                <w:lang w:val="en-US" w:eastAsia="zh-CN"/>
              </w:rPr>
              <w:t>未提供或完全不符合采购人需求的得0分。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5FE12F">
            <w:pPr>
              <w:keepNext w:val="0"/>
              <w:keepLines w:val="0"/>
              <w:suppressLineNumbers w:val="0"/>
              <w:topLinePunct/>
              <w:spacing w:before="0" w:beforeAutospacing="0" w:after="0" w:afterAutospacing="0" w:line="400" w:lineRule="exact"/>
              <w:ind w:left="0" w:leftChars="0" w:right="0" w:rightChars="0"/>
              <w:contextualSpacing/>
              <w:jc w:val="cente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sz w:val="24"/>
              </w:rPr>
              <w:t>3</w:t>
            </w:r>
          </w:p>
        </w:tc>
        <w:tc>
          <w:tcPr>
            <w:tcW w:w="816" w:type="dxa"/>
            <w:tcBorders>
              <w:top w:val="single" w:color="auto" w:sz="4" w:space="0"/>
              <w:left w:val="single" w:color="auto" w:sz="4" w:space="0"/>
              <w:right w:val="single" w:color="auto" w:sz="4" w:space="0"/>
            </w:tcBorders>
            <w:shd w:val="clear" w:color="auto" w:fill="auto"/>
            <w:noWrap w:val="0"/>
            <w:vAlign w:val="center"/>
          </w:tcPr>
          <w:p w14:paraId="12960AF9">
            <w:pPr>
              <w:keepNext w:val="0"/>
              <w:keepLines w:val="0"/>
              <w:suppressLineNumbers w:val="0"/>
              <w:topLinePunct/>
              <w:spacing w:before="0" w:beforeAutospacing="0" w:after="0" w:afterAutospacing="0" w:line="400" w:lineRule="exact"/>
              <w:ind w:left="0" w:leftChars="0" w:right="0" w:rightChars="0"/>
              <w:contextualSpacing/>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宋体" w:eastAsia="仿宋_GB2312" w:cs="宋体"/>
                <w:b/>
                <w:spacing w:val="4"/>
                <w:szCs w:val="21"/>
              </w:rPr>
              <w:t>主观分</w:t>
            </w:r>
          </w:p>
        </w:tc>
        <w:tc>
          <w:tcPr>
            <w:tcW w:w="1440" w:type="dxa"/>
            <w:tcBorders>
              <w:top w:val="single" w:color="auto" w:sz="4" w:space="0"/>
              <w:left w:val="single" w:color="auto" w:sz="4" w:space="0"/>
              <w:right w:val="single" w:color="auto" w:sz="4" w:space="0"/>
            </w:tcBorders>
            <w:noWrap w:val="0"/>
            <w:vAlign w:val="top"/>
          </w:tcPr>
          <w:p w14:paraId="5196E55B">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800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85" w:type="dxa"/>
            <w:vMerge w:val="continue"/>
            <w:tcBorders>
              <w:left w:val="single" w:color="auto" w:sz="4" w:space="0"/>
              <w:right w:val="single" w:color="auto" w:sz="4" w:space="0"/>
            </w:tcBorders>
            <w:noWrap w:val="0"/>
            <w:vAlign w:val="center"/>
          </w:tcPr>
          <w:p w14:paraId="009D173D">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537B9A73">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p>
        </w:tc>
        <w:tc>
          <w:tcPr>
            <w:tcW w:w="4655" w:type="dxa"/>
            <w:tcBorders>
              <w:top w:val="single" w:color="auto" w:sz="4" w:space="0"/>
              <w:left w:val="single" w:color="auto" w:sz="4" w:space="0"/>
              <w:right w:val="single" w:color="auto" w:sz="4" w:space="0"/>
            </w:tcBorders>
            <w:shd w:val="clear" w:color="auto" w:fill="auto"/>
            <w:noWrap w:val="0"/>
            <w:vAlign w:val="center"/>
          </w:tcPr>
          <w:p w14:paraId="4711CA35">
            <w:pPr>
              <w:pStyle w:val="12"/>
              <w:keepNext w:val="0"/>
              <w:keepLines w:val="0"/>
              <w:pageBreakBefore w:val="0"/>
              <w:kinsoku/>
              <w:wordWrap w:val="0"/>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b/>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4"/>
                <w:szCs w:val="24"/>
                <w:highlight w:val="none"/>
                <w:lang w:val="en-US" w:eastAsia="zh-CN" w:bidi="ar-SA"/>
                <w14:textFill>
                  <w14:solidFill>
                    <w14:schemeClr w14:val="tx1"/>
                  </w14:solidFill>
                </w14:textFill>
              </w:rPr>
              <w:t>根据投标人对本项目整体质保打分，整体质保4年的，得1分；整体质保5年及以上的，得2分。投标人提供承诺函，格式自拟，未提供的不得分。</w:t>
            </w:r>
          </w:p>
        </w:tc>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A84AA9">
            <w:pPr>
              <w:keepNext w:val="0"/>
              <w:keepLines w:val="0"/>
              <w:pageBreakBefore w:val="0"/>
              <w:kinsoku/>
              <w:wordWrap w:val="0"/>
              <w:overflowPunct/>
              <w:topLinePunct w:val="0"/>
              <w:autoSpaceDE/>
              <w:autoSpaceDN/>
              <w:bidi w:val="0"/>
              <w:adjustRightInd/>
              <w:snapToGrid/>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sz w:val="24"/>
                <w:szCs w:val="24"/>
                <w:highlight w:val="none"/>
              </w:rPr>
              <w:t>2</w:t>
            </w:r>
          </w:p>
        </w:tc>
        <w:tc>
          <w:tcPr>
            <w:tcW w:w="816" w:type="dxa"/>
            <w:tcBorders>
              <w:top w:val="single" w:color="auto" w:sz="4" w:space="0"/>
              <w:left w:val="single" w:color="auto" w:sz="4" w:space="0"/>
              <w:right w:val="single" w:color="auto" w:sz="4" w:space="0"/>
            </w:tcBorders>
            <w:shd w:val="clear" w:color="auto" w:fill="auto"/>
            <w:noWrap w:val="0"/>
            <w:vAlign w:val="center"/>
          </w:tcPr>
          <w:p w14:paraId="4E07A1D4">
            <w:pPr>
              <w:keepNext w:val="0"/>
              <w:keepLines w:val="0"/>
              <w:pageBreakBefore w:val="0"/>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000000" w:themeColor="text1"/>
                <w:spacing w:val="4"/>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Cs w:val="21"/>
                <w:highlight w:val="none"/>
                <w14:textFill>
                  <w14:solidFill>
                    <w14:schemeClr w14:val="tx1"/>
                  </w14:solidFill>
                </w14:textFill>
              </w:rPr>
              <w:t>客观分</w:t>
            </w:r>
          </w:p>
        </w:tc>
        <w:tc>
          <w:tcPr>
            <w:tcW w:w="1440" w:type="dxa"/>
            <w:tcBorders>
              <w:top w:val="single" w:color="auto" w:sz="4" w:space="0"/>
              <w:left w:val="single" w:color="auto" w:sz="4" w:space="0"/>
              <w:right w:val="single" w:color="auto" w:sz="4" w:space="0"/>
            </w:tcBorders>
            <w:noWrap w:val="0"/>
            <w:vAlign w:val="top"/>
          </w:tcPr>
          <w:p w14:paraId="26867CD9">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2443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885" w:type="dxa"/>
            <w:vMerge w:val="restart"/>
            <w:tcBorders>
              <w:left w:val="single" w:color="auto" w:sz="4" w:space="0"/>
              <w:right w:val="single" w:color="auto" w:sz="4" w:space="0"/>
            </w:tcBorders>
            <w:noWrap w:val="0"/>
            <w:vAlign w:val="center"/>
          </w:tcPr>
          <w:p w14:paraId="48B99038">
            <w:pPr>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技术部分（</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51</w:t>
            </w:r>
            <w:r>
              <w:rPr>
                <w:rFonts w:hint="eastAsia" w:ascii="仿宋_GB2312" w:hAnsi="仿宋_GB2312" w:eastAsia="仿宋_GB2312" w:cs="仿宋_GB2312"/>
                <w:color w:val="000000" w:themeColor="text1"/>
                <w:szCs w:val="21"/>
                <w:highlight w:val="none"/>
                <w14:textFill>
                  <w14:solidFill>
                    <w14:schemeClr w14:val="tx1"/>
                  </w14:solidFill>
                </w14:textFill>
              </w:rPr>
              <w:t>）</w:t>
            </w:r>
          </w:p>
        </w:tc>
        <w:tc>
          <w:tcPr>
            <w:tcW w:w="635" w:type="dxa"/>
            <w:tcBorders>
              <w:left w:val="single" w:color="auto" w:sz="4" w:space="0"/>
              <w:right w:val="single" w:color="auto" w:sz="4" w:space="0"/>
            </w:tcBorders>
            <w:shd w:val="clear" w:color="auto" w:fill="auto"/>
            <w:noWrap w:val="0"/>
            <w:vAlign w:val="center"/>
          </w:tcPr>
          <w:p w14:paraId="1A72CD5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p>
        </w:tc>
        <w:tc>
          <w:tcPr>
            <w:tcW w:w="4655" w:type="dxa"/>
            <w:tcBorders>
              <w:top w:val="single" w:color="auto" w:sz="4" w:space="0"/>
              <w:left w:val="single" w:color="auto" w:sz="4" w:space="0"/>
              <w:right w:val="single" w:color="auto" w:sz="4" w:space="0"/>
            </w:tcBorders>
            <w:noWrap w:val="0"/>
            <w:vAlign w:val="center"/>
          </w:tcPr>
          <w:p w14:paraId="52289D44">
            <w:pPr>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仿宋_GB2312" w:hAnsi="仿宋" w:eastAsia="仿宋_GB2312" w:cs="宋体"/>
                <w:color w:val="000000" w:themeColor="text1"/>
                <w:sz w:val="24"/>
                <w:szCs w:val="24"/>
                <w:highlight w:val="none"/>
                <w:lang w:val="en-US" w:eastAsia="zh-CN"/>
                <w14:textFill>
                  <w14:solidFill>
                    <w14:schemeClr w14:val="tx1"/>
                  </w14:solidFill>
                </w14:textFill>
              </w:rPr>
              <w:t>根据投标人的投标文件是否满足本次招标文件第三部分采购需求中标注“△”的技术参数要求打分，标注“△”的技术要求共37项24分，负偏离的每项扣0.65分，扣光为止。</w:t>
            </w:r>
          </w:p>
          <w:p w14:paraId="68050FB5">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szCs w:val="24"/>
                <w:highlight w:val="none"/>
                <w14:textFill>
                  <w14:solidFill>
                    <w14:schemeClr w14:val="tx1"/>
                  </w14:solidFill>
                </w14:textFill>
              </w:rPr>
              <w:t>注：投标人未按要求提供相关证明的，视作不符合要求，该项不得分。</w:t>
            </w:r>
          </w:p>
        </w:tc>
        <w:tc>
          <w:tcPr>
            <w:tcW w:w="630" w:type="dxa"/>
            <w:tcBorders>
              <w:top w:val="single" w:color="auto" w:sz="4" w:space="0"/>
              <w:left w:val="single" w:color="auto" w:sz="4" w:space="0"/>
              <w:right w:val="single" w:color="auto" w:sz="4" w:space="0"/>
            </w:tcBorders>
            <w:noWrap w:val="0"/>
            <w:vAlign w:val="center"/>
          </w:tcPr>
          <w:p w14:paraId="6452FCE3">
            <w:pPr>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24</w:t>
            </w:r>
          </w:p>
        </w:tc>
        <w:tc>
          <w:tcPr>
            <w:tcW w:w="816" w:type="dxa"/>
            <w:tcBorders>
              <w:top w:val="single" w:color="auto" w:sz="4" w:space="0"/>
              <w:left w:val="single" w:color="auto" w:sz="4" w:space="0"/>
              <w:right w:val="single" w:color="auto" w:sz="4" w:space="0"/>
            </w:tcBorders>
            <w:noWrap w:val="0"/>
            <w:vAlign w:val="center"/>
          </w:tcPr>
          <w:p w14:paraId="3124DDCF">
            <w:pPr>
              <w:adjustRightInd w:val="0"/>
              <w:snapToGrid w:val="0"/>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p>
          <w:p w14:paraId="4952108E">
            <w:pPr>
              <w:adjustRightInd w:val="0"/>
              <w:snapToGrid w:val="0"/>
              <w:jc w:val="center"/>
              <w:rPr>
                <w:rFonts w:hint="eastAsia" w:ascii="仿宋_GB2312" w:hAnsi="仿宋_GB2312" w:eastAsia="仿宋_GB2312" w:cs="仿宋_GB2312"/>
                <w:b/>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right w:val="single" w:color="auto" w:sz="4" w:space="0"/>
            </w:tcBorders>
            <w:noWrap w:val="0"/>
            <w:vAlign w:val="top"/>
          </w:tcPr>
          <w:p w14:paraId="37963B6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7AE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Merge w:val="continue"/>
            <w:tcBorders>
              <w:left w:val="single" w:color="auto" w:sz="4" w:space="0"/>
              <w:right w:val="single" w:color="auto" w:sz="4" w:space="0"/>
            </w:tcBorders>
            <w:noWrap w:val="0"/>
            <w:vAlign w:val="center"/>
          </w:tcPr>
          <w:p w14:paraId="53F4C2D0">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4A751B9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10</w:t>
            </w:r>
          </w:p>
        </w:tc>
        <w:tc>
          <w:tcPr>
            <w:tcW w:w="4655" w:type="dxa"/>
            <w:tcBorders>
              <w:top w:val="single" w:color="auto" w:sz="4" w:space="0"/>
              <w:left w:val="single" w:color="auto" w:sz="4" w:space="0"/>
              <w:right w:val="single" w:color="auto" w:sz="4" w:space="0"/>
            </w:tcBorders>
            <w:noWrap w:val="0"/>
            <w:vAlign w:val="center"/>
          </w:tcPr>
          <w:p w14:paraId="5A5AF562">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bCs/>
                <w:color w:val="000000" w:themeColor="text1"/>
                <w:szCs w:val="24"/>
                <w:highlight w:val="none"/>
                <w14:textFill>
                  <w14:solidFill>
                    <w14:schemeClr w14:val="tx1"/>
                  </w14:solidFill>
                </w14:textFill>
              </w:rPr>
            </w:pPr>
            <w:r>
              <w:rPr>
                <w:rFonts w:hint="eastAsia" w:ascii="仿宋_GB2312" w:hAnsi="仿宋" w:eastAsia="仿宋_GB2312" w:cs="宋体"/>
                <w:color w:val="000000" w:themeColor="text1"/>
                <w:kern w:val="2"/>
                <w:sz w:val="24"/>
                <w:szCs w:val="24"/>
                <w:highlight w:val="none"/>
                <w:lang w:val="en-US" w:eastAsia="zh-CN" w:bidi="ar-SA"/>
                <w14:textFill>
                  <w14:solidFill>
                    <w14:schemeClr w14:val="tx1"/>
                  </w14:solidFill>
                </w14:textFill>
              </w:rPr>
              <w:t>整体微模块需具有良好的节能性及安全性，试验测试能效值PUE平均值≤1.2的得2分，须提供CMA及CNAS标识或泰尔认证的第三方检测报告，未提供的不得分。</w:t>
            </w:r>
          </w:p>
        </w:tc>
        <w:tc>
          <w:tcPr>
            <w:tcW w:w="630" w:type="dxa"/>
            <w:tcBorders>
              <w:top w:val="single" w:color="auto" w:sz="4" w:space="0"/>
              <w:left w:val="single" w:color="auto" w:sz="4" w:space="0"/>
              <w:right w:val="single" w:color="auto" w:sz="4" w:space="0"/>
            </w:tcBorders>
            <w:noWrap w:val="0"/>
            <w:vAlign w:val="center"/>
          </w:tcPr>
          <w:p w14:paraId="1BAD2B6C">
            <w:pPr>
              <w:jc w:val="center"/>
              <w:rPr>
                <w:rFonts w:hint="default"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2</w:t>
            </w:r>
          </w:p>
        </w:tc>
        <w:tc>
          <w:tcPr>
            <w:tcW w:w="816" w:type="dxa"/>
            <w:tcBorders>
              <w:top w:val="single" w:color="auto" w:sz="4" w:space="0"/>
              <w:left w:val="single" w:color="auto" w:sz="4" w:space="0"/>
              <w:right w:val="single" w:color="auto" w:sz="4" w:space="0"/>
            </w:tcBorders>
            <w:noWrap w:val="0"/>
            <w:vAlign w:val="center"/>
          </w:tcPr>
          <w:p w14:paraId="3E4FE615">
            <w:pPr>
              <w:adjustRightInd w:val="0"/>
              <w:snapToGrid w:val="0"/>
              <w:jc w:val="cente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客观分</w:t>
            </w:r>
          </w:p>
        </w:tc>
        <w:tc>
          <w:tcPr>
            <w:tcW w:w="1440" w:type="dxa"/>
            <w:tcBorders>
              <w:top w:val="single" w:color="auto" w:sz="4" w:space="0"/>
              <w:left w:val="single" w:color="auto" w:sz="4" w:space="0"/>
              <w:right w:val="single" w:color="auto" w:sz="4" w:space="0"/>
            </w:tcBorders>
            <w:noWrap w:val="0"/>
            <w:vAlign w:val="top"/>
          </w:tcPr>
          <w:p w14:paraId="1507335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590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85" w:type="dxa"/>
            <w:vMerge w:val="continue"/>
            <w:tcBorders>
              <w:left w:val="single" w:color="auto" w:sz="4" w:space="0"/>
              <w:right w:val="single" w:color="auto" w:sz="4" w:space="0"/>
            </w:tcBorders>
            <w:noWrap w:val="0"/>
            <w:vAlign w:val="center"/>
          </w:tcPr>
          <w:p w14:paraId="5DC345DF">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603590D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w:t>
            </w:r>
          </w:p>
        </w:tc>
        <w:tc>
          <w:tcPr>
            <w:tcW w:w="4655" w:type="dxa"/>
            <w:tcBorders>
              <w:top w:val="single" w:color="auto" w:sz="4" w:space="0"/>
              <w:left w:val="single" w:color="auto" w:sz="4" w:space="0"/>
              <w:right w:val="single" w:color="auto" w:sz="4" w:space="0"/>
            </w:tcBorders>
            <w:noWrap w:val="0"/>
            <w:vAlign w:val="center"/>
          </w:tcPr>
          <w:p w14:paraId="1BA3BF9F">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根据投标人提供的总体方案，包括对舟山市公安局市级公安大数据研判服务支撑中心建设现状分析方案、需求理解、重难点分析、解决方案打分，</w:t>
            </w:r>
          </w:p>
          <w:p w14:paraId="0974FC51">
            <w:pPr>
              <w:pStyle w:val="13"/>
              <w:spacing w:line="440" w:lineRule="exact"/>
              <w:ind w:firstLine="0" w:firstLineChars="0"/>
              <w:rPr>
                <w:rFonts w:ascii="Times New Roman" w:hAnsi="Times New Roman" w:eastAsia="仿宋_GB2312"/>
                <w:szCs w:val="24"/>
              </w:rPr>
            </w:pPr>
            <w:r>
              <w:rPr>
                <w:rFonts w:hint="eastAsia" w:ascii="Times New Roman" w:hAnsi="Times New Roman" w:eastAsia="仿宋_GB2312"/>
                <w:szCs w:val="24"/>
              </w:rPr>
              <w:t>以上每点，描述完整详细且与采购人实际需求完全契合的得</w:t>
            </w:r>
            <w:r>
              <w:rPr>
                <w:rFonts w:hint="eastAsia" w:ascii="Times New Roman" w:hAnsi="Times New Roman" w:eastAsia="仿宋_GB2312"/>
                <w:szCs w:val="24"/>
                <w:lang w:val="en-US" w:eastAsia="zh-CN"/>
              </w:rPr>
              <w:t>2</w:t>
            </w:r>
            <w:r>
              <w:rPr>
                <w:rFonts w:hint="eastAsia" w:ascii="Times New Roman" w:hAnsi="Times New Roman" w:eastAsia="仿宋_GB2312"/>
                <w:szCs w:val="24"/>
              </w:rPr>
              <w:t>分；</w:t>
            </w:r>
          </w:p>
          <w:p w14:paraId="46836889">
            <w:pPr>
              <w:pStyle w:val="13"/>
              <w:spacing w:line="440" w:lineRule="exact"/>
              <w:ind w:firstLine="0" w:firstLineChars="0"/>
              <w:rPr>
                <w:rFonts w:ascii="Times New Roman" w:hAnsi="Times New Roman" w:eastAsia="仿宋_GB2312"/>
                <w:szCs w:val="24"/>
              </w:rPr>
            </w:pPr>
            <w:r>
              <w:rPr>
                <w:rFonts w:hint="eastAsia" w:ascii="Times New Roman" w:hAnsi="Times New Roman" w:eastAsia="仿宋_GB2312"/>
                <w:szCs w:val="24"/>
              </w:rPr>
              <w:t>描述较详细完整或与采购人实际需求部分符合的得</w:t>
            </w:r>
            <w:r>
              <w:rPr>
                <w:rFonts w:hint="eastAsia" w:ascii="Times New Roman" w:hAnsi="Times New Roman" w:eastAsia="仿宋_GB2312"/>
                <w:szCs w:val="24"/>
                <w:lang w:val="en-US" w:eastAsia="zh-CN"/>
              </w:rPr>
              <w:t>1</w:t>
            </w:r>
            <w:r>
              <w:rPr>
                <w:rFonts w:hint="eastAsia" w:ascii="Times New Roman" w:hAnsi="Times New Roman" w:eastAsia="仿宋_GB2312"/>
                <w:szCs w:val="24"/>
              </w:rPr>
              <w:t>分；</w:t>
            </w:r>
          </w:p>
          <w:p w14:paraId="05562344">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i w:val="0"/>
                <w:iCs w:val="0"/>
                <w:color w:val="000000"/>
                <w:kern w:val="0"/>
                <w:sz w:val="24"/>
                <w:szCs w:val="24"/>
                <w:u w:val="none"/>
                <w:lang w:val="en-US" w:eastAsia="zh-CN" w:bidi="ar"/>
              </w:rPr>
            </w:pPr>
            <w:r>
              <w:rPr>
                <w:rFonts w:hint="eastAsia" w:ascii="Times New Roman" w:hAnsi="Times New Roman" w:eastAsia="仿宋_GB2312"/>
                <w:sz w:val="24"/>
                <w:szCs w:val="24"/>
              </w:rPr>
              <w:t>未提供或完全不符合采购人需求的得0分。</w:t>
            </w:r>
          </w:p>
        </w:tc>
        <w:tc>
          <w:tcPr>
            <w:tcW w:w="630" w:type="dxa"/>
            <w:tcBorders>
              <w:top w:val="single" w:color="auto" w:sz="4" w:space="0"/>
              <w:left w:val="single" w:color="auto" w:sz="4" w:space="0"/>
              <w:right w:val="single" w:color="auto" w:sz="4" w:space="0"/>
            </w:tcBorders>
            <w:noWrap w:val="0"/>
            <w:vAlign w:val="center"/>
          </w:tcPr>
          <w:p w14:paraId="291AB0D5">
            <w:pPr>
              <w:jc w:val="center"/>
              <w:rPr>
                <w:rFonts w:hint="default" w:ascii="仿宋_GB2312" w:hAnsi="仿宋_GB2312" w:eastAsia="仿宋_GB2312" w:cs="仿宋_GB2312"/>
                <w:b/>
                <w:bCs w:val="0"/>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8</w:t>
            </w:r>
          </w:p>
        </w:tc>
        <w:tc>
          <w:tcPr>
            <w:tcW w:w="816" w:type="dxa"/>
            <w:tcBorders>
              <w:top w:val="single" w:color="auto" w:sz="4" w:space="0"/>
              <w:left w:val="single" w:color="auto" w:sz="4" w:space="0"/>
              <w:right w:val="single" w:color="auto" w:sz="4" w:space="0"/>
            </w:tcBorders>
            <w:noWrap w:val="0"/>
            <w:vAlign w:val="center"/>
          </w:tcPr>
          <w:p w14:paraId="48D5CE1A">
            <w:pPr>
              <w:adjustRightInd w:val="0"/>
              <w:snapToGrid w:val="0"/>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主观分</w:t>
            </w:r>
          </w:p>
        </w:tc>
        <w:tc>
          <w:tcPr>
            <w:tcW w:w="1440" w:type="dxa"/>
            <w:tcBorders>
              <w:top w:val="single" w:color="auto" w:sz="4" w:space="0"/>
              <w:left w:val="single" w:color="auto" w:sz="4" w:space="0"/>
              <w:right w:val="single" w:color="auto" w:sz="4" w:space="0"/>
            </w:tcBorders>
            <w:noWrap w:val="0"/>
            <w:vAlign w:val="top"/>
          </w:tcPr>
          <w:p w14:paraId="4ECCAC1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ADD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1" w:hRule="atLeast"/>
          <w:jc w:val="center"/>
        </w:trPr>
        <w:tc>
          <w:tcPr>
            <w:tcW w:w="885" w:type="dxa"/>
            <w:vMerge w:val="continue"/>
            <w:tcBorders>
              <w:left w:val="single" w:color="auto" w:sz="4" w:space="0"/>
              <w:right w:val="single" w:color="auto" w:sz="4" w:space="0"/>
            </w:tcBorders>
            <w:noWrap w:val="0"/>
            <w:vAlign w:val="center"/>
          </w:tcPr>
          <w:p w14:paraId="7B0436DD">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241C7F9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12</w:t>
            </w:r>
          </w:p>
        </w:tc>
        <w:tc>
          <w:tcPr>
            <w:tcW w:w="4655" w:type="dxa"/>
            <w:tcBorders>
              <w:top w:val="single" w:color="auto" w:sz="4" w:space="0"/>
              <w:left w:val="single" w:color="auto" w:sz="4" w:space="0"/>
              <w:right w:val="single" w:color="auto" w:sz="4" w:space="0"/>
            </w:tcBorders>
            <w:noWrap w:val="0"/>
            <w:vAlign w:val="center"/>
          </w:tcPr>
          <w:p w14:paraId="28606CEF">
            <w:pPr>
              <w:pStyle w:val="13"/>
              <w:spacing w:line="440" w:lineRule="exact"/>
              <w:ind w:firstLine="0" w:firstLineChars="0"/>
              <w:rPr>
                <w:rFonts w:hint="eastAsia" w:ascii="Times New Roman" w:hAnsi="Times New Roman" w:eastAsia="仿宋_GB2312"/>
                <w:szCs w:val="24"/>
                <w:lang w:eastAsia="zh-CN"/>
              </w:rPr>
            </w:pPr>
            <w:r>
              <w:rPr>
                <w:rFonts w:hint="eastAsia" w:ascii="Times New Roman" w:hAnsi="Times New Roman" w:eastAsia="仿宋_GB2312"/>
                <w:szCs w:val="24"/>
              </w:rPr>
              <w:t>根据投标人</w:t>
            </w:r>
            <w:r>
              <w:rPr>
                <w:rFonts w:hint="eastAsia" w:ascii="Times New Roman" w:hAnsi="Times New Roman" w:eastAsia="仿宋_GB2312"/>
                <w:szCs w:val="24"/>
                <w:lang w:eastAsia="zh-CN"/>
              </w:rPr>
              <w:t>的</w:t>
            </w:r>
            <w:r>
              <w:rPr>
                <w:rFonts w:hint="eastAsia" w:ascii="仿宋" w:hAnsi="仿宋" w:eastAsia="仿宋" w:cs="仿宋"/>
                <w:i w:val="0"/>
                <w:iCs w:val="0"/>
                <w:color w:val="000000"/>
                <w:kern w:val="0"/>
                <w:sz w:val="24"/>
                <w:szCs w:val="24"/>
                <w:u w:val="none"/>
                <w:lang w:val="en-US" w:eastAsia="zh-CN" w:bidi="ar"/>
              </w:rPr>
              <w:t>项目建设</w:t>
            </w:r>
            <w:r>
              <w:rPr>
                <w:rFonts w:hint="eastAsia" w:ascii="Times New Roman" w:hAnsi="Times New Roman" w:eastAsia="仿宋_GB2312"/>
                <w:szCs w:val="24"/>
                <w:lang w:eastAsia="zh-CN"/>
              </w:rPr>
              <w:t>方案，包括①无人机管控中心建设施工布置方案②模块化数据中心机房建设施工布置方案③岸海协同多元传感技术实验室建设施工布置方案，针对</w:t>
            </w:r>
            <w:r>
              <w:rPr>
                <w:rFonts w:hint="eastAsia" w:ascii="仿宋" w:hAnsi="仿宋" w:eastAsia="仿宋" w:cs="仿宋"/>
                <w:i w:val="0"/>
                <w:iCs w:val="0"/>
                <w:color w:val="000000"/>
                <w:kern w:val="0"/>
                <w:sz w:val="24"/>
                <w:szCs w:val="24"/>
                <w:u w:val="none"/>
                <w:lang w:val="en-US" w:eastAsia="zh-CN" w:bidi="ar"/>
              </w:rPr>
              <w:t>包括施工布置、总体组织实施方案，管理体制，安全保密制度及实施措施，安装调试、系统集成、试运行、测试、验收等内容</w:t>
            </w:r>
            <w:r>
              <w:rPr>
                <w:rFonts w:hint="eastAsia" w:ascii="Times New Roman" w:hAnsi="Times New Roman" w:eastAsia="仿宋_GB2312"/>
                <w:szCs w:val="24"/>
                <w:lang w:eastAsia="zh-CN"/>
              </w:rPr>
              <w:t>打分</w:t>
            </w:r>
          </w:p>
          <w:p w14:paraId="3AB6EB02">
            <w:pPr>
              <w:pStyle w:val="13"/>
              <w:spacing w:line="440" w:lineRule="exact"/>
              <w:ind w:firstLine="0" w:firstLineChars="0"/>
              <w:rPr>
                <w:rFonts w:ascii="Times New Roman" w:hAnsi="Times New Roman" w:eastAsia="仿宋_GB2312"/>
                <w:szCs w:val="24"/>
              </w:rPr>
            </w:pPr>
            <w:r>
              <w:rPr>
                <w:rFonts w:hint="eastAsia" w:ascii="Times New Roman" w:hAnsi="Times New Roman" w:eastAsia="仿宋_GB2312"/>
                <w:szCs w:val="24"/>
              </w:rPr>
              <w:t>以上每点，描述完整详细且与采购人实际需求完全契合的得</w:t>
            </w:r>
            <w:r>
              <w:rPr>
                <w:rFonts w:hint="eastAsia" w:ascii="Times New Roman" w:hAnsi="Times New Roman" w:eastAsia="仿宋_GB2312"/>
                <w:szCs w:val="24"/>
                <w:lang w:val="en-US" w:eastAsia="zh-CN"/>
              </w:rPr>
              <w:t>2</w:t>
            </w:r>
            <w:r>
              <w:rPr>
                <w:rFonts w:hint="eastAsia" w:ascii="Times New Roman" w:hAnsi="Times New Roman" w:eastAsia="仿宋_GB2312"/>
                <w:szCs w:val="24"/>
              </w:rPr>
              <w:t>分；</w:t>
            </w:r>
          </w:p>
          <w:p w14:paraId="04461E64">
            <w:pPr>
              <w:pStyle w:val="13"/>
              <w:spacing w:line="440" w:lineRule="exact"/>
              <w:ind w:firstLine="0" w:firstLineChars="0"/>
              <w:rPr>
                <w:rFonts w:ascii="Times New Roman" w:hAnsi="Times New Roman" w:eastAsia="仿宋_GB2312"/>
                <w:szCs w:val="24"/>
              </w:rPr>
            </w:pPr>
            <w:r>
              <w:rPr>
                <w:rFonts w:hint="eastAsia" w:ascii="Times New Roman" w:hAnsi="Times New Roman" w:eastAsia="仿宋_GB2312"/>
                <w:szCs w:val="24"/>
              </w:rPr>
              <w:t>描述较详细完整或与采购人实际需求部分符合的得</w:t>
            </w:r>
            <w:r>
              <w:rPr>
                <w:rFonts w:hint="eastAsia" w:ascii="Times New Roman" w:hAnsi="Times New Roman" w:eastAsia="仿宋_GB2312"/>
                <w:szCs w:val="24"/>
                <w:lang w:val="en-US" w:eastAsia="zh-CN"/>
              </w:rPr>
              <w:t>1</w:t>
            </w:r>
            <w:r>
              <w:rPr>
                <w:rFonts w:hint="eastAsia" w:ascii="Times New Roman" w:hAnsi="Times New Roman" w:eastAsia="仿宋_GB2312"/>
                <w:szCs w:val="24"/>
              </w:rPr>
              <w:t>分；</w:t>
            </w:r>
          </w:p>
          <w:p w14:paraId="101B4367">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_GB2312" w:hAnsi="仿宋_GB2312" w:eastAsia="仿宋_GB2312" w:cs="仿宋_GB2312"/>
                <w:b/>
                <w:bCs/>
                <w:color w:val="000000" w:themeColor="text1"/>
                <w:szCs w:val="24"/>
                <w:highlight w:val="none"/>
                <w14:textFill>
                  <w14:solidFill>
                    <w14:schemeClr w14:val="tx1"/>
                  </w14:solidFill>
                </w14:textFill>
              </w:rPr>
            </w:pPr>
            <w:r>
              <w:rPr>
                <w:rFonts w:hint="eastAsia" w:ascii="Times New Roman" w:hAnsi="Times New Roman" w:eastAsia="仿宋_GB2312"/>
                <w:sz w:val="24"/>
                <w:szCs w:val="24"/>
              </w:rPr>
              <w:t>未提供或完全不符合采购人需求的得0分。</w:t>
            </w:r>
          </w:p>
        </w:tc>
        <w:tc>
          <w:tcPr>
            <w:tcW w:w="630" w:type="dxa"/>
            <w:tcBorders>
              <w:top w:val="single" w:color="auto" w:sz="4" w:space="0"/>
              <w:left w:val="single" w:color="auto" w:sz="4" w:space="0"/>
              <w:right w:val="single" w:color="auto" w:sz="4" w:space="0"/>
            </w:tcBorders>
            <w:noWrap w:val="0"/>
            <w:vAlign w:val="center"/>
          </w:tcPr>
          <w:p w14:paraId="4EDB7D23">
            <w:pPr>
              <w:jc w:val="center"/>
              <w:rPr>
                <w:rFonts w:hint="default"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lang w:val="en-US" w:eastAsia="zh-CN"/>
                <w14:textFill>
                  <w14:solidFill>
                    <w14:schemeClr w14:val="tx1"/>
                  </w14:solidFill>
                </w14:textFill>
              </w:rPr>
              <w:t>6</w:t>
            </w:r>
          </w:p>
        </w:tc>
        <w:tc>
          <w:tcPr>
            <w:tcW w:w="816" w:type="dxa"/>
            <w:tcBorders>
              <w:top w:val="single" w:color="auto" w:sz="4" w:space="0"/>
              <w:left w:val="single" w:color="auto" w:sz="4" w:space="0"/>
              <w:right w:val="single" w:color="auto" w:sz="4" w:space="0"/>
            </w:tcBorders>
            <w:noWrap w:val="0"/>
            <w:vAlign w:val="center"/>
          </w:tcPr>
          <w:p w14:paraId="3D363895">
            <w:pPr>
              <w:adjustRightInd w:val="0"/>
              <w:snapToGrid w:val="0"/>
              <w:jc w:val="cente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主观分</w:t>
            </w:r>
          </w:p>
        </w:tc>
        <w:tc>
          <w:tcPr>
            <w:tcW w:w="1440" w:type="dxa"/>
            <w:tcBorders>
              <w:top w:val="single" w:color="auto" w:sz="4" w:space="0"/>
              <w:left w:val="single" w:color="auto" w:sz="4" w:space="0"/>
              <w:right w:val="single" w:color="auto" w:sz="4" w:space="0"/>
            </w:tcBorders>
            <w:noWrap w:val="0"/>
            <w:vAlign w:val="top"/>
          </w:tcPr>
          <w:p w14:paraId="2E9484A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B7A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85" w:type="dxa"/>
            <w:vMerge w:val="continue"/>
            <w:tcBorders>
              <w:left w:val="single" w:color="auto" w:sz="4" w:space="0"/>
              <w:right w:val="single" w:color="auto" w:sz="4" w:space="0"/>
            </w:tcBorders>
            <w:noWrap w:val="0"/>
            <w:vAlign w:val="center"/>
          </w:tcPr>
          <w:p w14:paraId="335A22B6">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7CE8576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13</w:t>
            </w:r>
          </w:p>
        </w:tc>
        <w:tc>
          <w:tcPr>
            <w:tcW w:w="4655" w:type="dxa"/>
            <w:tcBorders>
              <w:top w:val="single" w:color="auto" w:sz="4" w:space="0"/>
              <w:left w:val="single" w:color="auto" w:sz="4" w:space="0"/>
              <w:right w:val="single" w:color="auto" w:sz="4" w:space="0"/>
            </w:tcBorders>
            <w:noWrap w:val="0"/>
            <w:vAlign w:val="center"/>
          </w:tcPr>
          <w:p w14:paraId="531A8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数据中心机房能源使用效率（PUE）应满足设计及规范要求，全年综合 PUE 值≤1.2。根据投标人提供的技术（或绿色节能）方案，包括PUE实现路径合理、绿色数据中心政策响应方案、是否有历史项目满足PUE要求等内容打分：</w:t>
            </w:r>
          </w:p>
          <w:p w14:paraId="4F89971A">
            <w:pPr>
              <w:pStyle w:val="13"/>
              <w:spacing w:line="440" w:lineRule="exact"/>
              <w:ind w:firstLine="0" w:firstLineChars="0"/>
              <w:rPr>
                <w:rFonts w:ascii="Times New Roman" w:hAnsi="Times New Roman" w:eastAsia="仿宋_GB2312"/>
                <w:b w:val="0"/>
                <w:bCs w:val="0"/>
                <w:szCs w:val="24"/>
              </w:rPr>
            </w:pPr>
            <w:r>
              <w:rPr>
                <w:rFonts w:hint="eastAsia" w:ascii="Times New Roman" w:hAnsi="Times New Roman" w:eastAsia="仿宋_GB2312"/>
                <w:b w:val="0"/>
                <w:bCs w:val="0"/>
                <w:szCs w:val="24"/>
              </w:rPr>
              <w:t>以上每点，描述完整详细且与采购人实际需求完全契合的得1分；</w:t>
            </w:r>
          </w:p>
          <w:p w14:paraId="179FFD78">
            <w:pPr>
              <w:pStyle w:val="13"/>
              <w:spacing w:line="440" w:lineRule="exact"/>
              <w:ind w:firstLine="0" w:firstLineChars="0"/>
              <w:rPr>
                <w:rFonts w:ascii="Times New Roman" w:hAnsi="Times New Roman" w:eastAsia="仿宋_GB2312"/>
                <w:b w:val="0"/>
                <w:bCs w:val="0"/>
                <w:szCs w:val="24"/>
              </w:rPr>
            </w:pPr>
            <w:r>
              <w:rPr>
                <w:rFonts w:hint="eastAsia" w:ascii="Times New Roman" w:hAnsi="Times New Roman" w:eastAsia="仿宋_GB2312"/>
                <w:b w:val="0"/>
                <w:bCs w:val="0"/>
                <w:szCs w:val="24"/>
              </w:rPr>
              <w:t>描述较详细完整或与采购人实际需求部分符合的得0.5分；</w:t>
            </w:r>
          </w:p>
          <w:p w14:paraId="0206A538">
            <w:pPr>
              <w:pStyle w:val="1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仿宋_GB2312"/>
                <w:b w:val="0"/>
                <w:bCs w:val="0"/>
                <w:sz w:val="24"/>
                <w:szCs w:val="24"/>
              </w:rPr>
            </w:pPr>
            <w:r>
              <w:rPr>
                <w:rFonts w:hint="eastAsia" w:ascii="Times New Roman" w:hAnsi="Times New Roman" w:eastAsia="仿宋_GB2312"/>
                <w:b w:val="0"/>
                <w:bCs w:val="0"/>
                <w:sz w:val="24"/>
                <w:szCs w:val="24"/>
              </w:rPr>
              <w:t>未提供或完全不符合采购人需求的得0分。</w:t>
            </w:r>
          </w:p>
        </w:tc>
        <w:tc>
          <w:tcPr>
            <w:tcW w:w="630" w:type="dxa"/>
            <w:tcBorders>
              <w:top w:val="single" w:color="auto" w:sz="4" w:space="0"/>
              <w:left w:val="single" w:color="auto" w:sz="4" w:space="0"/>
              <w:right w:val="single" w:color="auto" w:sz="4" w:space="0"/>
            </w:tcBorders>
            <w:noWrap w:val="0"/>
            <w:vAlign w:val="center"/>
          </w:tcPr>
          <w:p w14:paraId="33E28406">
            <w:pPr>
              <w:jc w:val="center"/>
              <w:rPr>
                <w:rFonts w:hint="default" w:ascii="仿宋_GB2312" w:hAnsi="仿宋_GB2312" w:eastAsia="仿宋_GB2312" w:cs="仿宋_GB2312"/>
                <w:b w:val="0"/>
                <w:bCs w:val="0"/>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4"/>
                <w:sz w:val="24"/>
                <w:szCs w:val="24"/>
                <w:highlight w:val="none"/>
                <w:lang w:val="en-US" w:eastAsia="zh-CN"/>
                <w14:textFill>
                  <w14:solidFill>
                    <w14:schemeClr w14:val="tx1"/>
                  </w14:solidFill>
                </w14:textFill>
              </w:rPr>
              <w:t>3</w:t>
            </w:r>
          </w:p>
        </w:tc>
        <w:tc>
          <w:tcPr>
            <w:tcW w:w="816" w:type="dxa"/>
            <w:tcBorders>
              <w:top w:val="single" w:color="auto" w:sz="4" w:space="0"/>
              <w:left w:val="single" w:color="auto" w:sz="4" w:space="0"/>
              <w:right w:val="single" w:color="auto" w:sz="4" w:space="0"/>
            </w:tcBorders>
            <w:noWrap w:val="0"/>
            <w:vAlign w:val="center"/>
          </w:tcPr>
          <w:p w14:paraId="60D09710">
            <w:pPr>
              <w:adjustRightInd w:val="0"/>
              <w:snapToGrid w:val="0"/>
              <w:jc w:val="center"/>
              <w:rPr>
                <w:rFonts w:hint="eastAsia" w:ascii="仿宋_GB2312" w:hAnsi="仿宋_GB2312" w:eastAsia="仿宋_GB2312" w:cs="仿宋_GB2312"/>
                <w:b w:val="0"/>
                <w:bCs w:val="0"/>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4"/>
                <w:sz w:val="24"/>
                <w:szCs w:val="24"/>
                <w:highlight w:val="none"/>
                <w14:textFill>
                  <w14:solidFill>
                    <w14:schemeClr w14:val="tx1"/>
                  </w14:solidFill>
                </w14:textFill>
              </w:rPr>
              <w:t>主观分</w:t>
            </w:r>
          </w:p>
        </w:tc>
        <w:tc>
          <w:tcPr>
            <w:tcW w:w="1440" w:type="dxa"/>
            <w:tcBorders>
              <w:top w:val="single" w:color="auto" w:sz="4" w:space="0"/>
              <w:left w:val="single" w:color="auto" w:sz="4" w:space="0"/>
              <w:right w:val="single" w:color="auto" w:sz="4" w:space="0"/>
            </w:tcBorders>
            <w:noWrap w:val="0"/>
            <w:vAlign w:val="top"/>
          </w:tcPr>
          <w:p w14:paraId="32BBFE1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7A8D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885" w:type="dxa"/>
            <w:vMerge w:val="continue"/>
            <w:tcBorders>
              <w:left w:val="single" w:color="auto" w:sz="4" w:space="0"/>
              <w:right w:val="single" w:color="auto" w:sz="4" w:space="0"/>
            </w:tcBorders>
            <w:noWrap w:val="0"/>
            <w:vAlign w:val="center"/>
          </w:tcPr>
          <w:p w14:paraId="680D04B6">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7C8B9FF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14</w:t>
            </w:r>
          </w:p>
        </w:tc>
        <w:tc>
          <w:tcPr>
            <w:tcW w:w="4655" w:type="dxa"/>
            <w:tcBorders>
              <w:top w:val="single" w:color="auto" w:sz="4" w:space="0"/>
              <w:left w:val="single" w:color="auto" w:sz="4" w:space="0"/>
              <w:right w:val="single" w:color="auto" w:sz="4" w:space="0"/>
            </w:tcBorders>
            <w:noWrap w:val="0"/>
            <w:vAlign w:val="center"/>
          </w:tcPr>
          <w:p w14:paraId="01A32044">
            <w:pPr>
              <w:pStyle w:val="13"/>
              <w:spacing w:line="440" w:lineRule="exact"/>
              <w:ind w:firstLine="0" w:firstLineChars="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根据投标人机房建设实施方案，包括功能分区方案，配电、制冷、动环监控等系统设计方案，施工流程规划方案及安全文明施工方案，质量管控方案、针对现场特殊情况制定专项施工适配措施，与现有机房设施对接方案打分；</w:t>
            </w:r>
          </w:p>
          <w:p w14:paraId="2BDE3BB4">
            <w:pPr>
              <w:pStyle w:val="13"/>
              <w:spacing w:line="440" w:lineRule="exact"/>
              <w:ind w:firstLine="0" w:firstLineChars="0"/>
              <w:rPr>
                <w:rFonts w:ascii="Times New Roman" w:hAnsi="Times New Roman" w:eastAsia="仿宋_GB2312"/>
                <w:b w:val="0"/>
                <w:bCs w:val="0"/>
                <w:szCs w:val="24"/>
              </w:rPr>
            </w:pPr>
            <w:r>
              <w:rPr>
                <w:rFonts w:hint="eastAsia" w:ascii="Times New Roman" w:hAnsi="Times New Roman" w:eastAsia="仿宋_GB2312"/>
                <w:b w:val="0"/>
                <w:bCs w:val="0"/>
                <w:szCs w:val="24"/>
              </w:rPr>
              <w:t>以上每点，描述完整详细且与采购人实际需求完全契合的得1分；</w:t>
            </w:r>
          </w:p>
          <w:p w14:paraId="02041B8D">
            <w:pPr>
              <w:pStyle w:val="13"/>
              <w:spacing w:line="440" w:lineRule="exact"/>
              <w:ind w:firstLine="0" w:firstLineChars="0"/>
              <w:rPr>
                <w:rFonts w:ascii="Times New Roman" w:hAnsi="Times New Roman" w:eastAsia="仿宋_GB2312"/>
                <w:b w:val="0"/>
                <w:bCs w:val="0"/>
                <w:szCs w:val="24"/>
              </w:rPr>
            </w:pPr>
            <w:r>
              <w:rPr>
                <w:rFonts w:hint="eastAsia" w:ascii="Times New Roman" w:hAnsi="Times New Roman" w:eastAsia="仿宋_GB2312"/>
                <w:b w:val="0"/>
                <w:bCs w:val="0"/>
                <w:szCs w:val="24"/>
              </w:rPr>
              <w:t>描述较详细完整或与采购人实际需求部分符合的得0.5分；</w:t>
            </w:r>
          </w:p>
          <w:p w14:paraId="011DD012">
            <w:pPr>
              <w:rPr>
                <w:rFonts w:hint="eastAsia"/>
              </w:rPr>
            </w:pPr>
            <w:r>
              <w:rPr>
                <w:rFonts w:hint="eastAsia" w:ascii="Times New Roman" w:hAnsi="Times New Roman" w:eastAsia="仿宋_GB2312"/>
                <w:b w:val="0"/>
                <w:bCs w:val="0"/>
                <w:sz w:val="24"/>
                <w:szCs w:val="24"/>
              </w:rPr>
              <w:t>未提供或完全不符合采购人需求的得0分。</w:t>
            </w:r>
          </w:p>
        </w:tc>
        <w:tc>
          <w:tcPr>
            <w:tcW w:w="630" w:type="dxa"/>
            <w:tcBorders>
              <w:top w:val="single" w:color="auto" w:sz="4" w:space="0"/>
              <w:left w:val="single" w:color="auto" w:sz="4" w:space="0"/>
              <w:right w:val="single" w:color="auto" w:sz="4" w:space="0"/>
            </w:tcBorders>
            <w:noWrap w:val="0"/>
            <w:vAlign w:val="center"/>
          </w:tcPr>
          <w:p w14:paraId="594A3569">
            <w:pPr>
              <w:jc w:val="center"/>
              <w:rPr>
                <w:rFonts w:hint="eastAsia" w:ascii="仿宋_GB2312" w:hAnsi="仿宋_GB2312" w:eastAsia="仿宋_GB2312" w:cs="仿宋_GB2312"/>
                <w:b w:val="0"/>
                <w:bCs w:val="0"/>
                <w:color w:val="000000" w:themeColor="text1"/>
                <w:spacing w:val="4"/>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pacing w:val="4"/>
                <w:sz w:val="24"/>
                <w:szCs w:val="24"/>
                <w:highlight w:val="none"/>
                <w:lang w:val="en-US" w:eastAsia="zh-CN"/>
                <w14:textFill>
                  <w14:solidFill>
                    <w14:schemeClr w14:val="tx1"/>
                  </w14:solidFill>
                </w14:textFill>
              </w:rPr>
              <w:t>6</w:t>
            </w:r>
          </w:p>
        </w:tc>
        <w:tc>
          <w:tcPr>
            <w:tcW w:w="816" w:type="dxa"/>
            <w:tcBorders>
              <w:top w:val="single" w:color="auto" w:sz="4" w:space="0"/>
              <w:left w:val="single" w:color="auto" w:sz="4" w:space="0"/>
              <w:right w:val="single" w:color="auto" w:sz="4" w:space="0"/>
            </w:tcBorders>
            <w:noWrap w:val="0"/>
            <w:vAlign w:val="center"/>
          </w:tcPr>
          <w:p w14:paraId="60786E42">
            <w:pPr>
              <w:adjustRightInd w:val="0"/>
              <w:snapToGrid w:val="0"/>
              <w:jc w:val="center"/>
              <w:rPr>
                <w:rFonts w:hint="eastAsia" w:ascii="仿宋_GB2312" w:hAnsi="仿宋_GB2312" w:eastAsia="仿宋_GB2312" w:cs="仿宋_GB2312"/>
                <w:b w:val="0"/>
                <w:bCs w:val="0"/>
                <w:color w:val="000000" w:themeColor="text1"/>
                <w:spacing w:val="4"/>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pacing w:val="4"/>
                <w:sz w:val="24"/>
                <w:szCs w:val="24"/>
                <w:highlight w:val="none"/>
                <w14:textFill>
                  <w14:solidFill>
                    <w14:schemeClr w14:val="tx1"/>
                  </w14:solidFill>
                </w14:textFill>
              </w:rPr>
              <w:t>主观分</w:t>
            </w:r>
          </w:p>
        </w:tc>
        <w:tc>
          <w:tcPr>
            <w:tcW w:w="1440" w:type="dxa"/>
            <w:tcBorders>
              <w:top w:val="single" w:color="auto" w:sz="4" w:space="0"/>
              <w:left w:val="single" w:color="auto" w:sz="4" w:space="0"/>
              <w:right w:val="single" w:color="auto" w:sz="4" w:space="0"/>
            </w:tcBorders>
            <w:noWrap w:val="0"/>
            <w:vAlign w:val="top"/>
          </w:tcPr>
          <w:p w14:paraId="52317E0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C8F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885" w:type="dxa"/>
            <w:vMerge w:val="continue"/>
            <w:tcBorders>
              <w:left w:val="single" w:color="auto" w:sz="4" w:space="0"/>
              <w:right w:val="single" w:color="auto" w:sz="4" w:space="0"/>
            </w:tcBorders>
            <w:noWrap w:val="0"/>
            <w:vAlign w:val="center"/>
          </w:tcPr>
          <w:p w14:paraId="0436214C">
            <w:pPr>
              <w:rPr>
                <w:rFonts w:hint="eastAsia" w:ascii="仿宋_GB2312" w:hAnsi="仿宋_GB2312" w:eastAsia="仿宋_GB2312" w:cs="仿宋_GB2312"/>
                <w:color w:val="000000" w:themeColor="text1"/>
                <w:szCs w:val="21"/>
                <w:highlight w:val="none"/>
                <w14:textFill>
                  <w14:solidFill>
                    <w14:schemeClr w14:val="tx1"/>
                  </w14:solidFill>
                </w14:textFill>
              </w:rPr>
            </w:pPr>
          </w:p>
        </w:tc>
        <w:tc>
          <w:tcPr>
            <w:tcW w:w="635" w:type="dxa"/>
            <w:tcBorders>
              <w:left w:val="single" w:color="auto" w:sz="4" w:space="0"/>
              <w:right w:val="single" w:color="auto" w:sz="4" w:space="0"/>
            </w:tcBorders>
            <w:shd w:val="clear" w:color="auto" w:fill="auto"/>
            <w:noWrap w:val="0"/>
            <w:vAlign w:val="center"/>
          </w:tcPr>
          <w:p w14:paraId="7DFB1DB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pacing w:val="4"/>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15</w:t>
            </w:r>
          </w:p>
        </w:tc>
        <w:tc>
          <w:tcPr>
            <w:tcW w:w="4655" w:type="dxa"/>
            <w:tcBorders>
              <w:top w:val="single" w:color="auto" w:sz="4" w:space="0"/>
              <w:left w:val="single" w:color="auto" w:sz="4" w:space="0"/>
              <w:right w:val="single" w:color="auto" w:sz="4" w:space="0"/>
            </w:tcBorders>
            <w:shd w:val="clear" w:color="auto" w:fill="auto"/>
            <w:noWrap w:val="0"/>
            <w:vAlign w:val="top"/>
          </w:tcPr>
          <w:p w14:paraId="38C8A739">
            <w:pPr>
              <w:pStyle w:val="36"/>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t>据投标人为本项目提供的培训方案包括培培训计划、课程安排等情况打分，</w:t>
            </w:r>
          </w:p>
          <w:p w14:paraId="660656F8">
            <w:pPr>
              <w:pStyle w:val="36"/>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t>以上每点，描述完整详细且与采购人实际需求完全契合的得</w:t>
            </w:r>
            <w:r>
              <w:rPr>
                <w:rFonts w:hint="eastAsia" w:ascii="仿宋_GB2312" w:hAnsi="仿宋_GB2312" w:cs="仿宋_GB2312"/>
                <w:color w:val="000000" w:themeColor="text1"/>
                <w:spacing w:val="0"/>
                <w:kern w:val="2"/>
                <w:sz w:val="24"/>
                <w:szCs w:val="22"/>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t>分，描述较详细完整或与采购人实际需求部分符合的得</w:t>
            </w:r>
            <w:r>
              <w:rPr>
                <w:rFonts w:hint="eastAsia" w:ascii="仿宋_GB2312" w:hAnsi="仿宋_GB2312" w:cs="仿宋_GB2312"/>
                <w:color w:val="000000" w:themeColor="text1"/>
                <w:spacing w:val="0"/>
                <w:kern w:val="2"/>
                <w:sz w:val="24"/>
                <w:szCs w:val="22"/>
                <w:lang w:val="en-US" w:eastAsia="zh-CN" w:bidi="ar-SA"/>
                <w14:textFill>
                  <w14:solidFill>
                    <w14:schemeClr w14:val="tx1"/>
                  </w14:solidFill>
                </w14:textFill>
              </w:rPr>
              <w:t>0.5</w:t>
            </w:r>
            <w:r>
              <w:rPr>
                <w:rFonts w:hint="eastAsia" w:ascii="仿宋_GB2312" w:hAnsi="仿宋_GB2312" w:eastAsia="仿宋_GB2312" w:cs="仿宋_GB2312"/>
                <w:color w:val="000000" w:themeColor="text1"/>
                <w:spacing w:val="0"/>
                <w:kern w:val="2"/>
                <w:sz w:val="24"/>
                <w:szCs w:val="22"/>
                <w:lang w:val="en-US" w:eastAsia="zh-CN" w:bidi="ar-SA"/>
                <w14:textFill>
                  <w14:solidFill>
                    <w14:schemeClr w14:val="tx1"/>
                  </w14:solidFill>
                </w14:textFill>
              </w:rPr>
              <w:t>分，未提供或完全不符合采购人需求的得0分。</w:t>
            </w:r>
          </w:p>
        </w:tc>
        <w:tc>
          <w:tcPr>
            <w:tcW w:w="630" w:type="dxa"/>
            <w:tcBorders>
              <w:top w:val="single" w:color="auto" w:sz="4" w:space="0"/>
              <w:left w:val="single" w:color="auto" w:sz="4" w:space="0"/>
              <w:right w:val="single" w:color="auto" w:sz="4" w:space="0"/>
            </w:tcBorders>
            <w:shd w:val="clear" w:color="auto" w:fill="auto"/>
            <w:noWrap w:val="0"/>
            <w:vAlign w:val="center"/>
          </w:tcPr>
          <w:p w14:paraId="6D76A792">
            <w:pPr>
              <w:jc w:val="center"/>
              <w:rPr>
                <w:rFonts w:hint="eastAsia" w:ascii="仿宋_GB2312" w:hAnsi="仿宋_GB2312" w:eastAsia="仿宋_GB2312" w:cs="仿宋_GB2312"/>
                <w:color w:val="000000" w:themeColor="text1"/>
                <w:spacing w:val="0"/>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kern w:val="2"/>
                <w:sz w:val="24"/>
                <w:szCs w:val="24"/>
                <w:lang w:val="en-US" w:eastAsia="zh-CN" w:bidi="ar-SA"/>
                <w14:textFill>
                  <w14:solidFill>
                    <w14:schemeClr w14:val="tx1"/>
                  </w14:solidFill>
                </w14:textFill>
              </w:rPr>
              <w:t>2</w:t>
            </w:r>
          </w:p>
        </w:tc>
        <w:tc>
          <w:tcPr>
            <w:tcW w:w="816" w:type="dxa"/>
            <w:tcBorders>
              <w:top w:val="single" w:color="auto" w:sz="4" w:space="0"/>
              <w:left w:val="single" w:color="auto" w:sz="4" w:space="0"/>
              <w:right w:val="single" w:color="auto" w:sz="4" w:space="0"/>
            </w:tcBorders>
            <w:shd w:val="clear" w:color="auto" w:fill="auto"/>
            <w:noWrap w:val="0"/>
            <w:vAlign w:val="center"/>
          </w:tcPr>
          <w:p w14:paraId="6FDDD3F8">
            <w:pPr>
              <w:jc w:val="center"/>
              <w:rPr>
                <w:rFonts w:hint="eastAsia" w:ascii="仿宋_GB2312" w:hAnsi="仿宋_GB2312" w:eastAsia="仿宋_GB2312" w:cs="仿宋_GB2312"/>
                <w:color w:val="000000" w:themeColor="text1"/>
                <w:spacing w:val="0"/>
                <w:kern w:val="2"/>
                <w:sz w:val="24"/>
                <w:szCs w:val="24"/>
                <w:lang w:val="en-US" w:eastAsia="zh-CN" w:bidi="ar-SA"/>
                <w14:textFill>
                  <w14:solidFill>
                    <w14:schemeClr w14:val="tx1"/>
                  </w14:solidFill>
                </w14:textFill>
              </w:rPr>
            </w:pPr>
            <w:r>
              <w:rPr>
                <w:rFonts w:hint="eastAsia" w:ascii="仿宋_GB2312" w:hAnsi="仿宋_GB2312" w:eastAsia="仿宋_GB2312" w:cs="仿宋_GB2312"/>
                <w:b/>
                <w:color w:val="000000" w:themeColor="text1"/>
                <w:spacing w:val="4"/>
                <w:sz w:val="24"/>
                <w:szCs w:val="24"/>
                <w:highlight w:val="none"/>
                <w14:textFill>
                  <w14:solidFill>
                    <w14:schemeClr w14:val="tx1"/>
                  </w14:solidFill>
                </w14:textFill>
              </w:rPr>
              <w:t>主观分</w:t>
            </w:r>
          </w:p>
        </w:tc>
        <w:tc>
          <w:tcPr>
            <w:tcW w:w="1440" w:type="dxa"/>
            <w:tcBorders>
              <w:top w:val="single" w:color="auto" w:sz="4" w:space="0"/>
              <w:left w:val="single" w:color="auto" w:sz="4" w:space="0"/>
              <w:right w:val="single" w:color="auto" w:sz="4" w:space="0"/>
            </w:tcBorders>
            <w:shd w:val="clear" w:color="auto" w:fill="auto"/>
            <w:noWrap w:val="0"/>
            <w:vAlign w:val="top"/>
          </w:tcPr>
          <w:p w14:paraId="20D9340E">
            <w:pPr>
              <w:adjustRightInd w:val="0"/>
              <w:snapToGrid w:val="0"/>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p>
        </w:tc>
      </w:tr>
      <w:tr w14:paraId="7175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85" w:type="dxa"/>
            <w:tcBorders>
              <w:left w:val="single" w:color="auto" w:sz="4" w:space="0"/>
              <w:right w:val="single" w:color="auto" w:sz="4" w:space="0"/>
            </w:tcBorders>
            <w:noWrap w:val="0"/>
            <w:vAlign w:val="center"/>
          </w:tcPr>
          <w:p w14:paraId="4CA70A41">
            <w:pPr>
              <w:topLinePunct/>
              <w:spacing w:line="360" w:lineRule="auto"/>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报价</w:t>
            </w:r>
          </w:p>
          <w:p w14:paraId="1BFED18F">
            <w:pPr>
              <w:ind w:firstLine="120" w:firstLineChars="50"/>
              <w:rPr>
                <w:rFonts w:hint="eastAsia" w:ascii="仿宋_GB2312" w:hAnsi="仿宋_GB2312" w:eastAsia="仿宋_GB2312" w:cs="仿宋_GB2312"/>
                <w:color w:val="000000" w:themeColor="text1"/>
                <w:spacing w:val="4"/>
                <w:szCs w:val="2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0分）</w:t>
            </w:r>
          </w:p>
        </w:tc>
        <w:tc>
          <w:tcPr>
            <w:tcW w:w="635" w:type="dxa"/>
            <w:tcBorders>
              <w:left w:val="single" w:color="auto" w:sz="4" w:space="0"/>
              <w:right w:val="single" w:color="auto" w:sz="4" w:space="0"/>
            </w:tcBorders>
            <w:noWrap w:val="0"/>
            <w:vAlign w:val="center"/>
          </w:tcPr>
          <w:p w14:paraId="2CD4223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000000" w:themeColor="text1"/>
                <w:spacing w:val="4"/>
                <w:sz w:val="24"/>
                <w:szCs w:val="24"/>
                <w:highlight w:val="none"/>
                <w:lang w:val="en-US" w:eastAsia="zh-CN" w:bidi="en-US"/>
                <w14:textFill>
                  <w14:solidFill>
                    <w14:schemeClr w14:val="tx1"/>
                  </w14:solidFill>
                </w14:textFill>
              </w:rPr>
            </w:pPr>
            <w:r>
              <w:rPr>
                <w:rFonts w:hint="eastAsia" w:ascii="仿宋_GB2312" w:hAnsi="仿宋_GB2312" w:eastAsia="仿宋_GB2312" w:cs="仿宋_GB2312"/>
                <w:color w:val="000000" w:themeColor="text1"/>
                <w:spacing w:val="4"/>
                <w:sz w:val="24"/>
                <w:szCs w:val="24"/>
                <w:highlight w:val="none"/>
                <w:lang w:val="en-US" w:eastAsia="zh-CN" w:bidi="en-US"/>
                <w14:textFill>
                  <w14:solidFill>
                    <w14:schemeClr w14:val="tx1"/>
                  </w14:solidFill>
                </w14:textFill>
              </w:rPr>
              <w:t>16</w:t>
            </w:r>
          </w:p>
        </w:tc>
        <w:tc>
          <w:tcPr>
            <w:tcW w:w="4655" w:type="dxa"/>
            <w:tcBorders>
              <w:top w:val="single" w:color="auto" w:sz="4" w:space="0"/>
              <w:left w:val="single" w:color="auto" w:sz="4" w:space="0"/>
              <w:bottom w:val="single" w:color="auto" w:sz="4" w:space="0"/>
              <w:right w:val="single" w:color="auto" w:sz="4" w:space="0"/>
            </w:tcBorders>
            <w:noWrap w:val="0"/>
            <w:vAlign w:val="center"/>
          </w:tcPr>
          <w:p w14:paraId="7C74AF94">
            <w:pPr>
              <w:keepNext w:val="0"/>
              <w:keepLines w:val="0"/>
              <w:pageBreakBefore w:val="0"/>
              <w:kinsoku/>
              <w:wordWrap/>
              <w:overflowPunct/>
              <w:topLinePunct w:val="0"/>
              <w:autoSpaceDE/>
              <w:autoSpaceDN/>
              <w:bidi w:val="0"/>
              <w:adjustRightInd/>
              <w:snapToGrid/>
              <w:spacing w:line="360" w:lineRule="auto"/>
              <w:jc w:val="left"/>
              <w:textAlignment w:val="auto"/>
              <w:outlineLvl w:val="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有效投标报价的最低价作为评标基准价，其最低报价为满分；按［投标报价得分=（评标基准价/投标报价）*</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0］的计算公式计算。</w:t>
            </w:r>
          </w:p>
          <w:p w14:paraId="738FA441">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评标过程中，不得去掉报价中的最高报价和最低报价。</w:t>
            </w:r>
          </w:p>
          <w:p w14:paraId="37EAC56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因落实政府采购政策需要进行价格调整的，以调整后的价格计算评标基准价和投标报价。</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3E673D60">
            <w:pPr>
              <w:ind w:firstLine="120" w:firstLineChars="50"/>
              <w:jc w:val="center"/>
              <w:outlineLvl w:val="0"/>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30</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A07217B">
            <w:pPr>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价格分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0B83FA0C">
            <w:pP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10749623">
      <w:pPr>
        <w:spacing w:line="420" w:lineRule="exact"/>
        <w:ind w:firstLine="472" w:firstLineChars="196"/>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48A2728B">
      <w:pPr>
        <w:spacing w:line="420" w:lineRule="exact"/>
        <w:ind w:firstLine="472" w:firstLineChars="196"/>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*备注：投标人编制投标文件（商务技术文件部分）时，建议按此目录（序号和内容）提供评标标准相应的商务技术资料。 </w:t>
      </w:r>
    </w:p>
    <w:p w14:paraId="459D753A">
      <w:pPr>
        <w:spacing w:line="420" w:lineRule="exact"/>
        <w:ind w:firstLine="482" w:firstLineChars="200"/>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一、评标方法</w:t>
      </w:r>
    </w:p>
    <w:p w14:paraId="11E67CE9">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1.本项目采用综合评分法。综合评分法，是指投标文件满足招标文件全部实质性要求，且按照评审因素的量化指标评审得分最高的投标人为中标候选人的评标方法。评分过程中采用四舍五入法，并保留小数2位。</w:t>
      </w:r>
    </w:p>
    <w:p w14:paraId="3DF5F441">
      <w:pPr>
        <w:keepNext w:val="0"/>
        <w:keepLines w:val="0"/>
        <w:pageBreakBefore w:val="0"/>
        <w:widowControl w:val="0"/>
        <w:kinsoku/>
        <w:wordWrap/>
        <w:overflowPunct/>
        <w:topLinePunct w:val="0"/>
        <w:autoSpaceDE/>
        <w:autoSpaceDN/>
        <w:bidi w:val="0"/>
        <w:adjustRightInd/>
        <w:snapToGrid/>
        <w:spacing w:line="420" w:lineRule="exact"/>
        <w:ind w:firstLine="482" w:firstLineChars="200"/>
        <w:contextualSpacing/>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二、评标标准</w:t>
      </w:r>
    </w:p>
    <w:p w14:paraId="28671B18">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 评标标准：见评标办法前附表。</w:t>
      </w:r>
    </w:p>
    <w:p w14:paraId="398201C3">
      <w:pPr>
        <w:keepNext w:val="0"/>
        <w:keepLines w:val="0"/>
        <w:pageBreakBefore w:val="0"/>
        <w:widowControl w:val="0"/>
        <w:kinsoku/>
        <w:wordWrap/>
        <w:overflowPunct/>
        <w:topLinePunct w:val="0"/>
        <w:autoSpaceDE/>
        <w:autoSpaceDN/>
        <w:bidi w:val="0"/>
        <w:adjustRightInd/>
        <w:snapToGrid/>
        <w:spacing w:line="420" w:lineRule="exact"/>
        <w:ind w:firstLine="482" w:firstLineChars="200"/>
        <w:contextualSpacing/>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三、评标程序</w:t>
      </w:r>
    </w:p>
    <w:p w14:paraId="554BD7C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3.1符合性审查。评标委员会应当对符合资格的投标人的投标文件进行符合性审查，以确定其是否满足招标文件的实质性要求。不满足招标文件的实质性要求的，投标无效。</w:t>
      </w:r>
    </w:p>
    <w:p w14:paraId="21DFEA2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3.2 比较与评价。评标委员会应当按照招标文件中规定的评标方法和标准，对符合性审查合格的投标文件进行商务和技术评估，综合比较与评价。</w:t>
      </w:r>
    </w:p>
    <w:p w14:paraId="357C582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3.3汇总商务技术得分。评标委员会各成员应当独立对每个投标人的商务和技术文件进行评价，并汇总商务技术得分情况。</w:t>
      </w:r>
    </w:p>
    <w:p w14:paraId="77D38B4B">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3.4报价评审。</w:t>
      </w:r>
    </w:p>
    <w:p w14:paraId="1586A324">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3.4.1投标文件报价出现前后不一致的，按照下列规定修正：</w:t>
      </w:r>
    </w:p>
    <w:p w14:paraId="6E34E46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3.4.1.1投标文件中开标一览表(报价表)内容与投标文件中相应内容不一致的，以开标一览表(报价表)为准;</w:t>
      </w:r>
    </w:p>
    <w:p w14:paraId="2F9ECE55">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3.4.1.2大写金额和小写金额不一致的，以大写金额为准;</w:t>
      </w:r>
    </w:p>
    <w:p w14:paraId="4D376F7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3.4.1.3单价金额小数点或者百分比有明显错位的，以开标一览表的总价为准，并修改单价;</w:t>
      </w:r>
    </w:p>
    <w:p w14:paraId="0E70349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3.4.1.4总价金额与按单价汇总金额不一致的，以单价金额计算结果为准。</w:t>
      </w:r>
    </w:p>
    <w:p w14:paraId="24D17C58">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3.4.1.5同时出现两种以上不一致的，按照3.4.1规定的顺序修正。修正后的报价按照财政部第87号令《政府采购货物和服务招标投标管理办法》第五十一条第二款的规定经投标人确认后产生约束力。</w:t>
      </w:r>
    </w:p>
    <w:p w14:paraId="279116F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3.4.2投标文件出现不是唯一的、有选择性投标报价的，投标无效。</w:t>
      </w:r>
    </w:p>
    <w:p w14:paraId="31130D6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3.4.3投标报价超过招标文件中规定的预算金额或者最高限价的，投标无效。</w:t>
      </w:r>
    </w:p>
    <w:p w14:paraId="3F9A2BC8">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86EC50F">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3.4.5评标委员会对投标人的报价启动异常低价审查的，应当要求其在合理的时间内提供书面说明，投标人不能在合理的时间内提供相关书面说明、证明材料，或者提供的书面说明、证明材料不能证明其报价合理性的,评标委员会应当将其作为无效投标处理。</w:t>
      </w:r>
    </w:p>
    <w:p w14:paraId="57D706AF">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3.5排序与推荐。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57E876C">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A834DA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3.6编写评标报告。评标委员会根据全体评标成员签字的原始评标记录和评标结果编写评标报告，由采购人委托评标委员会在评标报告确定的中标候选人名单中按顺序确定中标人。评标委员会成员对需要共同认定的事项存在争议的，应当按照少数服从多数的原则作出结论。持不同意见的评标委员会成员应当在评标报告上签署不同意见及理由，否则视为同意评标报告。</w:t>
      </w:r>
    </w:p>
    <w:p w14:paraId="041672F8">
      <w:pPr>
        <w:keepNext w:val="0"/>
        <w:keepLines w:val="0"/>
        <w:pageBreakBefore w:val="0"/>
        <w:widowControl w:val="0"/>
        <w:kinsoku/>
        <w:wordWrap/>
        <w:overflowPunct/>
        <w:topLinePunct w:val="0"/>
        <w:autoSpaceDE/>
        <w:autoSpaceDN/>
        <w:bidi w:val="0"/>
        <w:adjustRightInd/>
        <w:snapToGrid/>
        <w:spacing w:line="420" w:lineRule="exact"/>
        <w:ind w:firstLine="602" w:firstLineChars="250"/>
        <w:contextualSpacing/>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四、评标中的其他事项</w:t>
      </w:r>
    </w:p>
    <w:p w14:paraId="0A259111">
      <w:pPr>
        <w:keepNext w:val="0"/>
        <w:keepLines w:val="0"/>
        <w:pageBreakBefore w:val="0"/>
        <w:widowControl w:val="0"/>
        <w:kinsoku/>
        <w:wordWrap/>
        <w:overflowPunct/>
        <w:topLinePunct w:val="0"/>
        <w:autoSpaceDE/>
        <w:autoSpaceDN/>
        <w:bidi w:val="0"/>
        <w:adjustRightInd/>
        <w:snapToGrid/>
        <w:spacing w:line="420" w:lineRule="exact"/>
        <w:ind w:firstLine="600" w:firstLineChars="25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4.1投标人澄清、说明或者补正。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83410B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4.2投标无效。有下列情况之一的，投标无效：</w:t>
      </w:r>
    </w:p>
    <w:p w14:paraId="5602C68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4.2.1单位负责人为同一人或者存在直接控股、管理关系的不同供应商参加同一合同项下的政府采购活动的（均无效）；</w:t>
      </w:r>
    </w:p>
    <w:p w14:paraId="2BB47F7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4.2.2为采购项目提供整体设计、规范编制或者项目管理、监理、检测等服务的供应商再参加该采购项目的其他采购活动的； </w:t>
      </w:r>
    </w:p>
    <w:p w14:paraId="0AEB534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4.2.3投标人不具备招标文件中规定的资格要求的（投标人未提供有效的资格证明文件的，视为投标人不具备招标文件中规定的资格要求）；</w:t>
      </w:r>
    </w:p>
    <w:p w14:paraId="5C2BE3F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4.2.4如以联合体形式参加政府采购活动的，联合体协议不符合招标文件规定的联合体协议要求的；</w:t>
      </w:r>
    </w:p>
    <w:p w14:paraId="22C5451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4.2.5投标文件未按招标文件的澄清、修改的内容编制，又不符合实质性要求的；</w:t>
      </w:r>
    </w:p>
    <w:p w14:paraId="168A4E7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4.2.6投标文件组成不全或内容字迹模糊辨认不清的而导致评标无法正常进行（经评标委员会认定并允许其当场更正的笔误除外的）；</w:t>
      </w:r>
    </w:p>
    <w:p w14:paraId="15CFBA8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投标文件未按照招标文件要求签署、盖章的；</w:t>
      </w:r>
    </w:p>
    <w:p w14:paraId="5CE4833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w:t>
      </w:r>
    </w:p>
    <w:p w14:paraId="39CE5276">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投标文件含有采购人不能接受的附加条件的；</w:t>
      </w:r>
    </w:p>
    <w:p w14:paraId="25D29A8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投标文件中承诺的投标有效期少于招标文件中载明的投标有效期的；</w:t>
      </w:r>
    </w:p>
    <w:p w14:paraId="133F7C1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投标人所投内容不符合招标文件中实质性要求的；</w:t>
      </w:r>
    </w:p>
    <w:p w14:paraId="658DB33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投标文件出现不是唯一的、有选择性投标报价的;</w:t>
      </w:r>
    </w:p>
    <w:p w14:paraId="5E45D2ED">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投标报价高于本项目采购预算或者最高限价的;</w:t>
      </w:r>
    </w:p>
    <w:p w14:paraId="703C12B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报价明显低于其他通过符合性审查投标人的报价，有可能影响产品质量或者不能诚信履约的，未能按要求提供书面说明或者提交相关证明材料，不能证明其报价合理性的;</w:t>
      </w:r>
    </w:p>
    <w:p w14:paraId="202544A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《开标一览表（报价表）》填写不完整或字迹不能辨认或有漏项的；</w:t>
      </w:r>
    </w:p>
    <w:p w14:paraId="0247C1F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投标人对根据修正原则修正后的报价不确认的；</w:t>
      </w:r>
    </w:p>
    <w:p w14:paraId="584A9BC8">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投标人提供虚假材料投标的（包括但不限于以下情节）；</w:t>
      </w:r>
    </w:p>
    <w:p w14:paraId="6E91BDB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.1使用伪造、变造的许可证件；</w:t>
      </w:r>
    </w:p>
    <w:p w14:paraId="6B6B512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.2提供虚假的财务状况或者业绩；</w:t>
      </w:r>
    </w:p>
    <w:p w14:paraId="1670D38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.3提供虚假的项目负责人或者主要技术人员简历、劳动关系证明；</w:t>
      </w:r>
    </w:p>
    <w:p w14:paraId="7001A38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.4提供虚假的信用状况；</w:t>
      </w:r>
    </w:p>
    <w:p w14:paraId="1E59194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.5其他弄虚作假的行为。</w:t>
      </w:r>
    </w:p>
    <w:p w14:paraId="4FC064A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投标人有恶意串通、妨碍其他投标人的竞争行为、损害采购人或者其他投标人的合法权益情形的；有下列情形之一的，属于或视为恶意串通，其投标无效：</w:t>
      </w:r>
    </w:p>
    <w:p w14:paraId="7F01C97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.1供应商直接或者间接从采购人或者采购代理机构处获得其他供应商的相关情况并修改其投标文件或者响应文件；</w:t>
      </w:r>
    </w:p>
    <w:p w14:paraId="15DFB30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.2供应商按照采购人或者采购代理机构的授意撤换、修改投标文件或者响应文件；</w:t>
      </w:r>
    </w:p>
    <w:p w14:paraId="7C2FD4B4">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.3供应商之间协商报价、技术方案等投标文件或者响应文件的实质性内容；</w:t>
      </w:r>
    </w:p>
    <w:p w14:paraId="1AF4BCB3">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.4属于同一集团、协会、商会等组织成员的供应商按照该组织要求协同参加政府采购活动；</w:t>
      </w:r>
    </w:p>
    <w:p w14:paraId="63FB006E">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.5供应商之间事先约定由某一特定供应商中标、成交；</w:t>
      </w:r>
    </w:p>
    <w:p w14:paraId="79490A5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.6供应商之间商定部分供应商放弃参加政府采购活动或者放弃中标、成交；</w:t>
      </w:r>
    </w:p>
    <w:p w14:paraId="3F9E1332">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.7供应商与采购人或者采购代理机构之间、供应商相互之间，为谋求特定供应商中标、成交或者排斥其他供应商的其他串通行为。</w:t>
      </w:r>
    </w:p>
    <w:p w14:paraId="6BF3A4B9">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.8不同投标人的投标文件由同一单位或者个人编制；</w:t>
      </w:r>
    </w:p>
    <w:p w14:paraId="2F10B98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.9不同投标人委托同一单位或者个人办理投标事宜；</w:t>
      </w:r>
    </w:p>
    <w:p w14:paraId="51A5AE17">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.10不同投标人的投标文件载明的项目管理成员或者联系人员为同一人；</w:t>
      </w:r>
    </w:p>
    <w:p w14:paraId="351A8FEF">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.11不同投标人的投标文件异常一致或者投标报价呈规律性差异；</w:t>
      </w:r>
    </w:p>
    <w:p w14:paraId="604DDA0A">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.12不同投标人的投标文件相互混装；</w:t>
      </w:r>
    </w:p>
    <w:p w14:paraId="30D4073B">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投标人仅提交备份投标文件，没有在电子交易平台传输递交投标文件的，投标无效；</w:t>
      </w:r>
    </w:p>
    <w:p w14:paraId="2877F13C">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w:t>
      </w:r>
      <w:r>
        <w:rPr>
          <w:rFonts w:hint="eastAsia" w:ascii="仿宋_GB2312" w:hAnsi="仿宋_GB2312" w:eastAsia="仿宋_GB2312" w:cs="仿宋_GB2312"/>
          <w:color w:val="000000" w:themeColor="text1"/>
          <w:sz w:val="24"/>
          <w:szCs w:val="24"/>
          <w:highlight w:val="none"/>
          <w14:textFill>
            <w14:solidFill>
              <w14:schemeClr w14:val="tx1"/>
            </w14:solidFill>
          </w14:textFill>
        </w:rPr>
        <w:t>以联合体形式投标的，在资格文件和商务技术文件中均未提供联合协议的，投标无效；</w:t>
      </w:r>
    </w:p>
    <w:p w14:paraId="72808590">
      <w:pPr>
        <w:spacing w:line="42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以分包方式履行合同的，在资格文件和商务技术文件中均未提供分包意向协议的，投标无效；</w:t>
      </w:r>
    </w:p>
    <w:p w14:paraId="5A2DAFEF">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专门面向中小企业采购的，在资格文件和商务技术文件中均未提供中小企业声明函的，投标无效；</w:t>
      </w:r>
    </w:p>
    <w:p w14:paraId="25DAB95F">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法律、法规、规章（适用本市的）及省级以上规范性文件（适用本市的）规定的其他无效情形；</w:t>
      </w:r>
    </w:p>
    <w:p w14:paraId="23618EFC">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参与同一个采购包（标</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项</w:t>
      </w:r>
      <w:r>
        <w:rPr>
          <w:rFonts w:hint="eastAsia" w:ascii="仿宋_GB2312" w:hAnsi="仿宋_GB2312" w:eastAsia="仿宋_GB2312" w:cs="仿宋_GB2312"/>
          <w:color w:val="000000" w:themeColor="text1"/>
          <w:sz w:val="24"/>
          <w:szCs w:val="24"/>
          <w:highlight w:val="none"/>
          <w14:textFill>
            <w14:solidFill>
              <w14:schemeClr w14:val="tx1"/>
            </w14:solidFill>
          </w14:textFill>
        </w:rPr>
        <w:t>）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53CAF59">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投标文件不满足招标文件的其它实质性要求的。</w:t>
      </w:r>
    </w:p>
    <w:p w14:paraId="64E06455">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5.废标。根据《中华人民共和国政府采购法》第三十六条之规定，在采购中，出现下列情形之一的，应予废标：</w:t>
      </w:r>
    </w:p>
    <w:p w14:paraId="48E38B8C">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5.1符合专业条件的供应商或者对招标文件作实质响应的供应商不足3家的；</w:t>
      </w:r>
    </w:p>
    <w:p w14:paraId="4003FEC4">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5.2出现影响采购公正的违法、违规行为的；</w:t>
      </w:r>
    </w:p>
    <w:p w14:paraId="1B5C84B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5.3投标人的报价均超过了采购预算，采购人不能支付的；</w:t>
      </w:r>
    </w:p>
    <w:p w14:paraId="14CE6BA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5.4因重大变故，采购任务取消的。</w:t>
      </w:r>
    </w:p>
    <w:p w14:paraId="023FDFF9">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废标后，采购代理机构应当将废标理由通知所有投标人。</w:t>
      </w:r>
    </w:p>
    <w:p w14:paraId="722F9A7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修改招标文件，重新组织采购活动。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84C65F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7.重新开展采购。有政府采购法第七十一条、第七十二条规定的违法行为之一，影响或者可能影响中标、成交结果的，依照下列规定处理：</w:t>
      </w:r>
    </w:p>
    <w:p w14:paraId="091A73C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7.1未确定中标或者中标人的，终止本次政府采购活动，重新开展政府采购活动。</w:t>
      </w:r>
    </w:p>
    <w:p w14:paraId="080EC4C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14:paraId="6530C1B5">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14:paraId="4FF4EE3B">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7.4政府采购合同已经履行，给采购人、供应商造成损失的，由责任人承担赔偿责任。</w:t>
      </w:r>
    </w:p>
    <w:p w14:paraId="6814109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7.5政府采购当事人有其他违反政府采购法或者政府采购法实施条例等法律法规规定的行为，经改正后仍然影响或者可能影响中标、成交结果或者依法被认定为中标、成交无效的，依照7.1-7.4规定处理。</w:t>
      </w:r>
    </w:p>
    <w:p w14:paraId="67A0E951">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8.评审过程的保密与录像</w:t>
      </w:r>
    </w:p>
    <w:p w14:paraId="2681276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8.1保密。评审活动在严格保密的情况下进行。评审过程中凡是与采购响应文件评审和比较、中标人推荐等评审有关的情况，以及涉及国家秘密和商业秘密等信息，评审委员会成员、采购人和采购代理机构工作人员、相关监督人员等与评审有关的人员应当予以保密。</w:t>
      </w:r>
    </w:p>
    <w:p w14:paraId="21E5D93C">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9.录音录像。采购代理机构对评审工作现场进行全过程录音录像，录音录像资料作为采购项目文件随其他文件一并存档。</w:t>
      </w:r>
      <w:bookmarkEnd w:id="25"/>
      <w:bookmarkStart w:id="397" w:name="_Toc86217003"/>
      <w:bookmarkStart w:id="398" w:name="第五部分"/>
    </w:p>
    <w:p w14:paraId="7F50EFD2">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3317E58">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F19861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2889AA0">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2339B1E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81ACC76">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B219252">
      <w:pPr>
        <w:spacing w:line="540" w:lineRule="exact"/>
        <w:contextualSpacing/>
        <w:jc w:val="both"/>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36829312">
      <w:pPr>
        <w:spacing w:line="540" w:lineRule="exact"/>
        <w:contextualSpacing/>
        <w:jc w:val="both"/>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32A3BB14">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第五部分</w:t>
      </w:r>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highlight w:val="none"/>
          <w14:textFill>
            <w14:solidFill>
              <w14:schemeClr w14:val="tx1"/>
            </w14:solidFill>
          </w14:textFill>
        </w:rPr>
        <w:t>拟签订的合同文本</w:t>
      </w:r>
    </w:p>
    <w:p w14:paraId="7FCA488D">
      <w:pPr>
        <w:snapToGrid w:val="0"/>
        <w:spacing w:beforeLines="50" w:afterLines="50" w:line="360" w:lineRule="auto"/>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（具体条款以甲方为主协商确定）</w:t>
      </w:r>
    </w:p>
    <w:p w14:paraId="2ABC8878">
      <w:pPr>
        <w:spacing w:line="540" w:lineRule="exact"/>
        <w:ind w:firstLine="281" w:firstLineChars="100"/>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41759509">
      <w:pPr>
        <w:wordWrap w:val="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E36F91A">
      <w:pPr>
        <w:spacing w:line="560" w:lineRule="exact"/>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合同编号：</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p>
    <w:p w14:paraId="1EB1B201">
      <w:pPr>
        <w:spacing w:line="560" w:lineRule="exact"/>
        <w:jc w:val="center"/>
        <w:rPr>
          <w:rFonts w:ascii="仿宋" w:hAnsi="仿宋" w:eastAsia="仿宋" w:cs="仿宋"/>
          <w:b/>
          <w:color w:val="000000" w:themeColor="text1"/>
          <w:sz w:val="28"/>
          <w:szCs w:val="28"/>
          <w:highlight w:val="none"/>
          <w14:textFill>
            <w14:solidFill>
              <w14:schemeClr w14:val="tx1"/>
            </w14:solidFill>
          </w14:textFill>
        </w:rPr>
      </w:pPr>
    </w:p>
    <w:p w14:paraId="25979D64">
      <w:pPr>
        <w:spacing w:line="560" w:lineRule="exact"/>
        <w:jc w:val="center"/>
        <w:rPr>
          <w:rFonts w:ascii="仿宋" w:hAnsi="仿宋" w:eastAsia="仿宋" w:cs="仿宋"/>
          <w:b/>
          <w:color w:val="000000" w:themeColor="text1"/>
          <w:sz w:val="28"/>
          <w:szCs w:val="28"/>
          <w:highlight w:val="none"/>
          <w14:textFill>
            <w14:solidFill>
              <w14:schemeClr w14:val="tx1"/>
            </w14:solidFill>
          </w14:textFill>
        </w:rPr>
      </w:pPr>
    </w:p>
    <w:p w14:paraId="3F0B46BF">
      <w:pPr>
        <w:spacing w:line="560" w:lineRule="exact"/>
        <w:jc w:val="center"/>
        <w:rPr>
          <w:rFonts w:ascii="仿宋" w:hAnsi="仿宋" w:eastAsia="仿宋" w:cs="仿宋"/>
          <w:b/>
          <w:color w:val="000000" w:themeColor="text1"/>
          <w:sz w:val="28"/>
          <w:szCs w:val="28"/>
          <w:highlight w:val="none"/>
          <w14:textFill>
            <w14:solidFill>
              <w14:schemeClr w14:val="tx1"/>
            </w14:solidFill>
          </w14:textFill>
        </w:rPr>
      </w:pPr>
    </w:p>
    <w:p w14:paraId="40AD5B7D">
      <w:pPr>
        <w:tabs>
          <w:tab w:val="left" w:pos="5985"/>
        </w:tabs>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F318BDB">
      <w:pPr>
        <w:spacing w:before="120" w:line="560" w:lineRule="exact"/>
        <w:rPr>
          <w:rFonts w:ascii="仿宋" w:hAnsi="仿宋" w:eastAsia="仿宋" w:cs="仿宋"/>
          <w:color w:val="000000" w:themeColor="text1"/>
          <w:sz w:val="28"/>
          <w:szCs w:val="28"/>
          <w:highlight w:val="none"/>
          <w14:textFill>
            <w14:solidFill>
              <w14:schemeClr w14:val="tx1"/>
            </w14:solidFill>
          </w14:textFill>
        </w:rPr>
      </w:pPr>
    </w:p>
    <w:p w14:paraId="708E0196">
      <w:pPr>
        <w:pStyle w:val="2"/>
        <w:spacing w:line="560" w:lineRule="exact"/>
        <w:rPr>
          <w:rFonts w:ascii="仿宋" w:eastAsia="仿宋" w:cs="仿宋"/>
          <w:color w:val="000000" w:themeColor="text1"/>
          <w:sz w:val="28"/>
          <w:highlight w:val="none"/>
          <w14:textFill>
            <w14:solidFill>
              <w14:schemeClr w14:val="tx1"/>
            </w14:solidFill>
          </w14:textFill>
        </w:rPr>
      </w:pPr>
    </w:p>
    <w:p w14:paraId="5D64CD13">
      <w:pPr>
        <w:spacing w:before="120" w:line="560" w:lineRule="exact"/>
        <w:ind w:left="96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项目名称：</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p>
    <w:p w14:paraId="72ADBE85">
      <w:pPr>
        <w:spacing w:before="120" w:line="560" w:lineRule="exact"/>
        <w:ind w:left="960"/>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甲方：</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p>
    <w:p w14:paraId="7CE6D244">
      <w:pPr>
        <w:spacing w:before="120" w:line="560" w:lineRule="exact"/>
        <w:ind w:left="960"/>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乙方：</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p>
    <w:p w14:paraId="147D6EA7">
      <w:pPr>
        <w:spacing w:before="120" w:line="560" w:lineRule="exact"/>
        <w:ind w:firstLine="980" w:firstLineChars="350"/>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签订地：</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p>
    <w:p w14:paraId="1D9952DB">
      <w:pPr>
        <w:spacing w:before="120" w:line="560" w:lineRule="exact"/>
        <w:rPr>
          <w:rFonts w:ascii="仿宋" w:hAnsi="仿宋" w:eastAsia="仿宋" w:cs="仿宋"/>
          <w:color w:val="000000" w:themeColor="text1"/>
          <w:sz w:val="28"/>
          <w:szCs w:val="28"/>
          <w:highlight w:val="none"/>
          <w14:textFill>
            <w14:solidFill>
              <w14:schemeClr w14:val="tx1"/>
            </w14:solidFill>
          </w14:textFill>
        </w:rPr>
      </w:pPr>
    </w:p>
    <w:p w14:paraId="00108776">
      <w:pPr>
        <w:spacing w:before="120" w:line="560" w:lineRule="exact"/>
        <w:ind w:firstLine="840" w:firstLineChars="300"/>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签订日期：</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u w:val="single"/>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日</w:t>
      </w:r>
    </w:p>
    <w:p w14:paraId="0DA0611E">
      <w:pPr>
        <w:widowControl/>
        <w:spacing w:line="560" w:lineRule="exact"/>
        <w:jc w:val="left"/>
        <w:rPr>
          <w:rFonts w:ascii="仿宋" w:hAnsi="仿宋" w:eastAsia="仿宋" w:cs="仿宋"/>
          <w:color w:val="000000" w:themeColor="text1"/>
          <w:kern w:val="0"/>
          <w:sz w:val="28"/>
          <w:szCs w:val="28"/>
          <w:highlight w:val="none"/>
          <w14:textFill>
            <w14:solidFill>
              <w14:schemeClr w14:val="tx1"/>
            </w14:solidFill>
          </w14:textFill>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15901010">
      <w:pPr>
        <w:spacing w:line="7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采购人（甲方）：</w:t>
      </w:r>
      <w:r>
        <w:rPr>
          <w:rFonts w:hint="eastAsia" w:ascii="仿宋_GB2312" w:hAnsi="仿宋_GB2312" w:eastAsia="仿宋_GB2312" w:cs="仿宋_GB2312"/>
          <w:sz w:val="24"/>
          <w:szCs w:val="24"/>
          <w:highlight w:val="none"/>
          <w:u w:val="single"/>
        </w:rPr>
        <w:t xml:space="preserve">                              </w:t>
      </w:r>
    </w:p>
    <w:p w14:paraId="52C4F547">
      <w:pPr>
        <w:spacing w:line="7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中标人（乙方）：</w:t>
      </w:r>
      <w:r>
        <w:rPr>
          <w:rFonts w:hint="eastAsia" w:ascii="仿宋_GB2312" w:hAnsi="仿宋_GB2312" w:eastAsia="仿宋_GB2312" w:cs="仿宋_GB2312"/>
          <w:sz w:val="24"/>
          <w:szCs w:val="24"/>
          <w:highlight w:val="none"/>
          <w:u w:val="single"/>
        </w:rPr>
        <w:t xml:space="preserve">                              </w:t>
      </w:r>
    </w:p>
    <w:p w14:paraId="690278DC">
      <w:pPr>
        <w:spacing w:line="7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合同签订日：</w:t>
      </w:r>
      <w:r>
        <w:rPr>
          <w:rFonts w:hint="eastAsia" w:ascii="仿宋_GB2312" w:hAnsi="仿宋_GB2312" w:eastAsia="仿宋_GB2312" w:cs="仿宋_GB2312"/>
          <w:sz w:val="24"/>
          <w:szCs w:val="24"/>
          <w:highlight w:val="none"/>
          <w:u w:val="single"/>
        </w:rPr>
        <w:t xml:space="preserve"> 20  年   月   日                      </w:t>
      </w:r>
    </w:p>
    <w:p w14:paraId="1EE3887C">
      <w:pPr>
        <w:spacing w:line="7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合同签订地点：</w:t>
      </w:r>
      <w:r>
        <w:rPr>
          <w:rFonts w:hint="eastAsia" w:ascii="仿宋_GB2312" w:hAnsi="仿宋_GB2312" w:eastAsia="仿宋_GB2312" w:cs="仿宋_GB2312"/>
          <w:sz w:val="24"/>
          <w:szCs w:val="24"/>
          <w:highlight w:val="none"/>
          <w:u w:val="single"/>
        </w:rPr>
        <w:t>舟山市</w:t>
      </w:r>
    </w:p>
    <w:p w14:paraId="19F7BA7E">
      <w:pPr>
        <w:spacing w:line="360" w:lineRule="auto"/>
        <w:rPr>
          <w:rFonts w:hint="eastAsia" w:ascii="仿宋_GB2312" w:hAnsi="仿宋_GB2312" w:eastAsia="仿宋_GB2312" w:cs="仿宋_GB2312"/>
          <w:spacing w:val="4"/>
          <w:sz w:val="24"/>
          <w:szCs w:val="24"/>
          <w:highlight w:val="none"/>
        </w:rPr>
      </w:pPr>
    </w:p>
    <w:p w14:paraId="4FBA2527">
      <w:pPr>
        <w:spacing w:line="360" w:lineRule="auto"/>
        <w:ind w:firstLine="496" w:firstLineChars="200"/>
        <w:rPr>
          <w:rFonts w:hint="eastAsia" w:ascii="仿宋_GB2312" w:hAnsi="仿宋_GB2312" w:eastAsia="仿宋_GB2312" w:cs="仿宋_GB2312"/>
          <w:spacing w:val="4"/>
          <w:sz w:val="24"/>
          <w:szCs w:val="24"/>
          <w:highlight w:val="none"/>
        </w:rPr>
      </w:pPr>
      <w:r>
        <w:rPr>
          <w:rFonts w:hint="eastAsia" w:ascii="仿宋_GB2312" w:hAnsi="仿宋_GB2312" w:eastAsia="仿宋_GB2312" w:cs="仿宋_GB2312"/>
          <w:spacing w:val="4"/>
          <w:sz w:val="24"/>
          <w:szCs w:val="24"/>
          <w:highlight w:val="none"/>
        </w:rPr>
        <w:t>甲方对</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pacing w:val="4"/>
          <w:sz w:val="24"/>
          <w:szCs w:val="24"/>
          <w:highlight w:val="none"/>
        </w:rPr>
        <w:t>进行公开招标。经评审小组评定并最终审核通过，确定乙方为本项采购项目的中标人。甲乙双方根据《中华人民共和国政府采购法》、《中华人民共和国民法典》等相关法律法规及本项目招标文件的规定，双方经平等协商达成一致意见，订立本合同。</w:t>
      </w:r>
    </w:p>
    <w:p w14:paraId="3330178B">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一、合同文件</w:t>
      </w:r>
    </w:p>
    <w:p w14:paraId="5704092F">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下列文件构成本合同的组成部分：</w:t>
      </w:r>
    </w:p>
    <w:p w14:paraId="50E13A2C">
      <w:pPr>
        <w:adjustRightInd w:val="0"/>
        <w:spacing w:line="360" w:lineRule="auto"/>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1、招标文件</w:t>
      </w:r>
    </w:p>
    <w:p w14:paraId="6B818B9D">
      <w:pPr>
        <w:adjustRightInd w:val="0"/>
        <w:spacing w:line="360" w:lineRule="auto"/>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2、中标文件</w:t>
      </w:r>
    </w:p>
    <w:p w14:paraId="63D5F9DF">
      <w:pPr>
        <w:adjustRightInd w:val="0"/>
        <w:spacing w:line="360" w:lineRule="auto"/>
        <w:ind w:firstLine="480"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3、相关补充文件</w:t>
      </w:r>
    </w:p>
    <w:p w14:paraId="22DFD953">
      <w:pPr>
        <w:adjustRightInd w:val="0"/>
        <w:spacing w:line="360" w:lineRule="auto"/>
        <w:ind w:firstLine="482" w:firstLineChars="200"/>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二、合同范围和条件</w:t>
      </w:r>
    </w:p>
    <w:p w14:paraId="00A0FB8E">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本合同的范围和条件与上述规定的合同文件内容一致。</w:t>
      </w:r>
    </w:p>
    <w:p w14:paraId="3ADF251E">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三、合同金额</w:t>
      </w:r>
    </w:p>
    <w:p w14:paraId="1D9FC206">
      <w:pPr>
        <w:spacing w:line="360" w:lineRule="auto"/>
        <w:ind w:firstLine="496"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spacing w:val="4"/>
          <w:sz w:val="24"/>
          <w:szCs w:val="24"/>
          <w:highlight w:val="none"/>
        </w:rPr>
        <w:t>本项目的</w:t>
      </w:r>
      <w:r>
        <w:rPr>
          <w:rFonts w:hint="eastAsia" w:ascii="仿宋_GB2312" w:hAnsi="仿宋_GB2312" w:eastAsia="仿宋_GB2312" w:cs="仿宋_GB2312"/>
          <w:sz w:val="24"/>
          <w:szCs w:val="24"/>
          <w:highlight w:val="none"/>
        </w:rPr>
        <w:t>合同总价为</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 xml:space="preserve">元人民币。 </w:t>
      </w:r>
    </w:p>
    <w:p w14:paraId="6D7C9706">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四、付款方式</w:t>
      </w:r>
    </w:p>
    <w:p w14:paraId="0C96171B">
      <w:pPr>
        <w:spacing w:line="360" w:lineRule="auto"/>
        <w:ind w:firstLine="496" w:firstLineChars="200"/>
        <w:rPr>
          <w:rFonts w:hint="eastAsia" w:ascii="仿宋_GB2312" w:hAnsi="仿宋_GB2312" w:eastAsia="仿宋_GB2312" w:cs="仿宋_GB2312"/>
          <w:spacing w:val="4"/>
          <w:sz w:val="24"/>
          <w:szCs w:val="24"/>
          <w:highlight w:val="none"/>
          <w:lang w:val="en-US" w:eastAsia="zh-CN"/>
        </w:rPr>
      </w:pPr>
      <w:r>
        <w:rPr>
          <w:rFonts w:hint="eastAsia" w:ascii="仿宋_GB2312" w:hAnsi="仿宋_GB2312" w:eastAsia="仿宋_GB2312" w:cs="仿宋_GB2312"/>
          <w:spacing w:val="4"/>
          <w:sz w:val="24"/>
          <w:szCs w:val="24"/>
          <w:highlight w:val="none"/>
          <w:lang w:val="en-US" w:eastAsia="zh-CN"/>
        </w:rPr>
        <w:t>（1）合同签订生效及具备履约实施条件并开具正式发票后</w:t>
      </w:r>
      <w:r>
        <w:rPr>
          <w:rFonts w:hint="default" w:ascii="仿宋_GB2312" w:hAnsi="仿宋_GB2312" w:eastAsia="仿宋_GB2312" w:cs="仿宋_GB2312"/>
          <w:spacing w:val="4"/>
          <w:sz w:val="24"/>
          <w:szCs w:val="24"/>
          <w:highlight w:val="none"/>
          <w:lang w:val="en-US" w:eastAsia="zh-CN"/>
        </w:rPr>
        <w:t>7</w:t>
      </w:r>
      <w:r>
        <w:rPr>
          <w:rFonts w:hint="eastAsia" w:ascii="仿宋_GB2312" w:hAnsi="仿宋_GB2312" w:eastAsia="仿宋_GB2312" w:cs="仿宋_GB2312"/>
          <w:spacing w:val="4"/>
          <w:sz w:val="24"/>
          <w:szCs w:val="24"/>
          <w:highlight w:val="none"/>
          <w:lang w:val="en-US" w:eastAsia="zh-CN"/>
        </w:rPr>
        <w:t>个工作日内，支付合同款的45%；</w:t>
      </w:r>
    </w:p>
    <w:p w14:paraId="549A460D">
      <w:pPr>
        <w:spacing w:line="360" w:lineRule="auto"/>
        <w:ind w:firstLine="496" w:firstLineChars="200"/>
        <w:rPr>
          <w:rFonts w:hint="default" w:ascii="仿宋_GB2312" w:hAnsi="仿宋_GB2312" w:eastAsia="仿宋_GB2312" w:cs="仿宋_GB2312"/>
          <w:spacing w:val="4"/>
          <w:sz w:val="24"/>
          <w:szCs w:val="24"/>
          <w:highlight w:val="none"/>
          <w:lang w:val="en-US" w:eastAsia="zh-CN"/>
        </w:rPr>
      </w:pPr>
      <w:r>
        <w:rPr>
          <w:rFonts w:hint="eastAsia" w:ascii="仿宋_GB2312" w:hAnsi="仿宋_GB2312" w:eastAsia="仿宋_GB2312" w:cs="仿宋_GB2312"/>
          <w:spacing w:val="4"/>
          <w:sz w:val="24"/>
          <w:szCs w:val="24"/>
          <w:highlight w:val="none"/>
          <w:lang w:val="en-US" w:eastAsia="zh-CN"/>
        </w:rPr>
        <w:t>（2）项目试运行结束，终验合格并开具正式发票后</w:t>
      </w:r>
      <w:r>
        <w:rPr>
          <w:rFonts w:hint="default" w:ascii="仿宋_GB2312" w:hAnsi="仿宋_GB2312" w:eastAsia="仿宋_GB2312" w:cs="仿宋_GB2312"/>
          <w:spacing w:val="4"/>
          <w:sz w:val="24"/>
          <w:szCs w:val="24"/>
          <w:highlight w:val="none"/>
          <w:lang w:val="en-US" w:eastAsia="zh-CN"/>
        </w:rPr>
        <w:t>7</w:t>
      </w:r>
      <w:r>
        <w:rPr>
          <w:rFonts w:hint="eastAsia" w:ascii="仿宋_GB2312" w:hAnsi="仿宋_GB2312" w:eastAsia="仿宋_GB2312" w:cs="仿宋_GB2312"/>
          <w:spacing w:val="4"/>
          <w:sz w:val="24"/>
          <w:szCs w:val="24"/>
          <w:highlight w:val="none"/>
          <w:lang w:val="en-US" w:eastAsia="zh-CN"/>
        </w:rPr>
        <w:t>个工作日内，支付剩余合同款。最终费用以审计为准。</w:t>
      </w:r>
    </w:p>
    <w:p w14:paraId="66681B16">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五、工期要求</w:t>
      </w:r>
    </w:p>
    <w:p w14:paraId="7681D9F1">
      <w:pPr>
        <w:widowControl/>
        <w:spacing w:line="360" w:lineRule="auto"/>
        <w:ind w:firstLine="480" w:firstLineChars="200"/>
        <w:rPr>
          <w:rFonts w:hint="eastAsia" w:ascii="仿宋_GB2312" w:hAnsi="仿宋_GB2312" w:eastAsia="仿宋_GB2312" w:cs="仿宋_GB2312"/>
          <w:kern w:val="0"/>
          <w:sz w:val="24"/>
          <w:szCs w:val="24"/>
          <w:highlight w:val="none"/>
          <w:u w:val="single"/>
        </w:rPr>
      </w:pPr>
      <w:r>
        <w:rPr>
          <w:rFonts w:hint="eastAsia" w:ascii="仿宋_GB2312" w:hAnsi="仿宋_GB2312" w:eastAsia="仿宋_GB2312" w:cs="仿宋_GB2312"/>
          <w:snapToGrid w:val="0"/>
          <w:sz w:val="24"/>
          <w:szCs w:val="24"/>
          <w:highlight w:val="none"/>
          <w:u w:val="single"/>
          <w:lang w:val="en-US" w:eastAsia="zh-CN"/>
        </w:rPr>
        <w:t>无人机管控中心及岸海协同多元感传感技术实验室设备需在</w:t>
      </w:r>
      <w:r>
        <w:rPr>
          <w:rFonts w:hint="eastAsia" w:ascii="仿宋_GB2312" w:hAnsi="仿宋_GB2312" w:eastAsia="仿宋_GB2312" w:cs="仿宋_GB2312"/>
          <w:snapToGrid w:val="0"/>
          <w:sz w:val="24"/>
          <w:szCs w:val="24"/>
          <w:highlight w:val="none"/>
          <w:u w:val="single"/>
        </w:rPr>
        <w:t>合同签订后</w:t>
      </w:r>
      <w:r>
        <w:rPr>
          <w:rFonts w:hint="eastAsia" w:ascii="仿宋_GB2312" w:hAnsi="仿宋_GB2312" w:eastAsia="仿宋_GB2312" w:cs="仿宋_GB2312"/>
          <w:snapToGrid w:val="0"/>
          <w:sz w:val="24"/>
          <w:szCs w:val="24"/>
          <w:highlight w:val="none"/>
          <w:u w:val="single"/>
          <w:lang w:val="en-US" w:eastAsia="zh-CN"/>
        </w:rPr>
        <w:t>45天内完成全部设备到货，机房建设在</w:t>
      </w:r>
      <w:r>
        <w:rPr>
          <w:rFonts w:hint="eastAsia" w:ascii="仿宋_GB2312" w:hAnsi="仿宋_GB2312" w:eastAsia="仿宋_GB2312" w:cs="仿宋_GB2312"/>
          <w:snapToGrid w:val="0"/>
          <w:sz w:val="24"/>
          <w:szCs w:val="24"/>
          <w:highlight w:val="none"/>
          <w:u w:val="single"/>
        </w:rPr>
        <w:t>合同签订后</w:t>
      </w:r>
      <w:r>
        <w:rPr>
          <w:rFonts w:hint="eastAsia" w:ascii="仿宋_GB2312" w:hAnsi="仿宋_GB2312" w:eastAsia="仿宋_GB2312" w:cs="仿宋_GB2312"/>
          <w:snapToGrid w:val="0"/>
          <w:sz w:val="24"/>
          <w:szCs w:val="24"/>
          <w:highlight w:val="none"/>
          <w:u w:val="single"/>
          <w:lang w:val="en-US" w:eastAsia="zh-CN"/>
        </w:rPr>
        <w:t>6</w:t>
      </w:r>
      <w:r>
        <w:rPr>
          <w:rFonts w:hint="eastAsia" w:ascii="仿宋_GB2312" w:hAnsi="仿宋_GB2312" w:eastAsia="仿宋_GB2312" w:cs="仿宋_GB2312"/>
          <w:snapToGrid w:val="0"/>
          <w:sz w:val="24"/>
          <w:szCs w:val="24"/>
          <w:highlight w:val="none"/>
          <w:u w:val="single"/>
        </w:rPr>
        <w:t>个月内完成。</w:t>
      </w:r>
    </w:p>
    <w:p w14:paraId="052BBB5B">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六、服务要求</w:t>
      </w:r>
    </w:p>
    <w:p w14:paraId="79BF508C">
      <w:pPr>
        <w:ind w:firstLine="460" w:firstLineChars="200"/>
        <w:rPr>
          <w:rFonts w:hint="eastAsia" w:ascii="仿宋_GB2312" w:hAnsi="仿宋_GB2312" w:eastAsia="仿宋_GB2312" w:cs="仿宋_GB2312"/>
          <w:spacing w:val="-5"/>
          <w:kern w:val="0"/>
          <w:sz w:val="24"/>
          <w:szCs w:val="24"/>
          <w:highlight w:val="none"/>
          <w:u w:val="single"/>
        </w:rPr>
      </w:pPr>
      <w:r>
        <w:rPr>
          <w:rFonts w:hint="eastAsia" w:ascii="仿宋_GB2312" w:hAnsi="仿宋_GB2312" w:eastAsia="仿宋_GB2312" w:cs="仿宋_GB2312"/>
          <w:spacing w:val="-5"/>
          <w:kern w:val="0"/>
          <w:sz w:val="24"/>
          <w:szCs w:val="24"/>
          <w:highlight w:val="none"/>
          <w:u w:val="single"/>
        </w:rPr>
        <w:t xml:space="preserve">                                                              </w:t>
      </w:r>
    </w:p>
    <w:p w14:paraId="3B81F76E">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七、合同明细（详见附件）</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5"/>
        <w:gridCol w:w="1369"/>
        <w:gridCol w:w="1369"/>
        <w:gridCol w:w="1369"/>
        <w:gridCol w:w="1369"/>
        <w:gridCol w:w="1365"/>
      </w:tblGrid>
      <w:tr w14:paraId="1E0E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tcBorders>
              <w:top w:val="single" w:color="auto" w:sz="4" w:space="0"/>
              <w:left w:val="single" w:color="auto" w:sz="4" w:space="0"/>
              <w:bottom w:val="single" w:color="auto" w:sz="4" w:space="0"/>
              <w:right w:val="single" w:color="auto" w:sz="4" w:space="0"/>
            </w:tcBorders>
            <w:vAlign w:val="center"/>
          </w:tcPr>
          <w:p w14:paraId="03FE1872">
            <w:pPr>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spacing w:val="4"/>
                <w:sz w:val="24"/>
                <w:szCs w:val="24"/>
                <w:highlight w:val="none"/>
              </w:rPr>
              <w:t>名称</w:t>
            </w:r>
          </w:p>
        </w:tc>
        <w:tc>
          <w:tcPr>
            <w:tcW w:w="737" w:type="pct"/>
            <w:tcBorders>
              <w:top w:val="single" w:color="auto" w:sz="4" w:space="0"/>
              <w:left w:val="single" w:color="auto" w:sz="4" w:space="0"/>
              <w:bottom w:val="single" w:color="auto" w:sz="4" w:space="0"/>
              <w:right w:val="single" w:color="auto" w:sz="4" w:space="0"/>
            </w:tcBorders>
            <w:vAlign w:val="center"/>
          </w:tcPr>
          <w:p w14:paraId="45FC8CF4">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品牌</w:t>
            </w:r>
            <w:r>
              <w:rPr>
                <w:rFonts w:hint="eastAsia" w:ascii="仿宋_GB2312" w:hAnsi="仿宋_GB2312" w:eastAsia="仿宋_GB2312" w:cs="仿宋_GB2312"/>
                <w:sz w:val="24"/>
                <w:szCs w:val="24"/>
                <w:highlight w:val="none"/>
              </w:rPr>
              <w:t>型号</w:t>
            </w:r>
          </w:p>
        </w:tc>
        <w:tc>
          <w:tcPr>
            <w:tcW w:w="737" w:type="pct"/>
            <w:tcBorders>
              <w:top w:val="single" w:color="auto" w:sz="4" w:space="0"/>
              <w:left w:val="single" w:color="auto" w:sz="4" w:space="0"/>
              <w:bottom w:val="single" w:color="auto" w:sz="4" w:space="0"/>
              <w:right w:val="single" w:color="auto" w:sz="4" w:space="0"/>
            </w:tcBorders>
            <w:vAlign w:val="center"/>
          </w:tcPr>
          <w:p w14:paraId="04B847AF">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技术规格</w:t>
            </w:r>
          </w:p>
        </w:tc>
        <w:tc>
          <w:tcPr>
            <w:tcW w:w="737" w:type="pct"/>
            <w:tcBorders>
              <w:top w:val="single" w:color="auto" w:sz="4" w:space="0"/>
              <w:left w:val="single" w:color="auto" w:sz="4" w:space="0"/>
              <w:bottom w:val="single" w:color="auto" w:sz="4" w:space="0"/>
              <w:right w:val="single" w:color="auto" w:sz="4" w:space="0"/>
            </w:tcBorders>
            <w:vAlign w:val="center"/>
          </w:tcPr>
          <w:p w14:paraId="2CA2AC4A">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数量单位</w:t>
            </w:r>
          </w:p>
        </w:tc>
        <w:tc>
          <w:tcPr>
            <w:tcW w:w="737" w:type="pct"/>
            <w:tcBorders>
              <w:top w:val="single" w:color="auto" w:sz="4" w:space="0"/>
              <w:left w:val="single" w:color="auto" w:sz="4" w:space="0"/>
              <w:bottom w:val="single" w:color="auto" w:sz="4" w:space="0"/>
              <w:right w:val="single" w:color="auto" w:sz="4" w:space="0"/>
            </w:tcBorders>
            <w:vAlign w:val="center"/>
          </w:tcPr>
          <w:p w14:paraId="77B850B2">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单价（元）</w:t>
            </w:r>
          </w:p>
        </w:tc>
        <w:tc>
          <w:tcPr>
            <w:tcW w:w="736" w:type="pct"/>
            <w:tcBorders>
              <w:top w:val="single" w:color="auto" w:sz="4" w:space="0"/>
              <w:left w:val="single" w:color="auto" w:sz="4" w:space="0"/>
              <w:bottom w:val="single" w:color="auto" w:sz="4" w:space="0"/>
              <w:right w:val="single" w:color="auto" w:sz="4" w:space="0"/>
            </w:tcBorders>
            <w:vAlign w:val="center"/>
          </w:tcPr>
          <w:p w14:paraId="74FCB73E">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总价（元）</w:t>
            </w:r>
          </w:p>
        </w:tc>
      </w:tr>
      <w:tr w14:paraId="2364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tcBorders>
              <w:top w:val="single" w:color="auto" w:sz="4" w:space="0"/>
              <w:left w:val="single" w:color="auto" w:sz="4" w:space="0"/>
              <w:bottom w:val="single" w:color="auto" w:sz="4" w:space="0"/>
              <w:right w:val="single" w:color="auto" w:sz="4" w:space="0"/>
            </w:tcBorders>
            <w:vAlign w:val="center"/>
          </w:tcPr>
          <w:p w14:paraId="38B5B774">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2E4BBC9A">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2A8F2328">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50448CBF">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70D865B5">
            <w:pPr>
              <w:jc w:val="center"/>
              <w:rPr>
                <w:rFonts w:hint="eastAsia" w:ascii="仿宋_GB2312" w:hAnsi="仿宋_GB2312" w:eastAsia="仿宋_GB2312" w:cs="仿宋_GB2312"/>
                <w:b/>
                <w:sz w:val="24"/>
                <w:szCs w:val="24"/>
                <w:highlight w:val="none"/>
              </w:rPr>
            </w:pPr>
          </w:p>
        </w:tc>
        <w:tc>
          <w:tcPr>
            <w:tcW w:w="736" w:type="pct"/>
            <w:tcBorders>
              <w:top w:val="single" w:color="auto" w:sz="4" w:space="0"/>
              <w:left w:val="single" w:color="auto" w:sz="4" w:space="0"/>
              <w:bottom w:val="single" w:color="auto" w:sz="4" w:space="0"/>
              <w:right w:val="single" w:color="auto" w:sz="4" w:space="0"/>
            </w:tcBorders>
            <w:vAlign w:val="center"/>
          </w:tcPr>
          <w:p w14:paraId="38C2C74B">
            <w:pPr>
              <w:jc w:val="center"/>
              <w:rPr>
                <w:rFonts w:hint="eastAsia" w:ascii="仿宋_GB2312" w:hAnsi="仿宋_GB2312" w:eastAsia="仿宋_GB2312" w:cs="仿宋_GB2312"/>
                <w:b/>
                <w:sz w:val="24"/>
                <w:szCs w:val="24"/>
                <w:highlight w:val="none"/>
              </w:rPr>
            </w:pPr>
          </w:p>
        </w:tc>
      </w:tr>
      <w:tr w14:paraId="205B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tcBorders>
              <w:top w:val="single" w:color="auto" w:sz="4" w:space="0"/>
              <w:left w:val="single" w:color="auto" w:sz="4" w:space="0"/>
              <w:bottom w:val="single" w:color="auto" w:sz="4" w:space="0"/>
              <w:right w:val="single" w:color="auto" w:sz="4" w:space="0"/>
            </w:tcBorders>
            <w:vAlign w:val="center"/>
          </w:tcPr>
          <w:p w14:paraId="5964E215">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0E422203">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1A1F9386">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486B4BA1">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5741320F">
            <w:pPr>
              <w:jc w:val="center"/>
              <w:rPr>
                <w:rFonts w:hint="eastAsia" w:ascii="仿宋_GB2312" w:hAnsi="仿宋_GB2312" w:eastAsia="仿宋_GB2312" w:cs="仿宋_GB2312"/>
                <w:b/>
                <w:sz w:val="24"/>
                <w:szCs w:val="24"/>
                <w:highlight w:val="none"/>
              </w:rPr>
            </w:pPr>
          </w:p>
        </w:tc>
        <w:tc>
          <w:tcPr>
            <w:tcW w:w="736" w:type="pct"/>
            <w:tcBorders>
              <w:top w:val="single" w:color="auto" w:sz="4" w:space="0"/>
              <w:left w:val="single" w:color="auto" w:sz="4" w:space="0"/>
              <w:bottom w:val="single" w:color="auto" w:sz="4" w:space="0"/>
              <w:right w:val="single" w:color="auto" w:sz="4" w:space="0"/>
            </w:tcBorders>
            <w:vAlign w:val="center"/>
          </w:tcPr>
          <w:p w14:paraId="7B2A49BB">
            <w:pPr>
              <w:jc w:val="center"/>
              <w:rPr>
                <w:rFonts w:hint="eastAsia" w:ascii="仿宋_GB2312" w:hAnsi="仿宋_GB2312" w:eastAsia="仿宋_GB2312" w:cs="仿宋_GB2312"/>
                <w:b/>
                <w:sz w:val="24"/>
                <w:szCs w:val="24"/>
                <w:highlight w:val="none"/>
              </w:rPr>
            </w:pPr>
          </w:p>
        </w:tc>
      </w:tr>
      <w:tr w14:paraId="2396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tcBorders>
              <w:top w:val="single" w:color="auto" w:sz="4" w:space="0"/>
              <w:left w:val="single" w:color="auto" w:sz="4" w:space="0"/>
              <w:bottom w:val="single" w:color="auto" w:sz="4" w:space="0"/>
              <w:right w:val="single" w:color="auto" w:sz="4" w:space="0"/>
            </w:tcBorders>
            <w:vAlign w:val="center"/>
          </w:tcPr>
          <w:p w14:paraId="6F8E9692">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4C334D7C">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67305DFE">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4592D235">
            <w:pPr>
              <w:jc w:val="center"/>
              <w:rPr>
                <w:rFonts w:hint="eastAsia" w:ascii="仿宋_GB2312" w:hAnsi="仿宋_GB2312" w:eastAsia="仿宋_GB2312" w:cs="仿宋_GB2312"/>
                <w:b/>
                <w:sz w:val="24"/>
                <w:szCs w:val="24"/>
                <w:highlight w:val="none"/>
              </w:rPr>
            </w:pPr>
          </w:p>
        </w:tc>
        <w:tc>
          <w:tcPr>
            <w:tcW w:w="737" w:type="pct"/>
            <w:tcBorders>
              <w:top w:val="single" w:color="auto" w:sz="4" w:space="0"/>
              <w:left w:val="single" w:color="auto" w:sz="4" w:space="0"/>
              <w:bottom w:val="single" w:color="auto" w:sz="4" w:space="0"/>
              <w:right w:val="single" w:color="auto" w:sz="4" w:space="0"/>
            </w:tcBorders>
            <w:vAlign w:val="center"/>
          </w:tcPr>
          <w:p w14:paraId="2C971B8A">
            <w:pPr>
              <w:jc w:val="center"/>
              <w:rPr>
                <w:rFonts w:hint="eastAsia" w:ascii="仿宋_GB2312" w:hAnsi="仿宋_GB2312" w:eastAsia="仿宋_GB2312" w:cs="仿宋_GB2312"/>
                <w:b/>
                <w:sz w:val="24"/>
                <w:szCs w:val="24"/>
                <w:highlight w:val="none"/>
              </w:rPr>
            </w:pPr>
          </w:p>
        </w:tc>
        <w:tc>
          <w:tcPr>
            <w:tcW w:w="736" w:type="pct"/>
            <w:tcBorders>
              <w:top w:val="single" w:color="auto" w:sz="4" w:space="0"/>
              <w:left w:val="single" w:color="auto" w:sz="4" w:space="0"/>
              <w:bottom w:val="single" w:color="auto" w:sz="4" w:space="0"/>
              <w:right w:val="single" w:color="auto" w:sz="4" w:space="0"/>
            </w:tcBorders>
            <w:vAlign w:val="center"/>
          </w:tcPr>
          <w:p w14:paraId="3C084045">
            <w:pPr>
              <w:jc w:val="center"/>
              <w:rPr>
                <w:rFonts w:hint="eastAsia" w:ascii="仿宋_GB2312" w:hAnsi="仿宋_GB2312" w:eastAsia="仿宋_GB2312" w:cs="仿宋_GB2312"/>
                <w:b/>
                <w:sz w:val="24"/>
                <w:szCs w:val="24"/>
                <w:highlight w:val="none"/>
              </w:rPr>
            </w:pPr>
          </w:p>
        </w:tc>
      </w:tr>
      <w:tr w14:paraId="7A31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C065681">
            <w:pP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合计：</w:t>
            </w:r>
          </w:p>
        </w:tc>
      </w:tr>
      <w:tr w14:paraId="3628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962962D">
            <w:pP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 xml:space="preserve">人民币大写： </w:t>
            </w:r>
          </w:p>
        </w:tc>
      </w:tr>
    </w:tbl>
    <w:p w14:paraId="3D1B67C3">
      <w:pPr>
        <w:spacing w:line="360" w:lineRule="auto"/>
        <w:ind w:firstLine="482" w:firstLineChars="200"/>
        <w:rPr>
          <w:rFonts w:hint="eastAsia" w:ascii="仿宋_GB2312" w:hAnsi="仿宋_GB2312" w:eastAsia="仿宋_GB2312" w:cs="仿宋_GB2312"/>
          <w:b/>
          <w:sz w:val="24"/>
          <w:szCs w:val="24"/>
          <w:highlight w:val="none"/>
        </w:rPr>
      </w:pPr>
    </w:p>
    <w:p w14:paraId="5F687B21">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八、质保要求</w:t>
      </w:r>
    </w:p>
    <w:p w14:paraId="46489248">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本项目要求至少三年整体质保</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以投标承诺为准</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rPr>
        <w:t>，原厂质保期高于投标人质保承诺的按原厂执行（项目终验通过之日起计算）。</w:t>
      </w:r>
    </w:p>
    <w:p w14:paraId="6920A035">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九、运维要求</w:t>
      </w:r>
    </w:p>
    <w:p w14:paraId="6E2A450E">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1、</w:t>
      </w:r>
      <w:r>
        <w:rPr>
          <w:rFonts w:hint="eastAsia" w:ascii="仿宋_GB2312" w:hAnsi="仿宋_GB2312" w:eastAsia="仿宋_GB2312" w:cs="仿宋_GB2312"/>
          <w:snapToGrid w:val="0"/>
          <w:sz w:val="24"/>
          <w:szCs w:val="24"/>
          <w:highlight w:val="none"/>
        </w:rPr>
        <w:t>免费质保期内，乙方应提供7*24小时电话技术支持。接到甲方故障通知后，乙方技术人员应在2小时之内予以响应，进行故障排除工作。一般性故障保证在5小时内修复。对于严重故障，技术人员在2小时内到达现场，排查原因，提出解决方案，直至故障排除，若24小时内无法修复故障，则提供备用设备。不能维修的设备免费更换。</w:t>
      </w:r>
      <w:r>
        <w:rPr>
          <w:rFonts w:hint="eastAsia" w:ascii="仿宋_GB2312" w:hAnsi="仿宋_GB2312" w:eastAsia="仿宋_GB2312" w:cs="仿宋_GB2312"/>
          <w:b/>
          <w:bCs w:val="0"/>
          <w:sz w:val="24"/>
          <w:szCs w:val="24"/>
          <w:highlight w:val="none"/>
        </w:rPr>
        <w:t>质保期内承担原机房的每季度1次巡检工作，</w:t>
      </w:r>
      <w:r>
        <w:rPr>
          <w:rFonts w:hint="eastAsia" w:ascii="仿宋_GB2312" w:hAnsi="仿宋_GB2312" w:eastAsia="仿宋_GB2312" w:cs="仿宋_GB2312"/>
          <w:b/>
          <w:bCs w:val="0"/>
          <w:sz w:val="24"/>
          <w:szCs w:val="24"/>
          <w:highlight w:val="none"/>
          <w:lang w:val="en-US" w:eastAsia="zh-CN"/>
        </w:rPr>
        <w:t>并</w:t>
      </w:r>
      <w:r>
        <w:rPr>
          <w:rFonts w:hint="eastAsia" w:ascii="仿宋_GB2312" w:hAnsi="仿宋_GB2312" w:eastAsia="仿宋_GB2312" w:cs="仿宋_GB2312"/>
          <w:b/>
          <w:bCs w:val="0"/>
          <w:sz w:val="24"/>
          <w:szCs w:val="24"/>
          <w:highlight w:val="none"/>
        </w:rPr>
        <w:t>对</w:t>
      </w:r>
      <w:r>
        <w:rPr>
          <w:rFonts w:hint="eastAsia" w:ascii="仿宋_GB2312" w:hAnsi="仿宋_GB2312" w:eastAsia="仿宋_GB2312" w:cs="仿宋_GB2312"/>
          <w:b/>
          <w:bCs w:val="0"/>
          <w:sz w:val="24"/>
          <w:szCs w:val="24"/>
          <w:highlight w:val="none"/>
          <w:lang w:val="en-US" w:eastAsia="zh-CN"/>
        </w:rPr>
        <w:t>合同内</w:t>
      </w:r>
      <w:r>
        <w:rPr>
          <w:rFonts w:hint="eastAsia" w:ascii="仿宋_GB2312" w:hAnsi="仿宋_GB2312" w:eastAsia="仿宋_GB2312" w:cs="仿宋_GB2312"/>
          <w:b/>
          <w:bCs w:val="0"/>
          <w:sz w:val="24"/>
          <w:szCs w:val="24"/>
          <w:highlight w:val="none"/>
        </w:rPr>
        <w:t>设备进行巡检，提供巡检报告和维护建议；</w:t>
      </w:r>
      <w:r>
        <w:rPr>
          <w:rFonts w:hint="eastAsia" w:ascii="仿宋_GB2312" w:hAnsi="仿宋_GB2312" w:eastAsia="仿宋_GB2312" w:cs="仿宋_GB2312"/>
          <w:bCs/>
          <w:sz w:val="24"/>
          <w:szCs w:val="24"/>
          <w:highlight w:val="none"/>
        </w:rPr>
        <w:t>质保期外，对上</w:t>
      </w:r>
      <w:r>
        <w:rPr>
          <w:rFonts w:hint="eastAsia" w:ascii="仿宋_GB2312" w:hAnsi="仿宋_GB2312" w:eastAsia="仿宋_GB2312" w:cs="仿宋_GB2312"/>
          <w:bCs/>
          <w:sz w:val="24"/>
          <w:szCs w:val="24"/>
          <w:highlight w:val="none"/>
          <w:lang w:val="en-US" w:eastAsia="zh-CN"/>
        </w:rPr>
        <w:t>述</w:t>
      </w:r>
      <w:r>
        <w:rPr>
          <w:rFonts w:hint="eastAsia" w:ascii="仿宋_GB2312" w:hAnsi="仿宋_GB2312" w:eastAsia="仿宋_GB2312" w:cs="仿宋_GB2312"/>
          <w:bCs/>
          <w:sz w:val="24"/>
          <w:szCs w:val="24"/>
          <w:highlight w:val="none"/>
        </w:rPr>
        <w:t>设备维修及配件更换仅收取成本价。如果逾期未作出响应，乙方应承担由于故障所造成的全部损失。</w:t>
      </w:r>
    </w:p>
    <w:p w14:paraId="0A975136">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2、在运维期内，解决项目所涉及的设备的任何问题。</w:t>
      </w:r>
    </w:p>
    <w:p w14:paraId="6A133445">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3、如遇重大活动，按照甲方需要，指派工程师实行现场技术保障，确保系统在活动期间正常运行。</w:t>
      </w:r>
    </w:p>
    <w:p w14:paraId="7DC928FC">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4、针对系统出现大面积紧急故障或由于其他原因导致设备故障，提供高级维护人员提供临时性驻场服务，给予全力技术支持。</w:t>
      </w:r>
    </w:p>
    <w:p w14:paraId="2936374C">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十、培训要求</w:t>
      </w:r>
    </w:p>
    <w:p w14:paraId="1FF419E1">
      <w:pPr>
        <w:spacing w:line="360" w:lineRule="auto"/>
        <w:ind w:firstLine="480" w:firstLineChars="200"/>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乙方应保证能够提供拥有丰富授课经验的教员。使甲方在培训后能够独立地使用，使设备维护人员能够独立进行设备管理、维护的效果。为保证培训的质量和效果，培训应结合实际操作进行，及时解答培训学员实际操作中遇到的问题。</w:t>
      </w:r>
    </w:p>
    <w:p w14:paraId="72919A36">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十一、保密</w:t>
      </w:r>
    </w:p>
    <w:p w14:paraId="56D602C6">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1、乙方需对项目相关技术和数据保密，未经甲方许可，不得转存或拷贝项目数据，不得披露项目相关技术和信息。因乙方未遵守保密要求而引发的一切后果，均由乙方自行承担。</w:t>
      </w:r>
    </w:p>
    <w:p w14:paraId="6B355B31">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在设备安装、运维期间，因乙方未配置安全策略或未按甲方数据安全管理要求操作或操作不当以及人为破坏等情况，造成网络停止服务或者数据泄露，按照各级追责问责机制，由乙方负责；造成严重后果的，依照相关法律、法规进行处置。</w:t>
      </w:r>
    </w:p>
    <w:p w14:paraId="78F84AE7">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甲方提供给乙方的数据、设备等资源，以及乙方在项目过程中收集、产生、存储的数据和文档等资源均归甲方所有。乙方应保障甲方对这些资源的访问、利用和支配，未经甲方激发授权，乙方和任何第三方不得进行访问、修改、披露、利用、转让、销毁。</w:t>
      </w:r>
    </w:p>
    <w:p w14:paraId="685E7388">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4、甲乙双方在本项目实施过程中根据相关要求可另行签订保密协议，配合保密工作的开展。</w:t>
      </w:r>
    </w:p>
    <w:p w14:paraId="0A830CBD">
      <w:pPr>
        <w:ind w:firstLine="460" w:firstLineChars="200"/>
        <w:rPr>
          <w:rFonts w:hint="eastAsia" w:ascii="仿宋_GB2312" w:hAnsi="仿宋_GB2312" w:eastAsia="仿宋_GB2312" w:cs="仿宋_GB2312"/>
          <w:spacing w:val="-5"/>
          <w:kern w:val="0"/>
          <w:sz w:val="24"/>
          <w:szCs w:val="24"/>
          <w:highlight w:val="none"/>
        </w:rPr>
      </w:pPr>
    </w:p>
    <w:p w14:paraId="608C6A74">
      <w:pPr>
        <w:spacing w:line="360" w:lineRule="auto"/>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十二、专利权</w:t>
      </w:r>
    </w:p>
    <w:p w14:paraId="05DCBC0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乙方应保护甲方在使用该设备或其任何一部分时不受第三方提出侵犯专利权、商标权或工业设计权等知识产权等的指控。如果任何第三方提出侵权指控，乙方须与第三方交涉并承担可能发生的切法律责任和费用。</w:t>
      </w:r>
    </w:p>
    <w:p w14:paraId="00265B39">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十三、追加设备或服务处理</w:t>
      </w:r>
    </w:p>
    <w:p w14:paraId="5A8644CA">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在合同履行时，甲方有权对合同中所列的设备及服务予以增加（不超过本合同金额的10%），但不对单价或其他的条款作任何改变。</w:t>
      </w:r>
    </w:p>
    <w:p w14:paraId="6C09E43B">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十四、延期交货</w:t>
      </w:r>
    </w:p>
    <w:p w14:paraId="52859468">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在履行合同过程中，如果乙方遇到不能按时交货或不能按时完成系统的安装、调试情况，应及时以书面形式将不能按时交货或不能按时完成系统的安装、调试情况的理由、延误时间通知甲方。甲方收到乙方的通知后，应进行分析，如果同意，可通过修改合同，酌情延长交货时间。</w:t>
      </w:r>
    </w:p>
    <w:p w14:paraId="699B460D">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2、如果乙方无正当理由拖延交货或不按时完成设备的安装、调试，将承担违约损失赔偿。</w:t>
      </w:r>
    </w:p>
    <w:p w14:paraId="04DB4CA0">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十五、违约责任</w:t>
      </w:r>
    </w:p>
    <w:p w14:paraId="6C1738D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1、甲方无正当理由拒收设备的，甲方向乙方偿付拒收货款总值的百分之五违约金。</w:t>
      </w:r>
    </w:p>
    <w:p w14:paraId="51EB8796">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如乙方无法如期完成设备安装调试、项目验收等情况的，逾期每日向甲方支付合同额的万分之五作为违约金。乙方超过约定日期30个工作日仍不能完成的，甲方可解除本合同。乙方因未能如期完成或其他违约行为导致甲方解除合同的，乙方应向甲方支付合同额的10%作为违约金，如造成甲方损失超过违约金的，超出部分由乙方继续承担赔付责任。</w:t>
      </w:r>
    </w:p>
    <w:p w14:paraId="53BD616E">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3、乙方所交的设备品种、型号、规格、技术参数、质量不符合合同规定及招标文件规定标准的，甲方有权拒收该设备。</w:t>
      </w:r>
    </w:p>
    <w:p w14:paraId="234F8DEF">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4、若由于甲方的原因致使乙方不能按期安装调试完毕的，乙方不承担相应的违约责任。</w:t>
      </w:r>
    </w:p>
    <w:p w14:paraId="3E04BC8D">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5、经甲乙双方友好协商同意，延期交货、安装调试、延期支付资金且无须罚款者可不受上述条款约束。</w:t>
      </w:r>
    </w:p>
    <w:p w14:paraId="56C245F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6、在诉讼期间，除正在进行诉讼的部分外，本合同其它部分可继续执行。</w:t>
      </w:r>
    </w:p>
    <w:p w14:paraId="7601E46C">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7、如果在甲方发出索赔通知后10天内，乙方未作答复，上述索赔应视为己被乙方接受。甲方有权在甲方需支付给乙方的合同金额中直接扣除。</w:t>
      </w:r>
    </w:p>
    <w:p w14:paraId="41A4F414">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十六、争议的解决</w:t>
      </w:r>
    </w:p>
    <w:p w14:paraId="70346C05">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1、甲乙双方应通过友好协商，解决在执行本合同中所发生的或与本合同有关的一切争端，如果协商得不到解决，任何一方均可按《中华人民共和国民法典》规定提交诉讼，诉讼应在甲方所在地进行。</w:t>
      </w:r>
    </w:p>
    <w:p w14:paraId="2620E3F8">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2、诉讼费应由败诉方负担。</w:t>
      </w:r>
    </w:p>
    <w:p w14:paraId="56D66727">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十七、合同修改</w:t>
      </w:r>
    </w:p>
    <w:p w14:paraId="7A4016A3">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合同条款的任何改动，均须由合同签署双方签署合同补充协议。该</w:t>
      </w:r>
      <w:r>
        <w:rPr>
          <w:rFonts w:hint="eastAsia" w:ascii="仿宋_GB2312" w:hAnsi="仿宋_GB2312" w:eastAsia="仿宋_GB2312" w:cs="仿宋_GB2312"/>
          <w:sz w:val="24"/>
          <w:szCs w:val="24"/>
          <w:highlight w:val="none"/>
          <w:lang w:val="en-US" w:eastAsia="zh-CN"/>
        </w:rPr>
        <w:t>补充</w:t>
      </w:r>
      <w:r>
        <w:rPr>
          <w:rFonts w:hint="eastAsia" w:ascii="仿宋_GB2312" w:hAnsi="仿宋_GB2312" w:eastAsia="仿宋_GB2312" w:cs="仿宋_GB2312"/>
          <w:sz w:val="24"/>
          <w:szCs w:val="24"/>
          <w:highlight w:val="none"/>
        </w:rPr>
        <w:t>合同被视为本合同的组成部分，具有与本合同同等法律效力。</w:t>
      </w:r>
    </w:p>
    <w:p w14:paraId="07B15265">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十八、不可抗力的处理</w:t>
      </w:r>
    </w:p>
    <w:p w14:paraId="38B2A4D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1、在合同有效期内，任何一方因不可抗力事件导致不能履行合同，则合同履行期可延长，其延长期与不可抗力影响期相同。</w:t>
      </w:r>
    </w:p>
    <w:p w14:paraId="38699B47">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2、不可抗力的事故发生后尽快通知另一方，将有关部门出具的证明文件用挂号信邮寄或派人送达另一方。</w:t>
      </w:r>
    </w:p>
    <w:p w14:paraId="4676B2DB">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十九、适用法律</w:t>
      </w:r>
    </w:p>
    <w:p w14:paraId="52B86103">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甲乙双方所订立的合同应按照中华人民共和国的法律进行解释。</w:t>
      </w:r>
    </w:p>
    <w:p w14:paraId="066E87AF">
      <w:pPr>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二十、合同生效及其它</w:t>
      </w:r>
    </w:p>
    <w:p w14:paraId="59580503">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1、合同经双方法定代表人或授权委托代理人签字并加盖单位公章后生效。</w:t>
      </w:r>
    </w:p>
    <w:p w14:paraId="4650772A">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、本合同未尽事宜，遵照《中华人民共和国民法典》有关条文执行。</w:t>
      </w:r>
    </w:p>
    <w:p w14:paraId="17F86EEF">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、本合同正本一式</w:t>
      </w: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sz w:val="24"/>
          <w:szCs w:val="24"/>
          <w:highlight w:val="none"/>
        </w:rPr>
        <w:t>份，具有同等法律效力，甲乙双方各执</w:t>
      </w: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sz w:val="24"/>
          <w:szCs w:val="24"/>
          <w:highlight w:val="none"/>
        </w:rPr>
        <w:t>份，招标代理机构执1份。</w:t>
      </w:r>
    </w:p>
    <w:p w14:paraId="30C49726">
      <w:pPr>
        <w:spacing w:line="360" w:lineRule="auto"/>
        <w:ind w:firstLine="482" w:firstLineChars="200"/>
        <w:rPr>
          <w:rFonts w:hint="eastAsia" w:ascii="仿宋_GB2312" w:hAnsi="仿宋_GB2312" w:eastAsia="仿宋_GB2312" w:cs="仿宋_GB2312"/>
          <w:b/>
          <w:bCs/>
          <w:sz w:val="24"/>
          <w:szCs w:val="24"/>
          <w:highlight w:val="none"/>
        </w:rPr>
      </w:pPr>
    </w:p>
    <w:p w14:paraId="00E75BDC">
      <w:pPr>
        <w:spacing w:line="360" w:lineRule="auto"/>
        <w:ind w:firstLine="480" w:firstLineChars="200"/>
        <w:rPr>
          <w:rFonts w:hint="eastAsia" w:ascii="仿宋_GB2312" w:hAnsi="仿宋_GB2312" w:eastAsia="仿宋_GB2312" w:cs="仿宋_GB2312"/>
          <w:sz w:val="24"/>
          <w:szCs w:val="24"/>
          <w:highlight w:val="none"/>
        </w:rPr>
      </w:pPr>
    </w:p>
    <w:p w14:paraId="46BBAC3C">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甲方：（盖章）                                 乙方：（盖章） </w:t>
      </w:r>
    </w:p>
    <w:p w14:paraId="28CB652C">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地址：                                         地址： </w:t>
      </w:r>
    </w:p>
    <w:p w14:paraId="1DF51317">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法定代表人或授权签字代表：（签字）             法定代表人或授权签字代表：（签字）</w:t>
      </w:r>
    </w:p>
    <w:p w14:paraId="5DEA257B">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签订日期：   年  月  日                        签订日期：   年  月  日</w:t>
      </w:r>
    </w:p>
    <w:p w14:paraId="7AACCE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甲方收款银行：                                 乙方收款银行：</w:t>
      </w:r>
    </w:p>
    <w:p w14:paraId="527AF724">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甲方收款开户账号：                             乙方收款开户账号：</w:t>
      </w:r>
    </w:p>
    <w:p w14:paraId="2532CCAA">
      <w:pPr>
        <w:rPr>
          <w:rFonts w:hint="eastAsia" w:ascii="仿宋_GB2312" w:hAnsi="仿宋_GB2312" w:eastAsia="仿宋_GB2312" w:cs="仿宋_GB2312"/>
          <w:sz w:val="24"/>
          <w:szCs w:val="24"/>
          <w:highlight w:val="none"/>
        </w:rPr>
      </w:pPr>
    </w:p>
    <w:p w14:paraId="0C88844C">
      <w:pPr>
        <w:pStyle w:val="13"/>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68796EBA">
      <w:pPr>
        <w:pStyle w:val="13"/>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6A10117B">
      <w:pPr>
        <w:pStyle w:val="13"/>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4235E937">
      <w:pPr>
        <w:pStyle w:val="13"/>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1B09E0E1">
      <w:pPr>
        <w:pStyle w:val="13"/>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7ACED3F6">
      <w:pPr>
        <w:pStyle w:val="13"/>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2AD3AAE4">
      <w:pPr>
        <w:spacing w:line="540" w:lineRule="exact"/>
        <w:contextualSpacing/>
        <w:jc w:val="both"/>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4F3DD9D2">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第六部分</w:t>
      </w:r>
      <w:bookmarkEnd w:id="397"/>
      <w:bookmarkEnd w:id="398"/>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highlight w:val="none"/>
          <w14:textFill>
            <w14:solidFill>
              <w14:schemeClr w14:val="tx1"/>
            </w14:solidFill>
          </w14:textFill>
        </w:rPr>
        <w:t>应提交的有关格式范例</w:t>
      </w:r>
    </w:p>
    <w:p w14:paraId="1E2258A2">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133E51C2">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资格文件部分</w:t>
      </w:r>
    </w:p>
    <w:p w14:paraId="0BC456E7">
      <w:pPr>
        <w:spacing w:line="540" w:lineRule="exact"/>
        <w:contextualSpacing/>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目录</w:t>
      </w:r>
    </w:p>
    <w:p w14:paraId="1AE0B606">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14D714BF">
      <w:pPr>
        <w:spacing w:line="540" w:lineRule="exact"/>
        <w:contextualSpacing/>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一、符合参加政府采购活动应当具备的一般条件的承诺函…………（页码）</w:t>
      </w:r>
    </w:p>
    <w:p w14:paraId="14B1169D">
      <w:pPr>
        <w:spacing w:line="540" w:lineRule="exact"/>
        <w:contextualSpacing/>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二、联合协议（如果有）………………………………………………（页码）</w:t>
      </w:r>
    </w:p>
    <w:p w14:paraId="2BA124B5">
      <w:pPr>
        <w:spacing w:line="540" w:lineRule="exact"/>
        <w:contextualSpacing/>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三、落实政府采购政策需满足的资格要求（如果有）………………（页码）</w:t>
      </w:r>
    </w:p>
    <w:p w14:paraId="0AD675E6">
      <w:pPr>
        <w:spacing w:line="54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四、本项目的特定资格要求（如果有）………………………………（页码）</w:t>
      </w: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p>
    <w:p w14:paraId="5D2C6575">
      <w:pPr>
        <w:spacing w:line="54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37849F3">
      <w:pPr>
        <w:spacing w:line="54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一、符合参加政府采购活动应当具备的一般条件的承诺函</w:t>
      </w:r>
    </w:p>
    <w:p w14:paraId="238B716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（采购人）、（采购代理机构）：</w:t>
      </w:r>
    </w:p>
    <w:p w14:paraId="58450004">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我方参与（项目名称）【招标编号：（采购编号）】政府采购活动，郑重承诺：</w:t>
      </w:r>
    </w:p>
    <w:p w14:paraId="3C24D37B">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（一）具备《中华人民共和国政府采购法》第二十二条第一款规定的条件：</w:t>
      </w:r>
    </w:p>
    <w:p w14:paraId="23CBE6A4">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1.具有独立承担民事责任的能力；</w:t>
      </w:r>
    </w:p>
    <w:p w14:paraId="580C77C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2.具有良好的商业信誉和健全的财务会计制度；</w:t>
      </w:r>
    </w:p>
    <w:p w14:paraId="7E165F3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3.具有履行合同所必需的设备和专业技术能力；</w:t>
      </w:r>
    </w:p>
    <w:p w14:paraId="0956C2A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4.有依法缴纳税收和社会保障资金的良好记录；</w:t>
      </w:r>
    </w:p>
    <w:p w14:paraId="1E8A47F6">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5.参加政府采购活动前三年内，在经营活动中没有重大违法记录；</w:t>
      </w:r>
    </w:p>
    <w:p w14:paraId="004121D1">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6.具有法律、行政法规规定的其他条件。</w:t>
      </w:r>
    </w:p>
    <w:p w14:paraId="0421CA4B">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（二）未被信用中国（www.creditchina.gov.cn)、中国政府采购网（www.ccgp.gov.cn）列入失信被执行人、重大税收违法失信主体、政府采购严重违法失信行为记录名单。</w:t>
      </w:r>
    </w:p>
    <w:p w14:paraId="556F1906">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（三）不存在以下情况：</w:t>
      </w:r>
    </w:p>
    <w:p w14:paraId="74C8CA7B">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1.单位负责人为同一人或者存在直接控股、管理关系的不同供应商参加同一合同项下的政府采购活动的；</w:t>
      </w:r>
    </w:p>
    <w:p w14:paraId="79F2E5A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2.为采购项目提供整体设计、规范编制或者项目管理、监理、检测等服务后再参加该采购项目的其他采购活动的。</w:t>
      </w:r>
    </w:p>
    <w:p w14:paraId="7C53C074">
      <w:pPr>
        <w:pStyle w:val="13"/>
        <w:ind w:left="479" w:leftChars="228" w:firstLine="0" w:firstLineChars="0"/>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（四）如我方中标，我方承诺：</w:t>
      </w:r>
    </w:p>
    <w:p w14:paraId="5EFA0B09">
      <w:pPr>
        <w:pStyle w:val="13"/>
        <w:ind w:left="0" w:leftChars="0" w:firstLine="480" w:firstLineChars="200"/>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1.在签订合同前向采购人提交在投标（响应）中涉及客观分评审内容的检测报告、</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认证证书等资料；</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br w:type="textWrapping"/>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 xml:space="preserve">   2.除采购文件中要求在投标文件中提供的认证证书外，采购人拟采购的产品按政策须进行国家强制认证的产品，在项目验收时提供该产品相关认证证书复印件或证明材料。</w:t>
      </w:r>
    </w:p>
    <w:p w14:paraId="73506AFF">
      <w:pPr>
        <w:pStyle w:val="13"/>
        <w:ind w:left="0" w:leftChars="0"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auto"/>
          <w:sz w:val="24"/>
          <w:szCs w:val="24"/>
        </w:rPr>
        <w:t>（五）本承诺函条款不得变动，如供应商擅自变动的，作无效供应商处理。</w:t>
      </w:r>
    </w:p>
    <w:p w14:paraId="051FE2FC">
      <w:pPr>
        <w:spacing w:line="540" w:lineRule="exact"/>
        <w:ind w:firstLine="5520" w:firstLineChars="23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3F3F4E72">
      <w:pPr>
        <w:spacing w:line="540" w:lineRule="exact"/>
        <w:ind w:firstLine="5640" w:firstLineChars="235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日期：年月日</w:t>
      </w:r>
    </w:p>
    <w:p w14:paraId="1121D6D7">
      <w:pPr>
        <w:widowControl/>
        <w:spacing w:line="360" w:lineRule="auto"/>
        <w:jc w:val="both"/>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0F6D1D3D">
      <w:pPr>
        <w:widowControl/>
        <w:spacing w:line="560" w:lineRule="exact"/>
        <w:ind w:firstLine="482" w:firstLineChars="200"/>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二、联合协议（如果有）</w:t>
      </w:r>
    </w:p>
    <w:p w14:paraId="658D8AC3">
      <w:pPr>
        <w:widowControl/>
        <w:spacing w:line="560" w:lineRule="exact"/>
        <w:ind w:firstLine="482" w:firstLineChars="200"/>
        <w:jc w:val="left"/>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[以联合体形式投标的，提供联合协议（附件6）；本项目不接受联合体投标或者投标人不以联合体形式投标的，则不需要提供）]</w:t>
      </w:r>
    </w:p>
    <w:p w14:paraId="03DF3190">
      <w:pPr>
        <w:snapToGrid w:val="0"/>
        <w:spacing w:line="560" w:lineRule="exact"/>
        <w:ind w:right="480"/>
        <w:jc w:val="center"/>
        <w:rPr>
          <w:rFonts w:hint="eastAsia" w:ascii="仿宋_GB2312" w:hAnsi="仿宋_GB2312" w:eastAsia="仿宋_GB2312" w:cs="仿宋_GB2312"/>
          <w:b/>
          <w:color w:val="000000" w:themeColor="text1"/>
          <w:kern w:val="0"/>
          <w:sz w:val="24"/>
          <w:szCs w:val="24"/>
          <w:highlight w:val="none"/>
          <w14:textFill>
            <w14:solidFill>
              <w14:schemeClr w14:val="tx1"/>
            </w14:solidFill>
          </w14:textFill>
        </w:rPr>
      </w:pPr>
    </w:p>
    <w:p w14:paraId="4B8D5BA0">
      <w:pPr>
        <w:pStyle w:val="11"/>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043E842">
      <w:pPr>
        <w:snapToGrid w:val="0"/>
        <w:spacing w:line="560" w:lineRule="exact"/>
        <w:ind w:right="480"/>
        <w:jc w:val="center"/>
        <w:rPr>
          <w:rFonts w:hint="eastAsia" w:ascii="仿宋_GB2312" w:hAnsi="仿宋_GB2312" w:eastAsia="仿宋_GB2312" w:cs="仿宋_GB2312"/>
          <w:b/>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szCs w:val="24"/>
          <w:highlight w:val="none"/>
          <w14:textFill>
            <w14:solidFill>
              <w14:schemeClr w14:val="tx1"/>
            </w14:solidFill>
          </w14:textFill>
        </w:rPr>
        <w:t>三、落实政府采购政策需满足的资格要求</w:t>
      </w:r>
      <w:r>
        <w:rPr>
          <w:rFonts w:hint="eastAsia" w:ascii="仿宋_GB2312" w:hAnsi="仿宋_GB2312" w:eastAsia="仿宋_GB2312" w:cs="仿宋_GB2312"/>
          <w:b/>
          <w:color w:val="000000" w:themeColor="text1"/>
          <w:sz w:val="24"/>
          <w:szCs w:val="24"/>
          <w:highlight w:val="none"/>
          <w14:textFill>
            <w14:solidFill>
              <w14:schemeClr w14:val="tx1"/>
            </w14:solidFill>
          </w14:textFill>
        </w:rPr>
        <w:t>（如果有）</w:t>
      </w:r>
    </w:p>
    <w:p w14:paraId="08C65CC8">
      <w:pPr>
        <w:spacing w:line="56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（根据招标公告落实政府采购政策需满足的资格要求选择提供相应的材料；未要求的，无需提供）</w:t>
      </w:r>
    </w:p>
    <w:p w14:paraId="0C057964">
      <w:pPr>
        <w:snapToGrid w:val="0"/>
        <w:spacing w:before="50" w:after="50" w:line="560" w:lineRule="exact"/>
        <w:ind w:firstLine="472" w:firstLineChars="196"/>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A</w:t>
      </w:r>
      <w:r>
        <w:rPr>
          <w:rFonts w:hint="eastAsia" w:ascii="仿宋_GB2312" w:hAnsi="仿宋_GB2312" w:eastAsia="仿宋_GB2312" w:cs="仿宋_GB2312"/>
          <w:color w:val="000000" w:themeColor="text1"/>
          <w:sz w:val="24"/>
          <w:szCs w:val="24"/>
          <w:highlight w:val="none"/>
          <w14:textFill>
            <w14:solidFill>
              <w14:schemeClr w14:val="tx1"/>
            </w14:solidFill>
          </w14:textFill>
        </w:rPr>
        <w:t>.专门面向中小企业，服务全部由符合政策要求的中小企业（或小微企业）承接的，提供相应的中小企业声明函（附件5）。</w:t>
      </w:r>
    </w:p>
    <w:p w14:paraId="5A8844AB">
      <w:pPr>
        <w:widowControl/>
        <w:spacing w:line="560" w:lineRule="exact"/>
        <w:ind w:firstLine="472" w:firstLineChars="196"/>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B.</w:t>
      </w:r>
      <w:r>
        <w:rPr>
          <w:rFonts w:hint="eastAsia" w:ascii="仿宋_GB2312" w:hAnsi="仿宋_GB2312" w:eastAsia="仿宋_GB2312" w:cs="仿宋_GB2312"/>
          <w:color w:val="000000" w:themeColor="text1"/>
          <w:sz w:val="24"/>
          <w:szCs w:val="24"/>
          <w:highlight w:val="none"/>
          <w14:textFill>
            <w14:solidFill>
              <w14:schemeClr w14:val="tx1"/>
            </w14:solidFill>
          </w14:textFill>
        </w:rPr>
        <w:t>要求以联合体形式参加的，提供联合协议（附件6）和中小企业声明函（附件5），联合协议中中小企业合同金额应当达到招标公告载明的比例；如果供应商本身提供所有标的均由中小企业承接的，</w:t>
      </w:r>
      <w:r>
        <w:rPr>
          <w:rFonts w:hint="eastAsia" w:ascii="仿宋_GB2312" w:hAnsi="仿宋_GB2312" w:eastAsia="仿宋_GB2312" w:cs="仿宋_GB2312"/>
          <w:color w:val="000000" w:themeColor="text1"/>
          <w:spacing w:val="8"/>
          <w:kern w:val="0"/>
          <w:sz w:val="24"/>
          <w:szCs w:val="24"/>
          <w:highlight w:val="none"/>
          <w14:textFill>
            <w14:solidFill>
              <w14:schemeClr w14:val="tx1"/>
            </w14:solidFill>
          </w14:textFill>
        </w:rPr>
        <w:t>并相应达到了前述比例要求，</w:t>
      </w:r>
      <w:r>
        <w:rPr>
          <w:rFonts w:hint="eastAsia" w:ascii="仿宋_GB2312" w:hAnsi="仿宋_GB2312" w:eastAsia="仿宋_GB2312" w:cs="仿宋_GB2312"/>
          <w:color w:val="000000" w:themeColor="text1"/>
          <w:sz w:val="24"/>
          <w:szCs w:val="24"/>
          <w:highlight w:val="none"/>
          <w14:textFill>
            <w14:solidFill>
              <w14:schemeClr w14:val="tx1"/>
            </w14:solidFill>
          </w14:textFill>
        </w:rPr>
        <w:t>视同符合了资格条件，无需再与其他中小企业组成联合体参加政府采购活动，无需提供联合协议。</w:t>
      </w:r>
    </w:p>
    <w:p w14:paraId="5404C0C1">
      <w:pPr>
        <w:snapToGrid w:val="0"/>
        <w:spacing w:before="50" w:after="50" w:line="56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C.</w:t>
      </w:r>
      <w:r>
        <w:rPr>
          <w:rFonts w:hint="eastAsia" w:ascii="仿宋_GB2312" w:hAnsi="仿宋_GB2312" w:eastAsia="仿宋_GB2312" w:cs="仿宋_GB2312"/>
          <w:color w:val="000000" w:themeColor="text1"/>
          <w:sz w:val="24"/>
          <w:szCs w:val="24"/>
          <w:highlight w:val="none"/>
          <w14:textFill>
            <w14:solidFill>
              <w14:schemeClr w14:val="tx1"/>
            </w14:solidFill>
          </w14:textFill>
        </w:rPr>
        <w:t>要求合同分包的，提供分包意向协议（附件7）和中小企业声明函（附件5），分包意向协议中中小企业合同金额应当达到招标公告载明的比例；如果供应商本身提供所有标的均由中小企业承接的，</w:t>
      </w:r>
      <w:r>
        <w:rPr>
          <w:rFonts w:hint="eastAsia" w:ascii="仿宋_GB2312" w:hAnsi="仿宋_GB2312" w:eastAsia="仿宋_GB2312" w:cs="仿宋_GB2312"/>
          <w:color w:val="000000" w:themeColor="text1"/>
          <w:spacing w:val="8"/>
          <w:kern w:val="0"/>
          <w:sz w:val="24"/>
          <w:szCs w:val="24"/>
          <w:highlight w:val="none"/>
          <w14:textFill>
            <w14:solidFill>
              <w14:schemeClr w14:val="tx1"/>
            </w14:solidFill>
          </w14:textFill>
        </w:rPr>
        <w:t>并相应达到了前述比例要求，</w:t>
      </w:r>
      <w:r>
        <w:rPr>
          <w:rFonts w:hint="eastAsia" w:ascii="仿宋_GB2312" w:hAnsi="仿宋_GB2312" w:eastAsia="仿宋_GB2312" w:cs="仿宋_GB2312"/>
          <w:color w:val="000000" w:themeColor="text1"/>
          <w:sz w:val="24"/>
          <w:szCs w:val="24"/>
          <w:highlight w:val="none"/>
          <w14:textFill>
            <w14:solidFill>
              <w14:schemeClr w14:val="tx1"/>
            </w14:solidFill>
          </w14:textFill>
        </w:rPr>
        <w:t>视同符合了资格条件，无需再向中小企业分包，无需提供分包意向协议。</w:t>
      </w:r>
    </w:p>
    <w:p w14:paraId="1A04A4EF">
      <w:pPr>
        <w:widowControl/>
        <w:spacing w:line="560" w:lineRule="exact"/>
        <w:ind w:left="150"/>
        <w:jc w:val="center"/>
        <w:rPr>
          <w:rFonts w:hint="eastAsia" w:ascii="仿宋_GB2312" w:hAnsi="仿宋_GB2312" w:eastAsia="仿宋_GB2312" w:cs="仿宋_GB2312"/>
          <w:b/>
          <w:color w:val="000000" w:themeColor="text1"/>
          <w:kern w:val="0"/>
          <w:sz w:val="24"/>
          <w:szCs w:val="24"/>
          <w:highlight w:val="none"/>
          <w14:textFill>
            <w14:solidFill>
              <w14:schemeClr w14:val="tx1"/>
            </w14:solidFill>
          </w14:textFill>
        </w:rPr>
      </w:pPr>
    </w:p>
    <w:p w14:paraId="364694AC">
      <w:pPr>
        <w:widowControl/>
        <w:spacing w:line="560" w:lineRule="exact"/>
        <w:ind w:firstLine="482" w:firstLineChars="200"/>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szCs w:val="24"/>
          <w:highlight w:val="none"/>
          <w14:textFill>
            <w14:solidFill>
              <w14:schemeClr w14:val="tx1"/>
            </w14:solidFill>
          </w14:textFill>
        </w:rPr>
        <w:t>四、本项目的特定资格要求</w:t>
      </w:r>
      <w:r>
        <w:rPr>
          <w:rFonts w:hint="eastAsia" w:ascii="仿宋_GB2312" w:hAnsi="仿宋_GB2312" w:eastAsia="仿宋_GB2312" w:cs="仿宋_GB2312"/>
          <w:b/>
          <w:color w:val="000000" w:themeColor="text1"/>
          <w:sz w:val="24"/>
          <w:szCs w:val="24"/>
          <w:highlight w:val="none"/>
          <w14:textFill>
            <w14:solidFill>
              <w14:schemeClr w14:val="tx1"/>
            </w14:solidFill>
          </w14:textFill>
        </w:rPr>
        <w:t>（如果有）</w:t>
      </w:r>
    </w:p>
    <w:p w14:paraId="47BBA871">
      <w:pPr>
        <w:spacing w:line="560" w:lineRule="exact"/>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（根据招标公告本项目的特定资格要求提供相应的材料；未要求的，无需提供）</w:t>
      </w:r>
    </w:p>
    <w:p w14:paraId="56824A11">
      <w:pPr>
        <w:spacing w:line="56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71800CF6">
      <w:pPr>
        <w:pStyle w:val="13"/>
        <w:ind w:left="0" w:leftChars="0" w:firstLine="0" w:firstLineChars="0"/>
        <w:rPr>
          <w:rFonts w:hint="eastAsia" w:ascii="仿宋_GB2312" w:hAnsi="仿宋_GB2312" w:eastAsia="仿宋_GB2312" w:cs="仿宋_GB2312"/>
          <w:color w:val="000000" w:themeColor="text1"/>
          <w:highlight w:val="none"/>
          <w14:textFill>
            <w14:solidFill>
              <w14:schemeClr w14:val="tx1"/>
            </w14:solidFill>
          </w14:textFill>
        </w:rPr>
      </w:pPr>
    </w:p>
    <w:p w14:paraId="642C8675">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3A80A46">
      <w:pPr>
        <w:spacing w:line="56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商务技术文件部分</w:t>
      </w:r>
    </w:p>
    <w:p w14:paraId="59D3BC3A">
      <w:pPr>
        <w:spacing w:line="56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5526DA4B">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目录</w:t>
      </w:r>
    </w:p>
    <w:p w14:paraId="32BFAAEF">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投标函…………………………………………………………………………（页码）</w:t>
      </w:r>
    </w:p>
    <w:p w14:paraId="1D9E4F76">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联合协议（如果有）…………………………………………………………（页码）</w:t>
      </w:r>
    </w:p>
    <w:p w14:paraId="623C7546">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分包意向协议（如果有）……………………………………………………（页码）</w:t>
      </w:r>
    </w:p>
    <w:p w14:paraId="357CB944">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符合性审查资料………………………………………………………………（页码）</w:t>
      </w:r>
    </w:p>
    <w:p w14:paraId="1867BCD0">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拟投入的项目班子格式（如果有）…………………………………………（页码）</w:t>
      </w:r>
    </w:p>
    <w:p w14:paraId="4AB34CDD">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评标标准相应的商务技术资料………………………………………………（页码）</w:t>
      </w:r>
    </w:p>
    <w:p w14:paraId="2EC8BD3A">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投标标的清单………………………………………………………………（页码）</w:t>
      </w:r>
    </w:p>
    <w:p w14:paraId="0148CE71">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商务技术偏离表……………………………………………………………（页码）</w:t>
      </w:r>
    </w:p>
    <w:p w14:paraId="34DB1583">
      <w:pPr>
        <w:pStyle w:val="61"/>
        <w:numPr>
          <w:ilvl w:val="0"/>
          <w:numId w:val="14"/>
        </w:numPr>
        <w:spacing w:line="540" w:lineRule="exact"/>
        <w:ind w:firstLineChars="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政府采购供应商廉洁自律承诺书……………………………………………（页码）</w:t>
      </w:r>
    </w:p>
    <w:p w14:paraId="2CFE708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2EE546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F7D3E39">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18DC0EC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60B90C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C61526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ABEB015">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1350A9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34962A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EA7F01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87F5C3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B49176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BFCD45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51640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E6611C7">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一、投标函</w:t>
      </w:r>
    </w:p>
    <w:p w14:paraId="35A5220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3695DD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（采购人）、（采购代理机构）：</w:t>
      </w:r>
    </w:p>
    <w:p w14:paraId="40EDB594">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我方参加你方组织的（项目名称）【招标编号：（采购编号）】招标的有关活动，并对此项目进行投标。为此：</w:t>
      </w:r>
    </w:p>
    <w:p w14:paraId="22F45367">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我方承诺投标有效期从提交投标文件的截止之日起</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天（不少于90天），本投标文件在投标有效期满之前均具有约束力。</w:t>
      </w:r>
    </w:p>
    <w:p w14:paraId="321020B1">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1.我方的投标文件包括以下内容：</w:t>
      </w:r>
    </w:p>
    <w:p w14:paraId="336FFFD1">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2.1资格文件：</w:t>
      </w:r>
    </w:p>
    <w:p w14:paraId="245A2113">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2.1.1承诺函；</w:t>
      </w:r>
    </w:p>
    <w:p w14:paraId="09B23A7B">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2.1.2联合协议（如果有)；</w:t>
      </w:r>
    </w:p>
    <w:p w14:paraId="3BD9E5B6">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2.1.3落实政府采购政策需满足的资格要求（如果有)；</w:t>
      </w:r>
    </w:p>
    <w:p w14:paraId="2D8544FD">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2.2.4本项目的特定资格要求（如果有）。</w:t>
      </w:r>
    </w:p>
    <w:p w14:paraId="2321B8A9">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 商务技术文件：</w:t>
      </w:r>
    </w:p>
    <w:p w14:paraId="22D58BD2">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2.2.1投标函； </w:t>
      </w:r>
    </w:p>
    <w:p w14:paraId="229604FF">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联合协议（如果有）；</w:t>
      </w:r>
    </w:p>
    <w:p w14:paraId="3AA9C602">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分包意向协议（如果有）；</w:t>
      </w:r>
    </w:p>
    <w:p w14:paraId="3EF0F980">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符合性审查资料；</w:t>
      </w:r>
    </w:p>
    <w:p w14:paraId="1349E683">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拟投入的项目班子格式；</w:t>
      </w:r>
    </w:p>
    <w:p w14:paraId="52775F87">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highlight w:val="none"/>
          <w14:textFill>
            <w14:solidFill>
              <w14:schemeClr w14:val="tx1"/>
            </w14:solidFill>
          </w14:textFill>
        </w:rPr>
        <w:t>评标标准相应的商务技术资料；</w:t>
      </w:r>
    </w:p>
    <w:p w14:paraId="287F4EAE">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投标标的清单（如果有）；</w:t>
      </w:r>
    </w:p>
    <w:p w14:paraId="2DA98244">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商务技术偏离表；</w:t>
      </w:r>
    </w:p>
    <w:p w14:paraId="15E67651">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政府采购供应商廉洁自律承诺书。</w:t>
      </w:r>
    </w:p>
    <w:p w14:paraId="714EE969">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2.3报价文件</w:t>
      </w:r>
    </w:p>
    <w:p w14:paraId="13B4F545">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2.3.1开标一览表（报价表）；</w:t>
      </w:r>
    </w:p>
    <w:p w14:paraId="582C190E">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2.3.2中小企业声明函（如果有）；</w:t>
      </w:r>
    </w:p>
    <w:p w14:paraId="34C30A90">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2.3.3关于符合本国产品标准的声明函（如果有）；</w:t>
      </w:r>
    </w:p>
    <w:p w14:paraId="3166D1F4">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2.3.4详细阐述关于不影响产品质量或者诚信履约的具体原因（如果报价低于项目预算50%的）。</w:t>
      </w:r>
    </w:p>
    <w:p w14:paraId="28FB854C">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3.我方承诺除商务技术偏离表（如果有）列出的偏离外，我方响应招标文件的全部要求。</w:t>
      </w:r>
    </w:p>
    <w:p w14:paraId="70352C3B">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4.如我方中标，我方承诺：</w:t>
      </w:r>
    </w:p>
    <w:p w14:paraId="1CDDD235">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4.1在收到中标通知书后，在中标通知书规定的期限内与你方签订合同；</w:t>
      </w:r>
    </w:p>
    <w:p w14:paraId="734EDEBC">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4.2在签订合同时不向你方提出附加条件；</w:t>
      </w:r>
    </w:p>
    <w:p w14:paraId="4FB188DC">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4.3按照招标文件要求提交履约保证金；</w:t>
      </w:r>
    </w:p>
    <w:p w14:paraId="6FDE5A30">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4.4在合同约定的期限内完成合同规定的全部义务。</w:t>
      </w:r>
    </w:p>
    <w:p w14:paraId="39C90B0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5.其他补充说明:。</w:t>
      </w:r>
    </w:p>
    <w:p w14:paraId="6E885B3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06794B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13613F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86FBF8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77674C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E13E480">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DCD4B38">
      <w:pPr>
        <w:spacing w:line="540" w:lineRule="exact"/>
        <w:ind w:firstLine="3840" w:firstLineChars="16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6409ECB9">
      <w:pPr>
        <w:spacing w:line="540" w:lineRule="exact"/>
        <w:ind w:firstLine="3840" w:firstLineChars="16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日期：年月日</w:t>
      </w:r>
    </w:p>
    <w:p w14:paraId="22A4364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E796BA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D9F949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BBD8FD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3A9513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C84530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0FC8466">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7A6672FB">
      <w:pPr>
        <w:widowControl/>
        <w:spacing w:line="560" w:lineRule="exact"/>
        <w:jc w:val="cente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pPr>
    </w:p>
    <w:p w14:paraId="13B35BA1">
      <w:pPr>
        <w:widowControl/>
        <w:spacing w:line="560" w:lineRule="exact"/>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t>二</w:t>
      </w:r>
      <w:r>
        <w:rPr>
          <w:rFonts w:hint="eastAsia" w:ascii="仿宋_GB2312" w:hAnsi="仿宋_GB2312" w:eastAsia="仿宋_GB2312" w:cs="仿宋_GB2312"/>
          <w:b/>
          <w:color w:val="000000" w:themeColor="text1"/>
          <w:sz w:val="28"/>
          <w:szCs w:val="28"/>
          <w:highlight w:val="none"/>
          <w14:textFill>
            <w14:solidFill>
              <w14:schemeClr w14:val="tx1"/>
            </w14:solidFill>
          </w14:textFill>
        </w:rPr>
        <w:t>、联合协议（如果有）</w:t>
      </w:r>
    </w:p>
    <w:p w14:paraId="5642659A">
      <w:pPr>
        <w:widowControl/>
        <w:spacing w:line="560" w:lineRule="exact"/>
        <w:ind w:firstLine="562" w:firstLineChars="200"/>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[以联合体形式投标的，提供联合协议（附件6）；本项目不接受联合体投标或者投标人不以联合体形式投标的，则不需要提供）]</w:t>
      </w:r>
    </w:p>
    <w:p w14:paraId="7D3CA1B1">
      <w:pPr>
        <w:pStyle w:val="23"/>
        <w:rPr>
          <w:rFonts w:hint="eastAsia" w:ascii="仿宋_GB2312" w:hAnsi="仿宋_GB2312" w:eastAsia="仿宋_GB2312" w:cs="仿宋_GB2312"/>
          <w:color w:val="000000" w:themeColor="text1"/>
          <w:highlight w:val="none"/>
          <w14:textFill>
            <w14:solidFill>
              <w14:schemeClr w14:val="tx1"/>
            </w14:solidFill>
          </w14:textFill>
        </w:rPr>
      </w:pPr>
    </w:p>
    <w:p w14:paraId="6FF024BC">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4E3412EE">
      <w:pPr>
        <w:snapToGrid w:val="0"/>
        <w:spacing w:line="360" w:lineRule="auto"/>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lang w:eastAsia="zh-CN"/>
          <w14:textFill>
            <w14:solidFill>
              <w14:schemeClr w14:val="tx1"/>
            </w14:solidFill>
          </w14:textFill>
        </w:rPr>
        <w:t>三</w:t>
      </w: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、分包意向协议（如果有）</w:t>
      </w:r>
    </w:p>
    <w:p w14:paraId="571766CB">
      <w:pPr>
        <w:widowControl/>
        <w:spacing w:line="360" w:lineRule="auto"/>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b/>
          <w:color w:val="000000" w:themeColor="text1"/>
          <w:sz w:val="28"/>
          <w:szCs w:val="28"/>
          <w:highlight w:val="none"/>
          <w14:textFill>
            <w14:solidFill>
              <w14:schemeClr w14:val="tx1"/>
            </w14:solidFill>
          </w14:textFill>
        </w:rPr>
        <w:t>中标后以分包方式履行合同的，提供分包意向协议(附件7)；采购人不同意分包或者投标人中标后不以分包方式履行合同的，则不需要提供。</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14:paraId="199E8482">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3F361C9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2FB2DE4">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t>四</w:t>
      </w:r>
      <w:r>
        <w:rPr>
          <w:rFonts w:hint="eastAsia" w:ascii="仿宋_GB2312" w:hAnsi="仿宋_GB2312" w:eastAsia="仿宋_GB2312" w:cs="仿宋_GB2312"/>
          <w:b/>
          <w:color w:val="000000" w:themeColor="text1"/>
          <w:sz w:val="28"/>
          <w:szCs w:val="28"/>
          <w:highlight w:val="none"/>
          <w14:textFill>
            <w14:solidFill>
              <w14:schemeClr w14:val="tx1"/>
            </w14:solidFill>
          </w14:textFill>
        </w:rPr>
        <w:t>、符合性审查资料</w:t>
      </w:r>
    </w:p>
    <w:tbl>
      <w:tblPr>
        <w:tblStyle w:val="2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3435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7EC1CCEA">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4991" w:type="dxa"/>
            <w:noWrap w:val="0"/>
            <w:vAlign w:val="center"/>
          </w:tcPr>
          <w:p w14:paraId="52685C13">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实质性要求</w:t>
            </w:r>
          </w:p>
        </w:tc>
        <w:tc>
          <w:tcPr>
            <w:tcW w:w="2551" w:type="dxa"/>
            <w:noWrap w:val="0"/>
            <w:vAlign w:val="center"/>
          </w:tcPr>
          <w:p w14:paraId="015B77ED">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需要提供的符合性审查资料</w:t>
            </w:r>
          </w:p>
        </w:tc>
        <w:tc>
          <w:tcPr>
            <w:tcW w:w="1418" w:type="dxa"/>
            <w:noWrap w:val="0"/>
            <w:vAlign w:val="center"/>
          </w:tcPr>
          <w:p w14:paraId="6F681415">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投标文件中的页码位置</w:t>
            </w:r>
          </w:p>
        </w:tc>
      </w:tr>
      <w:tr w14:paraId="1D4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1AA16595">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p>
        </w:tc>
        <w:tc>
          <w:tcPr>
            <w:tcW w:w="4991" w:type="dxa"/>
            <w:noWrap w:val="0"/>
            <w:vAlign w:val="center"/>
          </w:tcPr>
          <w:p w14:paraId="45F6D5AA">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投标文件按照招标文件要求签署、盖章。</w:t>
            </w:r>
          </w:p>
        </w:tc>
        <w:tc>
          <w:tcPr>
            <w:tcW w:w="2551" w:type="dxa"/>
            <w:noWrap w:val="0"/>
            <w:vAlign w:val="center"/>
          </w:tcPr>
          <w:p w14:paraId="02D43F15">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需要使用电子签名或者签字盖章的投标文件的组成部分</w:t>
            </w:r>
          </w:p>
        </w:tc>
        <w:tc>
          <w:tcPr>
            <w:tcW w:w="1418" w:type="dxa"/>
            <w:noWrap w:val="0"/>
            <w:vAlign w:val="center"/>
          </w:tcPr>
          <w:p w14:paraId="1E337DAA">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见投标文件</w:t>
            </w:r>
          </w:p>
          <w:p w14:paraId="089DC1B5">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第页</w:t>
            </w:r>
          </w:p>
        </w:tc>
      </w:tr>
      <w:tr w14:paraId="06F5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418141C7">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p>
        </w:tc>
        <w:tc>
          <w:tcPr>
            <w:tcW w:w="4991" w:type="dxa"/>
            <w:noWrap w:val="0"/>
            <w:vAlign w:val="center"/>
          </w:tcPr>
          <w:p w14:paraId="0DBD1982">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采购人拟采购的产品属于政府强制采购的节能产品品目清单范围的，投标人按招标文件要求提供国家确定的认证机构出具的、处于有效期之内的节能产品认证证书。</w:t>
            </w:r>
          </w:p>
        </w:tc>
        <w:tc>
          <w:tcPr>
            <w:tcW w:w="2551" w:type="dxa"/>
            <w:noWrap w:val="0"/>
            <w:vAlign w:val="center"/>
          </w:tcPr>
          <w:p w14:paraId="36BEA72E">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节能产品认证证书（本项目拟采购的产品不属于政府强制采购的节能产品品目清单范围的，无需提供）</w:t>
            </w:r>
          </w:p>
        </w:tc>
        <w:tc>
          <w:tcPr>
            <w:tcW w:w="1418" w:type="dxa"/>
            <w:noWrap w:val="0"/>
            <w:vAlign w:val="center"/>
          </w:tcPr>
          <w:p w14:paraId="1AAD8992">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见投标文件</w:t>
            </w:r>
          </w:p>
          <w:p w14:paraId="4A10A2FF">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第页</w:t>
            </w:r>
          </w:p>
        </w:tc>
      </w:tr>
      <w:tr w14:paraId="7C2D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00BC9C50">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p>
        </w:tc>
        <w:tc>
          <w:tcPr>
            <w:tcW w:w="4991" w:type="dxa"/>
            <w:noWrap w:val="0"/>
            <w:vAlign w:val="center"/>
          </w:tcPr>
          <w:p w14:paraId="34D5FC40">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投标文件中承诺的投标有效期不少于招标文件中载明的投标有效期。</w:t>
            </w:r>
          </w:p>
        </w:tc>
        <w:tc>
          <w:tcPr>
            <w:tcW w:w="2551" w:type="dxa"/>
            <w:noWrap w:val="0"/>
            <w:vAlign w:val="center"/>
          </w:tcPr>
          <w:p w14:paraId="264F0D4B">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投标函</w:t>
            </w:r>
          </w:p>
        </w:tc>
        <w:tc>
          <w:tcPr>
            <w:tcW w:w="1418" w:type="dxa"/>
            <w:noWrap w:val="0"/>
            <w:vAlign w:val="center"/>
          </w:tcPr>
          <w:p w14:paraId="65F76DBD">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见投标文件第页</w:t>
            </w:r>
          </w:p>
        </w:tc>
      </w:tr>
      <w:tr w14:paraId="12C4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686CC28">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p>
        </w:tc>
        <w:tc>
          <w:tcPr>
            <w:tcW w:w="4991" w:type="dxa"/>
            <w:noWrap w:val="0"/>
            <w:vAlign w:val="center"/>
          </w:tcPr>
          <w:p w14:paraId="72772F84">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投标文件满足招标文件的其它实质性要求。</w:t>
            </w:r>
          </w:p>
        </w:tc>
        <w:tc>
          <w:tcPr>
            <w:tcW w:w="2551" w:type="dxa"/>
            <w:noWrap w:val="0"/>
            <w:vAlign w:val="center"/>
          </w:tcPr>
          <w:p w14:paraId="6C634645">
            <w:p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招标文件其它实质性要求相应的材料（“▲”系指实质性要求条款，招标文件无其它实质性要求的，无需提供）</w:t>
            </w:r>
          </w:p>
        </w:tc>
        <w:tc>
          <w:tcPr>
            <w:tcW w:w="1418" w:type="dxa"/>
            <w:noWrap w:val="0"/>
            <w:vAlign w:val="center"/>
          </w:tcPr>
          <w:p w14:paraId="0011DB5A">
            <w:pPr>
              <w:spacing w:line="40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见投标文件第页</w:t>
            </w:r>
          </w:p>
        </w:tc>
      </w:tr>
    </w:tbl>
    <w:p w14:paraId="7705AC4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E63642F">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t>五</w:t>
      </w:r>
      <w:r>
        <w:rPr>
          <w:rFonts w:hint="eastAsia" w:ascii="仿宋_GB2312" w:hAnsi="仿宋_GB2312" w:eastAsia="仿宋_GB2312" w:cs="仿宋_GB2312"/>
          <w:b/>
          <w:color w:val="000000" w:themeColor="text1"/>
          <w:sz w:val="28"/>
          <w:szCs w:val="28"/>
          <w:highlight w:val="none"/>
          <w14:textFill>
            <w14:solidFill>
              <w14:schemeClr w14:val="tx1"/>
            </w14:solidFill>
          </w14:textFill>
        </w:rPr>
        <w:t>、拟投入的项目班子格式（如果有）</w:t>
      </w:r>
    </w:p>
    <w:p w14:paraId="522CA9A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（格式仅供参考）</w:t>
      </w:r>
    </w:p>
    <w:p w14:paraId="017CB1A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项目负责人简历表</w:t>
      </w:r>
    </w:p>
    <w:tbl>
      <w:tblPr>
        <w:tblStyle w:val="28"/>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709"/>
        <w:gridCol w:w="456"/>
        <w:gridCol w:w="1155"/>
        <w:gridCol w:w="686"/>
        <w:gridCol w:w="469"/>
        <w:gridCol w:w="1232"/>
        <w:gridCol w:w="1513"/>
        <w:gridCol w:w="1800"/>
      </w:tblGrid>
      <w:tr w14:paraId="27C1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noWrap w:val="0"/>
            <w:vAlign w:val="center"/>
          </w:tcPr>
          <w:p w14:paraId="15D3B7E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姓名</w:t>
            </w:r>
          </w:p>
        </w:tc>
        <w:tc>
          <w:tcPr>
            <w:tcW w:w="1165" w:type="dxa"/>
            <w:gridSpan w:val="2"/>
            <w:noWrap w:val="0"/>
            <w:vAlign w:val="center"/>
          </w:tcPr>
          <w:p w14:paraId="76218B5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55" w:type="dxa"/>
            <w:noWrap w:val="0"/>
            <w:vAlign w:val="center"/>
          </w:tcPr>
          <w:p w14:paraId="17EB82A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年龄</w:t>
            </w:r>
          </w:p>
        </w:tc>
        <w:tc>
          <w:tcPr>
            <w:tcW w:w="1155" w:type="dxa"/>
            <w:gridSpan w:val="2"/>
            <w:noWrap w:val="0"/>
            <w:vAlign w:val="center"/>
          </w:tcPr>
          <w:p w14:paraId="36493A6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745" w:type="dxa"/>
            <w:gridSpan w:val="2"/>
            <w:noWrap w:val="0"/>
            <w:vAlign w:val="center"/>
          </w:tcPr>
          <w:p w14:paraId="3D10892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学历</w:t>
            </w:r>
          </w:p>
        </w:tc>
        <w:tc>
          <w:tcPr>
            <w:tcW w:w="1800" w:type="dxa"/>
            <w:noWrap w:val="0"/>
            <w:vAlign w:val="center"/>
          </w:tcPr>
          <w:p w14:paraId="317F0A0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46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noWrap w:val="0"/>
            <w:vAlign w:val="center"/>
          </w:tcPr>
          <w:p w14:paraId="3AADCBD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职称</w:t>
            </w:r>
          </w:p>
        </w:tc>
        <w:tc>
          <w:tcPr>
            <w:tcW w:w="1165" w:type="dxa"/>
            <w:gridSpan w:val="2"/>
            <w:noWrap w:val="0"/>
            <w:vAlign w:val="center"/>
          </w:tcPr>
          <w:p w14:paraId="43392B2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55" w:type="dxa"/>
            <w:noWrap w:val="0"/>
            <w:vAlign w:val="center"/>
          </w:tcPr>
          <w:p w14:paraId="7610112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职务</w:t>
            </w:r>
          </w:p>
        </w:tc>
        <w:tc>
          <w:tcPr>
            <w:tcW w:w="1155" w:type="dxa"/>
            <w:gridSpan w:val="2"/>
            <w:noWrap w:val="0"/>
            <w:vAlign w:val="center"/>
          </w:tcPr>
          <w:p w14:paraId="739FAEC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745" w:type="dxa"/>
            <w:gridSpan w:val="2"/>
            <w:noWrap w:val="0"/>
            <w:vAlign w:val="center"/>
          </w:tcPr>
          <w:p w14:paraId="3C5D6658">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拟在本项目任职</w:t>
            </w:r>
          </w:p>
        </w:tc>
        <w:tc>
          <w:tcPr>
            <w:tcW w:w="1800" w:type="dxa"/>
            <w:noWrap w:val="0"/>
            <w:vAlign w:val="center"/>
          </w:tcPr>
          <w:p w14:paraId="6460013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3E8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4" w:type="dxa"/>
            <w:noWrap w:val="0"/>
            <w:vAlign w:val="center"/>
          </w:tcPr>
          <w:p w14:paraId="3B459A2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毕业院校</w:t>
            </w:r>
          </w:p>
        </w:tc>
        <w:tc>
          <w:tcPr>
            <w:tcW w:w="8020" w:type="dxa"/>
            <w:gridSpan w:val="8"/>
            <w:noWrap w:val="0"/>
            <w:vAlign w:val="center"/>
          </w:tcPr>
          <w:p w14:paraId="172F8F12">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年毕业于学校专业</w:t>
            </w:r>
          </w:p>
        </w:tc>
      </w:tr>
      <w:tr w14:paraId="35C2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4" w:type="dxa"/>
            <w:gridSpan w:val="9"/>
            <w:noWrap w:val="0"/>
            <w:vAlign w:val="center"/>
          </w:tcPr>
          <w:p w14:paraId="7C6514C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主要工作履历</w:t>
            </w:r>
          </w:p>
        </w:tc>
      </w:tr>
      <w:tr w14:paraId="2EEF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noWrap w:val="0"/>
            <w:vAlign w:val="center"/>
          </w:tcPr>
          <w:p w14:paraId="466B687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时间</w:t>
            </w:r>
          </w:p>
        </w:tc>
        <w:tc>
          <w:tcPr>
            <w:tcW w:w="2297" w:type="dxa"/>
            <w:gridSpan w:val="3"/>
            <w:noWrap w:val="0"/>
            <w:vAlign w:val="center"/>
          </w:tcPr>
          <w:p w14:paraId="6D393E6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参加过类似项目</w:t>
            </w:r>
          </w:p>
        </w:tc>
        <w:tc>
          <w:tcPr>
            <w:tcW w:w="1701" w:type="dxa"/>
            <w:gridSpan w:val="2"/>
            <w:noWrap w:val="0"/>
            <w:vAlign w:val="center"/>
          </w:tcPr>
          <w:p w14:paraId="6574C280">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担任职务</w:t>
            </w:r>
          </w:p>
        </w:tc>
        <w:tc>
          <w:tcPr>
            <w:tcW w:w="3313" w:type="dxa"/>
            <w:gridSpan w:val="2"/>
            <w:noWrap w:val="0"/>
            <w:vAlign w:val="center"/>
          </w:tcPr>
          <w:p w14:paraId="45EC3A1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业主及联系电话</w:t>
            </w:r>
          </w:p>
        </w:tc>
      </w:tr>
      <w:tr w14:paraId="76ED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noWrap w:val="0"/>
            <w:vAlign w:val="center"/>
          </w:tcPr>
          <w:p w14:paraId="05B515D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297" w:type="dxa"/>
            <w:gridSpan w:val="3"/>
            <w:noWrap w:val="0"/>
            <w:vAlign w:val="center"/>
          </w:tcPr>
          <w:p w14:paraId="63D035F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701" w:type="dxa"/>
            <w:gridSpan w:val="2"/>
            <w:noWrap w:val="0"/>
            <w:vAlign w:val="center"/>
          </w:tcPr>
          <w:p w14:paraId="0474A3D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313" w:type="dxa"/>
            <w:gridSpan w:val="2"/>
            <w:noWrap w:val="0"/>
            <w:vAlign w:val="center"/>
          </w:tcPr>
          <w:p w14:paraId="084DE35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C77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gridSpan w:val="2"/>
            <w:noWrap w:val="0"/>
            <w:vAlign w:val="center"/>
          </w:tcPr>
          <w:p w14:paraId="7D9E768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2297" w:type="dxa"/>
            <w:gridSpan w:val="3"/>
            <w:noWrap w:val="0"/>
            <w:vAlign w:val="center"/>
          </w:tcPr>
          <w:p w14:paraId="6129A67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701" w:type="dxa"/>
            <w:gridSpan w:val="2"/>
            <w:noWrap w:val="0"/>
            <w:vAlign w:val="center"/>
          </w:tcPr>
          <w:p w14:paraId="6DB409D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313" w:type="dxa"/>
            <w:gridSpan w:val="2"/>
            <w:noWrap w:val="0"/>
            <w:vAlign w:val="center"/>
          </w:tcPr>
          <w:p w14:paraId="6892D92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2CF8143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附：执业资格证书、职称证书、学历证书等证明材料</w:t>
      </w:r>
    </w:p>
    <w:p w14:paraId="301EEDD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4C8500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项目班子一览表</w:t>
      </w:r>
    </w:p>
    <w:tbl>
      <w:tblPr>
        <w:tblStyle w:val="2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984"/>
        <w:gridCol w:w="1843"/>
        <w:gridCol w:w="2755"/>
      </w:tblGrid>
      <w:tr w14:paraId="56C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noWrap w:val="0"/>
            <w:vAlign w:val="center"/>
          </w:tcPr>
          <w:p w14:paraId="64F33790">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姓名</w:t>
            </w:r>
          </w:p>
        </w:tc>
        <w:tc>
          <w:tcPr>
            <w:tcW w:w="1418" w:type="dxa"/>
            <w:noWrap w:val="0"/>
            <w:vAlign w:val="center"/>
          </w:tcPr>
          <w:p w14:paraId="55218D12">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职务</w:t>
            </w:r>
          </w:p>
        </w:tc>
        <w:tc>
          <w:tcPr>
            <w:tcW w:w="1984" w:type="dxa"/>
            <w:noWrap w:val="0"/>
            <w:vAlign w:val="center"/>
          </w:tcPr>
          <w:p w14:paraId="2745F73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专业技术资格</w:t>
            </w:r>
          </w:p>
        </w:tc>
        <w:tc>
          <w:tcPr>
            <w:tcW w:w="1843" w:type="dxa"/>
            <w:noWrap w:val="0"/>
            <w:vAlign w:val="center"/>
          </w:tcPr>
          <w:p w14:paraId="21573F72">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证书编号</w:t>
            </w:r>
          </w:p>
        </w:tc>
        <w:tc>
          <w:tcPr>
            <w:tcW w:w="2755" w:type="dxa"/>
            <w:noWrap w:val="0"/>
            <w:vAlign w:val="center"/>
          </w:tcPr>
          <w:p w14:paraId="0FD8E83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实施经验说明</w:t>
            </w:r>
          </w:p>
        </w:tc>
      </w:tr>
      <w:tr w14:paraId="0A55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noWrap w:val="0"/>
            <w:vAlign w:val="center"/>
          </w:tcPr>
          <w:p w14:paraId="489D573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418" w:type="dxa"/>
            <w:noWrap w:val="0"/>
            <w:vAlign w:val="center"/>
          </w:tcPr>
          <w:p w14:paraId="0C47591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84" w:type="dxa"/>
            <w:noWrap w:val="0"/>
            <w:vAlign w:val="center"/>
          </w:tcPr>
          <w:p w14:paraId="497C1A7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43" w:type="dxa"/>
            <w:noWrap w:val="0"/>
            <w:vAlign w:val="center"/>
          </w:tcPr>
          <w:p w14:paraId="128574E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755" w:type="dxa"/>
            <w:noWrap w:val="0"/>
            <w:vAlign w:val="center"/>
          </w:tcPr>
          <w:p w14:paraId="059B0A1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02B6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noWrap w:val="0"/>
            <w:vAlign w:val="center"/>
          </w:tcPr>
          <w:p w14:paraId="37AA65B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1418" w:type="dxa"/>
            <w:noWrap w:val="0"/>
            <w:vAlign w:val="center"/>
          </w:tcPr>
          <w:p w14:paraId="69EFE65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984" w:type="dxa"/>
            <w:noWrap w:val="0"/>
            <w:vAlign w:val="center"/>
          </w:tcPr>
          <w:p w14:paraId="234D254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843" w:type="dxa"/>
            <w:noWrap w:val="0"/>
            <w:vAlign w:val="center"/>
          </w:tcPr>
          <w:p w14:paraId="678EC92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755" w:type="dxa"/>
            <w:noWrap w:val="0"/>
            <w:vAlign w:val="center"/>
          </w:tcPr>
          <w:p w14:paraId="2B1C7D1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bl>
    <w:p w14:paraId="4F98174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附：相关人员的专业技术资格证书证明材料</w:t>
      </w:r>
    </w:p>
    <w:p w14:paraId="35A26B1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F2EA3F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0C6568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0CB8E5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58AAE3F">
      <w:pPr>
        <w:spacing w:line="540" w:lineRule="exact"/>
        <w:ind w:firstLine="4440" w:firstLineChars="185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2D81972E">
      <w:pPr>
        <w:spacing w:line="540" w:lineRule="exact"/>
        <w:ind w:firstLine="4440" w:firstLineChars="185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w:t>
      </w:r>
    </w:p>
    <w:p w14:paraId="02B65BB2">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1A7CCCE5">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0D8D6884">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0383432">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15D5E6C">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t>六</w:t>
      </w:r>
      <w:r>
        <w:rPr>
          <w:rFonts w:hint="eastAsia" w:ascii="仿宋_GB2312" w:hAnsi="仿宋_GB2312" w:eastAsia="仿宋_GB2312" w:cs="仿宋_GB2312"/>
          <w:b/>
          <w:color w:val="000000" w:themeColor="text1"/>
          <w:sz w:val="28"/>
          <w:szCs w:val="28"/>
          <w:highlight w:val="none"/>
          <w14:textFill>
            <w14:solidFill>
              <w14:schemeClr w14:val="tx1"/>
            </w14:solidFill>
          </w14:textFill>
        </w:rPr>
        <w:t>、评标标准相应的商务技术资料</w:t>
      </w:r>
    </w:p>
    <w:p w14:paraId="0E5AEA92">
      <w:pPr>
        <w:spacing w:line="540" w:lineRule="exact"/>
        <w:contextualSpacing/>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（按招标文件第四部分评标办法前附表中“投标文件中评标标准相应的商务技术资料目录”提供资料）</w:t>
      </w:r>
    </w:p>
    <w:p w14:paraId="56AD1285">
      <w:pPr>
        <w:ind w:firstLine="2891" w:firstLineChars="900"/>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2A76F6E5">
      <w:pP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071D95A6">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lang w:eastAsia="zh-CN"/>
          <w14:textFill>
            <w14:solidFill>
              <w14:schemeClr w14:val="tx1"/>
            </w14:solidFill>
          </w14:textFill>
        </w:rPr>
        <w:t>七</w:t>
      </w: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、投标标的清单</w:t>
      </w:r>
    </w:p>
    <w:tbl>
      <w:tblPr>
        <w:tblStyle w:val="28"/>
        <w:tblW w:w="91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2126"/>
        <w:gridCol w:w="851"/>
        <w:gridCol w:w="1701"/>
        <w:gridCol w:w="992"/>
        <w:gridCol w:w="1134"/>
        <w:gridCol w:w="851"/>
        <w:gridCol w:w="699"/>
      </w:tblGrid>
      <w:tr w14:paraId="46597E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14:paraId="064DEEE6">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99141AB">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产品名称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AB66721">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品牌</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52463B">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规格型号</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3641B68">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991144B">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数量</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B638A90">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产地</w:t>
            </w:r>
          </w:p>
        </w:tc>
        <w:tc>
          <w:tcPr>
            <w:tcW w:w="699" w:type="dxa"/>
            <w:tcBorders>
              <w:top w:val="single" w:color="auto" w:sz="4" w:space="0"/>
              <w:left w:val="single" w:color="auto" w:sz="4" w:space="0"/>
              <w:bottom w:val="single" w:color="auto" w:sz="4" w:space="0"/>
              <w:right w:val="single" w:color="auto" w:sz="4" w:space="0"/>
            </w:tcBorders>
            <w:noWrap w:val="0"/>
            <w:vAlign w:val="center"/>
          </w:tcPr>
          <w:p w14:paraId="3D3DB0B2">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备注</w:t>
            </w:r>
          </w:p>
        </w:tc>
      </w:tr>
      <w:tr w14:paraId="6B927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14:paraId="791C2E33">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0A91070">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01ADA39">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B004962">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0944DF79">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5896EE7">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795471">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534350C1">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45CEF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14:paraId="5827EE3C">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F49D578">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B37B1E0">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D85F">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D9F2984">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96F2FEF">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851" w:type="dxa"/>
            <w:tcBorders>
              <w:top w:val="single" w:color="auto" w:sz="4" w:space="0"/>
              <w:left w:val="single" w:color="auto" w:sz="4" w:space="0"/>
              <w:bottom w:val="nil"/>
              <w:right w:val="single" w:color="auto" w:sz="4" w:space="0"/>
            </w:tcBorders>
            <w:noWrap w:val="0"/>
            <w:vAlign w:val="center"/>
          </w:tcPr>
          <w:p w14:paraId="17D4B63E">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699" w:type="dxa"/>
            <w:tcBorders>
              <w:top w:val="single" w:color="auto" w:sz="4" w:space="0"/>
              <w:left w:val="single" w:color="auto" w:sz="4" w:space="0"/>
              <w:bottom w:val="nil"/>
              <w:right w:val="single" w:color="auto" w:sz="4" w:space="0"/>
            </w:tcBorders>
            <w:noWrap w:val="0"/>
            <w:vAlign w:val="center"/>
          </w:tcPr>
          <w:p w14:paraId="33BDB366">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p>
        </w:tc>
      </w:tr>
      <w:tr w14:paraId="3B622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14:paraId="20675EC8">
            <w:pPr>
              <w:snapToGrid w:val="0"/>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D5ACE8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368B4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3FD0B51">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ECA7F8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8CEB65F">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DAB2EC">
            <w:pPr>
              <w:jc w:val="center"/>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tc>
        <w:tc>
          <w:tcPr>
            <w:tcW w:w="699" w:type="dxa"/>
            <w:tcBorders>
              <w:top w:val="single" w:color="auto" w:sz="4" w:space="0"/>
              <w:left w:val="single" w:color="auto" w:sz="4" w:space="0"/>
              <w:bottom w:val="single" w:color="auto" w:sz="4" w:space="0"/>
              <w:right w:val="single" w:color="auto" w:sz="4" w:space="0"/>
            </w:tcBorders>
            <w:noWrap w:val="0"/>
            <w:vAlign w:val="center"/>
          </w:tcPr>
          <w:p w14:paraId="6BE0C7A1">
            <w:pPr>
              <w:jc w:val="center"/>
              <w:rPr>
                <w:rFonts w:hint="eastAsia" w:ascii="仿宋_GB2312" w:hAnsi="仿宋_GB2312" w:eastAsia="仿宋_GB2312" w:cs="仿宋_GB2312"/>
                <w:color w:val="000000" w:themeColor="text1"/>
                <w:highlight w:val="none"/>
                <w14:textFill>
                  <w14:solidFill>
                    <w14:schemeClr w14:val="tx1"/>
                  </w14:solidFill>
                </w14:textFill>
              </w:rPr>
            </w:pPr>
          </w:p>
        </w:tc>
      </w:tr>
    </w:tbl>
    <w:p w14:paraId="064D6D54">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45F57FD1">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p w14:paraId="27C0B10E">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lang w:eastAsia="zh-CN"/>
          <w14:textFill>
            <w14:solidFill>
              <w14:schemeClr w14:val="tx1"/>
            </w14:solidFill>
          </w14:textFill>
        </w:rPr>
        <w:t>八</w:t>
      </w: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、商务技术偏离表</w:t>
      </w:r>
    </w:p>
    <w:tbl>
      <w:tblPr>
        <w:tblStyle w:val="29"/>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512"/>
      </w:tblGrid>
      <w:tr w14:paraId="2B91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DE0F178">
            <w:pPr>
              <w:jc w:val="cente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t>序号</w:t>
            </w:r>
          </w:p>
        </w:tc>
        <w:tc>
          <w:tcPr>
            <w:tcW w:w="3683" w:type="dxa"/>
            <w:noWrap w:val="0"/>
            <w:vAlign w:val="top"/>
          </w:tcPr>
          <w:p w14:paraId="3076A96F">
            <w:pPr>
              <w:jc w:val="cente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t>招标文件章节及具体内容</w:t>
            </w:r>
          </w:p>
        </w:tc>
        <w:tc>
          <w:tcPr>
            <w:tcW w:w="3546" w:type="dxa"/>
            <w:noWrap w:val="0"/>
            <w:vAlign w:val="top"/>
          </w:tcPr>
          <w:p w14:paraId="44F043E5">
            <w:pPr>
              <w:jc w:val="cente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t>投标文件章节及具体内容</w:t>
            </w:r>
          </w:p>
        </w:tc>
        <w:tc>
          <w:tcPr>
            <w:tcW w:w="1512" w:type="dxa"/>
            <w:noWrap w:val="0"/>
            <w:vAlign w:val="top"/>
          </w:tcPr>
          <w:p w14:paraId="0533FDA0">
            <w:pPr>
              <w:jc w:val="cente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t>偏离说明</w:t>
            </w:r>
          </w:p>
        </w:tc>
      </w:tr>
      <w:tr w14:paraId="5D9F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8EB9CCB">
            <w:pPr>
              <w:jc w:val="center"/>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w:t>
            </w:r>
          </w:p>
        </w:tc>
        <w:tc>
          <w:tcPr>
            <w:tcW w:w="3683" w:type="dxa"/>
            <w:noWrap w:val="0"/>
            <w:vAlign w:val="top"/>
          </w:tcPr>
          <w:p w14:paraId="3D18BB2A">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3546" w:type="dxa"/>
            <w:noWrap w:val="0"/>
            <w:vAlign w:val="top"/>
          </w:tcPr>
          <w:p w14:paraId="790D73C4">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1512" w:type="dxa"/>
            <w:noWrap w:val="0"/>
            <w:vAlign w:val="top"/>
          </w:tcPr>
          <w:p w14:paraId="197C2679">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r>
      <w:tr w14:paraId="3D4B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59E399A">
            <w:pPr>
              <w:jc w:val="center"/>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w:t>
            </w:r>
          </w:p>
        </w:tc>
        <w:tc>
          <w:tcPr>
            <w:tcW w:w="3683" w:type="dxa"/>
            <w:noWrap w:val="0"/>
            <w:vAlign w:val="top"/>
          </w:tcPr>
          <w:p w14:paraId="200D9463">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3546" w:type="dxa"/>
            <w:noWrap w:val="0"/>
            <w:vAlign w:val="top"/>
          </w:tcPr>
          <w:p w14:paraId="1ACA22CE">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1512" w:type="dxa"/>
            <w:noWrap w:val="0"/>
            <w:vAlign w:val="top"/>
          </w:tcPr>
          <w:p w14:paraId="5C7B55FD">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r>
      <w:tr w14:paraId="5BCF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8181182">
            <w:pPr>
              <w:jc w:val="center"/>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w:t>
            </w:r>
          </w:p>
        </w:tc>
        <w:tc>
          <w:tcPr>
            <w:tcW w:w="3683" w:type="dxa"/>
            <w:noWrap w:val="0"/>
            <w:vAlign w:val="top"/>
          </w:tcPr>
          <w:p w14:paraId="41E50312">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3546" w:type="dxa"/>
            <w:noWrap w:val="0"/>
            <w:vAlign w:val="top"/>
          </w:tcPr>
          <w:p w14:paraId="11400ADB">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c>
          <w:tcPr>
            <w:tcW w:w="1512" w:type="dxa"/>
            <w:noWrap w:val="0"/>
            <w:vAlign w:val="top"/>
          </w:tcPr>
          <w:p w14:paraId="59AB8364">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tc>
      </w:tr>
    </w:tbl>
    <w:p w14:paraId="1B80C2B6">
      <w:pPr>
        <w:jc w:val="left"/>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投标人保证：除商务技术偏离表列出的偏离外，投标人响应招标文件的全部要求</w:t>
      </w:r>
    </w:p>
    <w:p w14:paraId="060F8BC1">
      <w:pPr>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p>
    <w:p w14:paraId="0E80D6B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8DCA50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1503C33">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5EFB3590">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261039C8">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7D780F9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2FB2C2C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DA394FE">
      <w:pPr>
        <w:pStyle w:val="13"/>
        <w:ind w:left="0" w:leftChars="0" w:firstLine="0" w:firstLineChars="0"/>
        <w:rPr>
          <w:rFonts w:hint="eastAsia" w:ascii="仿宋_GB2312" w:hAnsi="仿宋_GB2312" w:eastAsia="仿宋_GB2312" w:cs="仿宋_GB2312"/>
          <w:color w:val="000000" w:themeColor="text1"/>
          <w:highlight w:val="none"/>
          <w14:textFill>
            <w14:solidFill>
              <w14:schemeClr w14:val="tx1"/>
            </w14:solidFill>
          </w14:textFill>
        </w:rPr>
      </w:pPr>
    </w:p>
    <w:p w14:paraId="31D90C87">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4D21EC17">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eastAsia="zh-CN"/>
          <w14:textFill>
            <w14:solidFill>
              <w14:schemeClr w14:val="tx1"/>
            </w14:solidFill>
          </w14:textFill>
        </w:rPr>
        <w:t>九</w:t>
      </w:r>
      <w:r>
        <w:rPr>
          <w:rFonts w:hint="eastAsia" w:ascii="仿宋_GB2312" w:hAnsi="仿宋_GB2312" w:eastAsia="仿宋_GB2312" w:cs="仿宋_GB2312"/>
          <w:b/>
          <w:color w:val="000000" w:themeColor="text1"/>
          <w:sz w:val="28"/>
          <w:szCs w:val="28"/>
          <w:highlight w:val="none"/>
          <w14:textFill>
            <w14:solidFill>
              <w14:schemeClr w14:val="tx1"/>
            </w14:solidFill>
          </w14:textFill>
        </w:rPr>
        <w:t>、政府采购供应商廉洁自律承诺书</w:t>
      </w:r>
    </w:p>
    <w:p w14:paraId="437F570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CA96EBF">
      <w:pPr>
        <w:spacing w:line="5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（采购人）、（采购代理机构）：</w:t>
      </w:r>
    </w:p>
    <w:p w14:paraId="0C045EFD">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我单位响应你单位项目招标要求参加投标。在这次投标过程中和中标后，我们将严格遵守国家法律法规要求，并郑重承诺：</w:t>
      </w:r>
    </w:p>
    <w:p w14:paraId="2187A1DB">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一、不向项目有关人员及部门赠送礼金礼物、有价证券、回扣以及中介费、介绍费、咨询费等好处费；</w:t>
      </w:r>
    </w:p>
    <w:p w14:paraId="17D71A92">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二、不为项目有关人员及部门报销应由你方单位或个人支付的费用；</w:t>
      </w:r>
    </w:p>
    <w:p w14:paraId="3BCAF3BF">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三、不向项目有关人员及部门提供有可能影响公正的宴请和健身娱乐等活动；</w:t>
      </w:r>
    </w:p>
    <w:p w14:paraId="3125EA97">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四、不为项目有关人员及部门出国（境）、旅游等提供方便；</w:t>
      </w:r>
    </w:p>
    <w:p w14:paraId="3748DF3D">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五、不为项目有关人员个人装修住房、婚丧嫁娶、配偶子女工作安排等提供好处；</w:t>
      </w:r>
    </w:p>
    <w:p w14:paraId="320CC26D">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六、严格遵守《中华人民共和国政府采购法》《中华人民共和国招标投标法》《中华人民共和国民法典》等法律法规，诚实守信，合法经营，坚决抵制各种违法违纪行为。</w:t>
      </w:r>
    </w:p>
    <w:p w14:paraId="104C6D7F">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3A44CA6E">
      <w:pPr>
        <w:spacing w:line="5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B4C69F0">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02935FE8">
      <w:pPr>
        <w:spacing w:line="500" w:lineRule="exact"/>
        <w:ind w:firstLine="4560" w:firstLineChars="19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75C8BDF5">
      <w:pPr>
        <w:spacing w:line="500" w:lineRule="exact"/>
        <w:ind w:firstLine="4680" w:firstLineChars="195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日期：年月日</w:t>
      </w:r>
    </w:p>
    <w:p w14:paraId="467EEF4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42BDC06F">
      <w:pPr>
        <w:spacing w:line="540" w:lineRule="exact"/>
        <w:contextualSpacing/>
        <w:jc w:val="center"/>
        <w:rPr>
          <w:rFonts w:hint="eastAsia" w:ascii="仿宋_GB2312" w:hAnsi="仿宋_GB2312" w:eastAsia="仿宋_GB2312" w:cs="仿宋_GB2312"/>
          <w:b/>
          <w:color w:val="auto"/>
          <w:sz w:val="28"/>
          <w:szCs w:val="28"/>
          <w:highlight w:val="none"/>
        </w:rPr>
      </w:pPr>
      <w:bookmarkStart w:id="399" w:name="_Toc465665161"/>
      <w:r>
        <w:rPr>
          <w:rFonts w:hint="eastAsia" w:ascii="仿宋_GB2312" w:hAnsi="仿宋_GB2312" w:eastAsia="仿宋_GB2312" w:cs="仿宋_GB2312"/>
          <w:b/>
          <w:color w:val="auto"/>
          <w:sz w:val="28"/>
          <w:szCs w:val="28"/>
          <w:highlight w:val="none"/>
        </w:rPr>
        <w:t>报价文件部分</w:t>
      </w:r>
    </w:p>
    <w:p w14:paraId="259472E1">
      <w:pPr>
        <w:spacing w:line="540" w:lineRule="exact"/>
        <w:contextualSpacing/>
        <w:rPr>
          <w:rFonts w:hint="eastAsia" w:ascii="仿宋_GB2312" w:hAnsi="仿宋_GB2312" w:eastAsia="仿宋_GB2312" w:cs="仿宋_GB2312"/>
          <w:color w:val="auto"/>
          <w:sz w:val="24"/>
          <w:szCs w:val="24"/>
          <w:highlight w:val="none"/>
        </w:rPr>
      </w:pPr>
    </w:p>
    <w:p w14:paraId="57EBEE83">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（1）开标一览表（报价表）…………………………………………………（页码）</w:t>
      </w:r>
    </w:p>
    <w:p w14:paraId="096F3C59">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（2）中小企业声明函（如果有）……………………………………………（页码）</w:t>
      </w:r>
    </w:p>
    <w:p w14:paraId="02F21405">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（3）关于符合本国产品标准的声明函（如果有）…………………………（页码）</w:t>
      </w:r>
    </w:p>
    <w:p w14:paraId="04F228FE">
      <w:pPr>
        <w:spacing w:line="420" w:lineRule="exact"/>
        <w:contextualSpacing/>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）书面说明及必要的证明材料，对投标价格作出解释。（如果报价低于项目</w:t>
      </w:r>
      <w:r>
        <w:rPr>
          <w:rFonts w:hint="eastAsia" w:ascii="方正仿宋_GB2312" w:hAnsi="方正仿宋_GB2312" w:eastAsia="方正仿宋_GB2312" w:cs="方正仿宋_GB2312"/>
          <w:color w:val="000000" w:themeColor="text1"/>
          <w:sz w:val="24"/>
          <w:szCs w:val="24"/>
          <w:highlight w:val="none"/>
          <w:lang w:eastAsia="zh-CN"/>
          <w14:textFill>
            <w14:solidFill>
              <w14:schemeClr w14:val="tx1"/>
            </w14:solidFill>
          </w14:textFill>
        </w:rPr>
        <w:t>最高限价</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45</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%的）……………………………………………………………………………（页码）</w:t>
      </w:r>
    </w:p>
    <w:p w14:paraId="65745A68">
      <w:pPr>
        <w:spacing w:line="540" w:lineRule="exact"/>
        <w:contextualSpacing/>
        <w:rPr>
          <w:rFonts w:hint="eastAsia" w:ascii="仿宋_GB2312" w:hAnsi="仿宋_GB2312" w:eastAsia="仿宋_GB2312" w:cs="仿宋_GB2312"/>
          <w:color w:val="auto"/>
          <w:sz w:val="24"/>
          <w:szCs w:val="24"/>
          <w:highlight w:val="none"/>
        </w:rPr>
      </w:pPr>
    </w:p>
    <w:p w14:paraId="7B94AD95">
      <w:pPr>
        <w:spacing w:line="540" w:lineRule="exact"/>
        <w:contextualSpacing/>
        <w:rPr>
          <w:rFonts w:hint="eastAsia" w:ascii="仿宋_GB2312" w:hAnsi="仿宋_GB2312" w:eastAsia="仿宋_GB2312" w:cs="仿宋_GB2312"/>
          <w:color w:val="auto"/>
          <w:sz w:val="24"/>
          <w:szCs w:val="24"/>
          <w:highlight w:val="none"/>
        </w:rPr>
      </w:pPr>
    </w:p>
    <w:p w14:paraId="3A4B0575">
      <w:pPr>
        <w:spacing w:line="540" w:lineRule="exact"/>
        <w:contextualSpacing/>
        <w:rPr>
          <w:rFonts w:hint="eastAsia" w:ascii="仿宋_GB2312" w:hAnsi="仿宋_GB2312" w:eastAsia="仿宋_GB2312" w:cs="仿宋_GB2312"/>
          <w:color w:val="auto"/>
          <w:sz w:val="24"/>
          <w:szCs w:val="24"/>
          <w:highlight w:val="none"/>
        </w:rPr>
      </w:pPr>
    </w:p>
    <w:p w14:paraId="5D548532">
      <w:pPr>
        <w:spacing w:line="540" w:lineRule="exact"/>
        <w:contextualSpacing/>
        <w:rPr>
          <w:rFonts w:hint="eastAsia" w:ascii="仿宋_GB2312" w:hAnsi="仿宋_GB2312" w:eastAsia="仿宋_GB2312" w:cs="仿宋_GB2312"/>
          <w:color w:val="auto"/>
          <w:sz w:val="24"/>
          <w:szCs w:val="24"/>
          <w:highlight w:val="none"/>
        </w:rPr>
      </w:pPr>
    </w:p>
    <w:p w14:paraId="2FF537DB">
      <w:pPr>
        <w:spacing w:line="540" w:lineRule="exact"/>
        <w:contextualSpacing/>
        <w:rPr>
          <w:rFonts w:hint="eastAsia" w:ascii="仿宋_GB2312" w:hAnsi="仿宋_GB2312" w:eastAsia="仿宋_GB2312" w:cs="仿宋_GB2312"/>
          <w:color w:val="auto"/>
          <w:sz w:val="24"/>
          <w:szCs w:val="24"/>
          <w:highlight w:val="none"/>
        </w:rPr>
      </w:pPr>
    </w:p>
    <w:p w14:paraId="7C789ACB">
      <w:pPr>
        <w:spacing w:line="540" w:lineRule="exact"/>
        <w:contextualSpacing/>
        <w:rPr>
          <w:rFonts w:hint="eastAsia" w:ascii="仿宋_GB2312" w:hAnsi="仿宋_GB2312" w:eastAsia="仿宋_GB2312" w:cs="仿宋_GB2312"/>
          <w:color w:val="auto"/>
          <w:sz w:val="24"/>
          <w:szCs w:val="24"/>
          <w:highlight w:val="none"/>
        </w:rPr>
      </w:pPr>
    </w:p>
    <w:p w14:paraId="7EDF2AB4">
      <w:pPr>
        <w:spacing w:line="540" w:lineRule="exact"/>
        <w:contextualSpacing/>
        <w:rPr>
          <w:rFonts w:hint="eastAsia" w:ascii="仿宋_GB2312" w:hAnsi="仿宋_GB2312" w:eastAsia="仿宋_GB2312" w:cs="仿宋_GB2312"/>
          <w:color w:val="auto"/>
          <w:sz w:val="24"/>
          <w:szCs w:val="24"/>
          <w:highlight w:val="none"/>
        </w:rPr>
      </w:pPr>
    </w:p>
    <w:p w14:paraId="262A1909">
      <w:pPr>
        <w:spacing w:line="540" w:lineRule="exact"/>
        <w:contextualSpacing/>
        <w:rPr>
          <w:rFonts w:hint="eastAsia" w:ascii="仿宋_GB2312" w:hAnsi="仿宋_GB2312" w:eastAsia="仿宋_GB2312" w:cs="仿宋_GB2312"/>
          <w:color w:val="auto"/>
          <w:sz w:val="24"/>
          <w:szCs w:val="24"/>
          <w:highlight w:val="none"/>
        </w:rPr>
      </w:pPr>
    </w:p>
    <w:p w14:paraId="76DCEF6E">
      <w:pPr>
        <w:spacing w:line="540" w:lineRule="exact"/>
        <w:contextualSpacing/>
        <w:rPr>
          <w:rFonts w:hint="eastAsia" w:ascii="仿宋_GB2312" w:hAnsi="仿宋_GB2312" w:eastAsia="仿宋_GB2312" w:cs="仿宋_GB2312"/>
          <w:color w:val="auto"/>
          <w:sz w:val="24"/>
          <w:szCs w:val="24"/>
          <w:highlight w:val="none"/>
        </w:rPr>
      </w:pPr>
    </w:p>
    <w:p w14:paraId="39A13383">
      <w:pPr>
        <w:spacing w:line="540" w:lineRule="exact"/>
        <w:contextualSpacing/>
        <w:rPr>
          <w:rFonts w:hint="eastAsia" w:ascii="仿宋_GB2312" w:hAnsi="仿宋_GB2312" w:eastAsia="仿宋_GB2312" w:cs="仿宋_GB2312"/>
          <w:color w:val="auto"/>
          <w:sz w:val="24"/>
          <w:szCs w:val="24"/>
          <w:highlight w:val="none"/>
        </w:rPr>
      </w:pPr>
    </w:p>
    <w:p w14:paraId="455D7EDC">
      <w:pPr>
        <w:spacing w:line="540" w:lineRule="exact"/>
        <w:contextualSpacing/>
        <w:rPr>
          <w:rFonts w:hint="eastAsia" w:ascii="仿宋_GB2312" w:hAnsi="仿宋_GB2312" w:eastAsia="仿宋_GB2312" w:cs="仿宋_GB2312"/>
          <w:color w:val="auto"/>
          <w:sz w:val="24"/>
          <w:szCs w:val="24"/>
          <w:highlight w:val="none"/>
        </w:rPr>
      </w:pPr>
    </w:p>
    <w:p w14:paraId="052355F1">
      <w:pPr>
        <w:spacing w:line="540" w:lineRule="exact"/>
        <w:contextualSpacing/>
        <w:rPr>
          <w:rFonts w:hint="eastAsia" w:ascii="仿宋_GB2312" w:hAnsi="仿宋_GB2312" w:eastAsia="仿宋_GB2312" w:cs="仿宋_GB2312"/>
          <w:color w:val="auto"/>
          <w:sz w:val="24"/>
          <w:szCs w:val="24"/>
          <w:highlight w:val="none"/>
        </w:rPr>
      </w:pPr>
    </w:p>
    <w:p w14:paraId="65C75488">
      <w:pPr>
        <w:spacing w:line="540" w:lineRule="exact"/>
        <w:contextualSpacing/>
        <w:rPr>
          <w:rFonts w:hint="eastAsia" w:ascii="仿宋_GB2312" w:hAnsi="仿宋_GB2312" w:eastAsia="仿宋_GB2312" w:cs="仿宋_GB2312"/>
          <w:color w:val="auto"/>
          <w:sz w:val="24"/>
          <w:szCs w:val="24"/>
          <w:highlight w:val="none"/>
        </w:rPr>
      </w:pPr>
    </w:p>
    <w:p w14:paraId="106A647D">
      <w:pPr>
        <w:spacing w:line="540" w:lineRule="exact"/>
        <w:contextualSpacing/>
        <w:rPr>
          <w:rFonts w:hint="eastAsia" w:ascii="仿宋_GB2312" w:hAnsi="仿宋_GB2312" w:eastAsia="仿宋_GB2312" w:cs="仿宋_GB2312"/>
          <w:color w:val="auto"/>
          <w:sz w:val="24"/>
          <w:szCs w:val="24"/>
          <w:highlight w:val="none"/>
        </w:rPr>
      </w:pPr>
    </w:p>
    <w:p w14:paraId="6B9399BA">
      <w:pPr>
        <w:spacing w:line="540" w:lineRule="exact"/>
        <w:contextualSpacing/>
        <w:rPr>
          <w:rFonts w:hint="eastAsia" w:ascii="仿宋_GB2312" w:hAnsi="仿宋_GB2312" w:eastAsia="仿宋_GB2312" w:cs="仿宋_GB2312"/>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23113972">
      <w:pPr>
        <w:spacing w:line="540" w:lineRule="exact"/>
        <w:contextualSpacing/>
        <w:jc w:val="center"/>
        <w:rPr>
          <w:rFonts w:hint="eastAsia" w:ascii="仿宋_GB2312" w:hAnsi="仿宋_GB2312" w:eastAsia="仿宋_GB2312" w:cs="仿宋_GB2312"/>
          <w:b/>
          <w:color w:val="auto"/>
          <w:sz w:val="28"/>
          <w:szCs w:val="28"/>
          <w:highlight w:val="none"/>
        </w:rPr>
      </w:pPr>
    </w:p>
    <w:p w14:paraId="7D59CF9D">
      <w:pPr>
        <w:spacing w:line="540" w:lineRule="exact"/>
        <w:contextualSpacing/>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一、开标一览表（报价表）</w:t>
      </w:r>
    </w:p>
    <w:p w14:paraId="3D1EDB59">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（采购人）、（采购代理机构）：</w:t>
      </w:r>
    </w:p>
    <w:p w14:paraId="57DD22A2">
      <w:pPr>
        <w:spacing w:line="540" w:lineRule="exact"/>
        <w:ind w:firstLine="480" w:firstLineChars="200"/>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按你方招标文件要求，我们，本投标文件签字方，谨此向你方发出要约如下：如你方接受本投标，我方承诺按照如下开标一览表（报价表）的价格完成（项目名称）【招标编号：（采购编号）】的实施。</w:t>
      </w:r>
    </w:p>
    <w:p w14:paraId="15F095E1">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开标一览表（报价表）(单位均为人民币元)</w:t>
      </w:r>
    </w:p>
    <w:tbl>
      <w:tblPr>
        <w:tblStyle w:val="28"/>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893"/>
        <w:gridCol w:w="929"/>
        <w:gridCol w:w="835"/>
        <w:gridCol w:w="823"/>
        <w:gridCol w:w="1134"/>
        <w:gridCol w:w="1417"/>
        <w:gridCol w:w="965"/>
      </w:tblGrid>
      <w:tr w14:paraId="68C7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90" w:type="dxa"/>
            <w:noWrap w:val="0"/>
            <w:vAlign w:val="center"/>
          </w:tcPr>
          <w:p w14:paraId="2C4DF1E8">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893" w:type="dxa"/>
            <w:noWrap w:val="0"/>
            <w:vAlign w:val="center"/>
          </w:tcPr>
          <w:p w14:paraId="31C76E29">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名称</w:t>
            </w:r>
          </w:p>
        </w:tc>
        <w:tc>
          <w:tcPr>
            <w:tcW w:w="929" w:type="dxa"/>
            <w:noWrap w:val="0"/>
            <w:vAlign w:val="center"/>
          </w:tcPr>
          <w:p w14:paraId="1BBDF2AE">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品牌</w:t>
            </w:r>
          </w:p>
        </w:tc>
        <w:tc>
          <w:tcPr>
            <w:tcW w:w="835" w:type="dxa"/>
            <w:noWrap w:val="0"/>
            <w:vAlign w:val="center"/>
          </w:tcPr>
          <w:p w14:paraId="5391D353">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规格型号</w:t>
            </w:r>
          </w:p>
        </w:tc>
        <w:tc>
          <w:tcPr>
            <w:tcW w:w="823" w:type="dxa"/>
            <w:noWrap w:val="0"/>
            <w:vAlign w:val="center"/>
          </w:tcPr>
          <w:p w14:paraId="5120A7F4">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单价</w:t>
            </w:r>
          </w:p>
        </w:tc>
        <w:tc>
          <w:tcPr>
            <w:tcW w:w="1134" w:type="dxa"/>
            <w:noWrap w:val="0"/>
            <w:vAlign w:val="center"/>
          </w:tcPr>
          <w:p w14:paraId="60EBC789">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数量</w:t>
            </w:r>
          </w:p>
        </w:tc>
        <w:tc>
          <w:tcPr>
            <w:tcW w:w="1417" w:type="dxa"/>
            <w:noWrap w:val="0"/>
            <w:vAlign w:val="center"/>
          </w:tcPr>
          <w:p w14:paraId="36CD3D41">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965" w:type="dxa"/>
            <w:noWrap w:val="0"/>
            <w:vAlign w:val="center"/>
          </w:tcPr>
          <w:p w14:paraId="58A994E7">
            <w:pPr>
              <w:spacing w:line="36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14:paraId="4A3B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0" w:type="dxa"/>
            <w:noWrap w:val="0"/>
            <w:vAlign w:val="center"/>
          </w:tcPr>
          <w:p w14:paraId="3D4E283F">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893" w:type="dxa"/>
            <w:noWrap w:val="0"/>
            <w:vAlign w:val="bottom"/>
          </w:tcPr>
          <w:p w14:paraId="318173D9">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766EAC2C">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5F9C75E4">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4A72314F">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67D171B7">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5DCFFB2A">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67052453">
            <w:pPr>
              <w:spacing w:line="540" w:lineRule="exact"/>
              <w:contextualSpacing/>
              <w:rPr>
                <w:rFonts w:hint="eastAsia" w:ascii="仿宋_GB2312" w:hAnsi="仿宋_GB2312" w:eastAsia="仿宋_GB2312" w:cs="仿宋_GB2312"/>
                <w:color w:val="auto"/>
                <w:sz w:val="24"/>
                <w:szCs w:val="24"/>
                <w:highlight w:val="none"/>
              </w:rPr>
            </w:pPr>
          </w:p>
        </w:tc>
      </w:tr>
      <w:tr w14:paraId="4ADB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90" w:type="dxa"/>
            <w:noWrap w:val="0"/>
            <w:vAlign w:val="center"/>
          </w:tcPr>
          <w:p w14:paraId="64A64174">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893" w:type="dxa"/>
            <w:noWrap w:val="0"/>
            <w:vAlign w:val="bottom"/>
          </w:tcPr>
          <w:p w14:paraId="496CB0EA">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38B065B1">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335CF393">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78DA58D3">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2442E7F8">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02B08E3A">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33A1D1E4">
            <w:pPr>
              <w:spacing w:line="540" w:lineRule="exact"/>
              <w:contextualSpacing/>
              <w:rPr>
                <w:rFonts w:hint="eastAsia" w:ascii="仿宋_GB2312" w:hAnsi="仿宋_GB2312" w:eastAsia="仿宋_GB2312" w:cs="仿宋_GB2312"/>
                <w:color w:val="auto"/>
                <w:sz w:val="24"/>
                <w:szCs w:val="24"/>
                <w:highlight w:val="none"/>
              </w:rPr>
            </w:pPr>
          </w:p>
        </w:tc>
      </w:tr>
      <w:tr w14:paraId="06E8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90" w:type="dxa"/>
            <w:noWrap w:val="0"/>
            <w:vAlign w:val="center"/>
          </w:tcPr>
          <w:p w14:paraId="5BF5C896">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893" w:type="dxa"/>
            <w:noWrap w:val="0"/>
            <w:vAlign w:val="bottom"/>
          </w:tcPr>
          <w:p w14:paraId="21DF2535">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3731820D">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6312B1F1">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5A28A4B0">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32E3CDE7">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2857102C">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4AF35235">
            <w:pPr>
              <w:spacing w:line="540" w:lineRule="exact"/>
              <w:contextualSpacing/>
              <w:rPr>
                <w:rFonts w:hint="eastAsia" w:ascii="仿宋_GB2312" w:hAnsi="仿宋_GB2312" w:eastAsia="仿宋_GB2312" w:cs="仿宋_GB2312"/>
                <w:color w:val="auto"/>
                <w:sz w:val="24"/>
                <w:szCs w:val="24"/>
                <w:highlight w:val="none"/>
              </w:rPr>
            </w:pPr>
          </w:p>
        </w:tc>
      </w:tr>
      <w:tr w14:paraId="5F4A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90" w:type="dxa"/>
            <w:noWrap w:val="0"/>
            <w:vAlign w:val="center"/>
          </w:tcPr>
          <w:p w14:paraId="0328D5B8">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893" w:type="dxa"/>
            <w:noWrap w:val="0"/>
            <w:vAlign w:val="bottom"/>
          </w:tcPr>
          <w:p w14:paraId="3E565DA5">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0508B945">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2A01973F">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1EFE5615">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1EF5CE9B">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673A8BFD">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0763AD89">
            <w:pPr>
              <w:spacing w:line="540" w:lineRule="exact"/>
              <w:contextualSpacing/>
              <w:rPr>
                <w:rFonts w:hint="eastAsia" w:ascii="仿宋_GB2312" w:hAnsi="仿宋_GB2312" w:eastAsia="仿宋_GB2312" w:cs="仿宋_GB2312"/>
                <w:color w:val="auto"/>
                <w:sz w:val="24"/>
                <w:szCs w:val="24"/>
                <w:highlight w:val="none"/>
              </w:rPr>
            </w:pPr>
          </w:p>
        </w:tc>
      </w:tr>
      <w:tr w14:paraId="09E8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90" w:type="dxa"/>
            <w:noWrap w:val="0"/>
            <w:vAlign w:val="center"/>
          </w:tcPr>
          <w:p w14:paraId="22DAD7B5">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893" w:type="dxa"/>
            <w:noWrap w:val="0"/>
            <w:vAlign w:val="bottom"/>
          </w:tcPr>
          <w:p w14:paraId="2741ABF7">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72CF4D64">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41930BAC">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68333367">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3C0B9936">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5615B158">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656D62F2">
            <w:pPr>
              <w:spacing w:line="540" w:lineRule="exact"/>
              <w:contextualSpacing/>
              <w:rPr>
                <w:rFonts w:hint="eastAsia" w:ascii="仿宋_GB2312" w:hAnsi="仿宋_GB2312" w:eastAsia="仿宋_GB2312" w:cs="仿宋_GB2312"/>
                <w:color w:val="auto"/>
                <w:sz w:val="24"/>
                <w:szCs w:val="24"/>
                <w:highlight w:val="none"/>
              </w:rPr>
            </w:pPr>
          </w:p>
        </w:tc>
      </w:tr>
      <w:tr w14:paraId="322E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90" w:type="dxa"/>
            <w:noWrap w:val="0"/>
            <w:vAlign w:val="center"/>
          </w:tcPr>
          <w:p w14:paraId="61FAB730">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893" w:type="dxa"/>
            <w:noWrap w:val="0"/>
            <w:vAlign w:val="bottom"/>
          </w:tcPr>
          <w:p w14:paraId="2E65D395">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bottom"/>
          </w:tcPr>
          <w:p w14:paraId="30486CB6">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bottom"/>
          </w:tcPr>
          <w:p w14:paraId="55A8DC30">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25A5F8C3">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13753F2C">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28161A72">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368CB341">
            <w:pPr>
              <w:spacing w:line="540" w:lineRule="exact"/>
              <w:contextualSpacing/>
              <w:rPr>
                <w:rFonts w:hint="eastAsia" w:ascii="仿宋_GB2312" w:hAnsi="仿宋_GB2312" w:eastAsia="仿宋_GB2312" w:cs="仿宋_GB2312"/>
                <w:color w:val="auto"/>
                <w:sz w:val="24"/>
                <w:szCs w:val="24"/>
                <w:highlight w:val="none"/>
              </w:rPr>
            </w:pPr>
          </w:p>
        </w:tc>
      </w:tr>
      <w:tr w14:paraId="5DC8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90" w:type="dxa"/>
            <w:noWrap w:val="0"/>
            <w:vAlign w:val="center"/>
          </w:tcPr>
          <w:p w14:paraId="357FC4F0">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893" w:type="dxa"/>
            <w:noWrap w:val="0"/>
            <w:vAlign w:val="center"/>
          </w:tcPr>
          <w:p w14:paraId="67260195">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center"/>
          </w:tcPr>
          <w:p w14:paraId="3A666696">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center"/>
          </w:tcPr>
          <w:p w14:paraId="3E050CA9">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6FE4CF8A">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2FDEDADC">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6A9066F5">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25D1DF75">
            <w:pPr>
              <w:spacing w:line="540" w:lineRule="exact"/>
              <w:contextualSpacing/>
              <w:rPr>
                <w:rFonts w:hint="eastAsia" w:ascii="仿宋_GB2312" w:hAnsi="仿宋_GB2312" w:eastAsia="仿宋_GB2312" w:cs="仿宋_GB2312"/>
                <w:color w:val="auto"/>
                <w:sz w:val="24"/>
                <w:szCs w:val="24"/>
                <w:highlight w:val="none"/>
              </w:rPr>
            </w:pPr>
          </w:p>
        </w:tc>
      </w:tr>
      <w:tr w14:paraId="3F3B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90" w:type="dxa"/>
            <w:noWrap w:val="0"/>
            <w:vAlign w:val="center"/>
          </w:tcPr>
          <w:p w14:paraId="3969E4DC">
            <w:pPr>
              <w:spacing w:line="540" w:lineRule="exact"/>
              <w:contextualSpacing/>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893" w:type="dxa"/>
            <w:noWrap w:val="0"/>
            <w:vAlign w:val="center"/>
          </w:tcPr>
          <w:p w14:paraId="50CF2A46">
            <w:pPr>
              <w:spacing w:line="540" w:lineRule="exact"/>
              <w:contextualSpacing/>
              <w:rPr>
                <w:rFonts w:hint="eastAsia" w:ascii="仿宋_GB2312" w:hAnsi="仿宋_GB2312" w:eastAsia="仿宋_GB2312" w:cs="仿宋_GB2312"/>
                <w:color w:val="auto"/>
                <w:sz w:val="24"/>
                <w:szCs w:val="24"/>
                <w:highlight w:val="none"/>
              </w:rPr>
            </w:pPr>
          </w:p>
        </w:tc>
        <w:tc>
          <w:tcPr>
            <w:tcW w:w="929" w:type="dxa"/>
            <w:noWrap w:val="0"/>
            <w:vAlign w:val="center"/>
          </w:tcPr>
          <w:p w14:paraId="13EFB257">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center"/>
          </w:tcPr>
          <w:p w14:paraId="67B6FCA3">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0F5CE0A6">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0003E384">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68AB5BE2">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51516AA9">
            <w:pPr>
              <w:spacing w:line="540" w:lineRule="exact"/>
              <w:contextualSpacing/>
              <w:rPr>
                <w:rFonts w:hint="eastAsia" w:ascii="仿宋_GB2312" w:hAnsi="仿宋_GB2312" w:eastAsia="仿宋_GB2312" w:cs="仿宋_GB2312"/>
                <w:color w:val="auto"/>
                <w:sz w:val="24"/>
                <w:szCs w:val="24"/>
                <w:highlight w:val="none"/>
              </w:rPr>
            </w:pPr>
          </w:p>
        </w:tc>
      </w:tr>
      <w:tr w14:paraId="3949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90" w:type="dxa"/>
            <w:noWrap w:val="0"/>
            <w:vAlign w:val="center"/>
          </w:tcPr>
          <w:p w14:paraId="572198A3">
            <w:pPr>
              <w:spacing w:line="540" w:lineRule="exact"/>
              <w:contextualSpacing/>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w:t>
            </w:r>
          </w:p>
        </w:tc>
        <w:tc>
          <w:tcPr>
            <w:tcW w:w="1893" w:type="dxa"/>
            <w:noWrap w:val="0"/>
            <w:vAlign w:val="center"/>
          </w:tcPr>
          <w:p w14:paraId="73E7B127">
            <w:pPr>
              <w:spacing w:line="540" w:lineRule="exact"/>
              <w:contextualSpacing/>
              <w:rPr>
                <w:rFonts w:hint="default" w:ascii="仿宋_GB2312" w:hAnsi="仿宋_GB2312" w:eastAsia="仿宋_GB2312" w:cs="仿宋_GB2312"/>
                <w:color w:val="auto"/>
                <w:sz w:val="24"/>
                <w:szCs w:val="24"/>
                <w:highlight w:val="none"/>
                <w:lang w:val="en-US" w:eastAsia="zh-CN"/>
              </w:rPr>
            </w:pPr>
          </w:p>
        </w:tc>
        <w:tc>
          <w:tcPr>
            <w:tcW w:w="929" w:type="dxa"/>
            <w:noWrap w:val="0"/>
            <w:vAlign w:val="center"/>
          </w:tcPr>
          <w:p w14:paraId="650909F3">
            <w:pPr>
              <w:spacing w:line="540" w:lineRule="exact"/>
              <w:contextualSpacing/>
              <w:rPr>
                <w:rFonts w:hint="eastAsia" w:ascii="仿宋_GB2312" w:hAnsi="仿宋_GB2312" w:eastAsia="仿宋_GB2312" w:cs="仿宋_GB2312"/>
                <w:color w:val="auto"/>
                <w:sz w:val="24"/>
                <w:szCs w:val="24"/>
                <w:highlight w:val="none"/>
              </w:rPr>
            </w:pPr>
          </w:p>
        </w:tc>
        <w:tc>
          <w:tcPr>
            <w:tcW w:w="835" w:type="dxa"/>
            <w:noWrap w:val="0"/>
            <w:vAlign w:val="center"/>
          </w:tcPr>
          <w:p w14:paraId="1379BBA1">
            <w:pPr>
              <w:spacing w:line="540" w:lineRule="exact"/>
              <w:contextualSpacing/>
              <w:rPr>
                <w:rFonts w:hint="eastAsia" w:ascii="仿宋_GB2312" w:hAnsi="仿宋_GB2312" w:eastAsia="仿宋_GB2312" w:cs="仿宋_GB2312"/>
                <w:color w:val="auto"/>
                <w:sz w:val="24"/>
                <w:szCs w:val="24"/>
                <w:highlight w:val="none"/>
              </w:rPr>
            </w:pPr>
          </w:p>
        </w:tc>
        <w:tc>
          <w:tcPr>
            <w:tcW w:w="823" w:type="dxa"/>
            <w:noWrap w:val="0"/>
            <w:vAlign w:val="center"/>
          </w:tcPr>
          <w:p w14:paraId="1571C61A">
            <w:pPr>
              <w:spacing w:line="540" w:lineRule="exact"/>
              <w:contextualSpacing/>
              <w:rPr>
                <w:rFonts w:hint="eastAsia" w:ascii="仿宋_GB2312" w:hAnsi="仿宋_GB2312" w:eastAsia="仿宋_GB2312" w:cs="仿宋_GB2312"/>
                <w:color w:val="auto"/>
                <w:sz w:val="24"/>
                <w:szCs w:val="24"/>
                <w:highlight w:val="none"/>
              </w:rPr>
            </w:pPr>
          </w:p>
        </w:tc>
        <w:tc>
          <w:tcPr>
            <w:tcW w:w="1134" w:type="dxa"/>
            <w:noWrap w:val="0"/>
            <w:vAlign w:val="center"/>
          </w:tcPr>
          <w:p w14:paraId="018A8809">
            <w:pPr>
              <w:spacing w:line="540" w:lineRule="exact"/>
              <w:contextualSpacing/>
              <w:rPr>
                <w:rFonts w:hint="eastAsia" w:ascii="仿宋_GB2312" w:hAnsi="仿宋_GB2312" w:eastAsia="仿宋_GB2312" w:cs="仿宋_GB2312"/>
                <w:color w:val="auto"/>
                <w:sz w:val="24"/>
                <w:szCs w:val="24"/>
                <w:highlight w:val="none"/>
              </w:rPr>
            </w:pPr>
          </w:p>
        </w:tc>
        <w:tc>
          <w:tcPr>
            <w:tcW w:w="1417" w:type="dxa"/>
            <w:noWrap w:val="0"/>
            <w:vAlign w:val="center"/>
          </w:tcPr>
          <w:p w14:paraId="629AB339">
            <w:pPr>
              <w:spacing w:line="540" w:lineRule="exact"/>
              <w:contextualSpacing/>
              <w:rPr>
                <w:rFonts w:hint="eastAsia" w:ascii="仿宋_GB2312" w:hAnsi="仿宋_GB2312" w:eastAsia="仿宋_GB2312" w:cs="仿宋_GB2312"/>
                <w:color w:val="auto"/>
                <w:sz w:val="24"/>
                <w:szCs w:val="24"/>
                <w:highlight w:val="none"/>
              </w:rPr>
            </w:pPr>
          </w:p>
        </w:tc>
        <w:tc>
          <w:tcPr>
            <w:tcW w:w="965" w:type="dxa"/>
            <w:noWrap w:val="0"/>
            <w:vAlign w:val="center"/>
          </w:tcPr>
          <w:p w14:paraId="1A2F0A2A">
            <w:pPr>
              <w:spacing w:line="540" w:lineRule="exact"/>
              <w:contextualSpacing/>
              <w:rPr>
                <w:rFonts w:hint="eastAsia" w:ascii="仿宋_GB2312" w:hAnsi="仿宋_GB2312" w:eastAsia="仿宋_GB2312" w:cs="仿宋_GB2312"/>
                <w:color w:val="auto"/>
                <w:sz w:val="24"/>
                <w:szCs w:val="24"/>
                <w:highlight w:val="none"/>
              </w:rPr>
            </w:pPr>
          </w:p>
        </w:tc>
      </w:tr>
      <w:tr w14:paraId="2F4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204" w:type="dxa"/>
            <w:gridSpan w:val="6"/>
            <w:noWrap w:val="0"/>
            <w:vAlign w:val="center"/>
          </w:tcPr>
          <w:p w14:paraId="51B58D3F">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投标报价（小写）</w:t>
            </w:r>
          </w:p>
        </w:tc>
        <w:tc>
          <w:tcPr>
            <w:tcW w:w="2382" w:type="dxa"/>
            <w:gridSpan w:val="2"/>
            <w:noWrap w:val="0"/>
            <w:vAlign w:val="top"/>
          </w:tcPr>
          <w:p w14:paraId="561139F7">
            <w:pPr>
              <w:spacing w:line="540" w:lineRule="exact"/>
              <w:contextualSpacing/>
              <w:rPr>
                <w:rFonts w:hint="eastAsia" w:ascii="仿宋_GB2312" w:hAnsi="仿宋_GB2312" w:eastAsia="仿宋_GB2312" w:cs="仿宋_GB2312"/>
                <w:color w:val="auto"/>
                <w:sz w:val="24"/>
                <w:szCs w:val="24"/>
                <w:highlight w:val="none"/>
              </w:rPr>
            </w:pPr>
          </w:p>
        </w:tc>
      </w:tr>
      <w:tr w14:paraId="041D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204" w:type="dxa"/>
            <w:gridSpan w:val="6"/>
            <w:noWrap w:val="0"/>
            <w:vAlign w:val="center"/>
          </w:tcPr>
          <w:p w14:paraId="035D8755">
            <w:pPr>
              <w:spacing w:line="540" w:lineRule="exact"/>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投标报价（大写）</w:t>
            </w:r>
          </w:p>
        </w:tc>
        <w:tc>
          <w:tcPr>
            <w:tcW w:w="2382" w:type="dxa"/>
            <w:gridSpan w:val="2"/>
            <w:noWrap w:val="0"/>
            <w:vAlign w:val="top"/>
          </w:tcPr>
          <w:p w14:paraId="0CE29E0F">
            <w:pPr>
              <w:spacing w:line="540" w:lineRule="exact"/>
              <w:contextualSpacing/>
              <w:rPr>
                <w:rFonts w:hint="eastAsia" w:ascii="仿宋_GB2312" w:hAnsi="仿宋_GB2312" w:eastAsia="仿宋_GB2312" w:cs="仿宋_GB2312"/>
                <w:color w:val="auto"/>
                <w:sz w:val="24"/>
                <w:szCs w:val="24"/>
                <w:highlight w:val="none"/>
              </w:rPr>
            </w:pPr>
          </w:p>
        </w:tc>
      </w:tr>
    </w:tbl>
    <w:p w14:paraId="7A0701F3">
      <w:pPr>
        <w:spacing w:line="540" w:lineRule="exact"/>
        <w:contextualSpacing/>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注：</w:t>
      </w:r>
    </w:p>
    <w:p w14:paraId="2E36E3D4">
      <w:pPr>
        <w:spacing w:line="540" w:lineRule="exact"/>
        <w:ind w:firstLine="472" w:firstLineChars="196"/>
        <w:contextualSpacing/>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投标报价中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60F82F99">
      <w:pPr>
        <w:spacing w:line="540" w:lineRule="exact"/>
        <w:ind w:firstLine="470" w:firstLineChars="196"/>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2.特别提示：采购代理机构将对项目名称和项目编号，中标供应商名称、地址和中标金额，主要中标标的的名称、规格型号、数量、单价、服务要求等予以公示。</w:t>
      </w:r>
    </w:p>
    <w:p w14:paraId="4BD42CE1">
      <w:pPr>
        <w:spacing w:line="540" w:lineRule="exact"/>
        <w:ind w:firstLine="470" w:firstLineChars="196"/>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BA4BFD2">
      <w:pPr>
        <w:spacing w:line="540" w:lineRule="exact"/>
        <w:ind w:firstLine="470" w:firstLineChars="196"/>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4.投标报价一经涂改，应在涂改处加盖单位公章或投标人代表签字（或盖章），否则其投标作无效标处理。</w:t>
      </w:r>
    </w:p>
    <w:p w14:paraId="3A893827">
      <w:pPr>
        <w:spacing w:line="540" w:lineRule="exact"/>
        <w:ind w:firstLine="470" w:firstLineChars="196"/>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投标报价应包括产品、产品标准配件、备品备件、专用工具、包装、工时、运输、装卸、保险、税金、设备保护、安装、调试与试运行、培训、保修、售后服务费、工程配套费、以及实施本项目所需的其他一切费用。</w:t>
      </w:r>
    </w:p>
    <w:p w14:paraId="2BEB0842">
      <w:pPr>
        <w:spacing w:line="540" w:lineRule="exact"/>
        <w:contextualSpacing/>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en-US" w:eastAsia="zh-CN"/>
        </w:rPr>
        <w:t>6.特别说明：供应商投标报价低于项目最高限价45%的，应当在报价文件中提供书面说明及必要的证明材料，对投标价格作出解释。书面说明、证明材料主要是项目具体成本测算等与报价合理性相关的说明、材料，包括但不限于原材料成本、人工成本、制造费用等。</w:t>
      </w:r>
    </w:p>
    <w:p w14:paraId="3A039F4C">
      <w:pPr>
        <w:pStyle w:val="12"/>
        <w:rPr>
          <w:rFonts w:hint="eastAsia" w:ascii="仿宋_GB2312" w:hAnsi="仿宋_GB2312" w:eastAsia="仿宋_GB2312" w:cs="仿宋_GB2312"/>
          <w:color w:val="auto"/>
          <w:sz w:val="24"/>
          <w:szCs w:val="24"/>
          <w:highlight w:val="none"/>
        </w:rPr>
      </w:pPr>
    </w:p>
    <w:p w14:paraId="105C53C4">
      <w:pPr>
        <w:rPr>
          <w:rFonts w:hint="eastAsia"/>
          <w:color w:val="auto"/>
        </w:rPr>
      </w:pPr>
    </w:p>
    <w:p w14:paraId="763CB366">
      <w:pPr>
        <w:spacing w:line="540" w:lineRule="exact"/>
        <w:contextualSpacing/>
        <w:rPr>
          <w:rFonts w:hint="eastAsia" w:ascii="仿宋_GB2312" w:hAnsi="仿宋_GB2312" w:eastAsia="仿宋_GB2312" w:cs="仿宋_GB2312"/>
          <w:color w:val="auto"/>
          <w:sz w:val="24"/>
          <w:szCs w:val="24"/>
          <w:highlight w:val="none"/>
        </w:rPr>
      </w:pPr>
    </w:p>
    <w:p w14:paraId="68A7DC6A">
      <w:pPr>
        <w:spacing w:line="540" w:lineRule="exact"/>
        <w:ind w:right="480" w:firstLine="4680" w:firstLineChars="1950"/>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投标人名称(电子签名)：</w:t>
      </w:r>
    </w:p>
    <w:p w14:paraId="3292C908">
      <w:pPr>
        <w:spacing w:line="500" w:lineRule="exact"/>
        <w:ind w:firstLine="4680" w:firstLineChars="1950"/>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日期：年月日</w:t>
      </w:r>
    </w:p>
    <w:p w14:paraId="554416A8">
      <w:pPr>
        <w:pStyle w:val="11"/>
        <w:rPr>
          <w:rFonts w:hint="eastAsia" w:ascii="仿宋_GB2312" w:hAnsi="仿宋_GB2312" w:eastAsia="仿宋_GB2312" w:cs="仿宋_GB2312"/>
          <w:color w:val="auto"/>
          <w:highlight w:val="none"/>
        </w:rPr>
      </w:pPr>
    </w:p>
    <w:p w14:paraId="015F30D8">
      <w:pPr>
        <w:pStyle w:val="23"/>
        <w:rPr>
          <w:rFonts w:hint="eastAsia" w:ascii="仿宋_GB2312" w:hAnsi="仿宋_GB2312" w:eastAsia="仿宋_GB2312" w:cs="仿宋_GB2312"/>
          <w:color w:val="auto"/>
          <w:highlight w:val="none"/>
        </w:rPr>
      </w:pPr>
    </w:p>
    <w:p w14:paraId="1E706384">
      <w:pPr>
        <w:rPr>
          <w:rFonts w:hint="eastAsia" w:ascii="仿宋_GB2312" w:hAnsi="仿宋_GB2312" w:eastAsia="仿宋_GB2312" w:cs="仿宋_GB2312"/>
          <w:color w:val="auto"/>
          <w:highlight w:val="none"/>
        </w:rPr>
      </w:pPr>
    </w:p>
    <w:p w14:paraId="162851A4">
      <w:pPr>
        <w:pStyle w:val="13"/>
        <w:rPr>
          <w:rFonts w:hint="eastAsia" w:ascii="仿宋_GB2312" w:hAnsi="仿宋_GB2312" w:eastAsia="仿宋_GB2312" w:cs="仿宋_GB2312"/>
          <w:color w:val="auto"/>
          <w:highlight w:val="none"/>
        </w:rPr>
      </w:pPr>
    </w:p>
    <w:p w14:paraId="63C641F9">
      <w:pPr>
        <w:pStyle w:val="13"/>
        <w:rPr>
          <w:rFonts w:hint="eastAsia" w:ascii="仿宋_GB2312" w:hAnsi="仿宋_GB2312" w:eastAsia="仿宋_GB2312" w:cs="仿宋_GB2312"/>
          <w:color w:val="auto"/>
          <w:highlight w:val="none"/>
        </w:rPr>
      </w:pPr>
    </w:p>
    <w:p w14:paraId="6CC3C36C">
      <w:pPr>
        <w:pStyle w:val="13"/>
        <w:rPr>
          <w:rFonts w:hint="eastAsia" w:ascii="仿宋_GB2312" w:hAnsi="仿宋_GB2312" w:eastAsia="仿宋_GB2312" w:cs="仿宋_GB2312"/>
          <w:color w:val="auto"/>
          <w:highlight w:val="none"/>
        </w:rPr>
      </w:pPr>
    </w:p>
    <w:p w14:paraId="52D3D8EE">
      <w:pPr>
        <w:pStyle w:val="13"/>
        <w:rPr>
          <w:rFonts w:hint="eastAsia" w:ascii="仿宋_GB2312" w:hAnsi="仿宋_GB2312" w:eastAsia="仿宋_GB2312" w:cs="仿宋_GB2312"/>
          <w:color w:val="auto"/>
          <w:highlight w:val="none"/>
        </w:rPr>
      </w:pPr>
    </w:p>
    <w:p w14:paraId="5CADD11B">
      <w:pPr>
        <w:pStyle w:val="13"/>
        <w:rPr>
          <w:rFonts w:hint="eastAsia" w:ascii="仿宋_GB2312" w:hAnsi="仿宋_GB2312" w:eastAsia="仿宋_GB2312" w:cs="仿宋_GB2312"/>
          <w:color w:val="auto"/>
          <w:highlight w:val="none"/>
        </w:rPr>
      </w:pPr>
    </w:p>
    <w:p w14:paraId="3C0AD9E0">
      <w:pPr>
        <w:pStyle w:val="13"/>
        <w:rPr>
          <w:rFonts w:hint="eastAsia" w:ascii="仿宋_GB2312" w:hAnsi="仿宋_GB2312" w:eastAsia="仿宋_GB2312" w:cs="仿宋_GB2312"/>
          <w:color w:val="auto"/>
          <w:highlight w:val="none"/>
        </w:rPr>
      </w:pPr>
    </w:p>
    <w:p w14:paraId="4E7A7D27">
      <w:pPr>
        <w:pStyle w:val="13"/>
        <w:rPr>
          <w:rFonts w:hint="eastAsia" w:ascii="仿宋_GB2312" w:hAnsi="仿宋_GB2312" w:eastAsia="仿宋_GB2312" w:cs="仿宋_GB2312"/>
          <w:color w:val="auto"/>
          <w:highlight w:val="none"/>
        </w:rPr>
      </w:pPr>
    </w:p>
    <w:p w14:paraId="7FCD7927">
      <w:pPr>
        <w:pStyle w:val="11"/>
        <w:rPr>
          <w:rFonts w:hint="eastAsia" w:ascii="仿宋_GB2312" w:hAnsi="仿宋_GB2312" w:eastAsia="仿宋_GB2312" w:cs="仿宋_GB2312"/>
          <w:color w:val="auto"/>
          <w:highlight w:val="none"/>
        </w:rPr>
      </w:pPr>
    </w:p>
    <w:p w14:paraId="5F7CC3AD">
      <w:pPr>
        <w:spacing w:line="540" w:lineRule="exact"/>
        <w:contextualSpacing/>
        <w:jc w:val="center"/>
        <w:rPr>
          <w:rFonts w:hint="eastAsia" w:ascii="仿宋_GB2312" w:hAnsi="仿宋_GB2312" w:eastAsia="仿宋_GB2312" w:cs="仿宋_GB2312"/>
          <w:b/>
          <w:color w:val="auto"/>
          <w:sz w:val="28"/>
          <w:szCs w:val="28"/>
          <w:highlight w:val="none"/>
        </w:rPr>
      </w:pPr>
    </w:p>
    <w:p w14:paraId="6E9882BA">
      <w:pPr>
        <w:spacing w:line="540" w:lineRule="exact"/>
        <w:contextualSpacing/>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二、中小企业声明函（如果有）</w:t>
      </w:r>
    </w:p>
    <w:p w14:paraId="5FF8B169">
      <w:pPr>
        <w:spacing w:line="540" w:lineRule="exact"/>
        <w:ind w:firstLine="480" w:firstLineChars="200"/>
        <w:contextualSpacing/>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7EB2708B">
      <w:pPr>
        <w:spacing w:line="540" w:lineRule="exact"/>
        <w:contextualSpacing/>
        <w:jc w:val="center"/>
        <w:rPr>
          <w:rFonts w:hint="eastAsia" w:ascii="仿宋_GB2312" w:hAnsi="仿宋_GB2312" w:eastAsia="仿宋_GB2312" w:cs="仿宋_GB2312"/>
          <w:b/>
          <w:color w:val="auto"/>
          <w:sz w:val="28"/>
          <w:szCs w:val="28"/>
          <w:highlight w:val="none"/>
        </w:rPr>
      </w:pPr>
    </w:p>
    <w:p w14:paraId="2FD3A941">
      <w:pPr>
        <w:pStyle w:val="14"/>
        <w:rPr>
          <w:rFonts w:hint="eastAsia" w:ascii="仿宋_GB2312" w:hAnsi="仿宋_GB2312" w:eastAsia="仿宋_GB2312" w:cs="仿宋_GB2312"/>
          <w:b/>
          <w:color w:val="auto"/>
          <w:sz w:val="28"/>
          <w:szCs w:val="28"/>
          <w:highlight w:val="none"/>
        </w:rPr>
      </w:pPr>
    </w:p>
    <w:p w14:paraId="20D39E28">
      <w:pPr>
        <w:pStyle w:val="11"/>
        <w:rPr>
          <w:rFonts w:hint="eastAsia" w:ascii="仿宋_GB2312" w:hAnsi="仿宋_GB2312" w:eastAsia="仿宋_GB2312" w:cs="仿宋_GB2312"/>
          <w:b/>
          <w:color w:val="auto"/>
          <w:sz w:val="28"/>
          <w:szCs w:val="28"/>
          <w:highlight w:val="none"/>
        </w:rPr>
      </w:pPr>
    </w:p>
    <w:p w14:paraId="17ABCBD8">
      <w:pPr>
        <w:pStyle w:val="12"/>
        <w:rPr>
          <w:rFonts w:hint="eastAsia"/>
          <w:color w:val="auto"/>
          <w:highlight w:val="none"/>
        </w:rPr>
      </w:pPr>
    </w:p>
    <w:p w14:paraId="2A7CDC09">
      <w:pPr>
        <w:spacing w:line="540" w:lineRule="exact"/>
        <w:contextualSpacing/>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三、关于符合本国产品标准的声明函（如果有）</w:t>
      </w:r>
    </w:p>
    <w:p w14:paraId="699837A0">
      <w:pPr>
        <w:spacing w:line="540" w:lineRule="exact"/>
        <w:ind w:firstLine="480" w:firstLineChars="200"/>
        <w:contextualSpacing/>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[符合《国务院办公厅关于在政府采购中实施本国产品标准及相关政策的通知》规定的本国产品拟享受价格扣除政策的，需提供关于符合本国产品标准的声明函（附件8）。]</w:t>
      </w:r>
    </w:p>
    <w:p w14:paraId="4E85B617">
      <w:pPr>
        <w:pStyle w:val="14"/>
        <w:rPr>
          <w:rFonts w:hint="eastAsia" w:eastAsiaTheme="minorEastAsia"/>
          <w:highlight w:val="none"/>
          <w:lang w:val="en-US" w:eastAsia="zh-CN"/>
        </w:rPr>
      </w:pPr>
      <w:r>
        <w:rPr>
          <w:rFonts w:hint="eastAsia" w:ascii="方正仿宋_GB2312" w:hAnsi="方正仿宋_GB2312" w:eastAsia="方正仿宋_GB2312" w:cs="方正仿宋_GB2312"/>
          <w:b/>
          <w:color w:val="auto"/>
          <w:sz w:val="24"/>
          <w:szCs w:val="24"/>
          <w:highlight w:val="none"/>
          <w:lang w:eastAsia="zh-CN"/>
        </w:rPr>
        <w:t>四</w:t>
      </w:r>
      <w:r>
        <w:rPr>
          <w:rFonts w:hint="eastAsia" w:ascii="方正仿宋_GB2312" w:hAnsi="方正仿宋_GB2312" w:eastAsia="方正仿宋_GB2312" w:cs="方正仿宋_GB2312"/>
          <w:b/>
          <w:color w:val="auto"/>
          <w:sz w:val="24"/>
          <w:szCs w:val="24"/>
          <w:highlight w:val="none"/>
        </w:rPr>
        <w:t>、书面说明及必要的证明材料，对投标价格作出解释。（如果报价低于项目</w:t>
      </w:r>
      <w:r>
        <w:rPr>
          <w:rFonts w:hint="eastAsia" w:ascii="方正仿宋_GB2312" w:hAnsi="方正仿宋_GB2312" w:eastAsia="方正仿宋_GB2312" w:cs="方正仿宋_GB2312"/>
          <w:b/>
          <w:color w:val="auto"/>
          <w:sz w:val="24"/>
          <w:szCs w:val="24"/>
          <w:highlight w:val="none"/>
          <w:lang w:eastAsia="zh-CN"/>
        </w:rPr>
        <w:t>最高限价</w:t>
      </w:r>
      <w:r>
        <w:rPr>
          <w:rFonts w:hint="eastAsia" w:ascii="方正仿宋_GB2312" w:hAnsi="方正仿宋_GB2312" w:eastAsia="方正仿宋_GB2312" w:cs="方正仿宋_GB2312"/>
          <w:b/>
          <w:color w:val="auto"/>
          <w:sz w:val="24"/>
          <w:szCs w:val="24"/>
          <w:highlight w:val="none"/>
          <w:lang w:val="en-US" w:eastAsia="zh-CN"/>
        </w:rPr>
        <w:t>45</w:t>
      </w:r>
      <w:r>
        <w:rPr>
          <w:rFonts w:hint="eastAsia" w:ascii="方正仿宋_GB2312" w:hAnsi="方正仿宋_GB2312" w:eastAsia="方正仿宋_GB2312" w:cs="方正仿宋_GB2312"/>
          <w:b/>
          <w:color w:val="auto"/>
          <w:sz w:val="24"/>
          <w:szCs w:val="24"/>
          <w:highlight w:val="none"/>
        </w:rPr>
        <w:t>%的）</w:t>
      </w:r>
    </w:p>
    <w:p w14:paraId="55554090">
      <w:pPr>
        <w:spacing w:line="540" w:lineRule="exact"/>
        <w:ind w:firstLine="472" w:firstLineChars="196"/>
        <w:contextualSpacing/>
        <w:rPr>
          <w:rFonts w:hint="eastAsia" w:ascii="仿宋_GB2312" w:eastAsia="仿宋_GB2312"/>
          <w:b/>
          <w:bCs/>
          <w:sz w:val="24"/>
          <w:szCs w:val="24"/>
          <w:highlight w:val="none"/>
          <w:lang w:eastAsia="zh-CN"/>
        </w:rPr>
      </w:pPr>
      <w:r>
        <w:rPr>
          <w:rFonts w:hint="eastAsia" w:ascii="仿宋_GB2312" w:eastAsia="仿宋_GB2312"/>
          <w:b/>
          <w:bCs/>
          <w:sz w:val="24"/>
          <w:szCs w:val="24"/>
          <w:highlight w:val="none"/>
        </w:rPr>
        <w:t>特别说明：供应商投标报价低于项目</w:t>
      </w:r>
      <w:r>
        <w:rPr>
          <w:rFonts w:hint="eastAsia" w:ascii="仿宋_GB2312" w:hAnsi="仿宋_GB2312" w:eastAsia="仿宋_GB2312" w:cs="仿宋_GB2312"/>
          <w:b/>
          <w:bCs/>
          <w:i w:val="0"/>
          <w:iCs w:val="0"/>
          <w:caps w:val="0"/>
          <w:color w:val="auto"/>
          <w:spacing w:val="0"/>
          <w:w w:val="100"/>
          <w:kern w:val="0"/>
          <w:sz w:val="24"/>
          <w:szCs w:val="24"/>
          <w:highlight w:val="none"/>
          <w:shd w:val="clear" w:fill="FFFFFF"/>
          <w:vertAlign w:val="baseline"/>
          <w:lang w:val="en-US" w:eastAsia="zh-CN" w:bidi="ar"/>
        </w:rPr>
        <w:t>最高限价</w:t>
      </w:r>
      <w:r>
        <w:rPr>
          <w:rFonts w:hint="eastAsia" w:ascii="仿宋_GB2312" w:eastAsia="仿宋_GB2312"/>
          <w:b/>
          <w:bCs/>
          <w:sz w:val="24"/>
          <w:szCs w:val="24"/>
          <w:highlight w:val="none"/>
          <w:lang w:val="en-US" w:eastAsia="zh-CN"/>
        </w:rPr>
        <w:t>45</w:t>
      </w:r>
      <w:r>
        <w:rPr>
          <w:rFonts w:hint="eastAsia" w:ascii="仿宋_GB2312" w:eastAsia="仿宋_GB2312"/>
          <w:b/>
          <w:bCs/>
          <w:sz w:val="24"/>
          <w:szCs w:val="24"/>
          <w:highlight w:val="none"/>
        </w:rPr>
        <w:t>%的，应当在报价文件中</w:t>
      </w:r>
      <w:r>
        <w:rPr>
          <w:rFonts w:hint="eastAsia" w:ascii="仿宋_GB2312" w:eastAsia="仿宋_GB2312"/>
          <w:b/>
          <w:bCs/>
          <w:sz w:val="24"/>
          <w:szCs w:val="24"/>
          <w:highlight w:val="none"/>
          <w:lang w:eastAsia="zh-CN"/>
        </w:rPr>
        <w:t>提供书面说明及必要的证明材料，对投标价格作出解释。书面说明、证明材料主要是项目具体成本测算等与报价合理性相关的说明、材料，包括但不限于原材料成本、人工成本、制造费用等。</w:t>
      </w:r>
    </w:p>
    <w:p w14:paraId="182EF324">
      <w:pPr>
        <w:pStyle w:val="14"/>
        <w:rPr>
          <w:rFonts w:hint="eastAsia"/>
          <w:lang w:val="en-US" w:eastAsia="zh-CN"/>
        </w:rPr>
        <w:sectPr>
          <w:pgSz w:w="11906" w:h="16838"/>
          <w:pgMar w:top="1247" w:right="1418" w:bottom="1276" w:left="1418" w:header="851" w:footer="992" w:gutter="0"/>
          <w:cols w:space="720" w:num="1"/>
          <w:titlePg/>
          <w:docGrid w:linePitch="312" w:charSpace="0"/>
        </w:sectPr>
      </w:pPr>
    </w:p>
    <w:p w14:paraId="64B88DCC">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附件</w:t>
      </w:r>
      <w:bookmarkEnd w:id="399"/>
    </w:p>
    <w:p w14:paraId="30CC246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455FF5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6B85CC">
      <w:pPr>
        <w:spacing w:line="540" w:lineRule="exact"/>
        <w:contextualSpacing/>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附件1：</w:t>
      </w:r>
    </w:p>
    <w:p w14:paraId="17000ED6">
      <w:pPr>
        <w:spacing w:line="540" w:lineRule="exact"/>
        <w:contextualSpacing/>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bookmarkStart w:id="400" w:name="OLE_LINK13"/>
      <w:bookmarkStart w:id="401" w:name="OLE_LINK14"/>
      <w:r>
        <w:rPr>
          <w:rFonts w:hint="eastAsia" w:ascii="仿宋_GB2312" w:hAnsi="仿宋_GB2312" w:eastAsia="仿宋_GB2312" w:cs="仿宋_GB2312"/>
          <w:color w:val="000000" w:themeColor="text1"/>
          <w:sz w:val="24"/>
          <w:szCs w:val="24"/>
          <w:highlight w:val="none"/>
          <w14:textFill>
            <w14:solidFill>
              <w14:schemeClr w14:val="tx1"/>
            </w14:solidFill>
          </w14:textFill>
        </w:rPr>
        <w:t>残疾人福利性单位声明函</w:t>
      </w:r>
    </w:p>
    <w:bookmarkEnd w:id="400"/>
    <w:bookmarkEnd w:id="401"/>
    <w:p w14:paraId="4EC1B2C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73827E5">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本单位郑重声明，根据《财政部民政部中国残疾人联合会关于促进残疾人就业政府采购政策的通知》（财库〔2017〕141号）的规定，本单位为符合条件的残疾人福利性单位，且本单位参加</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(采购人)</w:t>
      </w:r>
      <w:r>
        <w:rPr>
          <w:rFonts w:hint="eastAsia" w:ascii="仿宋_GB2312" w:hAnsi="仿宋_GB2312" w:eastAsia="仿宋_GB2312" w:cs="仿宋_GB2312"/>
          <w:color w:val="000000" w:themeColor="text1"/>
          <w:sz w:val="24"/>
          <w:szCs w:val="24"/>
          <w:highlight w:val="none"/>
          <w14:textFill>
            <w14:solidFill>
              <w14:schemeClr w14:val="tx1"/>
            </w14:solidFill>
          </w14:textFill>
        </w:rPr>
        <w:t>单位的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（项目名称）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302D31C8">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本单位对上述声明的真实性负责。如有虚假，将依法承担相应责任。</w:t>
      </w:r>
    </w:p>
    <w:p w14:paraId="1ED6858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C7C3B4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251D61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6FF5CB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5A49FEB">
      <w:pPr>
        <w:spacing w:line="540" w:lineRule="exact"/>
        <w:contextualSpacing/>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058D07A4">
      <w:pPr>
        <w:spacing w:line="540" w:lineRule="exact"/>
        <w:contextualSpacing/>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w:t>
      </w:r>
    </w:p>
    <w:p w14:paraId="6DD90C9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2712390">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2F1A8A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2A1D63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33C5E1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CBD09E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0E131D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05D281C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E2D8C40">
      <w:pPr>
        <w:spacing w:line="540" w:lineRule="exact"/>
        <w:contextualSpacing/>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附件2：</w:t>
      </w:r>
      <w:r>
        <w:rPr>
          <w:rFonts w:hint="eastAsia" w:ascii="仿宋_GB2312" w:hAnsi="仿宋_GB2312" w:eastAsia="仿宋_GB2312" w:cs="仿宋_GB2312"/>
          <w:b/>
          <w:color w:val="000000" w:themeColor="text1"/>
          <w:sz w:val="28"/>
          <w:szCs w:val="28"/>
          <w:highlight w:val="none"/>
          <w14:textFill>
            <w14:solidFill>
              <w14:schemeClr w14:val="tx1"/>
            </w14:solidFill>
          </w14:textFill>
        </w:rPr>
        <w:t>质疑函范本及制作说明</w:t>
      </w:r>
    </w:p>
    <w:p w14:paraId="5025C7CE">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质疑函范本</w:t>
      </w:r>
    </w:p>
    <w:p w14:paraId="1207F9EE">
      <w:pPr>
        <w:snapToGrid w:val="0"/>
        <w:spacing w:before="312" w:beforeLines="100" w:line="360" w:lineRule="auto"/>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一、质疑供应商基本信息</w:t>
      </w:r>
    </w:p>
    <w:p w14:paraId="06A972E5">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质疑供应商：</w:t>
      </w:r>
    </w:p>
    <w:p w14:paraId="12DB6A0C">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地址：邮编：</w:t>
      </w:r>
    </w:p>
    <w:p w14:paraId="653C8BE5">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联系人：联系电话：</w:t>
      </w:r>
    </w:p>
    <w:p w14:paraId="309A5B2E">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授权代表：</w:t>
      </w:r>
    </w:p>
    <w:p w14:paraId="6D2D80B5">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p w14:paraId="0C9F2F93">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地址：邮编：</w:t>
      </w:r>
    </w:p>
    <w:p w14:paraId="3001F4A3">
      <w:pPr>
        <w:snapToGrid w:val="0"/>
        <w:spacing w:line="360" w:lineRule="auto"/>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二、质疑项目基本情况</w:t>
      </w:r>
    </w:p>
    <w:p w14:paraId="085EFBF2">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质疑项目的名称：</w:t>
      </w:r>
    </w:p>
    <w:p w14:paraId="07CCA0B3">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质疑项目的编号：包号：</w:t>
      </w:r>
    </w:p>
    <w:p w14:paraId="58F8E7BD">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采购人名称：</w:t>
      </w:r>
    </w:p>
    <w:p w14:paraId="2ABFF0CE">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采购文件获取日期：</w:t>
      </w:r>
    </w:p>
    <w:p w14:paraId="3FBA88EC">
      <w:pPr>
        <w:snapToGrid w:val="0"/>
        <w:spacing w:line="360" w:lineRule="auto"/>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三、质疑事项具体内容</w:t>
      </w:r>
    </w:p>
    <w:p w14:paraId="5F996EE5">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质疑事项1：</w:t>
      </w:r>
    </w:p>
    <w:p w14:paraId="0CB65544">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事实依据：</w:t>
      </w:r>
    </w:p>
    <w:p w14:paraId="23337B78">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p>
    <w:p w14:paraId="2EE538B5">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法律依据：</w:t>
      </w:r>
    </w:p>
    <w:p w14:paraId="624BB167">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p>
    <w:p w14:paraId="79A74BFA">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质疑事项2</w:t>
      </w:r>
    </w:p>
    <w:p w14:paraId="68A315D9">
      <w:pPr>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8A38C57">
      <w:pPr>
        <w:snapToGrid w:val="0"/>
        <w:spacing w:line="360" w:lineRule="auto"/>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四、与质疑事项相关的质疑请求</w:t>
      </w:r>
    </w:p>
    <w:p w14:paraId="45722C43">
      <w:pPr>
        <w:snapToGrid w:val="0"/>
        <w:spacing w:line="360" w:lineRule="auto"/>
        <w:rPr>
          <w:rFonts w:hint="eastAsia" w:ascii="仿宋_GB2312" w:hAnsi="仿宋_GB2312" w:eastAsia="仿宋_GB2312" w:cs="仿宋_GB2312"/>
          <w:color w:val="000000" w:themeColor="text1"/>
          <w:sz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请求：</w:t>
      </w:r>
    </w:p>
    <w:p w14:paraId="316E17C7">
      <w:pPr>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签字(签章)：公章：</w:t>
      </w:r>
    </w:p>
    <w:p w14:paraId="37008173">
      <w:pPr>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日期：</w:t>
      </w:r>
    </w:p>
    <w:p w14:paraId="47B59221">
      <w:pPr>
        <w:spacing w:line="360" w:lineRule="auto"/>
        <w:jc w:val="center"/>
        <w:rPr>
          <w:rFonts w:hint="eastAsia" w:ascii="仿宋_GB2312" w:hAnsi="仿宋_GB2312" w:eastAsia="仿宋_GB2312" w:cs="仿宋_GB2312"/>
          <w:b/>
          <w:bCs/>
          <w:color w:val="000000" w:themeColor="text1"/>
          <w:sz w:val="24"/>
          <w:highlight w:val="none"/>
          <w14:textFill>
            <w14:solidFill>
              <w14:schemeClr w14:val="tx1"/>
            </w14:solidFill>
          </w14:textFill>
        </w:rPr>
      </w:pPr>
    </w:p>
    <w:p w14:paraId="119B3943">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p>
    <w:p w14:paraId="5FFA31A0">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p>
    <w:p w14:paraId="7104EA70">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p>
    <w:p w14:paraId="3452BA04">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质疑函制作说明：</w:t>
      </w:r>
    </w:p>
    <w:p w14:paraId="39BDA210">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1.供应商提出质疑时，应提交质疑函和必要的证明材料。</w:t>
      </w:r>
    </w:p>
    <w:p w14:paraId="1EA0EF78">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_GB2312" w:eastAsia="仿宋_GB2312" w:cs="仿宋_GB2312"/>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3FAA9270">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3.质疑供应商若对项目的某一分包进行质疑，质疑函中应列明具体分包号。</w:t>
      </w:r>
    </w:p>
    <w:p w14:paraId="7C9C59FB">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4.质疑函的质疑事项应具体、明确，并有必要的事实依据和法律依据。</w:t>
      </w:r>
    </w:p>
    <w:p w14:paraId="60555A60">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5.质疑函的质疑请求应与质疑事项相关。</w:t>
      </w:r>
    </w:p>
    <w:p w14:paraId="371330CE">
      <w:pPr>
        <w:widowControl/>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B302F3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07E760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2D21A72">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D267F9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AE13419">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C5FE26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2EACF1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53A633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2C168B66">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B48F21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903622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5DB03F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5EE693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7896902">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1052D92">
      <w:pPr>
        <w:pStyle w:val="11"/>
        <w:rPr>
          <w:rFonts w:hint="eastAsia" w:ascii="仿宋_GB2312" w:hAnsi="仿宋_GB2312" w:eastAsia="仿宋_GB2312" w:cs="仿宋_GB2312"/>
          <w:color w:val="000000" w:themeColor="text1"/>
          <w:highlight w:val="none"/>
          <w14:textFill>
            <w14:solidFill>
              <w14:schemeClr w14:val="tx1"/>
            </w14:solidFill>
          </w14:textFill>
        </w:rPr>
      </w:pPr>
    </w:p>
    <w:p w14:paraId="27AFAAC7">
      <w:pPr>
        <w:pStyle w:val="23"/>
        <w:rPr>
          <w:rFonts w:hint="eastAsia" w:ascii="仿宋_GB2312" w:hAnsi="仿宋_GB2312" w:eastAsia="仿宋_GB2312" w:cs="仿宋_GB2312"/>
          <w:color w:val="000000" w:themeColor="text1"/>
          <w:highlight w:val="none"/>
          <w14:textFill>
            <w14:solidFill>
              <w14:schemeClr w14:val="tx1"/>
            </w14:solidFill>
          </w14:textFill>
        </w:rPr>
      </w:pPr>
    </w:p>
    <w:p w14:paraId="5DF181F5">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附件3：</w:t>
      </w:r>
    </w:p>
    <w:p w14:paraId="339F8B01">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投诉书范本及制作说明</w:t>
      </w:r>
    </w:p>
    <w:p w14:paraId="7009510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674528F8">
      <w:pPr>
        <w:spacing w:line="360" w:lineRule="auto"/>
        <w:jc w:val="center"/>
        <w:rPr>
          <w:rFonts w:hint="eastAsia" w:ascii="仿宋_GB2312" w:hAnsi="仿宋_GB2312" w:eastAsia="仿宋_GB2312" w:cs="仿宋_GB2312"/>
          <w:b/>
          <w:color w:val="000000" w:themeColor="text1"/>
          <w:spacing w:val="6"/>
          <w:sz w:val="24"/>
          <w:szCs w:val="24"/>
          <w:highlight w:val="none"/>
          <w14:textFill>
            <w14:solidFill>
              <w14:schemeClr w14:val="tx1"/>
            </w14:solidFill>
          </w14:textFill>
        </w:rPr>
      </w:pPr>
      <w:r>
        <w:rPr>
          <w:rFonts w:hint="eastAsia" w:ascii="仿宋_GB2312" w:hAnsi="仿宋_GB2312" w:eastAsia="仿宋_GB2312" w:cs="仿宋_GB2312"/>
          <w:b/>
          <w:color w:val="000000" w:themeColor="text1"/>
          <w:spacing w:val="6"/>
          <w:sz w:val="24"/>
          <w:szCs w:val="24"/>
          <w:highlight w:val="none"/>
          <w14:textFill>
            <w14:solidFill>
              <w14:schemeClr w14:val="tx1"/>
            </w14:solidFill>
          </w14:textFill>
        </w:rPr>
        <w:t>投诉书范本</w:t>
      </w:r>
    </w:p>
    <w:p w14:paraId="26928D34">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一、投诉相关主体基本情况</w:t>
      </w:r>
    </w:p>
    <w:p w14:paraId="6520A958">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投诉人：</w:t>
      </w:r>
    </w:p>
    <w:p w14:paraId="31BC4EF5">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地址：邮编：</w:t>
      </w:r>
    </w:p>
    <w:p w14:paraId="135FEFAA">
      <w:pPr>
        <w:tabs>
          <w:tab w:val="left" w:pos="6510"/>
        </w:tabs>
        <w:spacing w:line="360" w:lineRule="auto"/>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法定代表人/主要负责人：</w:t>
      </w:r>
    </w:p>
    <w:p w14:paraId="0343FCD6">
      <w:pPr>
        <w:tabs>
          <w:tab w:val="left" w:pos="6510"/>
        </w:tabs>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联系电话：</w:t>
      </w:r>
    </w:p>
    <w:p w14:paraId="726E414E">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授权代表：联系电话</w:t>
      </w:r>
      <w:r>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t>：</w:t>
      </w:r>
    </w:p>
    <w:p w14:paraId="23162D6D">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地址：邮编：</w:t>
      </w:r>
    </w:p>
    <w:p w14:paraId="39B322A5">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被投诉人1：</w:t>
      </w:r>
    </w:p>
    <w:p w14:paraId="03D407C2">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地址：邮编：</w:t>
      </w:r>
    </w:p>
    <w:p w14:paraId="5C32B187">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联系人：联系电话：</w:t>
      </w:r>
    </w:p>
    <w:p w14:paraId="3E144B71">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被投诉人2</w:t>
      </w:r>
    </w:p>
    <w:p w14:paraId="61768DFA">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32A61EEA">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相关供应商：</w:t>
      </w:r>
    </w:p>
    <w:p w14:paraId="36862E5B">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地址：邮编：</w:t>
      </w:r>
    </w:p>
    <w:p w14:paraId="4ADFAAD6">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联系人：联系电话：</w:t>
      </w:r>
    </w:p>
    <w:p w14:paraId="392A0021">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二、投诉项目基本情况</w:t>
      </w:r>
    </w:p>
    <w:p w14:paraId="66D5D116">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采购项目名称：</w:t>
      </w:r>
    </w:p>
    <w:p w14:paraId="1655086A">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采购项目编号：包号：</w:t>
      </w:r>
    </w:p>
    <w:p w14:paraId="15599B0A">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采购人名称：</w:t>
      </w:r>
    </w:p>
    <w:p w14:paraId="7CF7BE77">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代理机构名称：</w:t>
      </w:r>
    </w:p>
    <w:p w14:paraId="39F15606">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采购文件公告:</w:t>
      </w:r>
      <w:r>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t>是/否</w:t>
      </w:r>
      <w:r>
        <w:rPr>
          <w:rFonts w:hint="eastAsia" w:ascii="仿宋_GB2312" w:hAnsi="仿宋_GB2312" w:eastAsia="仿宋_GB2312" w:cs="仿宋_GB2312"/>
          <w:color w:val="000000" w:themeColor="text1"/>
          <w:sz w:val="24"/>
          <w:szCs w:val="24"/>
          <w:highlight w:val="none"/>
          <w14:textFill>
            <w14:solidFill>
              <w14:schemeClr w14:val="tx1"/>
            </w14:solidFill>
          </w14:textFill>
        </w:rPr>
        <w:t>公告期限：</w:t>
      </w:r>
    </w:p>
    <w:p w14:paraId="046EEE1B">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采购结果公告:</w:t>
      </w:r>
      <w:r>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t>是/否</w:t>
      </w:r>
      <w:r>
        <w:rPr>
          <w:rFonts w:hint="eastAsia" w:ascii="仿宋_GB2312" w:hAnsi="仿宋_GB2312" w:eastAsia="仿宋_GB2312" w:cs="仿宋_GB2312"/>
          <w:color w:val="000000" w:themeColor="text1"/>
          <w:sz w:val="24"/>
          <w:szCs w:val="24"/>
          <w:highlight w:val="none"/>
          <w14:textFill>
            <w14:solidFill>
              <w14:schemeClr w14:val="tx1"/>
            </w14:solidFill>
          </w14:textFill>
        </w:rPr>
        <w:t>公告期限：</w:t>
      </w:r>
    </w:p>
    <w:p w14:paraId="68742312">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三、质疑基本情况</w:t>
      </w:r>
    </w:p>
    <w:p w14:paraId="2C6038F0">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投诉人于年月日,向提出质疑，质疑事项为：</w:t>
      </w:r>
    </w:p>
    <w:p w14:paraId="7DADC9E7">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p>
    <w:p w14:paraId="5BB475CB">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t>采购人/代理机构</w:t>
      </w:r>
      <w:r>
        <w:rPr>
          <w:rFonts w:hint="eastAsia" w:ascii="仿宋_GB2312" w:hAnsi="仿宋_GB2312" w:eastAsia="仿宋_GB2312" w:cs="仿宋_GB2312"/>
          <w:color w:val="000000" w:themeColor="text1"/>
          <w:sz w:val="24"/>
          <w:szCs w:val="24"/>
          <w:highlight w:val="none"/>
          <w14:textFill>
            <w14:solidFill>
              <w14:schemeClr w14:val="tx1"/>
            </w14:solidFill>
          </w14:textFill>
        </w:rPr>
        <w:t>于年月日,就质疑事项作出了答复/没有在法定期限内作出答复。</w:t>
      </w:r>
    </w:p>
    <w:p w14:paraId="725B2F08">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四、投诉事项具体内容</w:t>
      </w:r>
    </w:p>
    <w:p w14:paraId="52813F0B">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投诉事项 1：</w:t>
      </w:r>
    </w:p>
    <w:p w14:paraId="7462C6B3">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事实依据：</w:t>
      </w:r>
    </w:p>
    <w:p w14:paraId="4537265F">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p>
    <w:p w14:paraId="00B5DD4D">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法律依据：</w:t>
      </w:r>
    </w:p>
    <w:p w14:paraId="082578A3">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p>
    <w:p w14:paraId="7EF02550">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投诉事项2</w:t>
      </w:r>
    </w:p>
    <w:p w14:paraId="6EB69192">
      <w:pPr>
        <w:spacing w:line="360" w:lineRule="auto"/>
        <w:rPr>
          <w:rFonts w:hint="eastAsia" w:ascii="仿宋_GB2312" w:hAnsi="仿宋_GB2312" w:eastAsia="仿宋_GB2312" w:cs="仿宋_GB2312"/>
          <w:color w:val="000000" w:themeColor="text1"/>
          <w:sz w:val="24"/>
          <w:szCs w:val="24"/>
          <w:highlight w:val="none"/>
          <w:u w:val="dotted"/>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70A82DF">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五、与投诉事项相关的投诉请求</w:t>
      </w:r>
    </w:p>
    <w:p w14:paraId="3ED175BF">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请求：</w:t>
      </w:r>
    </w:p>
    <w:p w14:paraId="7B7443C7">
      <w:pPr>
        <w:spacing w:line="360" w:lineRule="auto"/>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p>
    <w:p w14:paraId="6AF94CF6">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签字(签章)：公章：</w:t>
      </w:r>
    </w:p>
    <w:p w14:paraId="3C04FADB">
      <w:pPr>
        <w:spacing w:line="360" w:lineRule="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w:t>
      </w:r>
    </w:p>
    <w:p w14:paraId="30CDF5EB">
      <w:pPr>
        <w:spacing w:line="360" w:lineRule="auto"/>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77FDC420">
      <w:pPr>
        <w:spacing w:line="360" w:lineRule="auto"/>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65C2B7E5">
      <w:pPr>
        <w:spacing w:line="360" w:lineRule="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投诉书制作说明：</w:t>
      </w:r>
    </w:p>
    <w:p w14:paraId="54B50DF8">
      <w:pPr>
        <w:widowControl/>
        <w:spacing w:line="360" w:lineRule="auto"/>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0EC03873">
      <w:pPr>
        <w:widowControl/>
        <w:spacing w:line="360" w:lineRule="auto"/>
        <w:ind w:firstLine="480" w:firstLineChars="200"/>
        <w:jc w:val="lef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投诉人签署的授权委托书。授权委托书应当载明代理人的姓名或者名称、代理事项、具体权限、期限和相关事项。</w:t>
      </w:r>
    </w:p>
    <w:p w14:paraId="2E3B952E">
      <w:pPr>
        <w:widowControl/>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3.投诉人若对项目的某一分包进行投诉，投诉书应列明具体分包号。</w:t>
      </w:r>
    </w:p>
    <w:p w14:paraId="2D691CF7">
      <w:pPr>
        <w:widowControl/>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4.投诉书应简要列明质疑事项，质疑函、质疑答复等作为附件材料提供。</w:t>
      </w:r>
    </w:p>
    <w:p w14:paraId="2D535707">
      <w:pPr>
        <w:widowControl/>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5.投诉书的投诉事项应具体、明确，并有必要的事实依据和法律依据。</w:t>
      </w:r>
    </w:p>
    <w:p w14:paraId="4D6C556D">
      <w:pPr>
        <w:widowControl/>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6.投诉书的投诉请求应与投诉事项相关。</w:t>
      </w:r>
    </w:p>
    <w:p w14:paraId="0B0A1DA5">
      <w:pPr>
        <w:spacing w:line="360" w:lineRule="auto"/>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4771D86">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67008638">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附件4：</w:t>
      </w:r>
    </w:p>
    <w:p w14:paraId="62E8C6D3">
      <w:pPr>
        <w:spacing w:line="540" w:lineRule="exact"/>
        <w:contextualSpacing/>
        <w:jc w:val="center"/>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业务专用章使用说明函</w:t>
      </w:r>
    </w:p>
    <w:p w14:paraId="76DC78E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302EA9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（采购人）、（采购代理机构）：</w:t>
      </w:r>
    </w:p>
    <w:p w14:paraId="4B85D865">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我方(投标人全称)是中华人民共和国依法登记注册的合法企业，在参加你方组织的</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（项目名称）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项目【招标编号：</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（采购编号）</w:t>
      </w:r>
      <w:r>
        <w:rPr>
          <w:rFonts w:hint="eastAsia" w:ascii="仿宋_GB2312" w:hAnsi="仿宋_GB2312" w:eastAsia="仿宋_GB2312" w:cs="仿宋_GB2312"/>
          <w:color w:val="000000" w:themeColor="text1"/>
          <w:sz w:val="24"/>
          <w:szCs w:val="24"/>
          <w:highlight w:val="none"/>
          <w14:textFill>
            <w14:solidFill>
              <w14:schemeClr w14:val="tx1"/>
            </w14:solidFill>
          </w14:textFill>
        </w:rPr>
        <w:t>】投标活动中作如下说明：我方所使用的“XX专用章”与法定名称章具有同等的法律效力，对使用“XX专用章”的行为予以完全承认，并愿意承担相应责任。</w:t>
      </w:r>
    </w:p>
    <w:p w14:paraId="18986A5A">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特此说明。</w:t>
      </w:r>
    </w:p>
    <w:p w14:paraId="205D00C4">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7C7A3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E1E0208">
      <w:pPr>
        <w:spacing w:line="540" w:lineRule="exact"/>
        <w:ind w:firstLine="3600" w:firstLineChars="1500"/>
        <w:contextualSpacing/>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投标单位（法定名称章）：</w:t>
      </w:r>
    </w:p>
    <w:p w14:paraId="7B41A93D">
      <w:pPr>
        <w:spacing w:line="540" w:lineRule="exact"/>
        <w:ind w:firstLine="5040" w:firstLineChars="2100"/>
        <w:contextualSpacing/>
        <w:jc w:val="righ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日期：年月日</w:t>
      </w:r>
    </w:p>
    <w:p w14:paraId="6FCD745C">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附：</w:t>
      </w:r>
    </w:p>
    <w:p w14:paraId="1E345FA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投标单位法定名称章（印模）投标单位“XX专用章”（印模）</w:t>
      </w:r>
    </w:p>
    <w:p w14:paraId="255E948E">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13335</wp:posOffset>
                </wp:positionV>
                <wp:extent cx="1213485" cy="715010"/>
                <wp:effectExtent l="5080" t="4445" r="15875" b="12065"/>
                <wp:wrapNone/>
                <wp:docPr id="1" name="1026"/>
                <wp:cNvGraphicFramePr/>
                <a:graphic xmlns:a="http://schemas.openxmlformats.org/drawingml/2006/main">
                  <a:graphicData uri="http://schemas.microsoft.com/office/word/2010/wordprocessingShape">
                    <wps:wsp>
                      <wps:cNvSpPr/>
                      <wps:spPr>
                        <a:xfrm>
                          <a:off x="0" y="0"/>
                          <a:ext cx="1213485" cy="71501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1026" o:spid="_x0000_s1026" o:spt="1" style="position:absolute;left:0pt;margin-left:238.9pt;margin-top:1.05pt;height:56.3pt;width:95.55pt;z-index:-251657216;mso-width-relative:page;mso-height-relative:page;" fillcolor="#FFFFFF" filled="t" stroked="t" coordsize="21600,21600" o:gfxdata="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JkmuLXAAAACQEAAA8AAAAAAAAAAQAgAAAAIgAAAGRycy9kb3ducmV2LnhtbFBLAQIU&#10;ABQAAAAIAIdO4kClobj29AEAACgEAAAOAAAAAAAAAAEAIAAAACYBAABkcnMvZTJvRG9jLnhtbFBL&#10;BQYAAAAABgAGAFkBAACMBQAAAAA=&#10;">
                <v:fill on="t" focussize="0,0"/>
                <v:stroke color="#000000" joinstyle="miter"/>
                <v:imagedata o:title=""/>
                <o:lock v:ext="edit" aspectratio="f"/>
              </v:rect>
            </w:pict>
          </mc:Fallback>
        </mc:AlternateContent>
      </w:r>
      <w:r>
        <w:rPr>
          <w:rFonts w:hint="eastAsia" w:ascii="仿宋_GB2312" w:hAnsi="仿宋_GB2312" w:eastAsia="仿宋_GB2312" w:cs="仿宋_GB2312"/>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-45720</wp:posOffset>
                </wp:positionH>
                <wp:positionV relativeFrom="paragraph">
                  <wp:posOffset>13335</wp:posOffset>
                </wp:positionV>
                <wp:extent cx="1188085" cy="715010"/>
                <wp:effectExtent l="4445" t="4445" r="11430" b="12065"/>
                <wp:wrapNone/>
                <wp:docPr id="2" name="1027"/>
                <wp:cNvGraphicFramePr/>
                <a:graphic xmlns:a="http://schemas.openxmlformats.org/drawingml/2006/main">
                  <a:graphicData uri="http://schemas.microsoft.com/office/word/2010/wordprocessingShape">
                    <wps:wsp>
                      <wps:cNvSpPr/>
                      <wps:spPr>
                        <a:xfrm>
                          <a:off x="0" y="0"/>
                          <a:ext cx="1188085" cy="71501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1027" o:spid="_x0000_s1026" o:spt="1" style="position:absolute;left:0pt;margin-left:-3.6pt;margin-top:1.05pt;height:56.3pt;width:93.55pt;z-index:-251656192;mso-width-relative:page;mso-height-relative:page;" fillcolor="#FFFFFF" filled="t" stroked="t" coordsize="21600,21600" o:gfxdata="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mi3RNcAAAAIAQAADwAAAAAAAAABACAAAAAiAAAAZHJzL2Rvd25yZXYueG1sUEsBAhQA&#10;FAAAAAgAh07iQLcWT+jzAQAAKAQAAA4AAAAAAAAAAQAgAAAAJgEAAGRycy9lMm9Eb2MueG1sUEsF&#10;BgAAAAAGAAYAWQEAAIsFAAAAAA==&#10;">
                <v:fill on="t" focussize="0,0"/>
                <v:stroke color="#000000" joinstyle="miter"/>
                <v:imagedata o:title=""/>
                <o:lock v:ext="edit" aspectratio="f"/>
              </v:rect>
            </w:pict>
          </mc:Fallback>
        </mc:AlternateContent>
      </w:r>
    </w:p>
    <w:p w14:paraId="73FC015A">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9F362C1">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34373E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DF96BA7">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770FF480">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035275B">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C37119F">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1EEFBC65">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5D6870A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7AA6D2D">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6A2521D">
      <w:pPr>
        <w:spacing w:line="540" w:lineRule="exact"/>
        <w:contextualSpacing/>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附件5：</w:t>
      </w:r>
    </w:p>
    <w:p w14:paraId="3606EAF4">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中小企业声明函（货物）</w:t>
      </w:r>
    </w:p>
    <w:p w14:paraId="6DFFA8C5">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本公司（联合体）郑重声明，根据《政府采购促进中小企业发展管理办法》（财库﹝2020﹞46 号）的规定，本公司（联合体）参加</w:t>
      </w:r>
      <w:r>
        <w:rPr>
          <w:rFonts w:hint="eastAsia" w:ascii="仿宋_GB2312" w:hAnsi="仿宋_GB2312" w:eastAsia="仿宋_GB2312" w:cs="仿宋_GB2312"/>
          <w:color w:val="000000" w:themeColor="text1"/>
          <w:sz w:val="24"/>
          <w:highlight w:val="none"/>
          <w:u w:val="single"/>
          <w:lang w:eastAsia="zh-CN"/>
          <w14:textFill>
            <w14:solidFill>
              <w14:schemeClr w14:val="tx1"/>
            </w14:solidFill>
          </w14:textFill>
        </w:rPr>
        <w:t>舟山市公安局</w:t>
      </w:r>
      <w:r>
        <w:rPr>
          <w:rFonts w:hint="eastAsia" w:ascii="仿宋_GB2312" w:hAnsi="仿宋_GB2312" w:eastAsia="仿宋_GB2312" w:cs="仿宋_GB2312"/>
          <w:color w:val="000000" w:themeColor="text1"/>
          <w:sz w:val="24"/>
          <w:szCs w:val="24"/>
          <w:highlight w:val="none"/>
          <w14:textFill>
            <w14:solidFill>
              <w14:schemeClr w14:val="tx1"/>
            </w14:solidFill>
          </w14:textFill>
        </w:rPr>
        <w:t>的</w:t>
      </w:r>
      <w:r>
        <w:rPr>
          <w:rFonts w:hint="eastAsia" w:ascii="仿宋_GB2312" w:hAnsi="仿宋_GB2312" w:eastAsia="仿宋_GB2312" w:cs="仿宋_GB2312"/>
          <w:bCs/>
          <w:color w:val="000000" w:themeColor="text1"/>
          <w:sz w:val="24"/>
          <w:szCs w:val="24"/>
          <w:highlight w:val="none"/>
          <w:u w:val="single"/>
          <w:lang w:eastAsia="zh-CN"/>
          <w14:textFill>
            <w14:solidFill>
              <w14:schemeClr w14:val="tx1"/>
            </w14:solidFill>
          </w14:textFill>
        </w:rPr>
        <w:t>市级公安大数据研判服务支撑中心(二期)建设项目-设备采购</w:t>
      </w:r>
      <w:r>
        <w:rPr>
          <w:rFonts w:hint="eastAsia" w:ascii="仿宋_GB2312" w:hAnsi="仿宋_GB2312" w:eastAsia="仿宋_GB2312" w:cs="仿宋_GB2312"/>
          <w:color w:val="000000" w:themeColor="text1"/>
          <w:sz w:val="24"/>
          <w:szCs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tbl>
      <w:tblPr>
        <w:tblStyle w:val="29"/>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242"/>
        <w:gridCol w:w="1266"/>
        <w:gridCol w:w="936"/>
        <w:gridCol w:w="1239"/>
        <w:gridCol w:w="1134"/>
        <w:gridCol w:w="1824"/>
      </w:tblGrid>
      <w:tr w14:paraId="59AB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B85FAC6">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标的名称</w:t>
            </w:r>
          </w:p>
          <w:p w14:paraId="2B79CAB9">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p>
        </w:tc>
        <w:tc>
          <w:tcPr>
            <w:tcW w:w="1242" w:type="dxa"/>
            <w:noWrap w:val="0"/>
            <w:vAlign w:val="center"/>
          </w:tcPr>
          <w:p w14:paraId="63E9BA1B">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采购文件中明确的所属行业</w:t>
            </w:r>
          </w:p>
        </w:tc>
        <w:tc>
          <w:tcPr>
            <w:tcW w:w="1266" w:type="dxa"/>
            <w:noWrap w:val="0"/>
            <w:vAlign w:val="center"/>
          </w:tcPr>
          <w:p w14:paraId="5B13BD6C">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制造商</w:t>
            </w:r>
          </w:p>
          <w:p w14:paraId="6B5071F3">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（企业名称）</w:t>
            </w:r>
          </w:p>
        </w:tc>
        <w:tc>
          <w:tcPr>
            <w:tcW w:w="936" w:type="dxa"/>
            <w:noWrap w:val="0"/>
            <w:vAlign w:val="center"/>
          </w:tcPr>
          <w:p w14:paraId="0E6ACD6D">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从业人员（人）</w:t>
            </w:r>
          </w:p>
        </w:tc>
        <w:tc>
          <w:tcPr>
            <w:tcW w:w="1239" w:type="dxa"/>
            <w:noWrap w:val="0"/>
            <w:vAlign w:val="center"/>
          </w:tcPr>
          <w:p w14:paraId="19289D48">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营业收入（万元）</w:t>
            </w:r>
          </w:p>
        </w:tc>
        <w:tc>
          <w:tcPr>
            <w:tcW w:w="1134" w:type="dxa"/>
            <w:noWrap w:val="0"/>
            <w:vAlign w:val="center"/>
          </w:tcPr>
          <w:p w14:paraId="35D699D4">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资产总额（万元）</w:t>
            </w:r>
          </w:p>
        </w:tc>
        <w:tc>
          <w:tcPr>
            <w:tcW w:w="1824" w:type="dxa"/>
            <w:noWrap w:val="0"/>
            <w:vAlign w:val="center"/>
          </w:tcPr>
          <w:p w14:paraId="50D597F4">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Cs w:val="24"/>
                <w:highlight w:val="none"/>
                <w14:textFill>
                  <w14:solidFill>
                    <w14:schemeClr w14:val="tx1"/>
                  </w14:solidFill>
                </w14:textFill>
              </w:rPr>
              <w:t>属于</w:t>
            </w:r>
          </w:p>
          <w:p w14:paraId="13E21479">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（中型企业、小型企业、微型企业）</w:t>
            </w:r>
          </w:p>
        </w:tc>
      </w:tr>
      <w:tr w14:paraId="749C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3BBB7D30">
            <w:pPr>
              <w:spacing w:line="44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1242" w:type="dxa"/>
            <w:noWrap w:val="0"/>
            <w:vAlign w:val="center"/>
          </w:tcPr>
          <w:p w14:paraId="2288D616">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43E69682">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5E33A577">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11544834">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199478D4">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48CDD6C8">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p>
        </w:tc>
      </w:tr>
      <w:tr w14:paraId="060C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B420BBA">
            <w:pPr>
              <w:spacing w:line="44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1242" w:type="dxa"/>
            <w:noWrap w:val="0"/>
            <w:vAlign w:val="center"/>
          </w:tcPr>
          <w:p w14:paraId="34B5B783">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167F6104">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3DFDE7BC">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7E0A0564">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1F208F99">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74246B9F">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p>
        </w:tc>
      </w:tr>
      <w:tr w14:paraId="4B67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510B76A">
            <w:pPr>
              <w:spacing w:line="44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1242" w:type="dxa"/>
            <w:noWrap w:val="0"/>
            <w:vAlign w:val="center"/>
          </w:tcPr>
          <w:p w14:paraId="40FDE716">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34A1A701">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24B5AF6D">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17340A5B">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0333A4A6">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418E61E8">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p>
        </w:tc>
      </w:tr>
      <w:tr w14:paraId="1990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5E91BB6">
            <w:pPr>
              <w:spacing w:line="440" w:lineRule="exac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1242" w:type="dxa"/>
            <w:noWrap w:val="0"/>
            <w:vAlign w:val="center"/>
          </w:tcPr>
          <w:p w14:paraId="21DFF9B6">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792F5FD6">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50ADBB39">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1537EA5F">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460A7DB3">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32908C58">
            <w:pPr>
              <w:pStyle w:val="71"/>
              <w:ind w:firstLine="0" w:firstLineChars="0"/>
              <w:jc w:val="center"/>
              <w:rPr>
                <w:rFonts w:hint="eastAsia" w:ascii="仿宋_GB2312" w:hAnsi="仿宋_GB2312" w:eastAsia="仿宋_GB2312" w:cs="仿宋_GB2312"/>
                <w:color w:val="000000" w:themeColor="text1"/>
                <w:kern w:val="0"/>
                <w:szCs w:val="24"/>
                <w:highlight w:val="none"/>
                <w14:textFill>
                  <w14:solidFill>
                    <w14:schemeClr w14:val="tx1"/>
                  </w14:solidFill>
                </w14:textFill>
              </w:rPr>
            </w:pPr>
          </w:p>
        </w:tc>
      </w:tr>
      <w:tr w14:paraId="1BE2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3F598B54">
            <w:pPr>
              <w:spacing w:line="44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1242" w:type="dxa"/>
            <w:noWrap w:val="0"/>
            <w:vAlign w:val="center"/>
          </w:tcPr>
          <w:p w14:paraId="2350ECBA">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33883418">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5D11BE0F">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521BE342">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46EB4222">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3F7BE8D8">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r>
      <w:tr w14:paraId="502A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3F6E25B4">
            <w:pPr>
              <w:spacing w:line="440" w:lineRule="exact"/>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1242" w:type="dxa"/>
            <w:noWrap w:val="0"/>
            <w:vAlign w:val="center"/>
          </w:tcPr>
          <w:p w14:paraId="38D00B42">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center"/>
          </w:tcPr>
          <w:p w14:paraId="6E681B4B">
            <w:pPr>
              <w:widowControl/>
              <w:spacing w:line="276" w:lineRule="auto"/>
              <w:jc w:val="center"/>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936" w:type="dxa"/>
            <w:noWrap w:val="0"/>
            <w:vAlign w:val="top"/>
          </w:tcPr>
          <w:p w14:paraId="25DB2EE4">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3B73DD87">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1FB6503F">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50C892C9">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r>
      <w:tr w14:paraId="3540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122" w:type="dxa"/>
            <w:noWrap w:val="0"/>
            <w:vAlign w:val="center"/>
          </w:tcPr>
          <w:p w14:paraId="03407E5F">
            <w:pPr>
              <w:spacing w:line="440" w:lineRule="exact"/>
              <w:rPr>
                <w:rFonts w:hint="eastAsia" w:ascii="仿宋_GB2312" w:hAnsi="仿宋_GB2312" w:eastAsia="仿宋_GB2312" w:cs="仿宋_GB2312"/>
                <w:color w:val="000000" w:themeColor="text1"/>
                <w:highlight w:val="none"/>
                <w14:textFill>
                  <w14:solidFill>
                    <w14:schemeClr w14:val="tx1"/>
                  </w14:solidFill>
                </w14:textFill>
              </w:rPr>
            </w:pPr>
          </w:p>
        </w:tc>
        <w:tc>
          <w:tcPr>
            <w:tcW w:w="1242" w:type="dxa"/>
            <w:noWrap w:val="0"/>
            <w:vAlign w:val="center"/>
          </w:tcPr>
          <w:p w14:paraId="291FB4A3">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top"/>
          </w:tcPr>
          <w:p w14:paraId="23D47928">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936" w:type="dxa"/>
            <w:noWrap w:val="0"/>
            <w:vAlign w:val="top"/>
          </w:tcPr>
          <w:p w14:paraId="782F0E4A">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2BED7C28">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6D887FCC">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056F1058">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r>
      <w:tr w14:paraId="044C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22" w:type="dxa"/>
            <w:noWrap w:val="0"/>
            <w:vAlign w:val="center"/>
          </w:tcPr>
          <w:p w14:paraId="691EE7ED">
            <w:pPr>
              <w:pStyle w:val="36"/>
              <w:ind w:firstLine="0" w:firstLineChars="0"/>
              <w:rPr>
                <w:rFonts w:hint="eastAsia" w:ascii="仿宋_GB2312" w:hAnsi="仿宋_GB2312" w:eastAsia="仿宋_GB2312" w:cs="仿宋_GB2312"/>
                <w:color w:val="000000" w:themeColor="text1"/>
                <w:szCs w:val="24"/>
                <w:highlight w:val="none"/>
                <w14:textFill>
                  <w14:solidFill>
                    <w14:schemeClr w14:val="tx1"/>
                  </w14:solidFill>
                </w14:textFill>
              </w:rPr>
            </w:pPr>
          </w:p>
        </w:tc>
        <w:tc>
          <w:tcPr>
            <w:tcW w:w="1242" w:type="dxa"/>
            <w:noWrap w:val="0"/>
            <w:vAlign w:val="center"/>
          </w:tcPr>
          <w:p w14:paraId="64948240">
            <w:pPr>
              <w:jc w:val="center"/>
              <w:rPr>
                <w:rFonts w:hint="eastAsia" w:ascii="仿宋_GB2312" w:hAnsi="仿宋_GB2312" w:eastAsia="仿宋_GB2312" w:cs="仿宋_GB2312"/>
                <w:color w:val="000000" w:themeColor="text1"/>
                <w:kern w:val="0"/>
                <w:sz w:val="24"/>
                <w:szCs w:val="20"/>
                <w:highlight w:val="none"/>
                <w14:textFill>
                  <w14:solidFill>
                    <w14:schemeClr w14:val="tx1"/>
                  </w14:solidFill>
                </w14:textFill>
              </w:rPr>
            </w:pPr>
          </w:p>
        </w:tc>
        <w:tc>
          <w:tcPr>
            <w:tcW w:w="1266" w:type="dxa"/>
            <w:noWrap w:val="0"/>
            <w:vAlign w:val="top"/>
          </w:tcPr>
          <w:p w14:paraId="190B7AD1">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936" w:type="dxa"/>
            <w:noWrap w:val="0"/>
            <w:vAlign w:val="top"/>
          </w:tcPr>
          <w:p w14:paraId="2898CBA0">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239" w:type="dxa"/>
            <w:noWrap w:val="0"/>
            <w:vAlign w:val="top"/>
          </w:tcPr>
          <w:p w14:paraId="2ADB45BB">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134" w:type="dxa"/>
            <w:noWrap w:val="0"/>
            <w:vAlign w:val="top"/>
          </w:tcPr>
          <w:p w14:paraId="128AA6EF">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c>
          <w:tcPr>
            <w:tcW w:w="1824" w:type="dxa"/>
            <w:noWrap w:val="0"/>
            <w:vAlign w:val="top"/>
          </w:tcPr>
          <w:p w14:paraId="40FC3B88">
            <w:pPr>
              <w:pStyle w:val="71"/>
              <w:rPr>
                <w:rFonts w:hint="eastAsia" w:ascii="仿宋_GB2312" w:hAnsi="仿宋_GB2312" w:eastAsia="仿宋_GB2312" w:cs="仿宋_GB2312"/>
                <w:color w:val="000000" w:themeColor="text1"/>
                <w:kern w:val="0"/>
                <w:highlight w:val="none"/>
                <w14:textFill>
                  <w14:solidFill>
                    <w14:schemeClr w14:val="tx1"/>
                  </w14:solidFill>
                </w14:textFill>
              </w:rPr>
            </w:pPr>
          </w:p>
        </w:tc>
      </w:tr>
    </w:tbl>
    <w:p w14:paraId="10903901">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14:paraId="70163D74">
      <w:pPr>
        <w:spacing w:line="50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本企业对上述声明内容的真实性负责。如有虚假，将依法承担相应责任。</w:t>
      </w:r>
    </w:p>
    <w:p w14:paraId="73C7FE92">
      <w:pPr>
        <w:spacing w:line="500" w:lineRule="exact"/>
        <w:ind w:firstLine="4680" w:firstLineChars="195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投标人名称（电子签名）：</w:t>
      </w:r>
    </w:p>
    <w:p w14:paraId="12B755A3">
      <w:pPr>
        <w:spacing w:line="500" w:lineRule="exact"/>
        <w:ind w:firstLine="5520" w:firstLineChars="23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日期：</w:t>
      </w:r>
    </w:p>
    <w:p w14:paraId="777A5324">
      <w:pPr>
        <w:spacing w:line="46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注：1.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CCEC9E">
      <w:pPr>
        <w:spacing w:line="360" w:lineRule="auto"/>
        <w:ind w:right="420"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填写要求：①“标的名称”、“采购文件中明确的所属行业”依据招标文件第二部分投标人须知前附表中“采购标的及其对应的中小企业划分标准所属行业”的指引逐一填写，“制造商”按实际填写，以上内容不得缺漏；②从业人员、营业收入、资产总额应填报上一年度数据，无上一年度数据的新成立企业可不填报；③中型企业、小型企业、微型企业等3种企业类型，结合以上数据，应依据《中小企业划型标准规定》（工信部联企业〔2011〕300号）确定；④投标人提供的《中小企业声明函》与实际情况不符的或者未按以上要求填写的，中小企业声明函无效，不享受中小企业扶持政策；作为资格条件的，视作不符合资格要求。声明内容不实的，属于提供虚假材料谋取中标、成交的，依法承担法律责任。</w:t>
      </w:r>
    </w:p>
    <w:p w14:paraId="20848144">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B5C99E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9490164">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D35E9A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218A35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5B8B2FA">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93E214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9AD47AC">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15E4B19">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831A8B5">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B069B4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E44054E">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FBE305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12B4BF8">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0272ADE">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93B178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4D95046">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E0EE3A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56B5A6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B92DE6A">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E0601A4">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C4C92BC">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9914AB6">
      <w:pPr>
        <w:autoSpaceDE w:val="0"/>
        <w:autoSpaceDN w:val="0"/>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t>附件6：</w:t>
      </w:r>
    </w:p>
    <w:p w14:paraId="4510AE06">
      <w:pPr>
        <w:autoSpaceDE w:val="0"/>
        <w:autoSpaceDN w:val="0"/>
        <w:jc w:val="cente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联合协议</w:t>
      </w:r>
    </w:p>
    <w:p w14:paraId="591A4859">
      <w:pPr>
        <w:widowControl/>
        <w:spacing w:line="360" w:lineRule="auto"/>
        <w:ind w:firstLine="482" w:firstLineChars="200"/>
        <w:jc w:val="left"/>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（以联合体形式投标的，提供联合协议；本项目不接受联合体投标或者投标人不以联合体形式投标的，则不需要提供）</w:t>
      </w:r>
    </w:p>
    <w:p w14:paraId="0F3E352B">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（联合体所有成员名称）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自愿</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组成一个联合体，以一个投标人的身份</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参加</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（项目名称）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【招标编号：</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（采购编号）</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投标。</w:t>
      </w:r>
    </w:p>
    <w:p w14:paraId="51779B85">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一、各方一致决定，</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（某联合体成员名称）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为联合体</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牵头人</w:t>
      </w:r>
      <w:r>
        <w:rPr>
          <w:rFonts w:hint="eastAsia" w:ascii="仿宋_GB2312" w:hAnsi="仿宋_GB2312" w:eastAsia="仿宋_GB2312" w:cs="仿宋_GB2312"/>
          <w:color w:val="000000" w:themeColor="text1"/>
          <w:sz w:val="24"/>
          <w:szCs w:val="24"/>
          <w:highlight w:val="none"/>
          <w14:textFill>
            <w14:solidFill>
              <w14:schemeClr w14:val="tx1"/>
            </w14:solidFill>
          </w14:textFill>
        </w:rPr>
        <w:t>，代表所有联合体成员负责投标和合同实施阶段的主办、协调工作</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p>
    <w:p w14:paraId="1484FEE9">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二、</w:t>
      </w:r>
      <w:r>
        <w:rPr>
          <w:rFonts w:hint="eastAsia" w:ascii="仿宋_GB2312" w:hAnsi="仿宋_GB2312" w:eastAsia="仿宋_GB2312" w:cs="仿宋_GB2312"/>
          <w:color w:val="000000" w:themeColor="text1"/>
          <w:sz w:val="24"/>
          <w:szCs w:val="24"/>
          <w:highlight w:val="none"/>
          <w14:textFill>
            <w14:solidFill>
              <w14:schemeClr w14:val="tx1"/>
            </w14:solidFill>
          </w14:textFill>
        </w:rPr>
        <w:t>所有联合体成员各方签署授权书，授权书载明的</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08983240">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三、本次联合投标中，分工如下：</w:t>
      </w:r>
    </w:p>
    <w:p w14:paraId="7DACB832">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（联合体成员1）</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承担的工作和义务为：；</w:t>
      </w:r>
    </w:p>
    <w:p w14:paraId="2A337D10">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（联合体成员2）</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承担的工作和义务为：；</w:t>
      </w:r>
    </w:p>
    <w:p w14:paraId="3D961479">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p>
    <w:p w14:paraId="0CF85BDE">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四、联合体成员中小企业合同份额。</w:t>
      </w:r>
    </w:p>
    <w:p w14:paraId="370B88E2">
      <w:pPr>
        <w:snapToGrid w:val="0"/>
        <w:spacing w:line="360" w:lineRule="auto"/>
        <w:ind w:firstLine="576"/>
        <w:rPr>
          <w:rFonts w:hint="eastAsia" w:ascii="仿宋_GB2312" w:hAnsi="仿宋_GB2312" w:eastAsia="仿宋_GB2312" w:cs="仿宋_GB2312"/>
          <w:b/>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w:t>
      </w:r>
      <w:bookmarkStart w:id="402" w:name="_Hlk101131882"/>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联合体成员X,……</w:t>
      </w:r>
      <w:bookmarkEnd w:id="402"/>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提供的服务由小微企业承接，其合同份额占到合同总金额%以上</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r>
        <w:rPr>
          <w:rFonts w:hint="eastAsia" w:ascii="仿宋_GB2312" w:hAnsi="仿宋_GB2312" w:eastAsia="仿宋_GB2312" w:cs="仿宋_GB2312"/>
          <w:b/>
          <w:color w:val="000000" w:themeColor="text1"/>
          <w:kern w:val="0"/>
          <w:sz w:val="24"/>
          <w:szCs w:val="24"/>
          <w:highlight w:val="none"/>
          <w:lang w:val="zh-CN"/>
          <w14:textFill>
            <w14:solidFill>
              <w14:schemeClr w14:val="tx1"/>
            </w14:solidFill>
          </w14:textFill>
        </w:rPr>
        <w:t>（</w:t>
      </w:r>
      <w:bookmarkStart w:id="403" w:name="_Hlk101133598"/>
      <w:r>
        <w:rPr>
          <w:rFonts w:hint="eastAsia" w:ascii="仿宋_GB2312" w:hAnsi="仿宋_GB2312" w:eastAsia="仿宋_GB2312" w:cs="仿宋_GB2312"/>
          <w:b/>
          <w:color w:val="000000" w:themeColor="text1"/>
          <w:kern w:val="0"/>
          <w:sz w:val="24"/>
          <w:szCs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000000" w:themeColor="text1"/>
          <w:sz w:val="24"/>
          <w:szCs w:val="24"/>
          <w:highlight w:val="none"/>
          <w14:textFill>
            <w14:solidFill>
              <w14:schemeClr w14:val="tx1"/>
            </w14:solidFill>
          </w14:textFill>
        </w:rPr>
        <w:t>拟享受以上价格扣除政策的，填写有关内容。</w:t>
      </w:r>
      <w:bookmarkEnd w:id="403"/>
      <w:r>
        <w:rPr>
          <w:rFonts w:hint="eastAsia" w:ascii="仿宋_GB2312" w:hAnsi="仿宋_GB2312" w:eastAsia="仿宋_GB2312" w:cs="仿宋_GB2312"/>
          <w:b/>
          <w:color w:val="000000" w:themeColor="text1"/>
          <w:kern w:val="0"/>
          <w:sz w:val="24"/>
          <w:szCs w:val="24"/>
          <w:highlight w:val="none"/>
          <w:lang w:val="zh-CN"/>
          <w14:textFill>
            <w14:solidFill>
              <w14:schemeClr w14:val="tx1"/>
            </w14:solidFill>
          </w14:textFill>
        </w:rPr>
        <w:t>）</w:t>
      </w:r>
    </w:p>
    <w:p w14:paraId="062532B4">
      <w:pPr>
        <w:spacing w:line="360" w:lineRule="auto"/>
        <w:ind w:firstLine="480" w:firstLineChars="200"/>
        <w:rPr>
          <w:rFonts w:hint="eastAsia" w:ascii="仿宋_GB2312" w:hAnsi="仿宋_GB2312" w:eastAsia="仿宋_GB2312" w:cs="仿宋_GB2312"/>
          <w:b/>
          <w:bCs/>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bookmarkStart w:id="404" w:name="_Hlk101133173"/>
      <w:r>
        <w:rPr>
          <w:rFonts w:hint="eastAsia" w:ascii="仿宋_GB2312" w:hAnsi="仿宋_GB2312" w:eastAsia="仿宋_GB2312" w:cs="仿宋_GB2312"/>
          <w:color w:val="000000" w:themeColor="text1"/>
          <w:sz w:val="24"/>
          <w:szCs w:val="24"/>
          <w:highlight w:val="none"/>
          <w14:textFill>
            <w14:solidFill>
              <w14:schemeClr w14:val="tx1"/>
            </w14:solidFill>
          </w14:textFill>
        </w:rPr>
        <w:t>中小企业合同金额达到%，小微企业合同金额达到%</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szCs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000000" w:themeColor="text1"/>
          <w:kern w:val="0"/>
          <w:sz w:val="24"/>
          <w:szCs w:val="24"/>
          <w:highlight w:val="none"/>
          <w:lang w:val="zh-CN"/>
          <w14:textFill>
            <w14:solidFill>
              <w14:schemeClr w14:val="tx1"/>
            </w14:solidFill>
          </w14:textFill>
        </w:rPr>
        <w:t>）</w:t>
      </w:r>
      <w:bookmarkEnd w:id="404"/>
    </w:p>
    <w:p w14:paraId="756B959C">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五、如果中标，</w:t>
      </w:r>
      <w:r>
        <w:rPr>
          <w:rFonts w:hint="eastAsia" w:ascii="仿宋_GB2312" w:hAnsi="仿宋_GB2312" w:eastAsia="仿宋_GB2312" w:cs="仿宋_GB2312"/>
          <w:color w:val="000000" w:themeColor="text1"/>
          <w:sz w:val="24"/>
          <w:szCs w:val="24"/>
          <w:highlight w:val="none"/>
          <w14:textFill>
            <w14:solidFill>
              <w14:schemeClr w14:val="tx1"/>
            </w14:solidFill>
          </w14:textFill>
        </w:rPr>
        <w:t>联合体各成员方共同与采购人签订合同，并就采购合同约定的事项对采购人承担连带责任。</w:t>
      </w:r>
    </w:p>
    <w:p w14:paraId="393DC804">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六、有关本次联合投标的其他事宜：</w:t>
      </w:r>
    </w:p>
    <w:p w14:paraId="5BB27886">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1、联合体各方不再单独参加或者与其他供应商另外组成联合体参加同一合同项下的政府采购活动。</w:t>
      </w:r>
    </w:p>
    <w:p w14:paraId="1F3597B4">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2、联合体中有同类资质的各方按照联合体分工承担相同工作的，按照资质等级较低的供应商确定资质等级。</w:t>
      </w:r>
    </w:p>
    <w:p w14:paraId="6BABBC5D">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3、本协议提交采购人、采购代理机构后，联合体各方不得以任何形式对上述内容进行修改或撤销。</w:t>
      </w:r>
    </w:p>
    <w:p w14:paraId="2E1CCF77">
      <w:pPr>
        <w:snapToGrid w:val="0"/>
        <w:spacing w:line="360" w:lineRule="auto"/>
        <w:ind w:firstLine="5040" w:firstLineChars="2100"/>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联合体成员名称(电子签名/公章)：</w:t>
      </w:r>
    </w:p>
    <w:p w14:paraId="3A524072">
      <w:pPr>
        <w:snapToGrid w:val="0"/>
        <w:spacing w:line="360" w:lineRule="auto"/>
        <w:ind w:firstLine="5040" w:firstLineChars="2100"/>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联合体成员名称(电子签名/公章)：</w:t>
      </w:r>
    </w:p>
    <w:p w14:paraId="5682DF4C">
      <w:pPr>
        <w:snapToGrid w:val="0"/>
        <w:spacing w:line="360" w:lineRule="auto"/>
        <w:ind w:right="960"/>
        <w:jc w:val="cente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p>
    <w:p w14:paraId="7B99265B">
      <w:pPr>
        <w:snapToGrid w:val="0"/>
        <w:spacing w:line="360" w:lineRule="auto"/>
        <w:jc w:val="right"/>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日期：年月日</w:t>
      </w:r>
    </w:p>
    <w:p w14:paraId="57BB6E73">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p>
    <w:p w14:paraId="6D6F92B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6220DD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F6B61CE">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A25479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C602B54">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DA039A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AEEE9D8">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5F0284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7C520D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67B3F0B5">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036AB44D">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C3E2F2C">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064CA5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FA3442C">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6761FC7">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44475B71">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2FAA24B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6F66DB8">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3F2D1E7B">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10B4CA2F">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5F04D3DB">
      <w:pPr>
        <w:snapToGrid w:val="0"/>
        <w:spacing w:line="360" w:lineRule="auto"/>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t>附件7：</w:t>
      </w:r>
    </w:p>
    <w:p w14:paraId="422EA057">
      <w:pPr>
        <w:snapToGrid w:val="0"/>
        <w:spacing w:line="360" w:lineRule="auto"/>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分包意向协议</w:t>
      </w:r>
    </w:p>
    <w:p w14:paraId="53CC7A1E">
      <w:pPr>
        <w:widowControl/>
        <w:spacing w:line="360" w:lineRule="auto"/>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color w:val="000000" w:themeColor="text1"/>
          <w:sz w:val="24"/>
          <w:szCs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7BBFEFF4">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（投标人名称）</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若成为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（项目名称）</w:t>
      </w:r>
      <w:r>
        <w:rPr>
          <w:rFonts w:hint="eastAsia" w:ascii="仿宋_GB2312" w:hAnsi="仿宋_GB2312" w:eastAsia="仿宋_GB2312" w:cs="仿宋_GB2312"/>
          <w:color w:val="000000" w:themeColor="text1"/>
          <w:sz w:val="24"/>
          <w:szCs w:val="24"/>
          <w:highlight w:val="none"/>
          <w14:textFill>
            <w14:solidFill>
              <w14:schemeClr w14:val="tx1"/>
            </w14:solidFill>
          </w14:textFill>
        </w:rPr>
        <w:t>【招标编号：</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（采购编号）</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的中标供应商，将依法采取分包方式履行合同。</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（投标人名称）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与</w:t>
      </w:r>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（所有分包供应商名称）</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达成分包意向协议</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p>
    <w:p w14:paraId="683924CA">
      <w:pPr>
        <w:keepNext w:val="0"/>
        <w:keepLines w:val="0"/>
        <w:pageBreakBefore w:val="0"/>
        <w:widowControl w:val="0"/>
        <w:kinsoku/>
        <w:wordWrap/>
        <w:overflowPunct/>
        <w:topLinePunct w:val="0"/>
        <w:autoSpaceDE/>
        <w:autoSpaceDN/>
        <w:bidi w:val="0"/>
        <w:adjustRightInd/>
        <w:snapToGrid w:val="0"/>
        <w:spacing w:line="360" w:lineRule="auto"/>
        <w:ind w:firstLine="576"/>
        <w:textAlignment w:val="auto"/>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一、分包标的及数量</w:t>
      </w:r>
    </w:p>
    <w:p w14:paraId="4C9CB2D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（投标人名称）将工作分包如下：（注：投标人只能将招标文件第二部分中“前附表”的“分包”规定的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采购内容</w:t>
      </w:r>
      <w:r>
        <w:rPr>
          <w:rFonts w:hint="eastAsia" w:ascii="仿宋_GB2312" w:hAnsi="仿宋_GB2312" w:eastAsia="仿宋_GB2312" w:cs="仿宋_GB2312"/>
          <w:color w:val="000000" w:themeColor="text1"/>
          <w:sz w:val="24"/>
          <w:szCs w:val="24"/>
          <w:highlight w:val="none"/>
          <w14:textFill>
            <w14:solidFill>
              <w14:schemeClr w14:val="tx1"/>
            </w14:solidFill>
          </w14:textFill>
        </w:rPr>
        <w:t>进行分包）</w:t>
      </w:r>
    </w:p>
    <w:p w14:paraId="4B56767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将   XX工作内容   分包给（分包供应商1名称）；</w:t>
      </w:r>
    </w:p>
    <w:p w14:paraId="0C9AF64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将   XX工作内容   分包给（分包供应商2名称）；</w:t>
      </w:r>
    </w:p>
    <w:p w14:paraId="50B9F84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27D3868D">
      <w:pPr>
        <w:keepNext w:val="0"/>
        <w:keepLines w:val="0"/>
        <w:pageBreakBefore w:val="0"/>
        <w:widowControl w:val="0"/>
        <w:kinsoku/>
        <w:wordWrap/>
        <w:overflowPunct/>
        <w:topLinePunct w:val="0"/>
        <w:autoSpaceDE/>
        <w:autoSpaceDN/>
        <w:bidi w:val="0"/>
        <w:adjustRightInd/>
        <w:spacing w:line="360" w:lineRule="auto"/>
        <w:textAlignment w:val="auto"/>
        <w:rPr>
          <w:rFonts w:hint="eastAsia"/>
          <w:highlight w:val="none"/>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以上分包供应商具备所承担分包工作内容相应的资质条件且不得再次分包。</w:t>
      </w:r>
    </w:p>
    <w:p w14:paraId="7C814015">
      <w:pPr>
        <w:keepNext w:val="0"/>
        <w:keepLines w:val="0"/>
        <w:pageBreakBefore w:val="0"/>
        <w:widowControl w:val="0"/>
        <w:kinsoku/>
        <w:wordWrap/>
        <w:overflowPunct/>
        <w:topLinePunct w:val="0"/>
        <w:autoSpaceDE/>
        <w:autoSpaceDN/>
        <w:bidi w:val="0"/>
        <w:adjustRightInd/>
        <w:snapToGrid w:val="0"/>
        <w:spacing w:line="360" w:lineRule="auto"/>
        <w:ind w:firstLine="576"/>
        <w:textAlignment w:val="auto"/>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二、分包供应商中小企业合同份额</w:t>
      </w:r>
    </w:p>
    <w:p w14:paraId="2E421AFA">
      <w:pPr>
        <w:snapToGrid w:val="0"/>
        <w:spacing w:line="360" w:lineRule="auto"/>
        <w:ind w:firstLine="576"/>
        <w:rPr>
          <w:rFonts w:hint="eastAsia"/>
          <w:highlight w:val="none"/>
          <w:lang w:val="zh-CN"/>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中小企业合同金额达到</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%，小微企业合同金额达到</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kern w:val="0"/>
          <w:sz w:val="24"/>
          <w:szCs w:val="24"/>
          <w:highlight w:val="none"/>
          <w:lang w:val="zh-CN"/>
          <w14:textFill>
            <w14:solidFill>
              <w14:schemeClr w14:val="tx1"/>
            </w14:solidFill>
          </w14:textFill>
        </w:rPr>
        <w:t>（要求合同分包形式参加的项目或采购包，供应商按招标文件第一部分招标公告申请人的资格要求中规定的分包意向协议中中小企业、小微企业合同金额应当达到的比例要求填写。）</w:t>
      </w:r>
    </w:p>
    <w:p w14:paraId="1DFF5C66">
      <w:pPr>
        <w:snapToGrid w:val="0"/>
        <w:spacing w:line="360" w:lineRule="auto"/>
        <w:ind w:firstLine="576"/>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三、分包工作履行期限、地点、方式</w:t>
      </w:r>
    </w:p>
    <w:p w14:paraId="2247452B">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四、质量</w:t>
      </w:r>
    </w:p>
    <w:p w14:paraId="7BAB0A53">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五、价款或者报酬</w:t>
      </w:r>
    </w:p>
    <w:p w14:paraId="0805A9F7">
      <w:pPr>
        <w:snapToGrid w:val="0"/>
        <w:spacing w:line="360" w:lineRule="auto"/>
        <w:ind w:left="573" w:leftChars="273"/>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六、违约责任</w:t>
      </w:r>
    </w:p>
    <w:p w14:paraId="6F7819C2">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七、争议解决的办法</w:t>
      </w:r>
    </w:p>
    <w:p w14:paraId="7C205833">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八、其他</w:t>
      </w:r>
    </w:p>
    <w:p w14:paraId="22D645A8">
      <w:pPr>
        <w:snapToGrid w:val="0"/>
        <w:spacing w:line="360" w:lineRule="auto"/>
        <w:ind w:firstLine="576"/>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p>
    <w:p w14:paraId="3BDF531E">
      <w:pPr>
        <w:snapToGrid w:val="0"/>
        <w:spacing w:line="360" w:lineRule="auto"/>
        <w:ind w:left="5746" w:leftChars="2622" w:hanging="240" w:hangingChars="100"/>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投标人名称(电子签名)：</w:t>
      </w:r>
    </w:p>
    <w:p w14:paraId="6EB07C74">
      <w:pPr>
        <w:snapToGrid w:val="0"/>
        <w:spacing w:line="360" w:lineRule="auto"/>
        <w:jc w:val="right"/>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分包供应商名称(电子签名/公章)：</w:t>
      </w:r>
    </w:p>
    <w:p w14:paraId="6DC50A66">
      <w:pPr>
        <w:snapToGrid w:val="0"/>
        <w:spacing w:line="360" w:lineRule="auto"/>
        <w:ind w:firstLine="5760" w:firstLineChars="24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w:t>
      </w:r>
    </w:p>
    <w:p w14:paraId="46382899">
      <w:pPr>
        <w:snapToGrid w:val="0"/>
        <w:spacing w:line="360" w:lineRule="auto"/>
        <w:ind w:left="5758" w:leftChars="342" w:hanging="5040" w:hangingChars="2100"/>
        <w:jc w:val="right"/>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zh-CN"/>
          <w14:textFill>
            <w14:solidFill>
              <w14:schemeClr w14:val="tx1"/>
            </w14:solidFill>
          </w14:textFill>
        </w:rPr>
        <w:t>日期：年月日</w:t>
      </w:r>
    </w:p>
    <w:p w14:paraId="593C2806">
      <w:pPr>
        <w:pStyle w:val="12"/>
        <w:ind w:left="0" w:leftChars="0" w:firstLine="0" w:firstLineChars="0"/>
        <w:rPr>
          <w:rFonts w:hint="eastAsia" w:ascii="仿宋_GB2312" w:hAnsi="仿宋_GB2312" w:eastAsia="仿宋_GB2312" w:cs="仿宋_GB2312"/>
          <w:color w:val="000000" w:themeColor="text1"/>
          <w:highlight w:val="none"/>
          <w14:textFill>
            <w14:solidFill>
              <w14:schemeClr w14:val="tx1"/>
            </w14:solidFill>
          </w14:textFill>
        </w:rPr>
      </w:pPr>
    </w:p>
    <w:p w14:paraId="68F724D8">
      <w:pPr>
        <w:snapToGrid w:val="0"/>
        <w:spacing w:line="360" w:lineRule="auto"/>
        <w:rPr>
          <w:rFonts w:hint="eastAsia" w:ascii="仿宋_GB2312" w:hAnsi="仿宋_GB2312" w:eastAsia="仿宋_GB2312" w:cs="仿宋_GB2312"/>
          <w:color w:val="000000" w:themeColor="text1"/>
          <w:spacing w:val="6"/>
          <w:sz w:val="28"/>
          <w:szCs w:val="28"/>
          <w:highlight w:val="none"/>
          <w:lang w:val="en-US"/>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lang w:val="en-US" w:eastAsia="zh-CN"/>
          <w14:textFill>
            <w14:solidFill>
              <w14:schemeClr w14:val="tx1"/>
            </w14:solidFill>
          </w14:textFill>
        </w:rPr>
        <w:t xml:space="preserve">附件8 </w:t>
      </w:r>
    </w:p>
    <w:p w14:paraId="7F6E9F1C">
      <w:pPr>
        <w:snapToGrid w:val="0"/>
        <w:spacing w:before="0" w:line="360" w:lineRule="auto"/>
        <w:ind w:left="0"/>
        <w:jc w:val="center"/>
        <w:outlineLvl w:val="9"/>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b/>
          <w:color w:val="auto"/>
          <w:spacing w:val="0"/>
          <w:sz w:val="32"/>
          <w:szCs w:val="32"/>
          <w:highlight w:val="none"/>
          <w:lang w:val="zh-CN"/>
        </w:rPr>
        <w:t>关于符合本国产品标准的声明函</w:t>
      </w:r>
    </w:p>
    <w:p w14:paraId="1DDD2F39">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p>
    <w:p w14:paraId="24F7E6E3">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506FAEFD">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1.（产品名称1）1，生产厂为（厂名）2，厂址为（生产厂址）。（产品名称1）的中国境内生产的组件成本占比≥（规定比例）3。（产品名称1）的（关键组件）4在中国境内生产。（产品名称1）的（关键工序）5在中国境内完成。</w:t>
      </w:r>
    </w:p>
    <w:p w14:paraId="1D331004">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2.（产品名称2），生产厂为（厂名），厂址为（生产厂址）。（产品名称2）</w:t>
      </w: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ab/>
      </w: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 xml:space="preserve"> 的中国境内生产的组件成本占比≥（规定比例）。（产品名称2）的（关键组件）在中国境内生产。（产品名称2）的（关键工序）在中国境内完成。</w:t>
      </w:r>
    </w:p>
    <w:p w14:paraId="442CFCD3">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w:t>
      </w:r>
    </w:p>
    <w:p w14:paraId="0FD97402">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non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none"/>
          <w:lang w:val="zh-CN"/>
          <w14:textFill>
            <w14:solidFill>
              <w14:schemeClr w14:val="tx1"/>
            </w14:solidFill>
          </w14:textFill>
        </w:rPr>
        <w:t>二、多个产品的承诺(如有):</w:t>
      </w:r>
    </w:p>
    <w:p w14:paraId="7D43F2BF">
      <w:pPr>
        <w:keepNext w:val="0"/>
        <w:keepLines w:val="0"/>
        <w:pageBreakBefore w:val="0"/>
        <w:widowControl/>
        <w:kinsoku/>
        <w:wordWrap/>
        <w:overflowPunct/>
        <w:topLinePunct w:val="0"/>
        <w:autoSpaceDE/>
        <w:autoSpaceDN/>
        <w:bidi w:val="0"/>
        <w:adjustRightInd w:val="0"/>
        <w:snapToGrid/>
        <w:spacing w:before="30" w:after="30" w:line="450" w:lineRule="atLeast"/>
        <w:ind w:firstLine="480" w:firstLineChars="200"/>
        <w:jc w:val="left"/>
        <w:textAlignment w:val="auto"/>
        <w:rPr>
          <w:rFonts w:ascii="宋体" w:hAnsi="宋体" w:cs="仿宋"/>
          <w:i w:val="0"/>
          <w:iCs w:val="0"/>
          <w:sz w:val="24"/>
          <w:szCs w:val="24"/>
        </w:rPr>
      </w:pPr>
      <w:r>
        <w:rPr>
          <w:rFonts w:ascii="宋体" w:hAnsi="宋体" w:cs="仿宋"/>
          <w:i w:val="0"/>
          <w:iCs w:val="0"/>
          <w:sz w:val="24"/>
          <w:szCs w:val="24"/>
        </w:rPr>
        <w:sym w:font="Wingdings 2" w:char="F0A3"/>
      </w:r>
      <w:r>
        <w:rPr>
          <w:rFonts w:hint="eastAsia" w:ascii="仿宋_GB2312" w:hAnsi="仿宋_GB2312" w:eastAsia="仿宋_GB2312" w:cs="仿宋_GB2312"/>
          <w:color w:val="000000" w:themeColor="text1"/>
          <w:kern w:val="0"/>
          <w:sz w:val="24"/>
          <w:szCs w:val="24"/>
          <w:highlight w:val="none"/>
          <w:u w:val="none"/>
          <w:lang w:val="zh-CN"/>
          <w14:textFill>
            <w14:solidFill>
              <w14:schemeClr w14:val="tx1"/>
            </w14:solidFill>
          </w14:textFill>
        </w:rPr>
        <w:t>上述提供的符合本国产品标准的所有产品的成本之和，占本次投标全部产品（含本声明所列产品及其他配套产品）成本总和的比例达到80%。</w:t>
      </w:r>
    </w:p>
    <w:p w14:paraId="695D746E">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本公司（单位）对上述声明内容的真实性负责。如有虚假，愿承担相应法律责任。</w:t>
      </w:r>
    </w:p>
    <w:p w14:paraId="26A0CDFD">
      <w:pPr>
        <w:snapToGrid w:val="0"/>
        <w:spacing w:line="360" w:lineRule="auto"/>
        <w:ind w:firstLine="576"/>
        <w:jc w:val="right"/>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p>
    <w:p w14:paraId="5BDC6974">
      <w:pPr>
        <w:snapToGrid w:val="0"/>
        <w:spacing w:line="360" w:lineRule="auto"/>
        <w:ind w:firstLine="576"/>
        <w:jc w:val="right"/>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公司（单位）名称（盖章）：</w:t>
      </w:r>
    </w:p>
    <w:p w14:paraId="19D1F06F">
      <w:pPr>
        <w:snapToGrid w:val="0"/>
        <w:spacing w:line="360" w:lineRule="auto"/>
        <w:ind w:firstLine="576"/>
        <w:jc w:val="right"/>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1256665</wp:posOffset>
            </wp:positionH>
            <wp:positionV relativeFrom="paragraph">
              <wp:posOffset>473075</wp:posOffset>
            </wp:positionV>
            <wp:extent cx="1066165" cy="6350"/>
            <wp:effectExtent l="0" t="0" r="0" b="0"/>
            <wp:wrapNone/>
            <wp:docPr id="19" name="IM 10"/>
            <wp:cNvGraphicFramePr/>
            <a:graphic xmlns:a="http://schemas.openxmlformats.org/drawingml/2006/main">
              <a:graphicData uri="http://schemas.openxmlformats.org/drawingml/2006/picture">
                <pic:pic xmlns:pic="http://schemas.openxmlformats.org/drawingml/2006/picture">
                  <pic:nvPicPr>
                    <pic:cNvPr id="19" name="IM 10"/>
                    <pic:cNvPicPr/>
                  </pic:nvPicPr>
                  <pic:blipFill>
                    <a:blip r:embed="rId34"/>
                    <a:stretch>
                      <a:fillRect/>
                    </a:stretch>
                  </pic:blipFill>
                  <pic:spPr>
                    <a:xfrm>
                      <a:off x="0" y="0"/>
                      <a:ext cx="1066165" cy="6350"/>
                    </a:xfrm>
                    <a:prstGeom prst="rect">
                      <a:avLst/>
                    </a:prstGeom>
                    <a:noFill/>
                    <a:ln>
                      <a:noFill/>
                    </a:ln>
                  </pic:spPr>
                </pic:pic>
              </a:graphicData>
            </a:graphic>
          </wp:anchor>
        </w:drawing>
      </w: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日期：       年    月     日</w:t>
      </w:r>
    </w:p>
    <w:p w14:paraId="695AB2C4">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p>
    <w:p w14:paraId="44606506">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p>
    <w:p w14:paraId="7E96CEB9">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1.产品如有型号，请在“产品名称”栏一并填写。</w:t>
      </w:r>
    </w:p>
    <w:p w14:paraId="4F4E3257">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2.生产厂名与厂址应与生产厂营业执照载明的相关信息保持一致。</w:t>
      </w:r>
    </w:p>
    <w:p w14:paraId="0F4DEA88">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3.该产品的中国境内生产的组件成本占比相关要求实施前，“规定比例”栏可不填，下同。</w:t>
      </w:r>
    </w:p>
    <w:p w14:paraId="6416C8E2">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4.该产品的关键组件要求实施前，“关键组件”栏可不填，下同。</w:t>
      </w:r>
    </w:p>
    <w:p w14:paraId="4F7A73C8">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u w:val="single"/>
          <w:lang w:val="zh-CN"/>
          <w14:textFill>
            <w14:solidFill>
              <w14:schemeClr w14:val="tx1"/>
            </w14:solidFill>
          </w14:textFill>
        </w:rPr>
        <w:t>5.该产品的关键工序要求实施前，“关键工序”栏可不填，下同</w:t>
      </w:r>
      <w:r>
        <w:rPr>
          <w:rFonts w:hint="eastAsia" w:ascii="仿宋_GB2312" w:hAnsi="仿宋_GB2312" w:eastAsia="仿宋_GB2312" w:cs="仿宋_GB2312"/>
          <w:color w:val="000000" w:themeColor="text1"/>
          <w:kern w:val="0"/>
          <w:sz w:val="24"/>
          <w:szCs w:val="24"/>
          <w:highlight w:val="none"/>
          <w:u w:val="single"/>
          <w:lang w:val="zh-CN" w:eastAsia="zh-CN"/>
          <w14:textFill>
            <w14:solidFill>
              <w14:schemeClr w14:val="tx1"/>
            </w14:solidFill>
          </w14:textFill>
        </w:rPr>
        <w:t>。</w:t>
      </w:r>
    </w:p>
    <w:p w14:paraId="5642CD19">
      <w:pPr>
        <w:snapToGrid w:val="0"/>
        <w:spacing w:line="360" w:lineRule="auto"/>
        <w:ind w:firstLine="576"/>
        <w:rPr>
          <w:rFonts w:hint="eastAsia" w:ascii="仿宋_GB2312" w:hAnsi="仿宋_GB2312" w:eastAsia="仿宋_GB2312" w:cs="仿宋_GB2312"/>
          <w:b/>
          <w:bCs/>
          <w:color w:val="C00000"/>
          <w:kern w:val="0"/>
          <w:sz w:val="24"/>
          <w:szCs w:val="24"/>
          <w:highlight w:val="none"/>
          <w:u w:val="single"/>
          <w:lang w:val="en-US" w:eastAsia="zh-CN"/>
        </w:rPr>
      </w:pPr>
      <w:r>
        <w:rPr>
          <w:rFonts w:hint="eastAsia" w:ascii="仿宋_GB2312" w:hAnsi="仿宋_GB2312" w:eastAsia="仿宋_GB2312" w:cs="仿宋_GB2312"/>
          <w:b/>
          <w:bCs/>
          <w:color w:val="C00000"/>
          <w:kern w:val="0"/>
          <w:sz w:val="24"/>
          <w:szCs w:val="24"/>
          <w:highlight w:val="none"/>
          <w:u w:val="single"/>
          <w:lang w:val="en-US" w:eastAsia="zh-CN"/>
        </w:rPr>
        <w:t>6.涉及多个产品的承诺，请予第二项处打勾，否则不予承认。</w:t>
      </w:r>
    </w:p>
    <w:p w14:paraId="5980AC71">
      <w:pPr>
        <w:snapToGrid w:val="0"/>
        <w:spacing w:line="360" w:lineRule="auto"/>
        <w:ind w:firstLine="576"/>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pPr>
    </w:p>
    <w:p w14:paraId="0DD8BC49">
      <w:pPr>
        <w:pStyle w:val="13"/>
        <w:rPr>
          <w:rFonts w:hint="eastAsia" w:ascii="仿宋_GB2312" w:hAnsi="仿宋_GB2312" w:eastAsia="仿宋_GB2312" w:cs="仿宋_GB2312"/>
          <w:color w:val="000000" w:themeColor="text1"/>
          <w:highlight w:val="none"/>
          <w14:textFill>
            <w14:solidFill>
              <w14:schemeClr w14:val="tx1"/>
            </w14:solidFill>
          </w14:textFill>
        </w:rPr>
      </w:pPr>
    </w:p>
    <w:p w14:paraId="76EAC59F">
      <w:pPr>
        <w:pStyle w:val="13"/>
        <w:ind w:left="0" w:leftChars="0" w:firstLine="0" w:firstLineChars="0"/>
        <w:rPr>
          <w:rFonts w:hint="eastAsia" w:ascii="仿宋_GB2312" w:hAnsi="仿宋_GB2312" w:eastAsia="仿宋_GB2312" w:cs="仿宋_GB2312"/>
          <w:color w:val="000000" w:themeColor="text1"/>
          <w:highlight w:val="none"/>
          <w14:textFill>
            <w14:solidFill>
              <w14:schemeClr w14:val="tx1"/>
            </w14:solidFill>
          </w14:textFill>
        </w:rPr>
      </w:pPr>
    </w:p>
    <w:p w14:paraId="6A51F0BF">
      <w:pPr>
        <w:spacing w:line="540" w:lineRule="exact"/>
        <w:contextualSpacing/>
        <w:jc w:val="center"/>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政采贷</w:t>
      </w:r>
    </w:p>
    <w:p w14:paraId="6C6C3E6D">
      <w:pPr>
        <w:spacing w:line="540" w:lineRule="exact"/>
        <w:ind w:firstLine="480" w:firstLineChars="200"/>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8"/>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1062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noWrap w:val="0"/>
            <w:vAlign w:val="center"/>
          </w:tcPr>
          <w:p w14:paraId="4CB7173B">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舟山市政府采购信用融资合作银行</w:t>
            </w:r>
          </w:p>
        </w:tc>
      </w:tr>
      <w:tr w14:paraId="2290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noWrap w:val="0"/>
            <w:vAlign w:val="center"/>
          </w:tcPr>
          <w:p w14:paraId="494C5A14">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银行名称</w:t>
            </w:r>
          </w:p>
        </w:tc>
        <w:tc>
          <w:tcPr>
            <w:tcW w:w="3975" w:type="dxa"/>
            <w:noWrap w:val="0"/>
            <w:vAlign w:val="center"/>
          </w:tcPr>
          <w:p w14:paraId="3C5B0C8E">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各银行介绍的产品特点</w:t>
            </w:r>
          </w:p>
        </w:tc>
        <w:tc>
          <w:tcPr>
            <w:tcW w:w="2220" w:type="dxa"/>
            <w:noWrap w:val="0"/>
            <w:vAlign w:val="center"/>
          </w:tcPr>
          <w:p w14:paraId="2376EC35">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经办人</w:t>
            </w:r>
          </w:p>
        </w:tc>
        <w:tc>
          <w:tcPr>
            <w:tcW w:w="1908" w:type="dxa"/>
            <w:noWrap w:val="0"/>
            <w:vAlign w:val="center"/>
          </w:tcPr>
          <w:p w14:paraId="70AFF339">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联系方式</w:t>
            </w:r>
          </w:p>
        </w:tc>
      </w:tr>
      <w:tr w14:paraId="40D9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0"/>
            <w:vAlign w:val="center"/>
          </w:tcPr>
          <w:p w14:paraId="27D8843D">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中国工商银行股份有限公司舟山分行</w:t>
            </w:r>
          </w:p>
        </w:tc>
        <w:tc>
          <w:tcPr>
            <w:tcW w:w="3975" w:type="dxa"/>
            <w:noWrap w:val="0"/>
            <w:vAlign w:val="top"/>
          </w:tcPr>
          <w:p w14:paraId="290FDC52">
            <w:pPr>
              <w:numPr>
                <w:ilvl w:val="0"/>
                <w:numId w:val="15"/>
              </w:numPr>
              <w:spacing w:line="40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融资额度高，融资金额最高可至订单金额70%，线上申请，随借随还。2.融资利率低，最低可至当期LPR利率。</w:t>
            </w:r>
          </w:p>
          <w:p w14:paraId="0C46EA47">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3.担保方式灵活，以政府采购合同进行融资，无需另外抵押。</w:t>
            </w:r>
          </w:p>
        </w:tc>
        <w:tc>
          <w:tcPr>
            <w:tcW w:w="2220" w:type="dxa"/>
            <w:noWrap w:val="0"/>
            <w:vAlign w:val="center"/>
          </w:tcPr>
          <w:p w14:paraId="10F22E04">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柳超颖</w:t>
            </w:r>
          </w:p>
        </w:tc>
        <w:tc>
          <w:tcPr>
            <w:tcW w:w="1908" w:type="dxa"/>
            <w:noWrap w:val="0"/>
            <w:vAlign w:val="center"/>
          </w:tcPr>
          <w:p w14:paraId="3AA66346">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0580-2166242, 15858076468</w:t>
            </w:r>
          </w:p>
        </w:tc>
      </w:tr>
      <w:tr w14:paraId="1664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noWrap w:val="0"/>
            <w:vAlign w:val="center"/>
          </w:tcPr>
          <w:p w14:paraId="0D7C1F4E">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中国建设银行股份有限公司舟山分行</w:t>
            </w:r>
          </w:p>
        </w:tc>
        <w:tc>
          <w:tcPr>
            <w:tcW w:w="3975" w:type="dxa"/>
            <w:noWrap w:val="0"/>
            <w:vAlign w:val="top"/>
          </w:tcPr>
          <w:p w14:paraId="483DD6B2">
            <w:pPr>
              <w:numPr>
                <w:ilvl w:val="0"/>
                <w:numId w:val="16"/>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快速便捷：全流程线上操作，通过浙江省政府采购网数据审核信用额度，建行供应链平台快速放款。</w:t>
            </w:r>
          </w:p>
          <w:p w14:paraId="004E31EA">
            <w:pPr>
              <w:numPr>
                <w:ilvl w:val="0"/>
                <w:numId w:val="16"/>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申请额度高：单笔融资额度最高可达政府采购合同金额的90%，单户额度最高可达3000万。</w:t>
            </w:r>
          </w:p>
          <w:p w14:paraId="6DFF510D">
            <w:pPr>
              <w:numPr>
                <w:ilvl w:val="0"/>
                <w:numId w:val="16"/>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无需额外抵押：以浙江省政府采购网备案公示的政府采购合同进行融资，无需额外抵押担保。</w:t>
            </w:r>
          </w:p>
          <w:p w14:paraId="50CD69CB">
            <w:pPr>
              <w:numPr>
                <w:ilvl w:val="0"/>
                <w:numId w:val="16"/>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利率优惠：给予流动资金贷款最优惠利率。</w:t>
            </w:r>
          </w:p>
        </w:tc>
        <w:tc>
          <w:tcPr>
            <w:tcW w:w="2220" w:type="dxa"/>
            <w:noWrap w:val="0"/>
            <w:vAlign w:val="center"/>
          </w:tcPr>
          <w:p w14:paraId="0B5470E2">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普陀片区：蔡妮妮</w:t>
            </w:r>
          </w:p>
          <w:p w14:paraId="52FAB456">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定海片区：杨莹</w:t>
            </w:r>
          </w:p>
          <w:p w14:paraId="31AF2345">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自贸区片区：方晓</w:t>
            </w:r>
          </w:p>
        </w:tc>
        <w:tc>
          <w:tcPr>
            <w:tcW w:w="1908" w:type="dxa"/>
            <w:noWrap w:val="0"/>
            <w:vAlign w:val="center"/>
          </w:tcPr>
          <w:p w14:paraId="38AF45CF">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普陀片区：13957201791</w:t>
            </w:r>
          </w:p>
          <w:p w14:paraId="46E6DF10">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定海片区：13655803997</w:t>
            </w:r>
          </w:p>
          <w:p w14:paraId="508C05E6">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自贸区片区：13587086324</w:t>
            </w:r>
          </w:p>
        </w:tc>
      </w:tr>
      <w:tr w14:paraId="76A0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0"/>
            <w:vAlign w:val="center"/>
          </w:tcPr>
          <w:p w14:paraId="7E614033">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杭州银行股份有限公司舟山市分行</w:t>
            </w:r>
          </w:p>
        </w:tc>
        <w:tc>
          <w:tcPr>
            <w:tcW w:w="3975" w:type="dxa"/>
            <w:noWrap w:val="0"/>
            <w:vAlign w:val="top"/>
          </w:tcPr>
          <w:p w14:paraId="7B9AE305">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noWrap w:val="0"/>
            <w:vAlign w:val="center"/>
          </w:tcPr>
          <w:p w14:paraId="5D19F0E7">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方经理</w:t>
            </w:r>
          </w:p>
        </w:tc>
        <w:tc>
          <w:tcPr>
            <w:tcW w:w="1908" w:type="dxa"/>
            <w:noWrap w:val="0"/>
            <w:vAlign w:val="center"/>
          </w:tcPr>
          <w:p w14:paraId="3574DEE3">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0580-2185201，18205800451</w:t>
            </w:r>
          </w:p>
        </w:tc>
      </w:tr>
      <w:tr w14:paraId="521F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0"/>
            <w:vAlign w:val="center"/>
          </w:tcPr>
          <w:p w14:paraId="6C3BB287">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招商银行股份有限公司浙江自贸试验区舟山分行</w:t>
            </w:r>
          </w:p>
        </w:tc>
        <w:tc>
          <w:tcPr>
            <w:tcW w:w="3975" w:type="dxa"/>
            <w:noWrap w:val="0"/>
            <w:vAlign w:val="top"/>
          </w:tcPr>
          <w:p w14:paraId="52F33901">
            <w:pPr>
              <w:spacing w:line="400" w:lineRule="exact"/>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noWrap w:val="0"/>
            <w:vAlign w:val="center"/>
          </w:tcPr>
          <w:p w14:paraId="1C85A347">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李玲</w:t>
            </w:r>
          </w:p>
        </w:tc>
        <w:tc>
          <w:tcPr>
            <w:tcW w:w="1908" w:type="dxa"/>
            <w:noWrap w:val="0"/>
            <w:vAlign w:val="center"/>
          </w:tcPr>
          <w:p w14:paraId="5C77E57D">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0580-2061710，13957227971</w:t>
            </w:r>
          </w:p>
        </w:tc>
      </w:tr>
      <w:tr w14:paraId="73A2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noWrap w:val="0"/>
            <w:vAlign w:val="center"/>
          </w:tcPr>
          <w:p w14:paraId="1ABBF386">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温州银行股份有限公司舟山市分行</w:t>
            </w:r>
          </w:p>
        </w:tc>
        <w:tc>
          <w:tcPr>
            <w:tcW w:w="3975" w:type="dxa"/>
            <w:noWrap w:val="0"/>
            <w:vAlign w:val="top"/>
          </w:tcPr>
          <w:p w14:paraId="13CFC67D">
            <w:pPr>
              <w:numPr>
                <w:ilvl w:val="0"/>
                <w:numId w:val="17"/>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单户授信敞口最高不超过1000万元，且最高额度核定一般不超过借款人（含实际控制人控制的其他经营实体）最近13个月合计有效中标合同金额的70%。</w:t>
            </w:r>
          </w:p>
          <w:p w14:paraId="62797073">
            <w:pPr>
              <w:numPr>
                <w:ilvl w:val="0"/>
                <w:numId w:val="17"/>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单笔借款额度最高不超过1000万元，单笔业务授信额度不超过“政采云平台”提供的中标通知书承载的中标金额或本次申请授信提供的采购合同金额的80%，且用信金额不超过采购合同未付金额的80%。</w:t>
            </w:r>
          </w:p>
          <w:p w14:paraId="31FF05AD">
            <w:pPr>
              <w:numPr>
                <w:ilvl w:val="0"/>
                <w:numId w:val="17"/>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借款人中标采购人自行采购项目并向我行发起授信申请的，单笔业务授信敞口不超500万元，且不超过借款人中标通知书承载的中标金额或本次申请授信提供的采购合同的80%。</w:t>
            </w:r>
          </w:p>
          <w:p w14:paraId="0685431D">
            <w:pPr>
              <w:numPr>
                <w:ilvl w:val="0"/>
                <w:numId w:val="17"/>
              </w:num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符合我行采购人资质的，且负债率不超75%，配合应收账款质押登记确认的，并可出具确认函，单笔借款额度可按不超过采购合同的90%办理。</w:t>
            </w:r>
          </w:p>
        </w:tc>
        <w:tc>
          <w:tcPr>
            <w:tcW w:w="2220" w:type="dxa"/>
            <w:noWrap w:val="0"/>
            <w:vAlign w:val="center"/>
          </w:tcPr>
          <w:p w14:paraId="3218AE4F">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郑贤栋</w:t>
            </w:r>
          </w:p>
        </w:tc>
        <w:tc>
          <w:tcPr>
            <w:tcW w:w="1908" w:type="dxa"/>
            <w:noWrap w:val="0"/>
            <w:vAlign w:val="center"/>
          </w:tcPr>
          <w:p w14:paraId="25EB58A1">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0580—8866086</w:t>
            </w:r>
          </w:p>
        </w:tc>
      </w:tr>
      <w:tr w14:paraId="0A75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noWrap w:val="0"/>
            <w:vAlign w:val="center"/>
          </w:tcPr>
          <w:p w14:paraId="1F5C3387">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交通银行股份有限公司舟山分行</w:t>
            </w:r>
          </w:p>
        </w:tc>
        <w:tc>
          <w:tcPr>
            <w:tcW w:w="3975" w:type="dxa"/>
            <w:noWrap w:val="0"/>
            <w:vAlign w:val="top"/>
          </w:tcPr>
          <w:p w14:paraId="14118749">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仿宋_GB2312" w:hAnsi="仿宋_GB2312" w:eastAsia="仿宋_GB2312" w:cs="仿宋_GB2312"/>
                <w:color w:val="000000" w:themeColor="text1"/>
                <w:highlight w:val="none"/>
                <w14:textFill>
                  <w14:solidFill>
                    <w14:schemeClr w14:val="tx1"/>
                  </w14:solidFill>
                </w14:textFill>
              </w:rPr>
              <w:t>PR。</w:t>
            </w:r>
          </w:p>
        </w:tc>
        <w:tc>
          <w:tcPr>
            <w:tcW w:w="2220" w:type="dxa"/>
            <w:noWrap w:val="0"/>
            <w:vAlign w:val="center"/>
          </w:tcPr>
          <w:p w14:paraId="3E295037">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赵争艳</w:t>
            </w:r>
          </w:p>
        </w:tc>
        <w:tc>
          <w:tcPr>
            <w:tcW w:w="1908" w:type="dxa"/>
            <w:noWrap w:val="0"/>
            <w:vAlign w:val="center"/>
          </w:tcPr>
          <w:p w14:paraId="22FEE5EB">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0580-2260728</w:t>
            </w:r>
          </w:p>
          <w:p w14:paraId="16C8EB42">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13758007280</w:t>
            </w:r>
          </w:p>
        </w:tc>
      </w:tr>
      <w:tr w14:paraId="1132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0"/>
            <w:vAlign w:val="center"/>
          </w:tcPr>
          <w:p w14:paraId="121CE2CD">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中信银行股份有限公司舟山分行</w:t>
            </w:r>
          </w:p>
        </w:tc>
        <w:tc>
          <w:tcPr>
            <w:tcW w:w="3975" w:type="dxa"/>
            <w:noWrap w:val="0"/>
            <w:vAlign w:val="top"/>
          </w:tcPr>
          <w:p w14:paraId="2B23FACD">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noWrap w:val="0"/>
            <w:vAlign w:val="center"/>
          </w:tcPr>
          <w:p w14:paraId="7D0342EE">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黄丽</w:t>
            </w:r>
          </w:p>
        </w:tc>
        <w:tc>
          <w:tcPr>
            <w:tcW w:w="1908" w:type="dxa"/>
            <w:noWrap w:val="0"/>
            <w:vAlign w:val="center"/>
          </w:tcPr>
          <w:p w14:paraId="65B5E9BF">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13905808032</w:t>
            </w:r>
          </w:p>
        </w:tc>
      </w:tr>
      <w:tr w14:paraId="3B7B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0"/>
            <w:vAlign w:val="center"/>
          </w:tcPr>
          <w:p w14:paraId="39A835A5">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泰隆银行舟山市分行</w:t>
            </w:r>
          </w:p>
        </w:tc>
        <w:tc>
          <w:tcPr>
            <w:tcW w:w="3975" w:type="dxa"/>
            <w:noWrap w:val="0"/>
            <w:vAlign w:val="top"/>
          </w:tcPr>
          <w:p w14:paraId="00B601E3">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noWrap w:val="0"/>
            <w:vAlign w:val="center"/>
          </w:tcPr>
          <w:p w14:paraId="51E6873C">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胡亢宇</w:t>
            </w:r>
          </w:p>
        </w:tc>
        <w:tc>
          <w:tcPr>
            <w:tcW w:w="1908" w:type="dxa"/>
            <w:noWrap w:val="0"/>
            <w:vAlign w:val="center"/>
          </w:tcPr>
          <w:p w14:paraId="608A1C44">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17605868703</w:t>
            </w:r>
          </w:p>
        </w:tc>
      </w:tr>
      <w:tr w14:paraId="15FF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0"/>
            <w:vAlign w:val="center"/>
          </w:tcPr>
          <w:p w14:paraId="4A46E099">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中国农业银行股份有限公司舟山分行</w:t>
            </w:r>
          </w:p>
        </w:tc>
        <w:tc>
          <w:tcPr>
            <w:tcW w:w="3975" w:type="dxa"/>
            <w:noWrap w:val="0"/>
            <w:vAlign w:val="top"/>
          </w:tcPr>
          <w:p w14:paraId="5B547275">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noWrap w:val="0"/>
            <w:vAlign w:val="center"/>
          </w:tcPr>
          <w:p w14:paraId="2D1A9FD8">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苏华瞻</w:t>
            </w:r>
          </w:p>
        </w:tc>
        <w:tc>
          <w:tcPr>
            <w:tcW w:w="1908" w:type="dxa"/>
            <w:noWrap w:val="0"/>
            <w:vAlign w:val="center"/>
          </w:tcPr>
          <w:p w14:paraId="060F2F4B">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13967228926</w:t>
            </w:r>
          </w:p>
        </w:tc>
      </w:tr>
      <w:tr w14:paraId="0107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noWrap w:val="0"/>
            <w:vAlign w:val="center"/>
          </w:tcPr>
          <w:p w14:paraId="17058F64">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中国邮政储蓄银行股份有限公司舟山市分行</w:t>
            </w:r>
          </w:p>
        </w:tc>
        <w:tc>
          <w:tcPr>
            <w:tcW w:w="3975" w:type="dxa"/>
            <w:noWrap w:val="0"/>
            <w:vAlign w:val="top"/>
          </w:tcPr>
          <w:p w14:paraId="52B85921">
            <w:pPr>
              <w:tabs>
                <w:tab w:val="left" w:pos="0"/>
              </w:tabs>
              <w:spacing w:line="400" w:lineRule="exac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符合我行基本准入，授信额度使用期最高为2年，单户授信最高为500万，担保方式享受信用贷款执行，利率最低可至当期LPR ，有无还本续贷，12月份线上产品可以自主自贷。</w:t>
            </w:r>
          </w:p>
        </w:tc>
        <w:tc>
          <w:tcPr>
            <w:tcW w:w="2220" w:type="dxa"/>
            <w:noWrap w:val="0"/>
            <w:vAlign w:val="center"/>
          </w:tcPr>
          <w:p w14:paraId="04A6A288">
            <w:pPr>
              <w:spacing w:line="400" w:lineRule="exact"/>
              <w:contextualSpacing/>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蒋志燕</w:t>
            </w:r>
          </w:p>
        </w:tc>
        <w:tc>
          <w:tcPr>
            <w:tcW w:w="1908" w:type="dxa"/>
            <w:noWrap w:val="0"/>
            <w:vAlign w:val="center"/>
          </w:tcPr>
          <w:p w14:paraId="3718C772">
            <w:pPr>
              <w:spacing w:line="400" w:lineRule="exact"/>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13732527321</w:t>
            </w:r>
          </w:p>
        </w:tc>
      </w:tr>
    </w:tbl>
    <w:p w14:paraId="09621F82">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 一般步骤</w:t>
      </w:r>
    </w:p>
    <w:p w14:paraId="1ED2F485">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（1）供应商先与银行对接，办理融资前期手续；</w:t>
      </w:r>
    </w:p>
    <w:p w14:paraId="0FEB888E">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（2）供应商成交后，凭成交通知书等材料，向相关合作银行发出融资申请；</w:t>
      </w:r>
    </w:p>
    <w:p w14:paraId="12BC2E09">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（3）银行、供应商线上办理审批、放贷事宜。</w:t>
      </w:r>
    </w:p>
    <w:p w14:paraId="470992DF">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 注意事项</w:t>
      </w:r>
    </w:p>
    <w:p w14:paraId="47154635">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（1）成交供应商需确保政府采购合同的收款账户与融资银行开户账户一致。</w:t>
      </w:r>
    </w:p>
    <w:p w14:paraId="178AC93D">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（2）用于政府采购信用融资的政府采购合同，应当包含如下条款：“第条：</w:t>
      </w:r>
    </w:p>
    <w:p w14:paraId="28EBBECA">
      <w:pPr>
        <w:spacing w:line="360" w:lineRule="auto"/>
        <w:contextualSpacing/>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政府采购合同贷款本合同同时用于乙方向银行（金融机构）申请政府采购信用贷款。本合同一经签订，原则上不得更改乙方收款账户信息。确须更改的，乙方应取得原合同收款账户开户银行书面同意，否则修改后的合同不予备案，采购资金不予支付。”</w:t>
      </w:r>
    </w:p>
    <w:p w14:paraId="5C378733">
      <w:pPr>
        <w:spacing w:line="540" w:lineRule="exact"/>
        <w:contextualSpacing/>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4E6CBB29">
      <w:pPr>
        <w:rPr>
          <w:rFonts w:hint="eastAsia" w:ascii="仿宋_GB2312" w:hAnsi="仿宋_GB2312" w:eastAsia="仿宋_GB2312" w:cs="仿宋_GB2312"/>
          <w:color w:val="000000" w:themeColor="text1"/>
          <w:sz w:val="24"/>
          <w:szCs w:val="24"/>
          <w:highlight w:val="none"/>
          <w14:textFill>
            <w14:solidFill>
              <w14:schemeClr w14:val="tx1"/>
            </w14:solidFill>
          </w14:textFill>
        </w:rPr>
      </w:pPr>
    </w:p>
    <w:p w14:paraId="3512F8C7">
      <w:pPr>
        <w:rPr>
          <w:rFonts w:hint="eastAsia" w:ascii="仿宋_GB2312" w:hAnsi="仿宋_GB2312" w:eastAsia="仿宋_GB2312" w:cs="仿宋_GB2312"/>
          <w:color w:val="000000" w:themeColor="text1"/>
          <w:highlight w:val="none"/>
          <w14:textFill>
            <w14:solidFill>
              <w14:schemeClr w14:val="tx1"/>
            </w14:solidFill>
          </w14:textFill>
        </w:rPr>
      </w:pPr>
    </w:p>
    <w:p w14:paraId="3659989E">
      <w:pPr>
        <w:rPr>
          <w:rFonts w:hint="eastAsia" w:ascii="仿宋_GB2312" w:hAnsi="仿宋_GB2312" w:eastAsia="仿宋_GB2312" w:cs="仿宋_GB2312"/>
          <w:color w:val="000000" w:themeColor="text1"/>
          <w:highlight w:val="none"/>
          <w14:textFill>
            <w14:solidFill>
              <w14:schemeClr w14:val="tx1"/>
            </w14:solidFill>
          </w14:textFill>
        </w:rPr>
      </w:pPr>
    </w:p>
    <w:p w14:paraId="1A237B66">
      <w:pPr>
        <w:rPr>
          <w:rFonts w:hint="eastAsia" w:ascii="仿宋_GB2312" w:hAnsi="仿宋_GB2312" w:eastAsia="仿宋_GB2312" w:cs="仿宋_GB2312"/>
          <w:color w:val="000000" w:themeColor="text1"/>
          <w:highlight w:val="none"/>
          <w14:textFill>
            <w14:solidFill>
              <w14:schemeClr w14:val="tx1"/>
            </w14:solidFill>
          </w14:textFill>
        </w:rPr>
      </w:pPr>
    </w:p>
    <w:p w14:paraId="08D95212">
      <w:pPr>
        <w:rPr>
          <w:rFonts w:hint="eastAsia" w:ascii="仿宋_GB2312" w:hAnsi="仿宋_GB2312" w:eastAsia="仿宋_GB2312" w:cs="仿宋_GB2312"/>
          <w:color w:val="000000" w:themeColor="text1"/>
          <w:highlight w:val="none"/>
          <w14:textFill>
            <w14:solidFill>
              <w14:schemeClr w14:val="tx1"/>
            </w14:solidFill>
          </w14:textFill>
        </w:rPr>
      </w:pPr>
    </w:p>
    <w:p w14:paraId="1A427C09">
      <w:pPr>
        <w:rPr>
          <w:rFonts w:hint="eastAsia" w:ascii="仿宋_GB2312" w:hAnsi="仿宋_GB2312" w:eastAsia="仿宋_GB2312" w:cs="仿宋_GB2312"/>
          <w:color w:val="000000" w:themeColor="text1"/>
          <w:highlight w:val="none"/>
          <w14:textFill>
            <w14:solidFill>
              <w14:schemeClr w14:val="tx1"/>
            </w14:solidFill>
          </w14:textFill>
        </w:rPr>
      </w:pPr>
    </w:p>
    <w:p w14:paraId="505815A7">
      <w:pPr>
        <w:rPr>
          <w:rFonts w:hint="eastAsia" w:ascii="仿宋_GB2312" w:hAnsi="仿宋_GB2312" w:eastAsia="仿宋_GB2312" w:cs="仿宋_GB2312"/>
          <w:color w:val="000000" w:themeColor="text1"/>
          <w:highlight w:val="none"/>
          <w14:textFill>
            <w14:solidFill>
              <w14:schemeClr w14:val="tx1"/>
            </w14:solidFill>
          </w14:textFill>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仿宋_GB2312">
    <w:altName w:val="方正仿宋_GBK"/>
    <w:panose1 w:val="02010609030101010101"/>
    <w:charset w:val="86"/>
    <w:family w:val="decorative"/>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隶书">
    <w:altName w:val="方正隶书_GBK"/>
    <w:panose1 w:val="02010509060101010101"/>
    <w:charset w:val="86"/>
    <w:family w:val="modern"/>
    <w:pitch w:val="default"/>
    <w:sig w:usb0="00000000" w:usb1="00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楷体_GB2312">
    <w:altName w:val="方正楷体_GBK"/>
    <w:panose1 w:val="02010609030101010101"/>
    <w:charset w:val="86"/>
    <w:family w:val="decorative"/>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汉仪大黑简">
    <w:altName w:val="方正黑体_GBK"/>
    <w:panose1 w:val="02010600000101010101"/>
    <w:charset w:val="86"/>
    <w:family w:val="auto"/>
    <w:pitch w:val="default"/>
    <w:sig w:usb0="00000000" w:usb1="00000000" w:usb2="00000002"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MathJax_Vector">
    <w:panose1 w:val="02000603000000000000"/>
    <w:charset w:val="00"/>
    <w:family w:val="auto"/>
    <w:pitch w:val="default"/>
    <w:sig w:usb0="00000001" w:usb1="00000020" w:usb2="00000000" w:usb3="00000000" w:csb0="00000001" w:csb1="00000000"/>
  </w:font>
  <w:font w:name="MS Mincho">
    <w:altName w:val="方正书宋_GBK"/>
    <w:panose1 w:val="02020609040205080304"/>
    <w:charset w:val="80"/>
    <w:family w:val="auto"/>
    <w:pitch w:val="default"/>
    <w:sig w:usb0="00000000" w:usb1="00000000" w:usb2="00000012" w:usb3="00000000" w:csb0="4002009F" w:csb1="DFD70000"/>
  </w:font>
  <w:font w:name="方正仿宋_GB2312">
    <w:panose1 w:val="02000000000000000000"/>
    <w:charset w:val="86"/>
    <w:family w:val="auto"/>
    <w:pitch w:val="default"/>
    <w:sig w:usb0="A00002BF" w:usb1="184F6CFA" w:usb2="00000012" w:usb3="00000000" w:csb0="00040001" w:csb1="00000000"/>
  </w:font>
  <w:font w:name="Wingdings 2">
    <w:altName w:val="MathJax_Vector"/>
    <w:panose1 w:val="05020102010507070707"/>
    <w:charset w:val="02"/>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Liberation Serif">
    <w:panose1 w:val="02020603050405020304"/>
    <w:charset w:val="00"/>
    <w:family w:val="auto"/>
    <w:pitch w:val="default"/>
    <w:sig w:usb0="A00002AF" w:usb1="500078FB" w:usb2="00000000" w:usb3="00000000" w:csb0="6000009F" w:csb1="DFD70000"/>
  </w:font>
  <w:font w:name="阳光吾坚体">
    <w:panose1 w:val="01010100010101010101"/>
    <w:charset w:val="00"/>
    <w:family w:val="auto"/>
    <w:pitch w:val="default"/>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3D75">
    <w:pPr>
      <w:pStyle w:val="20"/>
      <w:jc w:val="center"/>
    </w:pPr>
    <w:r>
      <w:fldChar w:fldCharType="begin"/>
    </w:r>
    <w:r>
      <w:instrText xml:space="preserve"> PAGE   \* MERGEFORMAT </w:instrText>
    </w:r>
    <w:r>
      <w:fldChar w:fldCharType="separate"/>
    </w:r>
    <w:r>
      <w:rPr>
        <w:lang w:val="zh-CN"/>
      </w:rPr>
      <w:t>22</w:t>
    </w:r>
    <w:r>
      <w:rPr>
        <w:lang w:val="zh-CN"/>
      </w:rPr>
      <w:fldChar w:fldCharType="end"/>
    </w:r>
  </w:p>
  <w:p w14:paraId="78F75DED">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7549">
    <w:r>
      <w:fldChar w:fldCharType="begin"/>
    </w:r>
    <w:r>
      <w:instrText xml:space="preserve">PAGE  </w:instrText>
    </w:r>
    <w:r>
      <w:fldChar w:fldCharType="end"/>
    </w:r>
  </w:p>
  <w:p w14:paraId="1964865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E3B0">
    <w:pPr>
      <w:pStyle w:val="20"/>
      <w:jc w:val="center"/>
    </w:pPr>
    <w:r>
      <w:fldChar w:fldCharType="begin"/>
    </w:r>
    <w:r>
      <w:instrText xml:space="preserve"> PAGE   \* MERGEFORMAT </w:instrText>
    </w:r>
    <w:r>
      <w:fldChar w:fldCharType="separate"/>
    </w:r>
    <w:r>
      <w:rPr>
        <w:lang w:val="zh-CN"/>
      </w:rPr>
      <w:t>82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A17FD">
    <w:r>
      <w:fldChar w:fldCharType="begin"/>
    </w:r>
    <w:r>
      <w:instrText xml:space="preserve">PAGE  </w:instrText>
    </w:r>
    <w:r>
      <w:fldChar w:fldCharType="end"/>
    </w:r>
  </w:p>
  <w:p w14:paraId="02DF6B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724CC">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67F8217">
        <w:pPr>
          <w:pStyle w:val="2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43EF">
    <w:pPr>
      <w:pStyle w:val="20"/>
      <w:jc w:val="center"/>
    </w:pPr>
    <w:r>
      <w:fldChar w:fldCharType="begin"/>
    </w:r>
    <w:r>
      <w:instrText xml:space="preserve"> PAGE   \* MERGEFORMAT </w:instrText>
    </w:r>
    <w:r>
      <w:fldChar w:fldCharType="separate"/>
    </w:r>
    <w:r>
      <w:rPr>
        <w:lang w:val="zh-CN"/>
      </w:rPr>
      <w:t>33</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CAB63">
    <w:pPr>
      <w:pStyle w:val="20"/>
      <w:jc w:val="center"/>
    </w:pPr>
    <w:r>
      <w:fldChar w:fldCharType="begin"/>
    </w:r>
    <w:r>
      <w:instrText xml:space="preserve"> PAGE   \* MERGEFORMAT </w:instrText>
    </w:r>
    <w:r>
      <w:fldChar w:fldCharType="separate"/>
    </w:r>
    <w:r>
      <w:rPr>
        <w:lang w:val="zh-CN"/>
      </w:rPr>
      <w:t>23</w:t>
    </w:r>
    <w:r>
      <w:rPr>
        <w:lang w:val="zh-CN"/>
      </w:rPr>
      <w:fldChar w:fldCharType="end"/>
    </w:r>
  </w:p>
  <w:p w14:paraId="3B2BF0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E690B">
    <w:pPr>
      <w:pStyle w:val="20"/>
      <w:jc w:val="center"/>
    </w:pPr>
    <w:r>
      <w:fldChar w:fldCharType="begin"/>
    </w:r>
    <w:r>
      <w:instrText xml:space="preserve"> PAGE   \* MERGEFORMAT </w:instrText>
    </w:r>
    <w:r>
      <w:fldChar w:fldCharType="separate"/>
    </w:r>
    <w:r>
      <w:rPr>
        <w:lang w:val="zh-CN"/>
      </w:rPr>
      <w:t>81</w:t>
    </w:r>
    <w:r>
      <w:rPr>
        <w:lang w:val="zh-CN"/>
      </w:rPr>
      <w:fldChar w:fldCharType="end"/>
    </w:r>
  </w:p>
  <w:p w14:paraId="089EA21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C3438">
    <w:pPr>
      <w:pStyle w:val="20"/>
      <w:jc w:val="center"/>
    </w:pPr>
    <w:r>
      <w:fldChar w:fldCharType="begin"/>
    </w:r>
    <w:r>
      <w:instrText xml:space="preserve"> PAGE   \* MERGEFORMAT </w:instrText>
    </w:r>
    <w:r>
      <w:fldChar w:fldCharType="separate"/>
    </w:r>
    <w:r>
      <w:rPr>
        <w:lang w:val="zh-CN"/>
      </w:rPr>
      <w:t>79</w:t>
    </w:r>
    <w:r>
      <w:rPr>
        <w:lang w:val="zh-CN"/>
      </w:rPr>
      <w:fldChar w:fldCharType="end"/>
    </w:r>
  </w:p>
  <w:p w14:paraId="2D7914A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1A807">
    <w:pPr>
      <w:pStyle w:val="20"/>
      <w:jc w:val="center"/>
    </w:pPr>
    <w:r>
      <w:fldChar w:fldCharType="begin"/>
    </w:r>
    <w:r>
      <w:instrText xml:space="preserve"> PAGE   \* MERGEFORMAT </w:instrText>
    </w:r>
    <w:r>
      <w:fldChar w:fldCharType="separate"/>
    </w:r>
    <w:r>
      <w:rPr>
        <w:lang w:val="zh-CN"/>
      </w:rPr>
      <w:t>97</w:t>
    </w:r>
    <w:r>
      <w:rPr>
        <w:lang w:val="zh-CN"/>
      </w:rPr>
      <w:fldChar w:fldCharType="end"/>
    </w:r>
  </w:p>
  <w:p w14:paraId="70607F6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5C4F1">
    <w:r>
      <w:t></w:t>
    </w:r>
  </w:p>
  <w:p w14:paraId="38E59A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C97E">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27172">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2A5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7B5D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3725E">
    <w:pPr>
      <w:pStyle w:val="21"/>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2E576">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3DA61"/>
    <w:multiLevelType w:val="multilevel"/>
    <w:tmpl w:val="9413DA61"/>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CFADB91"/>
    <w:multiLevelType w:val="multilevel"/>
    <w:tmpl w:val="ACFADB91"/>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CC17D5A4"/>
    <w:multiLevelType w:val="singleLevel"/>
    <w:tmpl w:val="CC17D5A4"/>
    <w:lvl w:ilvl="0" w:tentative="0">
      <w:start w:val="1"/>
      <w:numFmt w:val="decimal"/>
      <w:lvlText w:val="%1."/>
      <w:lvlJc w:val="left"/>
      <w:pPr>
        <w:tabs>
          <w:tab w:val="left" w:pos="312"/>
        </w:tabs>
      </w:pPr>
    </w:lvl>
  </w:abstractNum>
  <w:abstractNum w:abstractNumId="3">
    <w:nsid w:val="D7930B81"/>
    <w:multiLevelType w:val="singleLevel"/>
    <w:tmpl w:val="D7930B81"/>
    <w:lvl w:ilvl="0" w:tentative="0">
      <w:start w:val="1"/>
      <w:numFmt w:val="decimal"/>
      <w:lvlText w:val="%1."/>
      <w:lvlJc w:val="left"/>
      <w:pPr>
        <w:tabs>
          <w:tab w:val="left" w:pos="312"/>
        </w:tabs>
      </w:pPr>
    </w:lvl>
  </w:abstractNum>
  <w:abstractNum w:abstractNumId="4">
    <w:nsid w:val="00000001"/>
    <w:multiLevelType w:val="multilevel"/>
    <w:tmpl w:val="0000000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2"/>
    <w:multiLevelType w:val="multilevel"/>
    <w:tmpl w:val="00000002"/>
    <w:lvl w:ilvl="0" w:tentative="0">
      <w:start w:val="1"/>
      <w:numFmt w:val="chineseCountingThousand"/>
      <w:pStyle w:val="81"/>
      <w:suff w:val="space"/>
      <w:lvlText w:val="%1. "/>
      <w:lvlJc w:val="left"/>
      <w:pPr>
        <w:ind w:left="1179" w:hanging="907"/>
      </w:pPr>
    </w:lvl>
    <w:lvl w:ilvl="1" w:tentative="0">
      <w:start w:val="1"/>
      <w:numFmt w:val="decimal"/>
      <w:pStyle w:val="82"/>
      <w:isLgl/>
      <w:suff w:val="space"/>
      <w:lvlText w:val="%1.%2 "/>
      <w:lvlJc w:val="left"/>
      <w:pPr>
        <w:ind w:left="1362" w:hanging="794"/>
      </w:pPr>
    </w:lvl>
    <w:lvl w:ilvl="2" w:tentative="0">
      <w:start w:val="1"/>
      <w:numFmt w:val="decimal"/>
      <w:pStyle w:val="83"/>
      <w:isLgl/>
      <w:suff w:val="space"/>
      <w:lvlText w:val="%1.%2.%3 "/>
      <w:lvlJc w:val="left"/>
      <w:pPr>
        <w:ind w:left="907" w:hanging="907"/>
      </w:pPr>
    </w:lvl>
    <w:lvl w:ilvl="3" w:tentative="0">
      <w:start w:val="1"/>
      <w:numFmt w:val="decimal"/>
      <w:pStyle w:val="85"/>
      <w:isLgl/>
      <w:suff w:val="space"/>
      <w:lvlText w:val="%1.%2.%3.%4 "/>
      <w:lvlJc w:val="left"/>
      <w:pPr>
        <w:ind w:left="1021" w:hanging="1021"/>
      </w:pPr>
    </w:lvl>
    <w:lvl w:ilvl="4" w:tentative="0">
      <w:start w:val="1"/>
      <w:numFmt w:val="decimal"/>
      <w:pStyle w:val="86"/>
      <w:isLgl/>
      <w:suff w:val="space"/>
      <w:lvlText w:val="%1.%2.%3.%4.%5 "/>
      <w:lvlJc w:val="left"/>
      <w:pPr>
        <w:ind w:left="1134" w:hanging="1134"/>
      </w:pPr>
    </w:lvl>
    <w:lvl w:ilvl="5" w:tentative="0">
      <w:start w:val="1"/>
      <w:numFmt w:val="decimal"/>
      <w:pStyle w:val="87"/>
      <w:isLgl/>
      <w:suff w:val="space"/>
      <w:lvlText w:val="%1.%2.%3.%4.%5.%6 "/>
      <w:lvlJc w:val="left"/>
      <w:pPr>
        <w:ind w:left="1247" w:hanging="1247"/>
      </w:pPr>
    </w:lvl>
    <w:lvl w:ilvl="6" w:tentative="0">
      <w:start w:val="1"/>
      <w:numFmt w:val="decimal"/>
      <w:isLgl/>
      <w:suff w:val="space"/>
      <w:lvlText w:val="图 %1.%7 "/>
      <w:lvlJc w:val="left"/>
      <w:pPr>
        <w:ind w:left="0" w:firstLine="0"/>
      </w:pPr>
    </w:lvl>
    <w:lvl w:ilvl="7" w:tentative="0">
      <w:start w:val="1"/>
      <w:numFmt w:val="decimal"/>
      <w:isLgl/>
      <w:suff w:val="space"/>
      <w:lvlText w:val="表 %1.%8 "/>
      <w:lvlJc w:val="left"/>
      <w:pPr>
        <w:ind w:left="0" w:firstLine="0"/>
      </w:pPr>
    </w:lvl>
    <w:lvl w:ilvl="8" w:tentative="0">
      <w:start w:val="1"/>
      <w:numFmt w:val="none"/>
      <w:suff w:val="nothing"/>
      <w:lvlText w:val=""/>
      <w:lvlJc w:val="left"/>
      <w:pPr>
        <w:ind w:left="0" w:firstLine="0"/>
      </w:pPr>
    </w:lvl>
  </w:abstractNum>
  <w:abstractNum w:abstractNumId="6">
    <w:nsid w:val="00000003"/>
    <w:multiLevelType w:val="multilevel"/>
    <w:tmpl w:val="00000003"/>
    <w:lvl w:ilvl="0" w:tentative="0">
      <w:start w:val="1"/>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4"/>
    <w:multiLevelType w:val="singleLevel"/>
    <w:tmpl w:val="00000004"/>
    <w:lvl w:ilvl="0" w:tentative="0">
      <w:start w:val="3"/>
      <w:numFmt w:val="decimal"/>
      <w:lvlText w:val="%1."/>
      <w:lvlJc w:val="left"/>
      <w:pPr>
        <w:tabs>
          <w:tab w:val="left" w:pos="312"/>
        </w:tabs>
      </w:pPr>
    </w:lvl>
  </w:abstractNum>
  <w:abstractNum w:abstractNumId="8">
    <w:nsid w:val="00000005"/>
    <w:multiLevelType w:val="singleLevel"/>
    <w:tmpl w:val="00000005"/>
    <w:lvl w:ilvl="0" w:tentative="0">
      <w:start w:val="1"/>
      <w:numFmt w:val="decimal"/>
      <w:lvlText w:val="%1."/>
      <w:lvlJc w:val="left"/>
      <w:pPr>
        <w:tabs>
          <w:tab w:val="left" w:pos="312"/>
        </w:tabs>
      </w:pPr>
    </w:lvl>
  </w:abstractNum>
  <w:abstractNum w:abstractNumId="9">
    <w:nsid w:val="0FCA1562"/>
    <w:multiLevelType w:val="singleLevel"/>
    <w:tmpl w:val="0FCA1562"/>
    <w:lvl w:ilvl="0" w:tentative="0">
      <w:start w:val="1"/>
      <w:numFmt w:val="decimal"/>
      <w:lvlText w:val="%1."/>
      <w:lvlJc w:val="left"/>
      <w:pPr>
        <w:tabs>
          <w:tab w:val="left" w:pos="312"/>
        </w:tabs>
      </w:pPr>
    </w:lvl>
  </w:abstractNum>
  <w:abstractNum w:abstractNumId="10">
    <w:nsid w:val="18D883C1"/>
    <w:multiLevelType w:val="singleLevel"/>
    <w:tmpl w:val="18D883C1"/>
    <w:lvl w:ilvl="0" w:tentative="0">
      <w:start w:val="1"/>
      <w:numFmt w:val="decimal"/>
      <w:lvlText w:val="%1."/>
      <w:lvlJc w:val="left"/>
      <w:pPr>
        <w:tabs>
          <w:tab w:val="left" w:pos="312"/>
        </w:tabs>
      </w:pPr>
    </w:lvl>
  </w:abstractNum>
  <w:abstractNum w:abstractNumId="11">
    <w:nsid w:val="20A10A6C"/>
    <w:multiLevelType w:val="multilevel"/>
    <w:tmpl w:val="20A10A6C"/>
    <w:lvl w:ilvl="0" w:tentative="0">
      <w:start w:val="1"/>
      <w:numFmt w:val="decimal"/>
      <w:lvlText w:val="%1."/>
      <w:lvlJc w:val="left"/>
      <w:pPr>
        <w:ind w:left="0" w:leftChars="0" w:firstLine="0" w:firstLineChars="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EBB3C91"/>
    <w:multiLevelType w:val="multilevel"/>
    <w:tmpl w:val="3EBB3C91"/>
    <w:lvl w:ilvl="0" w:tentative="0">
      <w:start w:val="1"/>
      <w:numFmt w:val="chineseCountingThousand"/>
      <w:pStyle w:val="99"/>
      <w:suff w:val="space"/>
      <w:lvlText w:val="%1. "/>
      <w:lvlJc w:val="left"/>
      <w:pPr>
        <w:ind w:left="1179" w:hanging="907"/>
      </w:pPr>
    </w:lvl>
    <w:lvl w:ilvl="1" w:tentative="0">
      <w:start w:val="1"/>
      <w:numFmt w:val="decimal"/>
      <w:isLgl/>
      <w:suff w:val="space"/>
      <w:lvlText w:val="%1.%2 "/>
      <w:lvlJc w:val="left"/>
      <w:pPr>
        <w:ind w:left="1362" w:hanging="794"/>
      </w:pPr>
    </w:lvl>
    <w:lvl w:ilvl="2" w:tentative="0">
      <w:start w:val="1"/>
      <w:numFmt w:val="decimal"/>
      <w:isLgl/>
      <w:suff w:val="space"/>
      <w:lvlText w:val="%1.%2.%3 "/>
      <w:lvlJc w:val="left"/>
      <w:pPr>
        <w:ind w:left="907" w:hanging="907"/>
      </w:pPr>
    </w:lvl>
    <w:lvl w:ilvl="3" w:tentative="0">
      <w:start w:val="1"/>
      <w:numFmt w:val="decimal"/>
      <w:isLgl/>
      <w:suff w:val="space"/>
      <w:lvlText w:val="%1.%2.%3.%4 "/>
      <w:lvlJc w:val="left"/>
      <w:pPr>
        <w:ind w:left="1021" w:hanging="1021"/>
      </w:pPr>
    </w:lvl>
    <w:lvl w:ilvl="4" w:tentative="0">
      <w:start w:val="1"/>
      <w:numFmt w:val="decimal"/>
      <w:isLgl/>
      <w:suff w:val="space"/>
      <w:lvlText w:val="%1.%2.%3.%4.%5 "/>
      <w:lvlJc w:val="left"/>
      <w:pPr>
        <w:ind w:left="1134" w:hanging="1134"/>
      </w:pPr>
    </w:lvl>
    <w:lvl w:ilvl="5" w:tentative="0">
      <w:start w:val="1"/>
      <w:numFmt w:val="decimal"/>
      <w:isLgl/>
      <w:suff w:val="space"/>
      <w:lvlText w:val="%1.%2.%3.%4.%5.%6 "/>
      <w:lvlJc w:val="left"/>
      <w:pPr>
        <w:ind w:left="1247" w:hanging="1247"/>
      </w:pPr>
    </w:lvl>
    <w:lvl w:ilvl="6" w:tentative="0">
      <w:start w:val="1"/>
      <w:numFmt w:val="decimal"/>
      <w:lvlRestart w:val="1"/>
      <w:isLgl/>
      <w:suff w:val="space"/>
      <w:lvlText w:val="图 %1.%7 "/>
      <w:lvlJc w:val="left"/>
      <w:pPr>
        <w:ind w:left="0" w:firstLine="0"/>
      </w:pPr>
    </w:lvl>
    <w:lvl w:ilvl="7" w:tentative="0">
      <w:start w:val="1"/>
      <w:numFmt w:val="decimal"/>
      <w:lvlRestart w:val="1"/>
      <w:isLgl/>
      <w:suff w:val="space"/>
      <w:lvlText w:val="表 %1.%8 "/>
      <w:lvlJc w:val="left"/>
      <w:pPr>
        <w:ind w:left="0" w:firstLine="0"/>
      </w:pPr>
    </w:lvl>
    <w:lvl w:ilvl="8" w:tentative="0">
      <w:start w:val="1"/>
      <w:numFmt w:val="none"/>
      <w:suff w:val="nothing"/>
      <w:lvlText w:val=""/>
      <w:lvlJc w:val="left"/>
      <w:pPr>
        <w:ind w:left="0" w:firstLine="0"/>
      </w:pPr>
    </w:lvl>
  </w:abstractNum>
  <w:abstractNum w:abstractNumId="13">
    <w:nsid w:val="4367CBEA"/>
    <w:multiLevelType w:val="singleLevel"/>
    <w:tmpl w:val="4367CBEA"/>
    <w:lvl w:ilvl="0" w:tentative="0">
      <w:start w:val="3"/>
      <w:numFmt w:val="chineseCounting"/>
      <w:suff w:val="space"/>
      <w:lvlText w:val="第%1部分"/>
      <w:lvlJc w:val="left"/>
      <w:rPr>
        <w:rFonts w:hint="eastAsia"/>
      </w:rPr>
    </w:lvl>
  </w:abstractNum>
  <w:abstractNum w:abstractNumId="14">
    <w:nsid w:val="692163BF"/>
    <w:multiLevelType w:val="multilevel"/>
    <w:tmpl w:val="692163BF"/>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B4986A0"/>
    <w:multiLevelType w:val="singleLevel"/>
    <w:tmpl w:val="6B4986A0"/>
    <w:lvl w:ilvl="0" w:tentative="0">
      <w:start w:val="1"/>
      <w:numFmt w:val="decimal"/>
      <w:suff w:val="nothing"/>
      <w:lvlText w:val="%1）"/>
      <w:lvlJc w:val="left"/>
    </w:lvl>
  </w:abstractNum>
  <w:abstractNum w:abstractNumId="16">
    <w:nsid w:val="7A9B6140"/>
    <w:multiLevelType w:val="singleLevel"/>
    <w:tmpl w:val="7A9B6140"/>
    <w:lvl w:ilvl="0" w:tentative="0">
      <w:start w:val="1"/>
      <w:numFmt w:val="decimal"/>
      <w:lvlText w:val="%1."/>
      <w:lvlJc w:val="left"/>
      <w:pPr>
        <w:tabs>
          <w:tab w:val="left" w:pos="312"/>
        </w:tabs>
      </w:pPr>
    </w:lvl>
  </w:abstractNum>
  <w:num w:numId="1">
    <w:abstractNumId w:val="5"/>
  </w:num>
  <w:num w:numId="2">
    <w:abstractNumId w:val="12"/>
  </w:num>
  <w:num w:numId="3">
    <w:abstractNumId w:val="7"/>
  </w:num>
  <w:num w:numId="4">
    <w:abstractNumId w:val="13"/>
  </w:num>
  <w:num w:numId="5">
    <w:abstractNumId w:val="14"/>
  </w:num>
  <w:num w:numId="6">
    <w:abstractNumId w:val="3"/>
  </w:num>
  <w:num w:numId="7">
    <w:abstractNumId w:val="9"/>
  </w:num>
  <w:num w:numId="8">
    <w:abstractNumId w:val="2"/>
  </w:num>
  <w:num w:numId="9">
    <w:abstractNumId w:val="10"/>
  </w:num>
  <w:num w:numId="10">
    <w:abstractNumId w:val="11"/>
  </w:num>
  <w:num w:numId="11">
    <w:abstractNumId w:val="15"/>
  </w:num>
  <w:num w:numId="12">
    <w:abstractNumId w:val="1"/>
  </w:num>
  <w:num w:numId="13">
    <w:abstractNumId w:val="0"/>
  </w:num>
  <w:num w:numId="14">
    <w:abstractNumId w:val="4"/>
  </w:num>
  <w:num w:numId="15">
    <w:abstractNumId w:val="16"/>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3Mjk4NWVmYmNhMzg5MjZlNmIyYTM0ZDhkZjQwYWYifQ=="/>
  </w:docVars>
  <w:rsids>
    <w:rsidRoot w:val="00D17E4D"/>
    <w:rsid w:val="000059A4"/>
    <w:rsid w:val="00011159"/>
    <w:rsid w:val="000157A0"/>
    <w:rsid w:val="00021F3F"/>
    <w:rsid w:val="00035DB6"/>
    <w:rsid w:val="00042F9F"/>
    <w:rsid w:val="00053B45"/>
    <w:rsid w:val="00062BBC"/>
    <w:rsid w:val="00076E53"/>
    <w:rsid w:val="00084ACE"/>
    <w:rsid w:val="000B02D0"/>
    <w:rsid w:val="000B62A1"/>
    <w:rsid w:val="000F2F54"/>
    <w:rsid w:val="001011B4"/>
    <w:rsid w:val="00104C89"/>
    <w:rsid w:val="001172B0"/>
    <w:rsid w:val="00134331"/>
    <w:rsid w:val="00135D23"/>
    <w:rsid w:val="00147FB7"/>
    <w:rsid w:val="0015191E"/>
    <w:rsid w:val="0015451D"/>
    <w:rsid w:val="00157435"/>
    <w:rsid w:val="00157D62"/>
    <w:rsid w:val="001616D8"/>
    <w:rsid w:val="0016540F"/>
    <w:rsid w:val="00176A78"/>
    <w:rsid w:val="001A31E6"/>
    <w:rsid w:val="001A4182"/>
    <w:rsid w:val="001B396A"/>
    <w:rsid w:val="001C4D70"/>
    <w:rsid w:val="001C733E"/>
    <w:rsid w:val="001E4B66"/>
    <w:rsid w:val="001E7509"/>
    <w:rsid w:val="001F509A"/>
    <w:rsid w:val="00214F14"/>
    <w:rsid w:val="00232A2B"/>
    <w:rsid w:val="00234C56"/>
    <w:rsid w:val="00237FFB"/>
    <w:rsid w:val="00240926"/>
    <w:rsid w:val="00252FE7"/>
    <w:rsid w:val="0025625E"/>
    <w:rsid w:val="00273789"/>
    <w:rsid w:val="00280EE4"/>
    <w:rsid w:val="002923B4"/>
    <w:rsid w:val="002A487C"/>
    <w:rsid w:val="002C42A0"/>
    <w:rsid w:val="002E0E31"/>
    <w:rsid w:val="002E0FD6"/>
    <w:rsid w:val="002E10C9"/>
    <w:rsid w:val="002E41D9"/>
    <w:rsid w:val="002F6E78"/>
    <w:rsid w:val="00301BF4"/>
    <w:rsid w:val="00302A55"/>
    <w:rsid w:val="00304000"/>
    <w:rsid w:val="00310F98"/>
    <w:rsid w:val="003124F0"/>
    <w:rsid w:val="003173B7"/>
    <w:rsid w:val="00333A85"/>
    <w:rsid w:val="0034529B"/>
    <w:rsid w:val="0034600E"/>
    <w:rsid w:val="003501DB"/>
    <w:rsid w:val="00356572"/>
    <w:rsid w:val="00360950"/>
    <w:rsid w:val="00366837"/>
    <w:rsid w:val="00382235"/>
    <w:rsid w:val="003C3687"/>
    <w:rsid w:val="003C53FE"/>
    <w:rsid w:val="003D452F"/>
    <w:rsid w:val="003D4E0E"/>
    <w:rsid w:val="00402B8A"/>
    <w:rsid w:val="004056D2"/>
    <w:rsid w:val="00406A38"/>
    <w:rsid w:val="00417FE5"/>
    <w:rsid w:val="00426D1B"/>
    <w:rsid w:val="00427945"/>
    <w:rsid w:val="004310E0"/>
    <w:rsid w:val="004339C6"/>
    <w:rsid w:val="00436876"/>
    <w:rsid w:val="00442AA0"/>
    <w:rsid w:val="00446197"/>
    <w:rsid w:val="00455720"/>
    <w:rsid w:val="004827B3"/>
    <w:rsid w:val="00485956"/>
    <w:rsid w:val="0049069A"/>
    <w:rsid w:val="00491128"/>
    <w:rsid w:val="0049281D"/>
    <w:rsid w:val="004A13B9"/>
    <w:rsid w:val="004B4B62"/>
    <w:rsid w:val="004C094D"/>
    <w:rsid w:val="004C7DCF"/>
    <w:rsid w:val="004D7236"/>
    <w:rsid w:val="004E158E"/>
    <w:rsid w:val="004E3200"/>
    <w:rsid w:val="004F1914"/>
    <w:rsid w:val="00502419"/>
    <w:rsid w:val="005073DA"/>
    <w:rsid w:val="00510775"/>
    <w:rsid w:val="005171E2"/>
    <w:rsid w:val="00533438"/>
    <w:rsid w:val="00534468"/>
    <w:rsid w:val="00554450"/>
    <w:rsid w:val="00556153"/>
    <w:rsid w:val="0055687A"/>
    <w:rsid w:val="00557E25"/>
    <w:rsid w:val="005634AA"/>
    <w:rsid w:val="00566EBD"/>
    <w:rsid w:val="00572713"/>
    <w:rsid w:val="00575C59"/>
    <w:rsid w:val="00585E9F"/>
    <w:rsid w:val="00591CFA"/>
    <w:rsid w:val="00594E6C"/>
    <w:rsid w:val="00597461"/>
    <w:rsid w:val="005A1B6C"/>
    <w:rsid w:val="005B726F"/>
    <w:rsid w:val="005C5FAD"/>
    <w:rsid w:val="005E40D9"/>
    <w:rsid w:val="005E648F"/>
    <w:rsid w:val="005E7102"/>
    <w:rsid w:val="005F4F14"/>
    <w:rsid w:val="006068D5"/>
    <w:rsid w:val="00606B84"/>
    <w:rsid w:val="00613AA6"/>
    <w:rsid w:val="00615C5B"/>
    <w:rsid w:val="00621030"/>
    <w:rsid w:val="00626B39"/>
    <w:rsid w:val="00627127"/>
    <w:rsid w:val="00632D5C"/>
    <w:rsid w:val="00632FD1"/>
    <w:rsid w:val="00652985"/>
    <w:rsid w:val="006573A5"/>
    <w:rsid w:val="0066276C"/>
    <w:rsid w:val="0066393F"/>
    <w:rsid w:val="006739BB"/>
    <w:rsid w:val="006858A0"/>
    <w:rsid w:val="006870EA"/>
    <w:rsid w:val="006A0F59"/>
    <w:rsid w:val="006A1E3B"/>
    <w:rsid w:val="006B164C"/>
    <w:rsid w:val="006C3675"/>
    <w:rsid w:val="006C4152"/>
    <w:rsid w:val="006D5934"/>
    <w:rsid w:val="006F630B"/>
    <w:rsid w:val="007030CE"/>
    <w:rsid w:val="007056C9"/>
    <w:rsid w:val="00707E38"/>
    <w:rsid w:val="00715C45"/>
    <w:rsid w:val="007161F4"/>
    <w:rsid w:val="00722EC2"/>
    <w:rsid w:val="0073315C"/>
    <w:rsid w:val="007852C3"/>
    <w:rsid w:val="007966CF"/>
    <w:rsid w:val="007973D0"/>
    <w:rsid w:val="007A4AFA"/>
    <w:rsid w:val="007A4F6E"/>
    <w:rsid w:val="007B1A31"/>
    <w:rsid w:val="007B6A50"/>
    <w:rsid w:val="007C13AE"/>
    <w:rsid w:val="007C4FA7"/>
    <w:rsid w:val="007C74C2"/>
    <w:rsid w:val="007D5114"/>
    <w:rsid w:val="007E1E1B"/>
    <w:rsid w:val="007F1057"/>
    <w:rsid w:val="007F7787"/>
    <w:rsid w:val="00804E9F"/>
    <w:rsid w:val="00806F53"/>
    <w:rsid w:val="008111E6"/>
    <w:rsid w:val="00824DFA"/>
    <w:rsid w:val="00834044"/>
    <w:rsid w:val="008364CE"/>
    <w:rsid w:val="0084607D"/>
    <w:rsid w:val="008478AB"/>
    <w:rsid w:val="00847C06"/>
    <w:rsid w:val="00847D24"/>
    <w:rsid w:val="008500E3"/>
    <w:rsid w:val="008520EE"/>
    <w:rsid w:val="00863908"/>
    <w:rsid w:val="00875864"/>
    <w:rsid w:val="00884D18"/>
    <w:rsid w:val="00886980"/>
    <w:rsid w:val="00890BBC"/>
    <w:rsid w:val="008944CC"/>
    <w:rsid w:val="0089566D"/>
    <w:rsid w:val="008A7C60"/>
    <w:rsid w:val="008B2441"/>
    <w:rsid w:val="008B471C"/>
    <w:rsid w:val="008C07B4"/>
    <w:rsid w:val="008E779C"/>
    <w:rsid w:val="00905FC2"/>
    <w:rsid w:val="00906FCC"/>
    <w:rsid w:val="00912A64"/>
    <w:rsid w:val="00917A7C"/>
    <w:rsid w:val="00923A87"/>
    <w:rsid w:val="009266C8"/>
    <w:rsid w:val="00940931"/>
    <w:rsid w:val="009437B6"/>
    <w:rsid w:val="00950F71"/>
    <w:rsid w:val="0096088C"/>
    <w:rsid w:val="00963BD9"/>
    <w:rsid w:val="0097690B"/>
    <w:rsid w:val="00980C7F"/>
    <w:rsid w:val="00981C5F"/>
    <w:rsid w:val="00994412"/>
    <w:rsid w:val="009A5B24"/>
    <w:rsid w:val="009B2CAB"/>
    <w:rsid w:val="009B6498"/>
    <w:rsid w:val="009C0D0B"/>
    <w:rsid w:val="009C3C43"/>
    <w:rsid w:val="009C4153"/>
    <w:rsid w:val="009C64C8"/>
    <w:rsid w:val="009F67F9"/>
    <w:rsid w:val="00A20251"/>
    <w:rsid w:val="00A731EE"/>
    <w:rsid w:val="00AA14F5"/>
    <w:rsid w:val="00AA3061"/>
    <w:rsid w:val="00AA40A4"/>
    <w:rsid w:val="00AA50B6"/>
    <w:rsid w:val="00AB29F3"/>
    <w:rsid w:val="00AC4213"/>
    <w:rsid w:val="00AD0C2A"/>
    <w:rsid w:val="00AE0FA9"/>
    <w:rsid w:val="00B01C32"/>
    <w:rsid w:val="00B13BEC"/>
    <w:rsid w:val="00B312E6"/>
    <w:rsid w:val="00B4082F"/>
    <w:rsid w:val="00B5443F"/>
    <w:rsid w:val="00B57045"/>
    <w:rsid w:val="00B6258F"/>
    <w:rsid w:val="00B72185"/>
    <w:rsid w:val="00B72C18"/>
    <w:rsid w:val="00B77E47"/>
    <w:rsid w:val="00B96472"/>
    <w:rsid w:val="00B969B9"/>
    <w:rsid w:val="00BA6E13"/>
    <w:rsid w:val="00BD2BE4"/>
    <w:rsid w:val="00BD2DB4"/>
    <w:rsid w:val="00BD78E1"/>
    <w:rsid w:val="00BE03BF"/>
    <w:rsid w:val="00BE58FE"/>
    <w:rsid w:val="00BF0140"/>
    <w:rsid w:val="00BF648C"/>
    <w:rsid w:val="00C064EF"/>
    <w:rsid w:val="00C20DED"/>
    <w:rsid w:val="00C22071"/>
    <w:rsid w:val="00C30258"/>
    <w:rsid w:val="00C35BCE"/>
    <w:rsid w:val="00C517FD"/>
    <w:rsid w:val="00C6215C"/>
    <w:rsid w:val="00C635A7"/>
    <w:rsid w:val="00C87BD2"/>
    <w:rsid w:val="00CB3C62"/>
    <w:rsid w:val="00CD05FD"/>
    <w:rsid w:val="00CD3E81"/>
    <w:rsid w:val="00CD794E"/>
    <w:rsid w:val="00CF529E"/>
    <w:rsid w:val="00D011FF"/>
    <w:rsid w:val="00D17E4D"/>
    <w:rsid w:val="00D30FE6"/>
    <w:rsid w:val="00D40840"/>
    <w:rsid w:val="00D50677"/>
    <w:rsid w:val="00D54994"/>
    <w:rsid w:val="00D7477C"/>
    <w:rsid w:val="00D87E66"/>
    <w:rsid w:val="00DA53EC"/>
    <w:rsid w:val="00DB4E33"/>
    <w:rsid w:val="00DB7912"/>
    <w:rsid w:val="00DC1580"/>
    <w:rsid w:val="00E04B0A"/>
    <w:rsid w:val="00E05F6E"/>
    <w:rsid w:val="00E07C14"/>
    <w:rsid w:val="00E17DCC"/>
    <w:rsid w:val="00E230F4"/>
    <w:rsid w:val="00E45D56"/>
    <w:rsid w:val="00E6462D"/>
    <w:rsid w:val="00E649F3"/>
    <w:rsid w:val="00E8444B"/>
    <w:rsid w:val="00E96894"/>
    <w:rsid w:val="00EA5F5D"/>
    <w:rsid w:val="00EB57C0"/>
    <w:rsid w:val="00EB6236"/>
    <w:rsid w:val="00EC170C"/>
    <w:rsid w:val="00EC3D63"/>
    <w:rsid w:val="00EE0949"/>
    <w:rsid w:val="00F038E5"/>
    <w:rsid w:val="00F04F38"/>
    <w:rsid w:val="00F411E9"/>
    <w:rsid w:val="00F44EAB"/>
    <w:rsid w:val="00F51E56"/>
    <w:rsid w:val="00F5590D"/>
    <w:rsid w:val="00F61C31"/>
    <w:rsid w:val="00F66378"/>
    <w:rsid w:val="00F801F4"/>
    <w:rsid w:val="00FA40C7"/>
    <w:rsid w:val="00FA6275"/>
    <w:rsid w:val="00FB5667"/>
    <w:rsid w:val="00FC1E3E"/>
    <w:rsid w:val="00FC62E3"/>
    <w:rsid w:val="00FE569B"/>
    <w:rsid w:val="00FF5B91"/>
    <w:rsid w:val="00FF6A4F"/>
    <w:rsid w:val="00FF7A23"/>
    <w:rsid w:val="012C74FF"/>
    <w:rsid w:val="01695C5A"/>
    <w:rsid w:val="01DF5C17"/>
    <w:rsid w:val="02417606"/>
    <w:rsid w:val="0264611C"/>
    <w:rsid w:val="029F53A6"/>
    <w:rsid w:val="02A15615"/>
    <w:rsid w:val="031605A5"/>
    <w:rsid w:val="032908F4"/>
    <w:rsid w:val="0346189F"/>
    <w:rsid w:val="03587630"/>
    <w:rsid w:val="036E32FA"/>
    <w:rsid w:val="03CD0DAF"/>
    <w:rsid w:val="04131BA8"/>
    <w:rsid w:val="049A7BD3"/>
    <w:rsid w:val="05695D98"/>
    <w:rsid w:val="062E4A77"/>
    <w:rsid w:val="0654330D"/>
    <w:rsid w:val="06640499"/>
    <w:rsid w:val="06AE6DD2"/>
    <w:rsid w:val="075C714F"/>
    <w:rsid w:val="07825F0E"/>
    <w:rsid w:val="07A330EF"/>
    <w:rsid w:val="085B1D6F"/>
    <w:rsid w:val="08CC04B1"/>
    <w:rsid w:val="08DA6189"/>
    <w:rsid w:val="090A22D0"/>
    <w:rsid w:val="091466C0"/>
    <w:rsid w:val="0ACD72E3"/>
    <w:rsid w:val="0ADE7138"/>
    <w:rsid w:val="0AE162B1"/>
    <w:rsid w:val="0B120B26"/>
    <w:rsid w:val="0B74712A"/>
    <w:rsid w:val="0B754EF6"/>
    <w:rsid w:val="0CB06C4E"/>
    <w:rsid w:val="0CB16402"/>
    <w:rsid w:val="0DB31059"/>
    <w:rsid w:val="0DBD4932"/>
    <w:rsid w:val="0DF2282E"/>
    <w:rsid w:val="0E20076C"/>
    <w:rsid w:val="0E2E3EEC"/>
    <w:rsid w:val="0E3E1F17"/>
    <w:rsid w:val="0E6179B4"/>
    <w:rsid w:val="0EF951F1"/>
    <w:rsid w:val="0F101810"/>
    <w:rsid w:val="0F876CAA"/>
    <w:rsid w:val="0FC24482"/>
    <w:rsid w:val="1002331F"/>
    <w:rsid w:val="102879ED"/>
    <w:rsid w:val="10817E99"/>
    <w:rsid w:val="1090605D"/>
    <w:rsid w:val="10D85E5D"/>
    <w:rsid w:val="10FF162B"/>
    <w:rsid w:val="115640DB"/>
    <w:rsid w:val="11587949"/>
    <w:rsid w:val="119B4F8B"/>
    <w:rsid w:val="11DA1F57"/>
    <w:rsid w:val="12FE5795"/>
    <w:rsid w:val="134A0B53"/>
    <w:rsid w:val="136D0AFA"/>
    <w:rsid w:val="13776361"/>
    <w:rsid w:val="14573510"/>
    <w:rsid w:val="14B940A6"/>
    <w:rsid w:val="14D520BF"/>
    <w:rsid w:val="153D68B5"/>
    <w:rsid w:val="15C96B44"/>
    <w:rsid w:val="15D7016F"/>
    <w:rsid w:val="15E93E01"/>
    <w:rsid w:val="16893F4C"/>
    <w:rsid w:val="16E830BB"/>
    <w:rsid w:val="16F1160C"/>
    <w:rsid w:val="170665BD"/>
    <w:rsid w:val="17384607"/>
    <w:rsid w:val="1778450C"/>
    <w:rsid w:val="17C00B7E"/>
    <w:rsid w:val="17D62AA1"/>
    <w:rsid w:val="18215DD1"/>
    <w:rsid w:val="1839615F"/>
    <w:rsid w:val="189D47B5"/>
    <w:rsid w:val="18A9070A"/>
    <w:rsid w:val="18C63235"/>
    <w:rsid w:val="190B0C48"/>
    <w:rsid w:val="192C2F88"/>
    <w:rsid w:val="193C265E"/>
    <w:rsid w:val="19745C69"/>
    <w:rsid w:val="19E41BC5"/>
    <w:rsid w:val="1A192F67"/>
    <w:rsid w:val="1A314307"/>
    <w:rsid w:val="1A3D12D5"/>
    <w:rsid w:val="1A561332"/>
    <w:rsid w:val="1A727710"/>
    <w:rsid w:val="1B0A18B9"/>
    <w:rsid w:val="1B0F4742"/>
    <w:rsid w:val="1B2508D5"/>
    <w:rsid w:val="1BAB6B0C"/>
    <w:rsid w:val="1BB6133F"/>
    <w:rsid w:val="1C24415F"/>
    <w:rsid w:val="1C98564D"/>
    <w:rsid w:val="1CC7132A"/>
    <w:rsid w:val="1D303373"/>
    <w:rsid w:val="1D3249F5"/>
    <w:rsid w:val="1DC2204A"/>
    <w:rsid w:val="1E1B36DB"/>
    <w:rsid w:val="1E2477C2"/>
    <w:rsid w:val="1E766B63"/>
    <w:rsid w:val="1E7F6837"/>
    <w:rsid w:val="1F3A65D6"/>
    <w:rsid w:val="1FE93925"/>
    <w:rsid w:val="1FF117D2"/>
    <w:rsid w:val="2043583E"/>
    <w:rsid w:val="20A66E00"/>
    <w:rsid w:val="20A93B08"/>
    <w:rsid w:val="20CF69FF"/>
    <w:rsid w:val="215575AF"/>
    <w:rsid w:val="21D0685C"/>
    <w:rsid w:val="21FE64EE"/>
    <w:rsid w:val="2206044A"/>
    <w:rsid w:val="222B66B5"/>
    <w:rsid w:val="223B2725"/>
    <w:rsid w:val="22587809"/>
    <w:rsid w:val="2277734E"/>
    <w:rsid w:val="228D5F39"/>
    <w:rsid w:val="22C759AB"/>
    <w:rsid w:val="22CC58EC"/>
    <w:rsid w:val="22ED4CA6"/>
    <w:rsid w:val="231837DC"/>
    <w:rsid w:val="236C2E3A"/>
    <w:rsid w:val="23A14CF8"/>
    <w:rsid w:val="23B4085A"/>
    <w:rsid w:val="24D02351"/>
    <w:rsid w:val="2580476C"/>
    <w:rsid w:val="258C1663"/>
    <w:rsid w:val="25A61BFE"/>
    <w:rsid w:val="26197BED"/>
    <w:rsid w:val="263D67D5"/>
    <w:rsid w:val="268F5735"/>
    <w:rsid w:val="26972C36"/>
    <w:rsid w:val="27760952"/>
    <w:rsid w:val="278506FB"/>
    <w:rsid w:val="27B9546F"/>
    <w:rsid w:val="27ED550F"/>
    <w:rsid w:val="27F51441"/>
    <w:rsid w:val="28153891"/>
    <w:rsid w:val="28DC5E47"/>
    <w:rsid w:val="29233D8C"/>
    <w:rsid w:val="29354CE1"/>
    <w:rsid w:val="2A324DD9"/>
    <w:rsid w:val="2A943E4F"/>
    <w:rsid w:val="2AED63FF"/>
    <w:rsid w:val="2B2F6CA2"/>
    <w:rsid w:val="2B5B5D7C"/>
    <w:rsid w:val="2B6C1A1A"/>
    <w:rsid w:val="2BC37160"/>
    <w:rsid w:val="2C896895"/>
    <w:rsid w:val="2C8C26AF"/>
    <w:rsid w:val="2CC47634"/>
    <w:rsid w:val="2D0143E4"/>
    <w:rsid w:val="2D4A7B39"/>
    <w:rsid w:val="2D4D7629"/>
    <w:rsid w:val="2D8A43D9"/>
    <w:rsid w:val="2D935D5E"/>
    <w:rsid w:val="2DA46DB0"/>
    <w:rsid w:val="2DFFAC0A"/>
    <w:rsid w:val="2E1B4B77"/>
    <w:rsid w:val="2F2D3959"/>
    <w:rsid w:val="2F3E011F"/>
    <w:rsid w:val="2F567FC9"/>
    <w:rsid w:val="2FAA2B52"/>
    <w:rsid w:val="30041AF2"/>
    <w:rsid w:val="306C1C3E"/>
    <w:rsid w:val="30C43730"/>
    <w:rsid w:val="30CB2D3F"/>
    <w:rsid w:val="310F5891"/>
    <w:rsid w:val="313343F4"/>
    <w:rsid w:val="31441B75"/>
    <w:rsid w:val="31727460"/>
    <w:rsid w:val="317727D0"/>
    <w:rsid w:val="31817421"/>
    <w:rsid w:val="31CC6A9F"/>
    <w:rsid w:val="31D75850"/>
    <w:rsid w:val="32143768"/>
    <w:rsid w:val="32432DA9"/>
    <w:rsid w:val="32F02868"/>
    <w:rsid w:val="33003238"/>
    <w:rsid w:val="33370B5F"/>
    <w:rsid w:val="334D2131"/>
    <w:rsid w:val="33705E1F"/>
    <w:rsid w:val="33A819B6"/>
    <w:rsid w:val="33B977C6"/>
    <w:rsid w:val="33BA42C0"/>
    <w:rsid w:val="33FC42AB"/>
    <w:rsid w:val="34781430"/>
    <w:rsid w:val="34D76FBE"/>
    <w:rsid w:val="34F8431E"/>
    <w:rsid w:val="3529097C"/>
    <w:rsid w:val="35426B9B"/>
    <w:rsid w:val="35477D7F"/>
    <w:rsid w:val="354F5B00"/>
    <w:rsid w:val="3575596F"/>
    <w:rsid w:val="35B069A7"/>
    <w:rsid w:val="35ED589A"/>
    <w:rsid w:val="35FFD3E8"/>
    <w:rsid w:val="369FF079"/>
    <w:rsid w:val="36AC013E"/>
    <w:rsid w:val="36DD7562"/>
    <w:rsid w:val="3701395E"/>
    <w:rsid w:val="373F5BE4"/>
    <w:rsid w:val="374D654E"/>
    <w:rsid w:val="37C36E10"/>
    <w:rsid w:val="37E53299"/>
    <w:rsid w:val="381D59F7"/>
    <w:rsid w:val="383276A8"/>
    <w:rsid w:val="383C2774"/>
    <w:rsid w:val="38792D0F"/>
    <w:rsid w:val="38F0675A"/>
    <w:rsid w:val="390A7E99"/>
    <w:rsid w:val="392A4AF1"/>
    <w:rsid w:val="39316051"/>
    <w:rsid w:val="397D3044"/>
    <w:rsid w:val="3A0A0D7C"/>
    <w:rsid w:val="3A276198"/>
    <w:rsid w:val="3A8C79E3"/>
    <w:rsid w:val="3AFC4BC0"/>
    <w:rsid w:val="3B04079B"/>
    <w:rsid w:val="3B14DD25"/>
    <w:rsid w:val="3B1D4ADF"/>
    <w:rsid w:val="3BB21138"/>
    <w:rsid w:val="3BF96496"/>
    <w:rsid w:val="3C322BEA"/>
    <w:rsid w:val="3C922FF7"/>
    <w:rsid w:val="3C940DD1"/>
    <w:rsid w:val="3CE82ECA"/>
    <w:rsid w:val="3D017000"/>
    <w:rsid w:val="3D0D4F42"/>
    <w:rsid w:val="3D510A70"/>
    <w:rsid w:val="3D564C7B"/>
    <w:rsid w:val="3D567E34"/>
    <w:rsid w:val="3D607469"/>
    <w:rsid w:val="3D7529B0"/>
    <w:rsid w:val="3DB15447"/>
    <w:rsid w:val="3DD015AE"/>
    <w:rsid w:val="3DD31B91"/>
    <w:rsid w:val="3E007984"/>
    <w:rsid w:val="3E3C34CE"/>
    <w:rsid w:val="3ED54C8A"/>
    <w:rsid w:val="3F762A0F"/>
    <w:rsid w:val="3FE34229"/>
    <w:rsid w:val="3FFFCB76"/>
    <w:rsid w:val="4012405C"/>
    <w:rsid w:val="409F5F96"/>
    <w:rsid w:val="410B7187"/>
    <w:rsid w:val="41175EEF"/>
    <w:rsid w:val="41391777"/>
    <w:rsid w:val="413C1F28"/>
    <w:rsid w:val="41E15A93"/>
    <w:rsid w:val="41F2243E"/>
    <w:rsid w:val="42442DCE"/>
    <w:rsid w:val="430A16DB"/>
    <w:rsid w:val="43752603"/>
    <w:rsid w:val="43C51A5D"/>
    <w:rsid w:val="43D42754"/>
    <w:rsid w:val="443C6BC0"/>
    <w:rsid w:val="4490613A"/>
    <w:rsid w:val="44C02694"/>
    <w:rsid w:val="44D81DAB"/>
    <w:rsid w:val="45034D45"/>
    <w:rsid w:val="450C650E"/>
    <w:rsid w:val="4550160D"/>
    <w:rsid w:val="458F2F5C"/>
    <w:rsid w:val="45A831F7"/>
    <w:rsid w:val="45C675F1"/>
    <w:rsid w:val="45EE43E6"/>
    <w:rsid w:val="460F3276"/>
    <w:rsid w:val="4646138E"/>
    <w:rsid w:val="467F3637"/>
    <w:rsid w:val="46C62F65"/>
    <w:rsid w:val="47B15601"/>
    <w:rsid w:val="47C95850"/>
    <w:rsid w:val="47E6307E"/>
    <w:rsid w:val="47FD7C5D"/>
    <w:rsid w:val="48170989"/>
    <w:rsid w:val="48235060"/>
    <w:rsid w:val="483F42E6"/>
    <w:rsid w:val="48534FEC"/>
    <w:rsid w:val="48577D5B"/>
    <w:rsid w:val="48922EE5"/>
    <w:rsid w:val="48B44D68"/>
    <w:rsid w:val="48B65D2E"/>
    <w:rsid w:val="48D127D7"/>
    <w:rsid w:val="48DD3AFF"/>
    <w:rsid w:val="48DD4B4E"/>
    <w:rsid w:val="48FD0FE2"/>
    <w:rsid w:val="4911760F"/>
    <w:rsid w:val="492D1D60"/>
    <w:rsid w:val="49754AA7"/>
    <w:rsid w:val="49872699"/>
    <w:rsid w:val="49AF444A"/>
    <w:rsid w:val="4A056E6A"/>
    <w:rsid w:val="4AC850E1"/>
    <w:rsid w:val="4B17687A"/>
    <w:rsid w:val="4B1B0B6E"/>
    <w:rsid w:val="4B942086"/>
    <w:rsid w:val="4BBA406B"/>
    <w:rsid w:val="4BCB7C3F"/>
    <w:rsid w:val="4C9C5D5E"/>
    <w:rsid w:val="4D4759EB"/>
    <w:rsid w:val="4DC87745"/>
    <w:rsid w:val="4DD74FC1"/>
    <w:rsid w:val="4DDE758C"/>
    <w:rsid w:val="4DE15872"/>
    <w:rsid w:val="4E332E37"/>
    <w:rsid w:val="4E6A373F"/>
    <w:rsid w:val="4ECE0E1B"/>
    <w:rsid w:val="4ED92673"/>
    <w:rsid w:val="4F3B50DC"/>
    <w:rsid w:val="4FA80E84"/>
    <w:rsid w:val="4FF24DF2"/>
    <w:rsid w:val="4FF9121F"/>
    <w:rsid w:val="50665C75"/>
    <w:rsid w:val="50792360"/>
    <w:rsid w:val="50874A7C"/>
    <w:rsid w:val="508800CA"/>
    <w:rsid w:val="50B639AC"/>
    <w:rsid w:val="50F61095"/>
    <w:rsid w:val="51E13845"/>
    <w:rsid w:val="51FE2459"/>
    <w:rsid w:val="52232583"/>
    <w:rsid w:val="523F1387"/>
    <w:rsid w:val="52636E23"/>
    <w:rsid w:val="52D774F2"/>
    <w:rsid w:val="535350EA"/>
    <w:rsid w:val="53B316E5"/>
    <w:rsid w:val="53E14128"/>
    <w:rsid w:val="54650160"/>
    <w:rsid w:val="548265AD"/>
    <w:rsid w:val="54D940C9"/>
    <w:rsid w:val="550B6998"/>
    <w:rsid w:val="551C2433"/>
    <w:rsid w:val="55964B44"/>
    <w:rsid w:val="55FB65AF"/>
    <w:rsid w:val="56073F6A"/>
    <w:rsid w:val="56693205"/>
    <w:rsid w:val="56D41610"/>
    <w:rsid w:val="56F9318A"/>
    <w:rsid w:val="57517B92"/>
    <w:rsid w:val="58562F86"/>
    <w:rsid w:val="5866597E"/>
    <w:rsid w:val="58E654C7"/>
    <w:rsid w:val="59DA5D72"/>
    <w:rsid w:val="5A405001"/>
    <w:rsid w:val="5A76338B"/>
    <w:rsid w:val="5B647768"/>
    <w:rsid w:val="5B9E120E"/>
    <w:rsid w:val="5BA109BC"/>
    <w:rsid w:val="5BE7117C"/>
    <w:rsid w:val="5C000168"/>
    <w:rsid w:val="5C180C7F"/>
    <w:rsid w:val="5C2E2841"/>
    <w:rsid w:val="5C700ABB"/>
    <w:rsid w:val="5C8F4399"/>
    <w:rsid w:val="5CB2761A"/>
    <w:rsid w:val="5CCA3EEF"/>
    <w:rsid w:val="5D32630C"/>
    <w:rsid w:val="5D5C2DED"/>
    <w:rsid w:val="5D7127A4"/>
    <w:rsid w:val="5EB44D5F"/>
    <w:rsid w:val="5EEF35D7"/>
    <w:rsid w:val="5F0E6369"/>
    <w:rsid w:val="5F177A55"/>
    <w:rsid w:val="5F9E50E6"/>
    <w:rsid w:val="5FB73A8B"/>
    <w:rsid w:val="5FBA587D"/>
    <w:rsid w:val="600B28A8"/>
    <w:rsid w:val="606A5D6B"/>
    <w:rsid w:val="608C7E04"/>
    <w:rsid w:val="609E09A0"/>
    <w:rsid w:val="60D24480"/>
    <w:rsid w:val="60E76189"/>
    <w:rsid w:val="610F5818"/>
    <w:rsid w:val="61503E28"/>
    <w:rsid w:val="61992383"/>
    <w:rsid w:val="62363C23"/>
    <w:rsid w:val="62734E40"/>
    <w:rsid w:val="62740BD9"/>
    <w:rsid w:val="62A52B40"/>
    <w:rsid w:val="62B03DB0"/>
    <w:rsid w:val="62C03E1E"/>
    <w:rsid w:val="62D73E37"/>
    <w:rsid w:val="62F87114"/>
    <w:rsid w:val="633C786A"/>
    <w:rsid w:val="6359415A"/>
    <w:rsid w:val="63844E4C"/>
    <w:rsid w:val="63895F98"/>
    <w:rsid w:val="63A9366A"/>
    <w:rsid w:val="643F5A4B"/>
    <w:rsid w:val="64406728"/>
    <w:rsid w:val="64C5668B"/>
    <w:rsid w:val="64D67364"/>
    <w:rsid w:val="650F4BE9"/>
    <w:rsid w:val="65247DF1"/>
    <w:rsid w:val="65402FF4"/>
    <w:rsid w:val="665EA141"/>
    <w:rsid w:val="66AF3A48"/>
    <w:rsid w:val="66EA6A5C"/>
    <w:rsid w:val="67136ED0"/>
    <w:rsid w:val="674E4A5E"/>
    <w:rsid w:val="676236F6"/>
    <w:rsid w:val="67746F85"/>
    <w:rsid w:val="67947E23"/>
    <w:rsid w:val="67E908AD"/>
    <w:rsid w:val="67F80584"/>
    <w:rsid w:val="68106CAE"/>
    <w:rsid w:val="68955405"/>
    <w:rsid w:val="68A331E6"/>
    <w:rsid w:val="68B7181F"/>
    <w:rsid w:val="69042303"/>
    <w:rsid w:val="699B6A4B"/>
    <w:rsid w:val="69B00DA5"/>
    <w:rsid w:val="69C77DFE"/>
    <w:rsid w:val="69CB37D4"/>
    <w:rsid w:val="69ED73C1"/>
    <w:rsid w:val="6A2C4F62"/>
    <w:rsid w:val="6A7A2B04"/>
    <w:rsid w:val="6ACE4BFE"/>
    <w:rsid w:val="6ADB15C1"/>
    <w:rsid w:val="6B4D72A6"/>
    <w:rsid w:val="6BD46218"/>
    <w:rsid w:val="6C5940BA"/>
    <w:rsid w:val="6C7C7008"/>
    <w:rsid w:val="6CC155E1"/>
    <w:rsid w:val="6CC83AE0"/>
    <w:rsid w:val="6CD56718"/>
    <w:rsid w:val="6CDE126B"/>
    <w:rsid w:val="6E0A419F"/>
    <w:rsid w:val="6E27169B"/>
    <w:rsid w:val="6E55586F"/>
    <w:rsid w:val="6E630E33"/>
    <w:rsid w:val="6EE42C42"/>
    <w:rsid w:val="6F6C53DE"/>
    <w:rsid w:val="6F777D7A"/>
    <w:rsid w:val="6FBA7A41"/>
    <w:rsid w:val="6FDD600F"/>
    <w:rsid w:val="6FF84BF7"/>
    <w:rsid w:val="700177A8"/>
    <w:rsid w:val="70157D3D"/>
    <w:rsid w:val="70831F71"/>
    <w:rsid w:val="70EE2D4A"/>
    <w:rsid w:val="712A7399"/>
    <w:rsid w:val="73490637"/>
    <w:rsid w:val="73690E35"/>
    <w:rsid w:val="74841862"/>
    <w:rsid w:val="748B42AD"/>
    <w:rsid w:val="74C773C9"/>
    <w:rsid w:val="74D07320"/>
    <w:rsid w:val="74EE0377"/>
    <w:rsid w:val="750C3FCB"/>
    <w:rsid w:val="75A938A5"/>
    <w:rsid w:val="75CC188F"/>
    <w:rsid w:val="75EB19FA"/>
    <w:rsid w:val="760805F4"/>
    <w:rsid w:val="76790114"/>
    <w:rsid w:val="77146957"/>
    <w:rsid w:val="7738074D"/>
    <w:rsid w:val="7762498B"/>
    <w:rsid w:val="777F0DB7"/>
    <w:rsid w:val="778C10EB"/>
    <w:rsid w:val="77B55FCA"/>
    <w:rsid w:val="77F77772"/>
    <w:rsid w:val="78061E7B"/>
    <w:rsid w:val="782E5EC7"/>
    <w:rsid w:val="785B5D23"/>
    <w:rsid w:val="795F6892"/>
    <w:rsid w:val="799C1706"/>
    <w:rsid w:val="79A16740"/>
    <w:rsid w:val="7A0F1171"/>
    <w:rsid w:val="7A5F3C76"/>
    <w:rsid w:val="7AA1E5A1"/>
    <w:rsid w:val="7AE565A4"/>
    <w:rsid w:val="7B1F5CAB"/>
    <w:rsid w:val="7B4C229B"/>
    <w:rsid w:val="7B905F16"/>
    <w:rsid w:val="7BBC3169"/>
    <w:rsid w:val="7BFC0690"/>
    <w:rsid w:val="7BFE1317"/>
    <w:rsid w:val="7BFF6B9D"/>
    <w:rsid w:val="7C084414"/>
    <w:rsid w:val="7C093C8A"/>
    <w:rsid w:val="7C8D2C1A"/>
    <w:rsid w:val="7CD47394"/>
    <w:rsid w:val="7D221505"/>
    <w:rsid w:val="7D247ECA"/>
    <w:rsid w:val="7D424115"/>
    <w:rsid w:val="7D754069"/>
    <w:rsid w:val="7DD56578"/>
    <w:rsid w:val="7DE245E8"/>
    <w:rsid w:val="7DEA2FEE"/>
    <w:rsid w:val="7E2412AD"/>
    <w:rsid w:val="7E9FF493"/>
    <w:rsid w:val="7FF01447"/>
    <w:rsid w:val="9F41845F"/>
    <w:rsid w:val="B39D32E5"/>
    <w:rsid w:val="B516AC49"/>
    <w:rsid w:val="BFDFC5E0"/>
    <w:rsid w:val="CDF57BC1"/>
    <w:rsid w:val="CF6AF8A7"/>
    <w:rsid w:val="D9E7D366"/>
    <w:rsid w:val="DDBFF338"/>
    <w:rsid w:val="E8B5CCBE"/>
    <w:rsid w:val="EEBF8930"/>
    <w:rsid w:val="F75B92BE"/>
    <w:rsid w:val="F75F2B8C"/>
    <w:rsid w:val="FAB7CE29"/>
    <w:rsid w:val="FFFFC7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40"/>
    <w:qFormat/>
    <w:uiPriority w:val="99"/>
    <w:pPr>
      <w:keepNext/>
      <w:keepLines/>
      <w:spacing w:before="260" w:after="260" w:line="412" w:lineRule="auto"/>
      <w:outlineLvl w:val="1"/>
    </w:pPr>
    <w:rPr>
      <w:rFonts w:ascii="Arial" w:hAnsi="Arial" w:cs="Times New Roman"/>
      <w:b/>
      <w:sz w:val="32"/>
      <w:szCs w:val="28"/>
    </w:rPr>
  </w:style>
  <w:style w:type="paragraph" w:styleId="4">
    <w:name w:val="heading 3"/>
    <w:basedOn w:val="1"/>
    <w:next w:val="1"/>
    <w:link w:val="41"/>
    <w:qFormat/>
    <w:uiPriority w:val="9"/>
    <w:pPr>
      <w:keepNext/>
      <w:keepLines/>
      <w:spacing w:before="260" w:after="260" w:line="416" w:lineRule="auto"/>
      <w:outlineLvl w:val="2"/>
    </w:pPr>
    <w:rPr>
      <w:b/>
      <w:bCs/>
      <w:sz w:val="32"/>
      <w:szCs w:val="32"/>
    </w:rPr>
  </w:style>
  <w:style w:type="paragraph" w:styleId="5">
    <w:name w:val="heading 4"/>
    <w:basedOn w:val="1"/>
    <w:next w:val="1"/>
    <w:link w:val="42"/>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7">
    <w:name w:val="List Number"/>
    <w:basedOn w:val="1"/>
    <w:qFormat/>
    <w:uiPriority w:val="0"/>
    <w:pPr>
      <w:widowControl/>
      <w:tabs>
        <w:tab w:val="left" w:pos="360"/>
        <w:tab w:val="left" w:pos="454"/>
        <w:tab w:val="left" w:pos="720"/>
      </w:tabs>
      <w:spacing w:afterLines="50"/>
      <w:ind w:left="454" w:hanging="284"/>
      <w:jc w:val="left"/>
    </w:pPr>
    <w:rPr>
      <w:rFonts w:ascii="Times New Roman" w:hAnsi="Times New Roman" w:cs="Times New Roman"/>
      <w:kern w:val="0"/>
      <w:sz w:val="24"/>
      <w:szCs w:val="20"/>
    </w:rPr>
  </w:style>
  <w:style w:type="paragraph" w:styleId="8">
    <w:name w:val="Normal Indent"/>
    <w:basedOn w:val="1"/>
    <w:next w:val="1"/>
    <w:link w:val="43"/>
    <w:qFormat/>
    <w:uiPriority w:val="0"/>
    <w:pPr>
      <w:ind w:firstLine="420"/>
    </w:pPr>
  </w:style>
  <w:style w:type="paragraph" w:styleId="9">
    <w:name w:val="Document Map"/>
    <w:basedOn w:val="1"/>
    <w:link w:val="44"/>
    <w:qFormat/>
    <w:uiPriority w:val="99"/>
    <w:rPr>
      <w:rFonts w:ascii="宋体"/>
      <w:sz w:val="18"/>
      <w:szCs w:val="18"/>
    </w:rPr>
  </w:style>
  <w:style w:type="paragraph" w:styleId="10">
    <w:name w:val="annotation text"/>
    <w:basedOn w:val="1"/>
    <w:link w:val="45"/>
    <w:qFormat/>
    <w:uiPriority w:val="0"/>
    <w:pPr>
      <w:jc w:val="left"/>
    </w:pPr>
  </w:style>
  <w:style w:type="paragraph" w:styleId="11">
    <w:name w:val="Body Text"/>
    <w:basedOn w:val="1"/>
    <w:next w:val="12"/>
    <w:link w:val="37"/>
    <w:qFormat/>
    <w:uiPriority w:val="99"/>
    <w:pPr>
      <w:spacing w:after="120"/>
    </w:pPr>
  </w:style>
  <w:style w:type="paragraph" w:styleId="12">
    <w:name w:val="Body Text First Indent"/>
    <w:basedOn w:val="11"/>
    <w:next w:val="1"/>
    <w:link w:val="38"/>
    <w:qFormat/>
    <w:uiPriority w:val="0"/>
    <w:pPr>
      <w:widowControl/>
      <w:ind w:firstLine="420" w:firstLineChars="100"/>
      <w:jc w:val="left"/>
    </w:pPr>
    <w:rPr>
      <w:rFonts w:ascii="Times New Roman" w:cs="Times New Roman"/>
      <w:kern w:val="0"/>
      <w:sz w:val="24"/>
      <w:szCs w:val="24"/>
      <w:lang w:eastAsia="en-US" w:bidi="en-US"/>
    </w:rPr>
  </w:style>
  <w:style w:type="paragraph" w:styleId="13">
    <w:name w:val="Body Text Indent"/>
    <w:basedOn w:val="1"/>
    <w:next w:val="14"/>
    <w:link w:val="46"/>
    <w:qFormat/>
    <w:uiPriority w:val="0"/>
    <w:pPr>
      <w:spacing w:line="480" w:lineRule="exact"/>
      <w:ind w:firstLine="480" w:firstLineChars="200"/>
    </w:pPr>
    <w:rPr>
      <w:rFonts w:ascii="宋体" w:hAnsi="宋体"/>
      <w:sz w:val="24"/>
    </w:rPr>
  </w:style>
  <w:style w:type="paragraph" w:styleId="14">
    <w:name w:val="Body Text First Indent 2"/>
    <w:basedOn w:val="13"/>
    <w:next w:val="11"/>
    <w:link w:val="56"/>
    <w:qFormat/>
    <w:uiPriority w:val="99"/>
    <w:pPr>
      <w:spacing w:after="120" w:line="240" w:lineRule="auto"/>
      <w:ind w:left="420" w:leftChars="200" w:firstLine="420"/>
    </w:pPr>
    <w:rPr>
      <w:rFonts w:ascii="Calibri" w:hAnsi="Calibri"/>
      <w:sz w:val="21"/>
    </w:rPr>
  </w:style>
  <w:style w:type="paragraph" w:styleId="15">
    <w:name w:val="Block Text"/>
    <w:basedOn w:val="1"/>
    <w:qFormat/>
    <w:uiPriority w:val="0"/>
    <w:pPr>
      <w:spacing w:line="360" w:lineRule="auto"/>
      <w:ind w:left="-359" w:leftChars="-171" w:right="-153" w:rightChars="-73" w:firstLine="420" w:firstLineChars="200"/>
    </w:pPr>
    <w:rPr>
      <w:rFonts w:ascii="仿宋_GB2312" w:hAnsi="宋体" w:eastAsia="仿宋_GB2312"/>
      <w:szCs w:val="21"/>
    </w:rPr>
  </w:style>
  <w:style w:type="paragraph" w:styleId="16">
    <w:name w:val="Plain Text"/>
    <w:basedOn w:val="1"/>
    <w:link w:val="47"/>
    <w:qFormat/>
    <w:uiPriority w:val="0"/>
    <w:pPr>
      <w:snapToGrid w:val="0"/>
      <w:spacing w:line="440" w:lineRule="exact"/>
      <w:jc w:val="left"/>
    </w:pPr>
    <w:rPr>
      <w:rFonts w:ascii="仿宋_GB2312" w:hAnsi="Courier New" w:eastAsia="仿宋_GB2312"/>
      <w:sz w:val="24"/>
      <w:szCs w:val="24"/>
    </w:rPr>
  </w:style>
  <w:style w:type="paragraph" w:styleId="17">
    <w:name w:val="Date"/>
    <w:basedOn w:val="1"/>
    <w:next w:val="1"/>
    <w:link w:val="48"/>
    <w:qFormat/>
    <w:uiPriority w:val="99"/>
    <w:pPr>
      <w:ind w:left="100" w:leftChars="2500"/>
    </w:pPr>
  </w:style>
  <w:style w:type="paragraph" w:styleId="18">
    <w:name w:val="Body Text Indent 2"/>
    <w:basedOn w:val="1"/>
    <w:link w:val="49"/>
    <w:qFormat/>
    <w:uiPriority w:val="99"/>
    <w:pPr>
      <w:spacing w:after="120" w:line="480" w:lineRule="auto"/>
      <w:ind w:left="420" w:leftChars="200"/>
    </w:pPr>
    <w:rPr>
      <w:rFonts w:ascii="Times New Roman" w:hAnsi="Times New Roman" w:cs="Times New Roman"/>
    </w:rPr>
  </w:style>
  <w:style w:type="paragraph" w:styleId="19">
    <w:name w:val="Balloon Text"/>
    <w:basedOn w:val="1"/>
    <w:link w:val="50"/>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18"/>
    </w:rPr>
  </w:style>
  <w:style w:type="paragraph" w:styleId="21">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qFormat/>
    <w:uiPriority w:val="0"/>
    <w:pPr>
      <w:ind w:left="600" w:leftChars="600"/>
    </w:pPr>
  </w:style>
  <w:style w:type="paragraph" w:styleId="23">
    <w:name w:val="Subtitle"/>
    <w:basedOn w:val="1"/>
    <w:next w:val="1"/>
    <w:link w:val="53"/>
    <w:qFormat/>
    <w:uiPriority w:val="11"/>
    <w:pPr>
      <w:adjustRightInd w:val="0"/>
      <w:snapToGrid w:val="0"/>
      <w:spacing w:before="240" w:after="480"/>
      <w:jc w:val="center"/>
    </w:pPr>
    <w:rPr>
      <w:rFonts w:ascii="Arial" w:hAnsi="Arial" w:eastAsia="隶书"/>
      <w:b/>
      <w:bCs/>
      <w:kern w:val="28"/>
      <w:sz w:val="44"/>
      <w:szCs w:val="32"/>
    </w:rPr>
  </w:style>
  <w:style w:type="paragraph" w:styleId="24">
    <w:name w:val="toc 2"/>
    <w:basedOn w:val="1"/>
    <w:next w:val="1"/>
    <w:qFormat/>
    <w:uiPriority w:val="0"/>
    <w:pPr>
      <w:widowControl/>
      <w:spacing w:before="120"/>
      <w:ind w:left="240"/>
      <w:jc w:val="left"/>
    </w:pPr>
    <w:rPr>
      <w:b/>
      <w:bCs/>
      <w:kern w:val="0"/>
      <w:sz w:val="22"/>
    </w:rPr>
  </w:style>
  <w:style w:type="paragraph" w:styleId="25">
    <w:name w:val="Normal (Web)"/>
    <w:basedOn w:val="1"/>
    <w:qFormat/>
    <w:uiPriority w:val="99"/>
    <w:pPr>
      <w:spacing w:beforeAutospacing="1" w:afterAutospacing="1"/>
      <w:jc w:val="left"/>
    </w:pPr>
    <w:rPr>
      <w:rFonts w:cs="Times New Roman"/>
      <w:kern w:val="0"/>
      <w:sz w:val="24"/>
    </w:rPr>
  </w:style>
  <w:style w:type="paragraph" w:styleId="26">
    <w:name w:val="Title"/>
    <w:basedOn w:val="1"/>
    <w:next w:val="1"/>
    <w:link w:val="54"/>
    <w:qFormat/>
    <w:uiPriority w:val="0"/>
    <w:pPr>
      <w:widowControl/>
      <w:spacing w:before="240" w:after="60"/>
      <w:jc w:val="center"/>
      <w:outlineLvl w:val="0"/>
    </w:pPr>
    <w:rPr>
      <w:rFonts w:ascii="Cambria" w:hAnsi="Cambria"/>
      <w:b/>
      <w:bCs/>
      <w:kern w:val="28"/>
      <w:sz w:val="32"/>
      <w:szCs w:val="32"/>
      <w:lang w:eastAsia="en-US" w:bidi="en-US"/>
    </w:rPr>
  </w:style>
  <w:style w:type="paragraph" w:styleId="27">
    <w:name w:val="annotation subject"/>
    <w:basedOn w:val="10"/>
    <w:next w:val="10"/>
    <w:link w:val="55"/>
    <w:qFormat/>
    <w:uiPriority w:val="99"/>
    <w:rPr>
      <w:b/>
      <w:bCs/>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rFonts w:cs="Times New Roman"/>
      <w:b/>
      <w:bCs/>
    </w:rPr>
  </w:style>
  <w:style w:type="character" w:styleId="32">
    <w:name w:val="page number"/>
    <w:basedOn w:val="30"/>
    <w:qFormat/>
    <w:uiPriority w:val="0"/>
  </w:style>
  <w:style w:type="character" w:styleId="33">
    <w:name w:val="Hyperlink"/>
    <w:basedOn w:val="30"/>
    <w:qFormat/>
    <w:uiPriority w:val="99"/>
    <w:rPr>
      <w:color w:val="0000FF"/>
      <w:u w:val="single"/>
    </w:rPr>
  </w:style>
  <w:style w:type="character" w:styleId="34">
    <w:name w:val="annotation reference"/>
    <w:basedOn w:val="30"/>
    <w:qFormat/>
    <w:uiPriority w:val="0"/>
    <w:rPr>
      <w:sz w:val="21"/>
      <w:szCs w:val="21"/>
    </w:rPr>
  </w:style>
  <w:style w:type="paragraph" w:customStyle="1" w:styleId="3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6">
    <w:name w:val="表格文字"/>
    <w:basedOn w:val="16"/>
    <w:next w:val="11"/>
    <w:qFormat/>
    <w:uiPriority w:val="0"/>
    <w:pPr>
      <w:ind w:firstLine="200" w:firstLineChars="200"/>
    </w:pPr>
    <w:rPr>
      <w:rFonts w:ascii="Arial" w:hAnsi="Arial" w:cs="Times New Roman"/>
      <w:spacing w:val="-5"/>
      <w:kern w:val="0"/>
      <w:sz w:val="24"/>
      <w:szCs w:val="20"/>
    </w:rPr>
  </w:style>
  <w:style w:type="character" w:customStyle="1" w:styleId="37">
    <w:name w:val="正文文本 Char"/>
    <w:basedOn w:val="30"/>
    <w:link w:val="11"/>
    <w:qFormat/>
    <w:uiPriority w:val="99"/>
  </w:style>
  <w:style w:type="character" w:customStyle="1" w:styleId="38">
    <w:name w:val="正文首行缩进 Char"/>
    <w:basedOn w:val="37"/>
    <w:link w:val="12"/>
    <w:qFormat/>
    <w:uiPriority w:val="0"/>
    <w:rPr>
      <w:rFonts w:ascii="Times New Roman" w:cs="Times New Roman"/>
      <w:kern w:val="0"/>
      <w:sz w:val="24"/>
      <w:szCs w:val="24"/>
      <w:lang w:eastAsia="en-US" w:bidi="en-US"/>
    </w:rPr>
  </w:style>
  <w:style w:type="character" w:customStyle="1" w:styleId="39">
    <w:name w:val="标题 1 Char"/>
    <w:basedOn w:val="30"/>
    <w:link w:val="3"/>
    <w:qFormat/>
    <w:uiPriority w:val="9"/>
    <w:rPr>
      <w:b/>
      <w:bCs/>
      <w:kern w:val="44"/>
      <w:sz w:val="44"/>
      <w:szCs w:val="44"/>
    </w:rPr>
  </w:style>
  <w:style w:type="character" w:customStyle="1" w:styleId="40">
    <w:name w:val="标题 2 Char"/>
    <w:basedOn w:val="30"/>
    <w:link w:val="2"/>
    <w:qFormat/>
    <w:uiPriority w:val="99"/>
    <w:rPr>
      <w:rFonts w:ascii="Arial" w:hAnsi="Arial" w:eastAsia="宋体" w:cs="Times New Roman"/>
      <w:b/>
      <w:sz w:val="32"/>
      <w:szCs w:val="28"/>
    </w:rPr>
  </w:style>
  <w:style w:type="character" w:customStyle="1" w:styleId="41">
    <w:name w:val="标题 3 Char"/>
    <w:basedOn w:val="30"/>
    <w:link w:val="4"/>
    <w:qFormat/>
    <w:uiPriority w:val="9"/>
    <w:rPr>
      <w:b/>
      <w:bCs/>
      <w:sz w:val="32"/>
      <w:szCs w:val="32"/>
    </w:rPr>
  </w:style>
  <w:style w:type="character" w:customStyle="1" w:styleId="42">
    <w:name w:val="标题 4 Char"/>
    <w:basedOn w:val="30"/>
    <w:link w:val="5"/>
    <w:qFormat/>
    <w:uiPriority w:val="9"/>
    <w:rPr>
      <w:rFonts w:ascii="Cambria" w:hAnsi="Cambria" w:eastAsia="宋体" w:cs="宋体"/>
      <w:b/>
      <w:bCs/>
      <w:sz w:val="28"/>
      <w:szCs w:val="28"/>
    </w:rPr>
  </w:style>
  <w:style w:type="character" w:customStyle="1" w:styleId="43">
    <w:name w:val="正文缩进 Char"/>
    <w:link w:val="8"/>
    <w:qFormat/>
    <w:uiPriority w:val="0"/>
    <w:rPr>
      <w:rFonts w:eastAsia="宋体"/>
    </w:rPr>
  </w:style>
  <w:style w:type="character" w:customStyle="1" w:styleId="44">
    <w:name w:val="文档结构图 Char"/>
    <w:basedOn w:val="30"/>
    <w:link w:val="9"/>
    <w:qFormat/>
    <w:uiPriority w:val="99"/>
    <w:rPr>
      <w:rFonts w:ascii="宋体" w:eastAsia="宋体"/>
      <w:sz w:val="18"/>
      <w:szCs w:val="18"/>
    </w:rPr>
  </w:style>
  <w:style w:type="character" w:customStyle="1" w:styleId="45">
    <w:name w:val="批注文字 Char1"/>
    <w:basedOn w:val="30"/>
    <w:link w:val="10"/>
    <w:qFormat/>
    <w:uiPriority w:val="0"/>
  </w:style>
  <w:style w:type="character" w:customStyle="1" w:styleId="46">
    <w:name w:val="正文文本缩进 Char"/>
    <w:basedOn w:val="30"/>
    <w:link w:val="13"/>
    <w:qFormat/>
    <w:uiPriority w:val="0"/>
    <w:rPr>
      <w:rFonts w:ascii="宋体" w:hAnsi="宋体"/>
      <w:sz w:val="24"/>
    </w:rPr>
  </w:style>
  <w:style w:type="character" w:customStyle="1" w:styleId="47">
    <w:name w:val="纯文本 Char"/>
    <w:basedOn w:val="30"/>
    <w:link w:val="16"/>
    <w:qFormat/>
    <w:uiPriority w:val="0"/>
    <w:rPr>
      <w:rFonts w:ascii="仿宋_GB2312" w:hAnsi="Courier New" w:eastAsia="仿宋_GB2312" w:cs="宋体"/>
      <w:kern w:val="2"/>
      <w:sz w:val="24"/>
      <w:szCs w:val="24"/>
    </w:rPr>
  </w:style>
  <w:style w:type="character" w:customStyle="1" w:styleId="48">
    <w:name w:val="日期 Char1"/>
    <w:basedOn w:val="30"/>
    <w:link w:val="17"/>
    <w:qFormat/>
    <w:uiPriority w:val="99"/>
  </w:style>
  <w:style w:type="character" w:customStyle="1" w:styleId="49">
    <w:name w:val="正文文本缩进 2 Char"/>
    <w:basedOn w:val="30"/>
    <w:link w:val="18"/>
    <w:qFormat/>
    <w:uiPriority w:val="99"/>
    <w:rPr>
      <w:kern w:val="2"/>
      <w:sz w:val="21"/>
      <w:szCs w:val="22"/>
    </w:rPr>
  </w:style>
  <w:style w:type="character" w:customStyle="1" w:styleId="50">
    <w:name w:val="批注框文本 Char"/>
    <w:basedOn w:val="30"/>
    <w:link w:val="19"/>
    <w:qFormat/>
    <w:uiPriority w:val="99"/>
    <w:rPr>
      <w:sz w:val="18"/>
      <w:szCs w:val="18"/>
    </w:rPr>
  </w:style>
  <w:style w:type="character" w:customStyle="1" w:styleId="51">
    <w:name w:val="页脚 Char"/>
    <w:basedOn w:val="30"/>
    <w:link w:val="20"/>
    <w:qFormat/>
    <w:uiPriority w:val="0"/>
    <w:rPr>
      <w:sz w:val="18"/>
      <w:szCs w:val="18"/>
    </w:rPr>
  </w:style>
  <w:style w:type="character" w:customStyle="1" w:styleId="52">
    <w:name w:val="页眉 Char"/>
    <w:basedOn w:val="30"/>
    <w:link w:val="21"/>
    <w:qFormat/>
    <w:uiPriority w:val="99"/>
    <w:rPr>
      <w:sz w:val="18"/>
      <w:szCs w:val="18"/>
    </w:rPr>
  </w:style>
  <w:style w:type="character" w:customStyle="1" w:styleId="53">
    <w:name w:val="副标题 Char"/>
    <w:basedOn w:val="30"/>
    <w:link w:val="23"/>
    <w:qFormat/>
    <w:uiPriority w:val="11"/>
    <w:rPr>
      <w:rFonts w:ascii="Arial" w:hAnsi="Arial" w:eastAsia="隶书"/>
      <w:b/>
      <w:bCs/>
      <w:kern w:val="28"/>
      <w:sz w:val="44"/>
      <w:szCs w:val="32"/>
    </w:rPr>
  </w:style>
  <w:style w:type="character" w:customStyle="1" w:styleId="54">
    <w:name w:val="标题 Char"/>
    <w:basedOn w:val="30"/>
    <w:link w:val="26"/>
    <w:qFormat/>
    <w:uiPriority w:val="0"/>
    <w:rPr>
      <w:rFonts w:ascii="Cambria" w:hAnsi="Cambria" w:eastAsia="宋体" w:cs="宋体"/>
      <w:b/>
      <w:bCs/>
      <w:kern w:val="28"/>
      <w:sz w:val="32"/>
      <w:szCs w:val="32"/>
      <w:lang w:eastAsia="en-US" w:bidi="en-US"/>
    </w:rPr>
  </w:style>
  <w:style w:type="character" w:customStyle="1" w:styleId="55">
    <w:name w:val="批注主题 Char1"/>
    <w:basedOn w:val="45"/>
    <w:link w:val="27"/>
    <w:qFormat/>
    <w:uiPriority w:val="99"/>
    <w:rPr>
      <w:b/>
      <w:bCs/>
    </w:rPr>
  </w:style>
  <w:style w:type="character" w:customStyle="1" w:styleId="56">
    <w:name w:val="正文首行缩进 2 Char"/>
    <w:basedOn w:val="46"/>
    <w:link w:val="14"/>
    <w:qFormat/>
    <w:uiPriority w:val="99"/>
    <w:rPr>
      <w:rFonts w:ascii="宋体" w:hAnsi="宋体"/>
      <w:sz w:val="24"/>
    </w:rPr>
  </w:style>
  <w:style w:type="character" w:customStyle="1" w:styleId="57">
    <w:name w:val="批注文字 Char"/>
    <w:basedOn w:val="30"/>
    <w:qFormat/>
    <w:uiPriority w:val="0"/>
  </w:style>
  <w:style w:type="character" w:customStyle="1" w:styleId="58">
    <w:name w:val="日期 Char"/>
    <w:basedOn w:val="30"/>
    <w:qFormat/>
    <w:uiPriority w:val="99"/>
  </w:style>
  <w:style w:type="character" w:customStyle="1" w:styleId="59">
    <w:name w:val="批注主题 Char"/>
    <w:basedOn w:val="57"/>
    <w:qFormat/>
    <w:uiPriority w:val="99"/>
    <w:rPr>
      <w:b/>
      <w:bCs/>
    </w:rPr>
  </w:style>
  <w:style w:type="paragraph" w:customStyle="1" w:styleId="60">
    <w:name w:val="[Normal]"/>
    <w:qFormat/>
    <w:uiPriority w:val="0"/>
    <w:rPr>
      <w:rFonts w:ascii="宋体" w:hAnsi="宋体" w:eastAsia="宋体" w:cs="Times New Roman"/>
      <w:sz w:val="24"/>
      <w:szCs w:val="22"/>
      <w:lang w:val="zh-CN" w:eastAsia="zh-CN" w:bidi="ar-SA"/>
    </w:rPr>
  </w:style>
  <w:style w:type="paragraph" w:customStyle="1" w:styleId="61">
    <w:name w:val="列出段落1"/>
    <w:basedOn w:val="1"/>
    <w:qFormat/>
    <w:uiPriority w:val="34"/>
    <w:pPr>
      <w:ind w:firstLine="420" w:firstLineChars="200"/>
    </w:pPr>
  </w:style>
  <w:style w:type="paragraph" w:customStyle="1" w:styleId="62">
    <w:name w:val="Fließtext"/>
    <w:basedOn w:val="1"/>
    <w:qFormat/>
    <w:uiPriority w:val="0"/>
    <w:pPr>
      <w:overflowPunct w:val="0"/>
      <w:autoSpaceDE w:val="0"/>
      <w:autoSpaceDN w:val="0"/>
      <w:adjustRightInd w:val="0"/>
      <w:textAlignment w:val="baseline"/>
    </w:pPr>
    <w:rPr>
      <w:rFonts w:ascii="Times New Roman" w:hAnsi="Times New Roman" w:cs="Times New Roman"/>
      <w:kern w:val="28"/>
      <w:szCs w:val="20"/>
    </w:rPr>
  </w:style>
  <w:style w:type="paragraph" w:customStyle="1" w:styleId="63">
    <w:name w:val="正文缩进1"/>
    <w:basedOn w:val="1"/>
    <w:qFormat/>
    <w:uiPriority w:val="0"/>
    <w:pPr>
      <w:widowControl/>
      <w:autoSpaceDE w:val="0"/>
      <w:autoSpaceDN w:val="0"/>
      <w:adjustRightInd w:val="0"/>
      <w:ind w:firstLine="420"/>
      <w:jc w:val="left"/>
    </w:pPr>
    <w:rPr>
      <w:rFonts w:ascii="宋体" w:hAnsi="Times New Roman" w:cs="Times New Roman"/>
      <w:kern w:val="0"/>
      <w:sz w:val="24"/>
      <w:szCs w:val="20"/>
      <w:lang w:eastAsia="en-US" w:bidi="en-US"/>
    </w:rPr>
  </w:style>
  <w:style w:type="paragraph" w:customStyle="1" w:styleId="64">
    <w:name w:val="索引 11"/>
    <w:basedOn w:val="1"/>
    <w:next w:val="1"/>
    <w:qFormat/>
    <w:uiPriority w:val="99"/>
    <w:pPr>
      <w:widowControl/>
      <w:spacing w:line="360" w:lineRule="auto"/>
      <w:jc w:val="left"/>
    </w:pPr>
    <w:rPr>
      <w:rFonts w:ascii="仿宋_GB2312" w:hAnsi="Times New Roman" w:eastAsia="仿宋_GB2312" w:cs="Times New Roman"/>
      <w:kern w:val="0"/>
      <w:sz w:val="24"/>
      <w:szCs w:val="20"/>
      <w:lang w:eastAsia="en-US" w:bidi="en-US"/>
    </w:rPr>
  </w:style>
  <w:style w:type="paragraph" w:customStyle="1" w:styleId="65">
    <w:name w:val="Other|1"/>
    <w:basedOn w:val="1"/>
    <w:qFormat/>
    <w:uiPriority w:val="0"/>
    <w:pPr>
      <w:spacing w:line="408" w:lineRule="auto"/>
      <w:ind w:firstLine="400"/>
    </w:pPr>
    <w:rPr>
      <w:rFonts w:ascii="宋体" w:hAnsi="宋体"/>
      <w:sz w:val="28"/>
      <w:szCs w:val="28"/>
      <w:lang w:val="zh-TW" w:eastAsia="zh-TW" w:bidi="zh-TW"/>
    </w:rPr>
  </w:style>
  <w:style w:type="character" w:customStyle="1" w:styleId="66">
    <w:name w:val="正文缩进 Char2"/>
    <w:qFormat/>
    <w:uiPriority w:val="0"/>
    <w:rPr>
      <w:rFonts w:ascii="宋体" w:eastAsia="宋体"/>
      <w:snapToGrid w:val="0"/>
      <w:color w:val="000000"/>
      <w:kern w:val="28"/>
      <w:sz w:val="28"/>
      <w:lang w:val="en-US" w:eastAsia="zh-CN" w:bidi="ar-SA"/>
    </w:rPr>
  </w:style>
  <w:style w:type="character" w:customStyle="1" w:styleId="67">
    <w:name w:val="纯文本 Char1"/>
    <w:link w:val="68"/>
    <w:qFormat/>
    <w:uiPriority w:val="0"/>
    <w:rPr>
      <w:rFonts w:ascii="宋体" w:hAnsi="Courier New"/>
    </w:rPr>
  </w:style>
  <w:style w:type="paragraph" w:customStyle="1" w:styleId="68">
    <w:name w:val="纯文本1"/>
    <w:basedOn w:val="1"/>
    <w:link w:val="67"/>
    <w:qFormat/>
    <w:uiPriority w:val="0"/>
    <w:rPr>
      <w:rFonts w:ascii="宋体" w:hAnsi="Courier New"/>
    </w:rPr>
  </w:style>
  <w:style w:type="paragraph" w:customStyle="1" w:styleId="69">
    <w:name w:val="text-tag"/>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70">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71">
    <w:name w:val="首行缩进"/>
    <w:basedOn w:val="1"/>
    <w:next w:val="1"/>
    <w:qFormat/>
    <w:uiPriority w:val="0"/>
    <w:pPr>
      <w:spacing w:line="360" w:lineRule="auto"/>
      <w:ind w:firstLine="480" w:firstLineChars="200"/>
    </w:pPr>
    <w:rPr>
      <w:rFonts w:ascii="宋体"/>
      <w:sz w:val="24"/>
      <w:szCs w:val="20"/>
    </w:rPr>
  </w:style>
  <w:style w:type="paragraph" w:customStyle="1" w:styleId="72">
    <w:name w:val="表格"/>
    <w:basedOn w:val="1"/>
    <w:qFormat/>
    <w:uiPriority w:val="0"/>
    <w:rPr>
      <w:rFonts w:ascii="Times New Roman" w:hAnsi="Times New Roman" w:cs="Times New Roman"/>
    </w:rPr>
  </w:style>
  <w:style w:type="paragraph" w:customStyle="1" w:styleId="73">
    <w:name w:val="List Paragraph1"/>
    <w:basedOn w:val="1"/>
    <w:qFormat/>
    <w:uiPriority w:val="99"/>
    <w:pPr>
      <w:ind w:firstLine="420" w:firstLineChars="200"/>
    </w:pPr>
    <w:rPr>
      <w:rFonts w:ascii="等线" w:hAnsi="等线" w:eastAsia="等线"/>
      <w:szCs w:val="24"/>
    </w:rPr>
  </w:style>
  <w:style w:type="paragraph" w:customStyle="1" w:styleId="74">
    <w:name w:val="纯文本111"/>
    <w:basedOn w:val="1"/>
    <w:qFormat/>
    <w:uiPriority w:val="0"/>
    <w:pPr>
      <w:adjustRightInd w:val="0"/>
    </w:pPr>
    <w:rPr>
      <w:rFonts w:hint="eastAsia" w:ascii="宋体" w:hAnsi="Courier New" w:eastAsia="楷体_GB2312" w:cs="Times New Roman"/>
      <w:sz w:val="28"/>
      <w:szCs w:val="20"/>
    </w:rPr>
  </w:style>
  <w:style w:type="paragraph" w:customStyle="1" w:styleId="75">
    <w:name w:val="文档正文"/>
    <w:basedOn w:val="1"/>
    <w:qFormat/>
    <w:uiPriority w:val="0"/>
    <w:rPr>
      <w:rFonts w:ascii="宋体" w:cs="Arial"/>
      <w:bCs/>
      <w:szCs w:val="21"/>
    </w:rPr>
  </w:style>
  <w:style w:type="paragraph" w:customStyle="1" w:styleId="76">
    <w:name w:val="列出段落2"/>
    <w:basedOn w:val="1"/>
    <w:qFormat/>
    <w:uiPriority w:val="34"/>
    <w:pPr>
      <w:ind w:firstLine="420" w:firstLineChars="200"/>
    </w:pPr>
    <w:rPr>
      <w:rFonts w:ascii="Times New Roman" w:hAnsi="Times New Roman" w:cs="Times New Roman"/>
      <w:szCs w:val="20"/>
    </w:rPr>
  </w:style>
  <w:style w:type="character" w:customStyle="1" w:styleId="77">
    <w:name w:val="正文2 Char Char"/>
    <w:link w:val="78"/>
    <w:qFormat/>
    <w:uiPriority w:val="0"/>
    <w:rPr>
      <w:rFonts w:ascii="仿宋_GB2312" w:hAnsi="宋体" w:eastAsia="仿宋_GB2312"/>
      <w:color w:val="000000"/>
      <w:sz w:val="24"/>
      <w:szCs w:val="24"/>
    </w:rPr>
  </w:style>
  <w:style w:type="paragraph" w:customStyle="1" w:styleId="78">
    <w:name w:val="正文2"/>
    <w:basedOn w:val="1"/>
    <w:link w:val="77"/>
    <w:qFormat/>
    <w:uiPriority w:val="0"/>
    <w:pPr>
      <w:adjustRightInd w:val="0"/>
      <w:snapToGrid w:val="0"/>
      <w:spacing w:line="440" w:lineRule="exact"/>
      <w:ind w:firstLine="480" w:firstLineChars="200"/>
    </w:pPr>
    <w:rPr>
      <w:rFonts w:ascii="仿宋_GB2312" w:hAnsi="宋体" w:eastAsia="仿宋_GB2312" w:cs="Times New Roman"/>
      <w:color w:val="000000"/>
      <w:kern w:val="0"/>
      <w:sz w:val="24"/>
      <w:szCs w:val="24"/>
    </w:rPr>
  </w:style>
  <w:style w:type="paragraph" w:customStyle="1" w:styleId="79">
    <w:name w:val="正文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纯文本 Char3"/>
    <w:qFormat/>
    <w:uiPriority w:val="99"/>
    <w:rPr>
      <w:rFonts w:ascii="宋体" w:hAnsi="Courier New" w:eastAsia="黑体" w:cs="Times New Roman"/>
      <w:snapToGrid w:val="0"/>
      <w:szCs w:val="21"/>
    </w:rPr>
  </w:style>
  <w:style w:type="paragraph" w:customStyle="1" w:styleId="81">
    <w:name w:val="标题 1（洛）"/>
    <w:basedOn w:val="3"/>
    <w:next w:val="1"/>
    <w:qFormat/>
    <w:uiPriority w:val="0"/>
    <w:pPr>
      <w:pageBreakBefore/>
      <w:numPr>
        <w:ilvl w:val="0"/>
        <w:numId w:val="1"/>
      </w:numPr>
      <w:spacing w:before="600" w:line="360" w:lineRule="auto"/>
      <w:jc w:val="left"/>
    </w:pPr>
    <w:rPr>
      <w:rFonts w:ascii="Arial" w:hAnsi="Arial" w:eastAsia="汉仪大黑简" w:cs="Times New Roman"/>
      <w:color w:val="000000"/>
      <w:sz w:val="36"/>
    </w:rPr>
  </w:style>
  <w:style w:type="paragraph" w:customStyle="1" w:styleId="82">
    <w:name w:val="标题 2（洛）"/>
    <w:basedOn w:val="2"/>
    <w:next w:val="1"/>
    <w:qFormat/>
    <w:uiPriority w:val="0"/>
    <w:pPr>
      <w:numPr>
        <w:ilvl w:val="1"/>
        <w:numId w:val="1"/>
      </w:numPr>
      <w:spacing w:line="413" w:lineRule="auto"/>
      <w:ind w:left="1004" w:leftChars="100" w:right="210" w:rightChars="100"/>
      <w:jc w:val="left"/>
    </w:pPr>
    <w:rPr>
      <w:rFonts w:eastAsia="黑体"/>
      <w:szCs w:val="32"/>
    </w:rPr>
  </w:style>
  <w:style w:type="paragraph" w:customStyle="1" w:styleId="83">
    <w:name w:val="标题 3（洛）"/>
    <w:basedOn w:val="4"/>
    <w:next w:val="1"/>
    <w:link w:val="84"/>
    <w:qFormat/>
    <w:uiPriority w:val="0"/>
    <w:pPr>
      <w:numPr>
        <w:ilvl w:val="2"/>
        <w:numId w:val="1"/>
      </w:numPr>
      <w:tabs>
        <w:tab w:val="left" w:pos="960"/>
      </w:tabs>
      <w:spacing w:line="412" w:lineRule="auto"/>
      <w:jc w:val="left"/>
    </w:pPr>
    <w:rPr>
      <w:rFonts w:ascii="Arial" w:hAnsi="Arial" w:eastAsia="黑体" w:cs="Times New Roman"/>
      <w:bCs w:val="0"/>
      <w:kern w:val="0"/>
      <w:sz w:val="30"/>
      <w:szCs w:val="30"/>
    </w:rPr>
  </w:style>
  <w:style w:type="character" w:customStyle="1" w:styleId="84">
    <w:name w:val="标题 3（洛） Char"/>
    <w:link w:val="83"/>
    <w:qFormat/>
    <w:uiPriority w:val="0"/>
    <w:rPr>
      <w:rFonts w:ascii="Arial" w:hAnsi="Arial" w:eastAsia="黑体" w:cs="Times New Roman"/>
      <w:b/>
      <w:kern w:val="0"/>
      <w:sz w:val="30"/>
      <w:szCs w:val="30"/>
    </w:rPr>
  </w:style>
  <w:style w:type="paragraph" w:customStyle="1" w:styleId="85">
    <w:name w:val="标题 4（洛）"/>
    <w:basedOn w:val="5"/>
    <w:next w:val="1"/>
    <w:qFormat/>
    <w:uiPriority w:val="0"/>
    <w:pPr>
      <w:widowControl/>
      <w:numPr>
        <w:ilvl w:val="3"/>
        <w:numId w:val="1"/>
      </w:numPr>
      <w:spacing w:after="156" w:line="374" w:lineRule="auto"/>
      <w:jc w:val="left"/>
    </w:pPr>
    <w:rPr>
      <w:rFonts w:ascii="Arial" w:hAnsi="Arial" w:eastAsia="黑体" w:cs="Times New Roman"/>
      <w:bCs w:val="0"/>
      <w:kern w:val="0"/>
    </w:rPr>
  </w:style>
  <w:style w:type="paragraph" w:customStyle="1" w:styleId="86">
    <w:name w:val="标题 5（洛）"/>
    <w:basedOn w:val="1"/>
    <w:next w:val="1"/>
    <w:qFormat/>
    <w:uiPriority w:val="0"/>
    <w:pPr>
      <w:keepNext/>
      <w:keepLines/>
      <w:numPr>
        <w:ilvl w:val="4"/>
        <w:numId w:val="1"/>
      </w:numPr>
      <w:spacing w:before="280" w:after="156" w:line="376" w:lineRule="auto"/>
      <w:jc w:val="left"/>
      <w:outlineLvl w:val="4"/>
    </w:pPr>
    <w:rPr>
      <w:rFonts w:ascii="Arial" w:hAnsi="Arial" w:eastAsia="黑体" w:cs="Times New Roman"/>
      <w:b/>
      <w:kern w:val="0"/>
      <w:sz w:val="24"/>
      <w:szCs w:val="28"/>
    </w:rPr>
  </w:style>
  <w:style w:type="paragraph" w:customStyle="1" w:styleId="87">
    <w:name w:val="标题 6（洛）"/>
    <w:basedOn w:val="1"/>
    <w:next w:val="1"/>
    <w:qFormat/>
    <w:uiPriority w:val="0"/>
    <w:pPr>
      <w:keepNext/>
      <w:keepLines/>
      <w:numPr>
        <w:ilvl w:val="5"/>
        <w:numId w:val="1"/>
      </w:numPr>
      <w:spacing w:before="240" w:after="64" w:line="316" w:lineRule="auto"/>
      <w:jc w:val="left"/>
      <w:outlineLvl w:val="5"/>
    </w:pPr>
    <w:rPr>
      <w:rFonts w:ascii="Arial" w:hAnsi="Arial" w:eastAsia="黑体" w:cs="Times New Roman"/>
      <w:b/>
      <w:kern w:val="0"/>
      <w:szCs w:val="24"/>
    </w:rPr>
  </w:style>
  <w:style w:type="paragraph" w:customStyle="1" w:styleId="88">
    <w:name w:val="图表（洛）"/>
    <w:basedOn w:val="1"/>
    <w:link w:val="89"/>
    <w:qFormat/>
    <w:uiPriority w:val="0"/>
    <w:pPr>
      <w:jc w:val="left"/>
    </w:pPr>
    <w:rPr>
      <w:sz w:val="18"/>
      <w:szCs w:val="18"/>
    </w:rPr>
  </w:style>
  <w:style w:type="character" w:customStyle="1" w:styleId="89">
    <w:name w:val="图表（洛） Char"/>
    <w:basedOn w:val="30"/>
    <w:link w:val="88"/>
    <w:qFormat/>
    <w:uiPriority w:val="0"/>
    <w:rPr>
      <w:rFonts w:cs="宋体"/>
      <w:sz w:val="18"/>
      <w:szCs w:val="18"/>
    </w:rPr>
  </w:style>
  <w:style w:type="paragraph" w:customStyle="1" w:styleId="90">
    <w:name w:val="修订1"/>
    <w:qFormat/>
    <w:uiPriority w:val="99"/>
    <w:rPr>
      <w:rFonts w:ascii="Calibri" w:hAnsi="Calibri" w:eastAsia="宋体" w:cs="宋体"/>
      <w:kern w:val="2"/>
      <w:sz w:val="21"/>
      <w:szCs w:val="22"/>
      <w:lang w:val="en-US" w:eastAsia="zh-CN" w:bidi="ar-SA"/>
    </w:rPr>
  </w:style>
  <w:style w:type="paragraph" w:customStyle="1" w:styleId="91">
    <w:name w:val="Body text|1"/>
    <w:basedOn w:val="1"/>
    <w:qFormat/>
    <w:uiPriority w:val="0"/>
    <w:pPr>
      <w:spacing w:line="391" w:lineRule="auto"/>
      <w:ind w:firstLine="400"/>
    </w:pPr>
    <w:rPr>
      <w:rFonts w:ascii="宋体" w:hAnsi="宋体"/>
      <w:sz w:val="30"/>
      <w:szCs w:val="30"/>
      <w:lang w:val="zh-TW" w:eastAsia="zh-TW" w:bidi="zh-TW"/>
    </w:rPr>
  </w:style>
  <w:style w:type="paragraph" w:customStyle="1" w:styleId="92">
    <w:name w:val="正文ok"/>
    <w:qFormat/>
    <w:uiPriority w:val="0"/>
    <w:pPr>
      <w:spacing w:line="360" w:lineRule="auto"/>
      <w:ind w:firstLine="200" w:firstLineChars="200"/>
    </w:pPr>
    <w:rPr>
      <w:rFonts w:ascii="宋体" w:hAnsi="Times New Roman" w:eastAsia="宋体" w:cs="宋体"/>
      <w:sz w:val="24"/>
      <w:szCs w:val="24"/>
      <w:lang w:val="en-US" w:eastAsia="zh-CN" w:bidi="ar-SA"/>
    </w:rPr>
  </w:style>
  <w:style w:type="paragraph" w:customStyle="1" w:styleId="93">
    <w:name w:val="正文1"/>
    <w:basedOn w:val="1"/>
    <w:next w:val="1"/>
    <w:qFormat/>
    <w:uiPriority w:val="0"/>
    <w:pPr>
      <w:spacing w:before="156"/>
      <w:ind w:firstLine="510" w:firstLineChars="200"/>
    </w:pPr>
    <w:rPr>
      <w:rFonts w:ascii="Times New Roman" w:hAnsi="Times New Roman" w:cs="Times New Roman"/>
      <w:szCs w:val="24"/>
    </w:rPr>
  </w:style>
  <w:style w:type="paragraph" w:customStyle="1" w:styleId="94">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95">
    <w:name w:val="修订2"/>
    <w:unhideWhenUsed/>
    <w:qFormat/>
    <w:uiPriority w:val="99"/>
    <w:rPr>
      <w:rFonts w:ascii="Calibri" w:hAnsi="Calibri" w:eastAsia="宋体" w:cs="宋体"/>
      <w:kern w:val="2"/>
      <w:sz w:val="21"/>
      <w:szCs w:val="22"/>
      <w:lang w:val="en-US" w:eastAsia="zh-CN" w:bidi="ar-SA"/>
    </w:rPr>
  </w:style>
  <w:style w:type="paragraph" w:styleId="96">
    <w:name w:val="List Paragraph"/>
    <w:basedOn w:val="1"/>
    <w:unhideWhenUsed/>
    <w:qFormat/>
    <w:uiPriority w:val="34"/>
    <w:pPr>
      <w:ind w:firstLine="420" w:firstLineChars="200"/>
    </w:pPr>
    <w:rPr>
      <w:rFonts w:ascii="Calibri" w:hAnsi="Calibri" w:eastAsia="宋体" w:cs="Times New Roman"/>
      <w:szCs w:val="24"/>
    </w:rPr>
  </w:style>
  <w:style w:type="paragraph" w:customStyle="1" w:styleId="97">
    <w:name w:val="Table Text"/>
    <w:basedOn w:val="1"/>
    <w:qFormat/>
    <w:uiPriority w:val="0"/>
    <w:pPr>
      <w:widowControl/>
      <w:adjustRightInd w:val="0"/>
      <w:spacing w:before="60" w:after="60"/>
      <w:jc w:val="left"/>
    </w:pPr>
    <w:rPr>
      <w:rFonts w:ascii="Times New Roman" w:hAnsi="Times New Roman" w:eastAsia="宋体" w:cs="Times New Roman"/>
      <w:kern w:val="0"/>
      <w:sz w:val="24"/>
    </w:rPr>
  </w:style>
  <w:style w:type="table" w:customStyle="1" w:styleId="98">
    <w:name w:val="Table Normal"/>
    <w:semiHidden/>
    <w:unhideWhenUsed/>
    <w:qFormat/>
    <w:uiPriority w:val="0"/>
    <w:tblPr>
      <w:tblCellMar>
        <w:top w:w="0" w:type="dxa"/>
        <w:left w:w="0" w:type="dxa"/>
        <w:bottom w:w="0" w:type="dxa"/>
        <w:right w:w="0" w:type="dxa"/>
      </w:tblCellMar>
    </w:tblPr>
  </w:style>
  <w:style w:type="paragraph" w:customStyle="1" w:styleId="99">
    <w:name w:val="标1洛"/>
    <w:basedOn w:val="3"/>
    <w:next w:val="100"/>
    <w:qFormat/>
    <w:uiPriority w:val="0"/>
    <w:pPr>
      <w:pageBreakBefore/>
      <w:widowControl/>
      <w:numPr>
        <w:ilvl w:val="0"/>
        <w:numId w:val="2"/>
      </w:numPr>
      <w:spacing w:before="600" w:line="360" w:lineRule="auto"/>
      <w:jc w:val="left"/>
    </w:pPr>
    <w:rPr>
      <w:rFonts w:ascii="Arial" w:hAnsi="Arial" w:eastAsia="汉仪大黑简" w:cs="Times New Roman"/>
      <w:color w:val="000000" w:themeColor="text1"/>
      <w:sz w:val="36"/>
      <w14:textFill>
        <w14:solidFill>
          <w14:schemeClr w14:val="tx1"/>
        </w14:solidFill>
      </w14:textFill>
    </w:rPr>
  </w:style>
  <w:style w:type="paragraph" w:customStyle="1" w:styleId="100">
    <w:name w:val="正文（洛）"/>
    <w:basedOn w:val="1"/>
    <w:qFormat/>
    <w:uiPriority w:val="0"/>
    <w:pPr>
      <w:widowControl/>
      <w:spacing w:after="160" w:line="360" w:lineRule="auto"/>
      <w:ind w:firstLine="480" w:firstLineChars="200"/>
      <w:jc w:val="left"/>
    </w:pPr>
    <w:rPr>
      <w:rFonts w:ascii="Times New Roman" w:hAnsi="Times New Roman" w:eastAsia="仿宋" w:cs="Times New Roman"/>
      <w:color w:val="000000"/>
      <w:kern w:val="0"/>
      <w:sz w:val="24"/>
      <w:szCs w:val="24"/>
    </w:rPr>
  </w:style>
  <w:style w:type="character" w:customStyle="1" w:styleId="101">
    <w:name w:val="font21"/>
    <w:basedOn w:val="30"/>
    <w:qFormat/>
    <w:uiPriority w:val="0"/>
    <w:rPr>
      <w:rFonts w:hint="eastAsia" w:ascii="宋体" w:hAnsi="宋体" w:eastAsia="宋体" w:cs="宋体"/>
      <w:color w:val="FF0000"/>
      <w:sz w:val="22"/>
      <w:szCs w:val="22"/>
      <w:u w:val="none"/>
    </w:rPr>
  </w:style>
  <w:style w:type="paragraph" w:customStyle="1" w:styleId="102">
    <w:name w:val="正文_1_0"/>
    <w:basedOn w:val="103"/>
    <w:qFormat/>
    <w:uiPriority w:val="0"/>
  </w:style>
  <w:style w:type="paragraph" w:customStyle="1" w:styleId="103">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_Style 14"/>
    <w:basedOn w:val="1"/>
    <w:next w:val="96"/>
    <w:qFormat/>
    <w:uiPriority w:val="34"/>
    <w:pPr>
      <w:widowControl/>
      <w:ind w:firstLine="420" w:firstLineChars="200"/>
      <w:jc w:val="left"/>
    </w:pPr>
    <w:rPr>
      <w:rFonts w:ascii="宋体" w:hAnsi="宋体" w:eastAsia="宋体" w:cs="Times New Roman"/>
      <w:kern w:val="0"/>
      <w:sz w:val="24"/>
      <w:szCs w:val="24"/>
      <w:lang w:val="zh-CN"/>
    </w:rPr>
  </w:style>
  <w:style w:type="paragraph" w:styleId="10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06">
    <w:name w:val="正文空2字"/>
    <w:basedOn w:val="10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07">
    <w:name w:val="左对齐正文"/>
    <w:qFormat/>
    <w:uiPriority w:val="99"/>
    <w:rPr>
      <w:rFonts w:ascii="Calibri" w:hAnsi="Calibri" w:eastAsia="仿宋_GB2312" w:cs="Calibri"/>
      <w:kern w:val="2"/>
      <w:sz w:val="32"/>
      <w:szCs w:val="32"/>
      <w:lang w:val="en-US" w:eastAsia="zh-CN" w:bidi="ar-SA"/>
    </w:rPr>
  </w:style>
  <w:style w:type="character" w:customStyle="1" w:styleId="108">
    <w:name w:val="font61"/>
    <w:basedOn w:val="30"/>
    <w:qFormat/>
    <w:uiPriority w:val="0"/>
    <w:rPr>
      <w:rFonts w:hint="eastAsia" w:ascii="宋体" w:hAnsi="宋体" w:eastAsia="宋体" w:cs="宋体"/>
      <w:color w:val="000000"/>
      <w:sz w:val="20"/>
      <w:szCs w:val="20"/>
      <w:u w:val="none"/>
    </w:rPr>
  </w:style>
  <w:style w:type="character" w:customStyle="1" w:styleId="109">
    <w:name w:val="font41"/>
    <w:basedOn w:val="30"/>
    <w:qFormat/>
    <w:uiPriority w:val="0"/>
    <w:rPr>
      <w:rFonts w:ascii="Arial" w:hAnsi="Arial" w:cs="Arial"/>
      <w:color w:val="000000"/>
      <w:sz w:val="20"/>
      <w:szCs w:val="20"/>
      <w:u w:val="none"/>
    </w:rPr>
  </w:style>
  <w:style w:type="character" w:customStyle="1" w:styleId="110">
    <w:name w:val="font51"/>
    <w:basedOn w:val="30"/>
    <w:qFormat/>
    <w:uiPriority w:val="0"/>
    <w:rPr>
      <w:rFonts w:hint="eastAsia" w:ascii="宋体" w:hAnsi="宋体" w:eastAsia="宋体" w:cs="宋体"/>
      <w:color w:val="000000"/>
      <w:sz w:val="20"/>
      <w:szCs w:val="20"/>
      <w:u w:val="none"/>
    </w:rPr>
  </w:style>
  <w:style w:type="character" w:customStyle="1" w:styleId="111">
    <w:name w:val="font91"/>
    <w:basedOn w:val="3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154</Pages>
  <Words>15949</Words>
  <Characters>17076</Characters>
  <Lines>445</Lines>
  <Paragraphs>125</Paragraphs>
  <TotalTime>263</TotalTime>
  <ScaleCrop>false</ScaleCrop>
  <LinksUpToDate>false</LinksUpToDate>
  <CharactersWithSpaces>17237</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2024-03-12T08:21:00Z</dcterms:created>
  <dc:creator>NTKO</dc:creator>
  <cp:lastModifiedBy>user</cp:lastModifiedBy>
  <cp:lastPrinted>2024-03-08T03:15:00Z</cp:lastPrinted>
  <dcterms:modified xsi:type="dcterms:W3CDTF">2026-06-01T10:58:55Z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DB62BE497B54FC9D1FF01C6A33C29C85_43</vt:lpwstr>
  </property>
  <property fmtid="{D5CDD505-2E9C-101B-9397-08002B2CF9AE}" pid="3" name="KSOProductBuildVer">
    <vt:lpwstr>2052-12.8.2.1119</vt:lpwstr>
  </property>
  <property fmtid="{D5CDD505-2E9C-101B-9397-08002B2CF9AE}" pid="4" name="KSOTemplateDocerSaveRecord">
    <vt:lpwstr>eyJoZGlkIjoiYTc2ZGZiNzZiNDVlOGViOWVmM2JhOTY0NGJkNjUyYzgiLCJ1c2VySWQiOiIzNTgyNTI3NzgifQ==</vt:lpwstr>
  </property>
</Properties>
</file>