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4CC18">
      <w:pPr>
        <w:pStyle w:val="36"/>
        <w:ind w:left="0" w:leftChars="0" w:firstLine="0" w:firstLineChars="0"/>
        <w:rPr>
          <w:rFonts w:hint="eastAsia" w:ascii="仿宋" w:hAnsi="仿宋" w:eastAsia="仿宋" w:cs="仿宋"/>
          <w:color w:val="auto"/>
          <w:highlight w:val="none"/>
        </w:rPr>
      </w:pPr>
      <w:bookmarkStart w:id="0" w:name="_Toc183682338"/>
      <w:bookmarkStart w:id="1" w:name="_Toc217446030"/>
    </w:p>
    <w:p w14:paraId="4F5F8A77">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outlineLvl w:val="0"/>
        <w:rPr>
          <w:rFonts w:hint="eastAsia" w:ascii="仿宋" w:hAnsi="仿宋" w:eastAsia="仿宋" w:cs="仿宋"/>
          <w:b/>
          <w:bCs w:val="0"/>
          <w:color w:val="auto"/>
          <w:sz w:val="48"/>
          <w:szCs w:val="48"/>
          <w:highlight w:val="none"/>
          <w:lang w:val="en-US" w:eastAsia="zh-CN"/>
        </w:rPr>
      </w:pPr>
    </w:p>
    <w:p w14:paraId="17A10B0F">
      <w:pPr>
        <w:keepNext w:val="0"/>
        <w:keepLines w:val="0"/>
        <w:pageBreakBefore w:val="0"/>
        <w:widowControl w:val="0"/>
        <w:kinsoku/>
        <w:wordWrap/>
        <w:overflowPunct/>
        <w:topLinePunct w:val="0"/>
        <w:autoSpaceDE/>
        <w:autoSpaceDN/>
        <w:bidi w:val="0"/>
        <w:adjustRightInd/>
        <w:snapToGrid w:val="0"/>
        <w:spacing w:line="900" w:lineRule="exact"/>
        <w:jc w:val="center"/>
        <w:textAlignment w:val="auto"/>
        <w:outlineLvl w:val="0"/>
        <w:rPr>
          <w:rFonts w:hint="eastAsia" w:ascii="仿宋" w:hAnsi="仿宋" w:eastAsia="仿宋" w:cs="仿宋"/>
          <w:b/>
          <w:bCs/>
          <w:color w:val="auto"/>
          <w:sz w:val="48"/>
          <w:szCs w:val="48"/>
          <w:highlight w:val="none"/>
          <w:lang w:eastAsia="zh-CN"/>
        </w:rPr>
      </w:pPr>
      <w:r>
        <w:rPr>
          <w:rFonts w:hint="eastAsia" w:ascii="仿宋" w:hAnsi="仿宋" w:eastAsia="仿宋" w:cs="仿宋"/>
          <w:b/>
          <w:bCs/>
          <w:i w:val="0"/>
          <w:iCs w:val="0"/>
          <w:color w:val="auto"/>
          <w:sz w:val="48"/>
          <w:szCs w:val="48"/>
          <w:highlight w:val="none"/>
          <w:u w:val="none"/>
          <w:lang w:val="en-US" w:eastAsia="zh-CN"/>
        </w:rPr>
        <w:t>伊宁市教育系统提升改造设施设备采购第四标</w:t>
      </w:r>
    </w:p>
    <w:p w14:paraId="1E6CE996">
      <w:pPr>
        <w:pStyle w:val="12"/>
        <w:keepNext w:val="0"/>
        <w:keepLines w:val="0"/>
        <w:pageBreakBefore w:val="0"/>
        <w:widowControl w:val="0"/>
        <w:kinsoku/>
        <w:wordWrap/>
        <w:overflowPunct/>
        <w:topLinePunct w:val="0"/>
        <w:autoSpaceDE/>
        <w:autoSpaceDN/>
        <w:bidi w:val="0"/>
        <w:adjustRightInd w:val="0"/>
        <w:snapToGrid w:val="0"/>
        <w:spacing w:line="900" w:lineRule="exact"/>
        <w:textAlignment w:val="auto"/>
        <w:rPr>
          <w:rFonts w:hint="eastAsia" w:ascii="仿宋" w:hAnsi="仿宋" w:eastAsia="仿宋" w:cs="仿宋"/>
          <w:b/>
          <w:color w:val="auto"/>
          <w:sz w:val="28"/>
          <w:szCs w:val="28"/>
          <w:highlight w:val="none"/>
        </w:rPr>
      </w:pPr>
    </w:p>
    <w:p w14:paraId="4B038852">
      <w:pPr>
        <w:pStyle w:val="12"/>
        <w:keepNext w:val="0"/>
        <w:keepLines w:val="0"/>
        <w:pageBreakBefore w:val="0"/>
        <w:widowControl w:val="0"/>
        <w:kinsoku/>
        <w:wordWrap/>
        <w:overflowPunct/>
        <w:topLinePunct w:val="0"/>
        <w:autoSpaceDE/>
        <w:autoSpaceDN/>
        <w:bidi w:val="0"/>
        <w:adjustRightInd w:val="0"/>
        <w:snapToGrid w:val="0"/>
        <w:spacing w:line="900" w:lineRule="exact"/>
        <w:jc w:val="center"/>
        <w:textAlignment w:val="auto"/>
        <w:outlineLvl w:val="0"/>
        <w:rPr>
          <w:rFonts w:hint="default" w:ascii="仿宋" w:hAnsi="仿宋" w:eastAsia="仿宋" w:cs="仿宋"/>
          <w:color w:val="auto"/>
          <w:sz w:val="32"/>
          <w:szCs w:val="32"/>
          <w:highlight w:val="none"/>
          <w:lang w:val="en-US" w:eastAsia="zh-CN"/>
        </w:rPr>
      </w:pPr>
      <w:bookmarkStart w:id="2" w:name="_Toc28773"/>
      <w:r>
        <w:rPr>
          <w:rFonts w:hint="eastAsia" w:ascii="仿宋" w:hAnsi="仿宋" w:eastAsia="仿宋" w:cs="仿宋"/>
          <w:b/>
          <w:color w:val="auto"/>
          <w:sz w:val="32"/>
          <w:szCs w:val="32"/>
          <w:highlight w:val="none"/>
        </w:rPr>
        <w:t>采购项目编号：</w:t>
      </w:r>
      <w:bookmarkEnd w:id="2"/>
      <w:r>
        <w:rPr>
          <w:rFonts w:hint="eastAsia" w:ascii="仿宋" w:hAnsi="仿宋" w:eastAsia="仿宋" w:cs="仿宋"/>
          <w:b/>
          <w:color w:val="auto"/>
          <w:sz w:val="32"/>
          <w:szCs w:val="32"/>
          <w:highlight w:val="none"/>
          <w:lang w:eastAsia="zh-CN"/>
        </w:rPr>
        <w:t>XJWQCG-2026010</w:t>
      </w:r>
    </w:p>
    <w:p w14:paraId="1B176C4A">
      <w:pPr>
        <w:pStyle w:val="12"/>
        <w:keepNext w:val="0"/>
        <w:keepLines w:val="0"/>
        <w:pageBreakBefore w:val="0"/>
        <w:widowControl w:val="0"/>
        <w:kinsoku/>
        <w:wordWrap/>
        <w:overflowPunct/>
        <w:topLinePunct w:val="0"/>
        <w:autoSpaceDE/>
        <w:autoSpaceDN/>
        <w:bidi w:val="0"/>
        <w:adjustRightInd w:val="0"/>
        <w:snapToGrid w:val="0"/>
        <w:spacing w:line="900" w:lineRule="exact"/>
        <w:jc w:val="center"/>
        <w:textAlignment w:val="auto"/>
        <w:rPr>
          <w:rFonts w:hint="eastAsia" w:ascii="仿宋" w:hAnsi="仿宋" w:eastAsia="仿宋" w:cs="仿宋"/>
          <w:color w:val="auto"/>
          <w:sz w:val="84"/>
          <w:szCs w:val="84"/>
          <w:highlight w:val="none"/>
        </w:rPr>
      </w:pPr>
    </w:p>
    <w:p w14:paraId="6C164B59">
      <w:pPr>
        <w:pStyle w:val="12"/>
        <w:keepNext w:val="0"/>
        <w:keepLines w:val="0"/>
        <w:pageBreakBefore w:val="0"/>
        <w:widowControl w:val="0"/>
        <w:kinsoku/>
        <w:wordWrap/>
        <w:overflowPunct/>
        <w:topLinePunct w:val="0"/>
        <w:autoSpaceDE/>
        <w:autoSpaceDN/>
        <w:bidi w:val="0"/>
        <w:adjustRightInd w:val="0"/>
        <w:snapToGrid w:val="0"/>
        <w:spacing w:line="900" w:lineRule="exact"/>
        <w:jc w:val="center"/>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84"/>
          <w:szCs w:val="84"/>
          <w:highlight w:val="none"/>
        </w:rPr>
        <w:t>招标文件</w:t>
      </w:r>
    </w:p>
    <w:p w14:paraId="34DAAC5B">
      <w:pPr>
        <w:pStyle w:val="12"/>
        <w:adjustRightInd w:val="0"/>
        <w:snapToGrid w:val="0"/>
        <w:spacing w:before="166" w:beforeLines="50" w:line="360" w:lineRule="auto"/>
        <w:rPr>
          <w:rFonts w:hint="eastAsia" w:ascii="仿宋" w:hAnsi="仿宋" w:eastAsia="仿宋" w:cs="仿宋"/>
          <w:b/>
          <w:color w:val="auto"/>
          <w:sz w:val="32"/>
          <w:szCs w:val="32"/>
          <w:highlight w:val="none"/>
        </w:rPr>
      </w:pPr>
    </w:p>
    <w:p w14:paraId="59E5E4B3">
      <w:pPr>
        <w:rPr>
          <w:rFonts w:hint="eastAsia" w:ascii="仿宋" w:hAnsi="仿宋" w:eastAsia="仿宋" w:cs="仿宋"/>
          <w:color w:val="auto"/>
          <w:highlight w:val="none"/>
        </w:rPr>
      </w:pPr>
    </w:p>
    <w:p w14:paraId="15AB92B9">
      <w:pPr>
        <w:pStyle w:val="12"/>
        <w:adjustRightInd w:val="0"/>
        <w:snapToGrid w:val="0"/>
        <w:spacing w:before="166" w:beforeLines="50" w:line="360" w:lineRule="auto"/>
        <w:rPr>
          <w:rFonts w:hint="eastAsia" w:ascii="仿宋" w:hAnsi="仿宋" w:eastAsia="仿宋" w:cs="仿宋"/>
          <w:b/>
          <w:color w:val="auto"/>
          <w:sz w:val="32"/>
          <w:szCs w:val="32"/>
          <w:highlight w:val="none"/>
        </w:rPr>
      </w:pPr>
    </w:p>
    <w:p w14:paraId="6526B43E">
      <w:pPr>
        <w:autoSpaceDE w:val="0"/>
        <w:autoSpaceDN w:val="0"/>
        <w:spacing w:line="480" w:lineRule="auto"/>
        <w:ind w:firstLine="916" w:firstLineChars="300"/>
        <w:jc w:val="both"/>
        <w:outlineLvl w:val="0"/>
        <w:rPr>
          <w:rFonts w:hint="eastAsia" w:ascii="仿宋" w:hAnsi="仿宋" w:eastAsia="仿宋" w:cs="仿宋"/>
          <w:b/>
          <w:bCs/>
          <w:color w:val="auto"/>
          <w:spacing w:val="-8"/>
          <w:sz w:val="32"/>
          <w:szCs w:val="32"/>
          <w:highlight w:val="none"/>
          <w:lang w:val="zh-CN"/>
        </w:rPr>
      </w:pPr>
      <w:bookmarkStart w:id="3" w:name="_Toc9021"/>
      <w:r>
        <w:rPr>
          <w:rFonts w:hint="eastAsia" w:ascii="仿宋" w:hAnsi="仿宋" w:eastAsia="仿宋" w:cs="仿宋"/>
          <w:b/>
          <w:bCs/>
          <w:color w:val="auto"/>
          <w:spacing w:val="-8"/>
          <w:sz w:val="32"/>
          <w:szCs w:val="32"/>
          <w:highlight w:val="none"/>
        </w:rPr>
        <w:t>采   购   人</w:t>
      </w:r>
      <w:r>
        <w:rPr>
          <w:rFonts w:hint="eastAsia" w:ascii="仿宋" w:hAnsi="仿宋" w:eastAsia="仿宋" w:cs="仿宋"/>
          <w:b/>
          <w:bCs/>
          <w:color w:val="auto"/>
          <w:spacing w:val="-8"/>
          <w:sz w:val="32"/>
          <w:szCs w:val="32"/>
          <w:highlight w:val="none"/>
          <w:lang w:val="zh-CN"/>
        </w:rPr>
        <w:t>：</w:t>
      </w:r>
      <w:bookmarkEnd w:id="3"/>
      <w:r>
        <w:rPr>
          <w:rFonts w:hint="eastAsia" w:ascii="仿宋" w:hAnsi="仿宋" w:eastAsia="仿宋" w:cs="仿宋"/>
          <w:b/>
          <w:bCs/>
          <w:color w:val="auto"/>
          <w:spacing w:val="-8"/>
          <w:sz w:val="32"/>
          <w:szCs w:val="32"/>
          <w:highlight w:val="none"/>
          <w:lang w:val="zh-CN"/>
        </w:rPr>
        <w:t>伊宁市教育局</w:t>
      </w:r>
    </w:p>
    <w:p w14:paraId="27CD7A22">
      <w:pPr>
        <w:autoSpaceDE w:val="0"/>
        <w:autoSpaceDN w:val="0"/>
        <w:spacing w:line="480" w:lineRule="auto"/>
        <w:jc w:val="center"/>
        <w:outlineLvl w:val="0"/>
        <w:rPr>
          <w:rFonts w:hint="eastAsia" w:ascii="仿宋" w:hAnsi="仿宋" w:eastAsia="仿宋" w:cs="仿宋"/>
          <w:color w:val="auto"/>
          <w:sz w:val="32"/>
          <w:szCs w:val="32"/>
          <w:highlight w:val="none"/>
        </w:rPr>
      </w:pPr>
      <w:bookmarkStart w:id="4" w:name="_Toc10654"/>
      <w:r>
        <w:rPr>
          <w:rFonts w:hint="eastAsia" w:ascii="仿宋" w:hAnsi="仿宋" w:eastAsia="仿宋" w:cs="仿宋"/>
          <w:b/>
          <w:bCs/>
          <w:color w:val="auto"/>
          <w:spacing w:val="-8"/>
          <w:sz w:val="32"/>
          <w:szCs w:val="32"/>
          <w:highlight w:val="none"/>
        </w:rPr>
        <w:t>采购</w:t>
      </w:r>
      <w:r>
        <w:rPr>
          <w:rFonts w:hint="eastAsia" w:ascii="仿宋" w:hAnsi="仿宋" w:eastAsia="仿宋" w:cs="仿宋"/>
          <w:b/>
          <w:bCs/>
          <w:color w:val="auto"/>
          <w:spacing w:val="-8"/>
          <w:sz w:val="32"/>
          <w:szCs w:val="32"/>
          <w:highlight w:val="none"/>
          <w:lang w:val="zh-CN"/>
        </w:rPr>
        <w:t>代理机构：</w:t>
      </w:r>
      <w:bookmarkEnd w:id="4"/>
      <w:r>
        <w:rPr>
          <w:rFonts w:hint="eastAsia" w:ascii="仿宋" w:hAnsi="仿宋" w:eastAsia="仿宋" w:cs="仿宋"/>
          <w:b/>
          <w:bCs/>
          <w:color w:val="auto"/>
          <w:spacing w:val="-8"/>
          <w:sz w:val="32"/>
          <w:szCs w:val="32"/>
          <w:highlight w:val="none"/>
          <w:lang w:val="zh-CN"/>
        </w:rPr>
        <w:t>新疆万启工程项目管理有限公司</w:t>
      </w:r>
    </w:p>
    <w:p w14:paraId="450ECF7C">
      <w:pPr>
        <w:autoSpaceDE w:val="0"/>
        <w:autoSpaceDN w:val="0"/>
        <w:spacing w:line="480" w:lineRule="auto"/>
        <w:ind w:firstLine="916" w:firstLineChars="300"/>
        <w:jc w:val="both"/>
        <w:rPr>
          <w:rFonts w:hint="eastAsia" w:ascii="仿宋" w:hAnsi="仿宋" w:eastAsia="仿宋" w:cs="仿宋"/>
          <w:b/>
          <w:bCs/>
          <w:color w:val="auto"/>
          <w:spacing w:val="-8"/>
          <w:sz w:val="32"/>
          <w:szCs w:val="32"/>
          <w:highlight w:val="none"/>
          <w:lang w:val="zh-CN"/>
        </w:rPr>
      </w:pPr>
      <w:r>
        <w:rPr>
          <w:rFonts w:hint="eastAsia" w:ascii="仿宋" w:hAnsi="仿宋" w:eastAsia="仿宋" w:cs="仿宋"/>
          <w:b/>
          <w:bCs/>
          <w:color w:val="auto"/>
          <w:spacing w:val="-8"/>
          <w:sz w:val="32"/>
          <w:szCs w:val="32"/>
          <w:highlight w:val="none"/>
          <w:lang w:val="en-US" w:eastAsia="zh-CN"/>
        </w:rPr>
        <w:t>日期:</w:t>
      </w:r>
      <w:r>
        <w:rPr>
          <w:rFonts w:hint="eastAsia" w:ascii="仿宋" w:hAnsi="仿宋" w:eastAsia="仿宋" w:cs="仿宋"/>
          <w:b/>
          <w:bCs/>
          <w:color w:val="auto"/>
          <w:spacing w:val="-8"/>
          <w:sz w:val="32"/>
          <w:szCs w:val="32"/>
          <w:highlight w:val="none"/>
          <w:lang w:val="zh-CN"/>
        </w:rPr>
        <w:t>20</w:t>
      </w:r>
      <w:r>
        <w:rPr>
          <w:rFonts w:hint="eastAsia" w:ascii="仿宋" w:hAnsi="仿宋" w:eastAsia="仿宋" w:cs="仿宋"/>
          <w:b/>
          <w:bCs/>
          <w:color w:val="auto"/>
          <w:spacing w:val="-8"/>
          <w:sz w:val="32"/>
          <w:szCs w:val="32"/>
          <w:highlight w:val="none"/>
          <w:lang w:val="en-US" w:eastAsia="zh-CN"/>
        </w:rPr>
        <w:t>26</w:t>
      </w:r>
      <w:r>
        <w:rPr>
          <w:rFonts w:hint="eastAsia" w:ascii="仿宋" w:hAnsi="仿宋" w:eastAsia="仿宋" w:cs="仿宋"/>
          <w:b/>
          <w:bCs/>
          <w:color w:val="auto"/>
          <w:spacing w:val="-8"/>
          <w:sz w:val="32"/>
          <w:szCs w:val="32"/>
          <w:highlight w:val="none"/>
          <w:lang w:val="zh-CN"/>
        </w:rPr>
        <w:t>年</w:t>
      </w:r>
      <w:r>
        <w:rPr>
          <w:rFonts w:hint="eastAsia" w:ascii="仿宋" w:hAnsi="仿宋" w:eastAsia="仿宋" w:cs="仿宋"/>
          <w:b/>
          <w:bCs/>
          <w:color w:val="auto"/>
          <w:spacing w:val="-8"/>
          <w:sz w:val="32"/>
          <w:szCs w:val="32"/>
          <w:highlight w:val="none"/>
          <w:lang w:val="en-US" w:eastAsia="zh-CN"/>
        </w:rPr>
        <w:t>06</w:t>
      </w:r>
      <w:r>
        <w:rPr>
          <w:rFonts w:hint="eastAsia" w:ascii="仿宋" w:hAnsi="仿宋" w:eastAsia="仿宋" w:cs="仿宋"/>
          <w:b/>
          <w:bCs/>
          <w:color w:val="auto"/>
          <w:spacing w:val="-8"/>
          <w:sz w:val="32"/>
          <w:szCs w:val="32"/>
          <w:highlight w:val="none"/>
          <w:lang w:val="zh-CN"/>
        </w:rPr>
        <w:t>月</w:t>
      </w:r>
    </w:p>
    <w:p w14:paraId="682F1BCD">
      <w:pPr>
        <w:autoSpaceDE w:val="0"/>
        <w:autoSpaceDN w:val="0"/>
        <w:spacing w:line="480" w:lineRule="auto"/>
        <w:ind w:firstLine="530" w:firstLineChars="200"/>
        <w:jc w:val="center"/>
        <w:rPr>
          <w:rFonts w:hint="eastAsia" w:ascii="仿宋" w:hAnsi="仿宋" w:eastAsia="仿宋" w:cs="仿宋"/>
          <w:b/>
          <w:bCs/>
          <w:color w:val="auto"/>
          <w:spacing w:val="-8"/>
          <w:sz w:val="28"/>
          <w:szCs w:val="28"/>
          <w:highlight w:val="none"/>
          <w:lang w:val="zh-CN"/>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33" w:charSpace="0"/>
        </w:sectPr>
      </w:pPr>
    </w:p>
    <w:p w14:paraId="189EE256">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b/>
          <w:color w:val="auto"/>
          <w:kern w:val="44"/>
          <w:sz w:val="44"/>
          <w:szCs w:val="44"/>
          <w:highlight w:val="none"/>
          <w:lang w:val="zh-CN"/>
        </w:rPr>
      </w:pPr>
      <w:r>
        <w:rPr>
          <w:rFonts w:hint="eastAsia" w:ascii="仿宋" w:hAnsi="仿宋" w:eastAsia="仿宋" w:cs="仿宋"/>
          <w:b/>
          <w:color w:val="auto"/>
          <w:kern w:val="44"/>
          <w:sz w:val="44"/>
          <w:szCs w:val="44"/>
          <w:highlight w:val="none"/>
          <w:lang w:val="zh-CN"/>
        </w:rPr>
        <w:t>温馨提示</w:t>
      </w:r>
    </w:p>
    <w:p w14:paraId="5E6168AF">
      <w:pPr>
        <w:keepNext w:val="0"/>
        <w:keepLines w:val="0"/>
        <w:pageBreakBefore w:val="0"/>
        <w:widowControl w:val="0"/>
        <w:kinsoku/>
        <w:wordWrap/>
        <w:overflowPunct/>
        <w:topLinePunct w:val="0"/>
        <w:autoSpaceDE/>
        <w:autoSpaceDN/>
        <w:bidi w:val="0"/>
        <w:adjustRightInd/>
        <w:snapToGrid w:val="0"/>
        <w:spacing w:line="480" w:lineRule="exact"/>
        <w:ind w:firstLine="582" w:firstLineChars="194"/>
        <w:textAlignment w:val="auto"/>
        <w:rPr>
          <w:rFonts w:hint="eastAsia" w:ascii="仿宋" w:hAnsi="仿宋" w:eastAsia="仿宋" w:cs="仿宋"/>
          <w:bCs/>
          <w:color w:val="auto"/>
          <w:sz w:val="32"/>
          <w:szCs w:val="32"/>
          <w:highlight w:val="none"/>
          <w:lang w:val="zh-CN"/>
        </w:rPr>
      </w:pPr>
      <w:r>
        <w:rPr>
          <w:rFonts w:hint="eastAsia" w:ascii="仿宋" w:hAnsi="仿宋" w:eastAsia="仿宋" w:cs="仿宋"/>
          <w:bCs/>
          <w:color w:val="auto"/>
          <w:sz w:val="30"/>
          <w:szCs w:val="30"/>
          <w:highlight w:val="none"/>
          <w:lang w:val="en-US" w:eastAsia="zh-CN"/>
        </w:rPr>
        <w:t>获取</w:t>
      </w:r>
      <w:r>
        <w:rPr>
          <w:rFonts w:hint="eastAsia" w:ascii="仿宋" w:hAnsi="仿宋" w:eastAsia="仿宋" w:cs="仿宋"/>
          <w:bCs/>
          <w:color w:val="auto"/>
          <w:sz w:val="30"/>
          <w:szCs w:val="30"/>
          <w:highlight w:val="none"/>
          <w:lang w:val="zh-CN"/>
        </w:rPr>
        <w:t>招标文件后，请仔细阅读，特别注意粗体部分，如有疑问，请来电咨询，电话：18116999102。</w:t>
      </w:r>
    </w:p>
    <w:p w14:paraId="117C72D4">
      <w:pPr>
        <w:pStyle w:val="7"/>
        <w:keepNext w:val="0"/>
        <w:keepLines w:val="0"/>
        <w:pageBreakBefore w:val="0"/>
        <w:kinsoku/>
        <w:wordWrap/>
        <w:overflowPunct/>
        <w:topLinePunct w:val="0"/>
        <w:autoSpaceDE/>
        <w:autoSpaceDN/>
        <w:bidi w:val="0"/>
        <w:adjustRightInd/>
        <w:snapToGrid w:val="0"/>
        <w:spacing w:before="120" w:beforeLines="50" w:line="480" w:lineRule="exact"/>
        <w:ind w:firstLine="0"/>
        <w:textAlignment w:val="auto"/>
        <w:rPr>
          <w:rFonts w:hint="eastAsia" w:ascii="仿宋" w:hAnsi="仿宋" w:eastAsia="仿宋" w:cs="仿宋"/>
          <w:b/>
          <w:color w:val="auto"/>
          <w:kern w:val="44"/>
          <w:sz w:val="44"/>
          <w:szCs w:val="44"/>
          <w:highlight w:val="none"/>
        </w:rPr>
      </w:pPr>
    </w:p>
    <w:p w14:paraId="29F67A94">
      <w:pPr>
        <w:pStyle w:val="7"/>
        <w:keepNext w:val="0"/>
        <w:keepLines w:val="0"/>
        <w:pageBreakBefore w:val="0"/>
        <w:kinsoku/>
        <w:wordWrap/>
        <w:overflowPunct/>
        <w:topLinePunct w:val="0"/>
        <w:autoSpaceDE/>
        <w:autoSpaceDN/>
        <w:bidi w:val="0"/>
        <w:adjustRightInd/>
        <w:snapToGrid w:val="0"/>
        <w:spacing w:before="120" w:beforeLines="50" w:line="480" w:lineRule="exact"/>
        <w:ind w:firstLine="0"/>
        <w:textAlignment w:val="auto"/>
        <w:rPr>
          <w:rFonts w:hint="eastAsia" w:ascii="仿宋" w:hAnsi="仿宋" w:eastAsia="仿宋" w:cs="仿宋"/>
          <w:b/>
          <w:color w:val="auto"/>
          <w:kern w:val="44"/>
          <w:sz w:val="44"/>
          <w:szCs w:val="44"/>
          <w:highlight w:val="none"/>
        </w:rPr>
      </w:pPr>
    </w:p>
    <w:p w14:paraId="444DF746">
      <w:pPr>
        <w:pStyle w:val="7"/>
        <w:spacing w:before="120" w:beforeLines="50"/>
        <w:ind w:firstLine="0"/>
        <w:rPr>
          <w:rFonts w:hint="eastAsia" w:ascii="仿宋" w:hAnsi="仿宋" w:eastAsia="仿宋" w:cs="仿宋"/>
          <w:b/>
          <w:color w:val="auto"/>
          <w:kern w:val="44"/>
          <w:sz w:val="44"/>
          <w:szCs w:val="44"/>
          <w:highlight w:val="none"/>
        </w:rPr>
      </w:pPr>
    </w:p>
    <w:p w14:paraId="6C59983F">
      <w:pPr>
        <w:pStyle w:val="7"/>
        <w:spacing w:before="120" w:beforeLines="50"/>
        <w:ind w:firstLine="0"/>
        <w:rPr>
          <w:rFonts w:hint="eastAsia" w:ascii="仿宋" w:hAnsi="仿宋" w:eastAsia="仿宋" w:cs="仿宋"/>
          <w:b/>
          <w:color w:val="auto"/>
          <w:kern w:val="44"/>
          <w:sz w:val="44"/>
          <w:szCs w:val="44"/>
          <w:highlight w:val="none"/>
        </w:rPr>
      </w:pPr>
    </w:p>
    <w:p w14:paraId="1CD6D158">
      <w:pPr>
        <w:pStyle w:val="7"/>
        <w:spacing w:before="120" w:beforeLines="50"/>
        <w:ind w:firstLine="0"/>
        <w:rPr>
          <w:rFonts w:hint="eastAsia" w:ascii="仿宋" w:hAnsi="仿宋" w:eastAsia="仿宋" w:cs="仿宋"/>
          <w:b/>
          <w:color w:val="auto"/>
          <w:kern w:val="44"/>
          <w:sz w:val="44"/>
          <w:szCs w:val="44"/>
          <w:highlight w:val="none"/>
        </w:rPr>
      </w:pPr>
    </w:p>
    <w:p w14:paraId="33716B86">
      <w:pPr>
        <w:pStyle w:val="7"/>
        <w:spacing w:before="120" w:beforeLines="50"/>
        <w:ind w:firstLine="0"/>
        <w:rPr>
          <w:rFonts w:hint="eastAsia" w:ascii="仿宋" w:hAnsi="仿宋" w:eastAsia="仿宋" w:cs="仿宋"/>
          <w:b/>
          <w:color w:val="auto"/>
          <w:kern w:val="44"/>
          <w:sz w:val="44"/>
          <w:szCs w:val="44"/>
          <w:highlight w:val="none"/>
        </w:rPr>
      </w:pPr>
    </w:p>
    <w:p w14:paraId="57FC503B">
      <w:pPr>
        <w:pStyle w:val="7"/>
        <w:spacing w:before="120" w:beforeLines="50"/>
        <w:ind w:firstLine="0"/>
        <w:rPr>
          <w:rFonts w:hint="eastAsia" w:ascii="仿宋" w:hAnsi="仿宋" w:eastAsia="仿宋" w:cs="仿宋"/>
          <w:b/>
          <w:color w:val="auto"/>
          <w:kern w:val="44"/>
          <w:sz w:val="44"/>
          <w:szCs w:val="44"/>
          <w:highlight w:val="none"/>
        </w:rPr>
      </w:pPr>
    </w:p>
    <w:p w14:paraId="349D731F">
      <w:pPr>
        <w:pStyle w:val="7"/>
        <w:spacing w:before="120" w:beforeLines="50"/>
        <w:ind w:firstLine="0"/>
        <w:rPr>
          <w:rFonts w:hint="eastAsia" w:ascii="仿宋" w:hAnsi="仿宋" w:eastAsia="仿宋" w:cs="仿宋"/>
          <w:b/>
          <w:color w:val="auto"/>
          <w:kern w:val="44"/>
          <w:sz w:val="44"/>
          <w:szCs w:val="44"/>
          <w:highlight w:val="none"/>
        </w:rPr>
      </w:pPr>
    </w:p>
    <w:p w14:paraId="36D819A4">
      <w:pPr>
        <w:pStyle w:val="7"/>
        <w:spacing w:before="120" w:beforeLines="50"/>
        <w:ind w:firstLine="0"/>
        <w:rPr>
          <w:rFonts w:hint="eastAsia" w:ascii="仿宋" w:hAnsi="仿宋" w:eastAsia="仿宋" w:cs="仿宋"/>
          <w:b/>
          <w:color w:val="auto"/>
          <w:kern w:val="44"/>
          <w:sz w:val="44"/>
          <w:szCs w:val="44"/>
          <w:highlight w:val="none"/>
        </w:rPr>
      </w:pPr>
    </w:p>
    <w:p w14:paraId="09B2A26B">
      <w:pPr>
        <w:pStyle w:val="3"/>
        <w:pageBreakBefore w:val="0"/>
        <w:kinsoku/>
        <w:wordWrap/>
        <w:overflowPunct/>
        <w:topLinePunct w:val="0"/>
        <w:autoSpaceDE/>
        <w:autoSpaceDN/>
        <w:bidi w:val="0"/>
        <w:adjustRightInd/>
        <w:snapToGrid/>
        <w:spacing w:before="0" w:after="0" w:line="480" w:lineRule="exact"/>
        <w:ind w:leftChars="0"/>
        <w:jc w:val="center"/>
        <w:textAlignment w:val="auto"/>
        <w:outlineLvl w:val="0"/>
        <w:rPr>
          <w:rFonts w:hint="eastAsia" w:ascii="仿宋" w:hAnsi="仿宋" w:eastAsia="仿宋" w:cs="仿宋"/>
          <w:bCs/>
          <w:color w:val="auto"/>
          <w:sz w:val="32"/>
          <w:szCs w:val="18"/>
          <w:highlight w:val="none"/>
        </w:rPr>
        <w:sectPr>
          <w:footerReference r:id="rId8" w:type="default"/>
          <w:pgSz w:w="11910" w:h="16840"/>
          <w:pgMar w:top="1100" w:right="1000" w:bottom="1680" w:left="1080" w:header="873" w:footer="1485" w:gutter="0"/>
          <w:pgBorders>
            <w:top w:val="none" w:sz="0" w:space="0"/>
            <w:left w:val="none" w:sz="0" w:space="0"/>
            <w:bottom w:val="none" w:sz="0" w:space="0"/>
            <w:right w:val="none" w:sz="0" w:space="0"/>
          </w:pgBorders>
          <w:pgNumType w:fmt="decimal" w:start="50"/>
          <w:cols w:space="720" w:num="1"/>
        </w:sectPr>
      </w:pPr>
      <w:bookmarkStart w:id="5" w:name="_Toc7602"/>
    </w:p>
    <w:p w14:paraId="0FC60C7F">
      <w:pPr>
        <w:pStyle w:val="3"/>
        <w:pageBreakBefore w:val="0"/>
        <w:kinsoku/>
        <w:wordWrap/>
        <w:overflowPunct/>
        <w:topLinePunct w:val="0"/>
        <w:autoSpaceDE/>
        <w:autoSpaceDN/>
        <w:bidi w:val="0"/>
        <w:adjustRightInd/>
        <w:snapToGrid/>
        <w:spacing w:before="0" w:after="0" w:line="480" w:lineRule="exact"/>
        <w:ind w:leftChars="0"/>
        <w:jc w:val="center"/>
        <w:textAlignment w:val="auto"/>
        <w:outlineLvl w:val="0"/>
        <w:rPr>
          <w:rFonts w:hint="eastAsia" w:ascii="仿宋" w:hAnsi="仿宋" w:eastAsia="仿宋" w:cs="仿宋"/>
          <w:bCs/>
          <w:color w:val="auto"/>
          <w:sz w:val="32"/>
          <w:szCs w:val="18"/>
          <w:highlight w:val="none"/>
        </w:rPr>
      </w:pPr>
      <w:r>
        <w:rPr>
          <w:rFonts w:hint="eastAsia" w:ascii="仿宋" w:hAnsi="仿宋" w:eastAsia="仿宋" w:cs="仿宋"/>
          <w:bCs/>
          <w:color w:val="auto"/>
          <w:sz w:val="32"/>
          <w:szCs w:val="18"/>
          <w:highlight w:val="none"/>
        </w:rPr>
        <w:t>目    录</w:t>
      </w:r>
      <w:bookmarkEnd w:id="5"/>
    </w:p>
    <w:sdt>
      <w:sdtPr>
        <w:rPr>
          <w:rFonts w:hint="eastAsia" w:ascii="仿宋" w:hAnsi="仿宋" w:eastAsia="仿宋" w:cs="仿宋"/>
          <w:color w:val="auto"/>
          <w:kern w:val="2"/>
          <w:sz w:val="21"/>
          <w:szCs w:val="24"/>
          <w:highlight w:val="none"/>
          <w:lang w:val="en-US" w:eastAsia="zh-CN" w:bidi="ar-SA"/>
        </w:rPr>
        <w:id w:val="147477137"/>
        <w15:color w:val="DBDBDB"/>
        <w:docPartObj>
          <w:docPartGallery w:val="Table of Contents"/>
          <w:docPartUnique/>
        </w:docPartObj>
      </w:sdtPr>
      <w:sdtEndPr>
        <w:rPr>
          <w:rFonts w:hint="eastAsia" w:ascii="仿宋" w:hAnsi="仿宋" w:eastAsia="仿宋" w:cs="仿宋"/>
          <w:b/>
          <w:bCs/>
          <w:color w:val="auto"/>
          <w:kern w:val="2"/>
          <w:sz w:val="28"/>
          <w:szCs w:val="21"/>
          <w:highlight w:val="none"/>
          <w:lang w:val="en-US" w:eastAsia="zh-CN" w:bidi="ar-SA"/>
        </w:rPr>
      </w:sdtEndPr>
      <w:sdtContent>
        <w:p w14:paraId="3B50B56F">
          <w:pPr>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eastAsia" w:ascii="仿宋" w:hAnsi="仿宋" w:eastAsia="仿宋" w:cs="仿宋"/>
              <w:color w:val="auto"/>
              <w:highlight w:val="none"/>
            </w:rPr>
          </w:pPr>
        </w:p>
        <w:p w14:paraId="6EE8FD31">
          <w:pPr>
            <w:pStyle w:val="62"/>
            <w:pageBreakBefore w:val="0"/>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b/>
              <w:color w:val="auto"/>
              <w:highlight w:val="none"/>
            </w:rPr>
          </w:pPr>
          <w:r>
            <w:rPr>
              <w:rFonts w:hint="eastAsia" w:ascii="仿宋" w:hAnsi="仿宋" w:eastAsia="仿宋" w:cs="仿宋"/>
              <w:b w:val="0"/>
              <w:bCs/>
              <w:color w:val="auto"/>
              <w:sz w:val="21"/>
              <w:szCs w:val="21"/>
              <w:highlight w:val="none"/>
            </w:rPr>
            <w:fldChar w:fldCharType="begin"/>
          </w:r>
          <w:r>
            <w:rPr>
              <w:rFonts w:hint="eastAsia" w:ascii="仿宋" w:hAnsi="仿宋" w:eastAsia="仿宋" w:cs="仿宋"/>
              <w:b w:val="0"/>
              <w:bCs/>
              <w:color w:val="auto"/>
              <w:sz w:val="21"/>
              <w:szCs w:val="21"/>
              <w:highlight w:val="none"/>
            </w:rPr>
            <w:instrText xml:space="preserve">TOC \o "1-2" \h \u </w:instrText>
          </w:r>
          <w:r>
            <w:rPr>
              <w:rFonts w:hint="eastAsia" w:ascii="仿宋" w:hAnsi="仿宋" w:eastAsia="仿宋" w:cs="仿宋"/>
              <w:b w:val="0"/>
              <w:bCs/>
              <w:color w:val="auto"/>
              <w:sz w:val="21"/>
              <w:szCs w:val="21"/>
              <w:highlight w:val="none"/>
            </w:rPr>
            <w:fldChar w:fldCharType="separate"/>
          </w:r>
        </w:p>
        <w:p w14:paraId="0938B359">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_Toc16383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rPr>
            <w:t>第一</w:t>
          </w:r>
          <w:r>
            <w:rPr>
              <w:rFonts w:hint="eastAsia" w:ascii="仿宋" w:hAnsi="仿宋" w:eastAsia="仿宋" w:cs="仿宋"/>
              <w:b/>
              <w:color w:val="auto"/>
              <w:sz w:val="24"/>
              <w:szCs w:val="24"/>
              <w:highlight w:val="none"/>
            </w:rPr>
            <w:t>章</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招标公告</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_Toc16383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2A591D50">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_Toc29688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rPr>
            <w:t>第二章</w:t>
          </w:r>
          <w:r>
            <w:rPr>
              <w:rFonts w:hint="eastAsia" w:ascii="仿宋" w:hAnsi="仿宋" w:eastAsia="仿宋" w:cs="仿宋"/>
              <w:b/>
              <w:color w:val="auto"/>
              <w:kern w:val="44"/>
              <w:sz w:val="24"/>
              <w:szCs w:val="24"/>
              <w:highlight w:val="none"/>
              <w:lang w:val="en-US" w:eastAsia="zh-CN"/>
            </w:rPr>
            <w:t xml:space="preserve"> </w:t>
          </w:r>
          <w:r>
            <w:rPr>
              <w:rFonts w:hint="eastAsia" w:ascii="仿宋" w:hAnsi="仿宋" w:eastAsia="仿宋" w:cs="仿宋"/>
              <w:b/>
              <w:color w:val="auto"/>
              <w:kern w:val="44"/>
              <w:sz w:val="24"/>
              <w:szCs w:val="24"/>
              <w:highlight w:val="none"/>
            </w:rPr>
            <w:t>投标人须知</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_Toc29688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4</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03D7D047">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_Toc5672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rPr>
            <w:t>第三章</w:t>
          </w:r>
          <w:r>
            <w:rPr>
              <w:rFonts w:hint="eastAsia" w:ascii="仿宋" w:hAnsi="仿宋" w:eastAsia="仿宋" w:cs="仿宋"/>
              <w:b/>
              <w:color w:val="auto"/>
              <w:kern w:val="44"/>
              <w:sz w:val="24"/>
              <w:szCs w:val="24"/>
              <w:highlight w:val="none"/>
              <w:lang w:val="en-US" w:eastAsia="zh-CN"/>
            </w:rPr>
            <w:t xml:space="preserve"> </w:t>
          </w:r>
          <w:r>
            <w:rPr>
              <w:rFonts w:hint="eastAsia" w:ascii="仿宋" w:hAnsi="仿宋" w:eastAsia="仿宋" w:cs="仿宋"/>
              <w:b/>
              <w:color w:val="auto"/>
              <w:kern w:val="44"/>
              <w:sz w:val="24"/>
              <w:szCs w:val="24"/>
              <w:highlight w:val="none"/>
            </w:rPr>
            <w:t>评标办法</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_Toc5672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42</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0EAADE21">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_Toc24751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lang w:val="en-US" w:eastAsia="zh-CN"/>
            </w:rPr>
            <w:t>第四章</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kern w:val="44"/>
              <w:sz w:val="24"/>
              <w:szCs w:val="24"/>
              <w:highlight w:val="none"/>
              <w:lang w:val="en-US" w:eastAsia="zh-CN"/>
            </w:rPr>
            <w:t>采购内容及要求</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_Toc24751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52</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48C28213">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_Toc15292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lang w:val="en-US" w:eastAsia="zh-CN" w:bidi="ar-SA"/>
            </w:rPr>
            <w:t>第五章 采购合同格式（仅供参考）</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_Toc15292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55</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1B4EBBF5">
          <w:pPr>
            <w:pStyle w:val="62"/>
            <w:keepNext w:val="0"/>
            <w:keepLines w:val="0"/>
            <w:pageBreakBefore w:val="0"/>
            <w:widowControl/>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fldChar w:fldCharType="begin"/>
          </w:r>
          <w:r>
            <w:rPr>
              <w:rFonts w:hint="eastAsia" w:ascii="仿宋" w:hAnsi="仿宋" w:eastAsia="仿宋" w:cs="仿宋"/>
              <w:b/>
              <w:bCs/>
              <w:color w:val="auto"/>
              <w:sz w:val="24"/>
              <w:szCs w:val="24"/>
              <w:highlight w:val="none"/>
            </w:rPr>
            <w:instrText xml:space="preserve"> HYPERLINK \l _Toc18821 </w:instrText>
          </w:r>
          <w:r>
            <w:rPr>
              <w:rFonts w:hint="eastAsia" w:ascii="仿宋" w:hAnsi="仿宋" w:eastAsia="仿宋" w:cs="仿宋"/>
              <w:b/>
              <w:bCs/>
              <w:color w:val="auto"/>
              <w:sz w:val="24"/>
              <w:szCs w:val="24"/>
              <w:highlight w:val="none"/>
            </w:rPr>
            <w:fldChar w:fldCharType="separate"/>
          </w:r>
          <w:r>
            <w:rPr>
              <w:rFonts w:hint="eastAsia" w:ascii="仿宋" w:hAnsi="仿宋" w:eastAsia="仿宋" w:cs="仿宋"/>
              <w:b/>
              <w:color w:val="auto"/>
              <w:kern w:val="44"/>
              <w:sz w:val="24"/>
              <w:szCs w:val="24"/>
              <w:highlight w:val="none"/>
              <w:lang w:val="en-US" w:eastAsia="zh-CN" w:bidi="ar-SA"/>
            </w:rPr>
            <w:t>第六章 投标文件格式</w:t>
          </w:r>
          <w:r>
            <w:rPr>
              <w:rFonts w:hint="eastAsia" w:ascii="仿宋" w:hAnsi="仿宋" w:eastAsia="仿宋" w:cs="仿宋"/>
              <w:b/>
              <w:color w:val="auto"/>
              <w:sz w:val="24"/>
              <w:szCs w:val="24"/>
              <w:highlight w:val="none"/>
            </w:rPr>
            <w:tab/>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PAGEREF _Toc18821 \h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55</w:t>
          </w:r>
          <w:r>
            <w:rPr>
              <w:rFonts w:hint="eastAsia" w:ascii="仿宋" w:hAnsi="仿宋" w:eastAsia="仿宋" w:cs="仿宋"/>
              <w:b/>
              <w:color w:val="auto"/>
              <w:sz w:val="24"/>
              <w:szCs w:val="24"/>
              <w:highlight w:val="none"/>
            </w:rPr>
            <w:fldChar w:fldCharType="end"/>
          </w:r>
          <w:r>
            <w:rPr>
              <w:rFonts w:hint="eastAsia" w:ascii="仿宋" w:hAnsi="仿宋" w:eastAsia="仿宋" w:cs="仿宋"/>
              <w:b/>
              <w:bCs/>
              <w:color w:val="auto"/>
              <w:sz w:val="24"/>
              <w:szCs w:val="24"/>
              <w:highlight w:val="none"/>
            </w:rPr>
            <w:fldChar w:fldCharType="end"/>
          </w:r>
        </w:p>
        <w:p w14:paraId="2518671D">
          <w:pPr>
            <w:pStyle w:val="63"/>
            <w:pageBreakBefore w:val="0"/>
            <w:tabs>
              <w:tab w:val="right" w:leader="dot" w:pos="9830"/>
            </w:tabs>
            <w:kinsoku/>
            <w:wordWrap/>
            <w:overflowPunct/>
            <w:topLinePunct w:val="0"/>
            <w:autoSpaceDE/>
            <w:autoSpaceDN/>
            <w:bidi w:val="0"/>
            <w:adjustRightInd/>
            <w:snapToGrid/>
            <w:spacing w:line="480" w:lineRule="exact"/>
            <w:ind w:leftChars="0"/>
            <w:textAlignment w:val="auto"/>
            <w:rPr>
              <w:rFonts w:hint="eastAsia" w:ascii="仿宋" w:hAnsi="仿宋" w:eastAsia="仿宋" w:cs="仿宋"/>
              <w:color w:val="auto"/>
              <w:highlight w:val="none"/>
            </w:rPr>
          </w:pPr>
        </w:p>
        <w:p w14:paraId="68401D26">
          <w:pPr>
            <w:pStyle w:val="3"/>
            <w:pageBreakBefore w:val="0"/>
            <w:kinsoku/>
            <w:wordWrap/>
            <w:overflowPunct/>
            <w:topLinePunct w:val="0"/>
            <w:autoSpaceDE/>
            <w:autoSpaceDN/>
            <w:bidi w:val="0"/>
            <w:adjustRightInd/>
            <w:snapToGrid/>
            <w:spacing w:before="0" w:after="0" w:line="480" w:lineRule="exact"/>
            <w:ind w:leftChars="0" w:firstLine="1405" w:firstLineChars="500"/>
            <w:textAlignment w:val="auto"/>
            <w:outlineLvl w:val="9"/>
            <w:rPr>
              <w:rFonts w:hint="eastAsia" w:ascii="仿宋" w:hAnsi="仿宋" w:eastAsia="仿宋" w:cs="仿宋"/>
              <w:b w:val="0"/>
              <w:bCs/>
              <w:color w:val="auto"/>
              <w:sz w:val="21"/>
              <w:szCs w:val="21"/>
              <w:highlight w:val="none"/>
            </w:rPr>
          </w:pPr>
          <w:r>
            <w:rPr>
              <w:rFonts w:hint="eastAsia" w:ascii="仿宋" w:hAnsi="仿宋" w:eastAsia="仿宋" w:cs="仿宋"/>
              <w:b/>
              <w:bCs/>
              <w:color w:val="auto"/>
              <w:szCs w:val="21"/>
              <w:highlight w:val="none"/>
            </w:rPr>
            <w:fldChar w:fldCharType="end"/>
          </w:r>
        </w:p>
      </w:sdtContent>
    </w:sdt>
    <w:p w14:paraId="730A33AD">
      <w:pPr>
        <w:pStyle w:val="7"/>
        <w:rPr>
          <w:rFonts w:hint="eastAsia" w:ascii="仿宋" w:hAnsi="仿宋" w:eastAsia="仿宋" w:cs="仿宋"/>
          <w:color w:val="auto"/>
          <w:szCs w:val="21"/>
          <w:highlight w:val="none"/>
        </w:rPr>
      </w:pPr>
    </w:p>
    <w:p w14:paraId="3C0CCF3D">
      <w:pPr>
        <w:pStyle w:val="7"/>
        <w:rPr>
          <w:rFonts w:hint="eastAsia" w:ascii="仿宋" w:hAnsi="仿宋" w:eastAsia="仿宋" w:cs="仿宋"/>
          <w:color w:val="auto"/>
          <w:szCs w:val="21"/>
          <w:highlight w:val="none"/>
        </w:rPr>
      </w:pPr>
    </w:p>
    <w:p w14:paraId="27E8BEB4">
      <w:pPr>
        <w:pStyle w:val="7"/>
        <w:rPr>
          <w:rFonts w:hint="eastAsia" w:ascii="仿宋" w:hAnsi="仿宋" w:eastAsia="仿宋" w:cs="仿宋"/>
          <w:color w:val="auto"/>
          <w:szCs w:val="21"/>
          <w:highlight w:val="none"/>
        </w:rPr>
      </w:pPr>
    </w:p>
    <w:p w14:paraId="7815C9AF">
      <w:pPr>
        <w:pStyle w:val="7"/>
        <w:rPr>
          <w:rFonts w:hint="eastAsia" w:ascii="仿宋" w:hAnsi="仿宋" w:eastAsia="仿宋" w:cs="仿宋"/>
          <w:color w:val="auto"/>
          <w:szCs w:val="21"/>
          <w:highlight w:val="none"/>
        </w:rPr>
      </w:pPr>
    </w:p>
    <w:p w14:paraId="4EB8B2F6">
      <w:pPr>
        <w:pStyle w:val="7"/>
        <w:rPr>
          <w:rFonts w:hint="eastAsia" w:ascii="仿宋" w:hAnsi="仿宋" w:eastAsia="仿宋" w:cs="仿宋"/>
          <w:color w:val="auto"/>
          <w:szCs w:val="21"/>
          <w:highlight w:val="none"/>
        </w:rPr>
      </w:pPr>
    </w:p>
    <w:bookmarkEnd w:id="0"/>
    <w:bookmarkEnd w:id="1"/>
    <w:p w14:paraId="0BE77924">
      <w:pPr>
        <w:pStyle w:val="7"/>
        <w:spacing w:before="120" w:beforeLines="50" w:after="360" w:afterLines="150"/>
        <w:ind w:firstLine="0"/>
        <w:jc w:val="center"/>
        <w:rPr>
          <w:rFonts w:hint="eastAsia" w:ascii="仿宋" w:hAnsi="仿宋" w:eastAsia="仿宋" w:cs="仿宋"/>
          <w:b/>
          <w:color w:val="auto"/>
          <w:kern w:val="44"/>
          <w:sz w:val="44"/>
          <w:szCs w:val="44"/>
          <w:highlight w:val="none"/>
        </w:rPr>
        <w:sectPr>
          <w:footerReference r:id="rId9" w:type="default"/>
          <w:pgSz w:w="11910" w:h="16840"/>
          <w:pgMar w:top="1100" w:right="1000" w:bottom="1680" w:left="1080" w:header="873" w:footer="1485" w:gutter="0"/>
          <w:pgBorders>
            <w:top w:val="none" w:sz="0" w:space="0"/>
            <w:left w:val="none" w:sz="0" w:space="0"/>
            <w:bottom w:val="none" w:sz="0" w:space="0"/>
            <w:right w:val="none" w:sz="0" w:space="0"/>
          </w:pgBorders>
          <w:pgNumType w:fmt="decimal" w:start="1"/>
          <w:cols w:space="720" w:num="1"/>
        </w:sectPr>
      </w:pPr>
    </w:p>
    <w:p w14:paraId="5E37C6FE">
      <w:pPr>
        <w:pStyle w:val="7"/>
        <w:pageBreakBefore w:val="0"/>
        <w:widowControl w:val="0"/>
        <w:kinsoku/>
        <w:wordWrap/>
        <w:overflowPunct/>
        <w:topLinePunct w:val="0"/>
        <w:bidi w:val="0"/>
        <w:snapToGrid/>
        <w:spacing w:line="480" w:lineRule="exact"/>
        <w:ind w:firstLine="0"/>
        <w:jc w:val="center"/>
        <w:textAlignment w:val="auto"/>
        <w:outlineLvl w:val="0"/>
        <w:rPr>
          <w:rFonts w:hint="eastAsia" w:ascii="仿宋" w:hAnsi="仿宋" w:eastAsia="仿宋" w:cs="仿宋"/>
          <w:color w:val="auto"/>
          <w:sz w:val="40"/>
          <w:szCs w:val="40"/>
          <w:highlight w:val="none"/>
        </w:rPr>
      </w:pPr>
      <w:bookmarkStart w:id="6" w:name="_Toc16383"/>
      <w:r>
        <w:rPr>
          <w:rFonts w:hint="eastAsia" w:ascii="仿宋" w:hAnsi="仿宋" w:eastAsia="仿宋" w:cs="仿宋"/>
          <w:b/>
          <w:color w:val="auto"/>
          <w:kern w:val="44"/>
          <w:sz w:val="40"/>
          <w:szCs w:val="40"/>
          <w:highlight w:val="none"/>
        </w:rPr>
        <w:t>第一</w:t>
      </w:r>
      <w:r>
        <w:rPr>
          <w:rFonts w:hint="eastAsia" w:ascii="仿宋" w:hAnsi="仿宋" w:eastAsia="仿宋" w:cs="仿宋"/>
          <w:b/>
          <w:color w:val="auto"/>
          <w:sz w:val="40"/>
          <w:szCs w:val="40"/>
          <w:highlight w:val="none"/>
        </w:rPr>
        <w:t>章</w:t>
      </w:r>
      <w:r>
        <w:rPr>
          <w:rFonts w:hint="eastAsia" w:ascii="仿宋" w:hAnsi="仿宋" w:eastAsia="仿宋" w:cs="仿宋"/>
          <w:b/>
          <w:color w:val="auto"/>
          <w:sz w:val="40"/>
          <w:szCs w:val="40"/>
          <w:highlight w:val="none"/>
          <w:lang w:val="en-US" w:eastAsia="zh-CN"/>
        </w:rPr>
        <w:t xml:space="preserve"> </w:t>
      </w:r>
      <w:r>
        <w:rPr>
          <w:rFonts w:hint="eastAsia" w:ascii="仿宋" w:hAnsi="仿宋" w:eastAsia="仿宋" w:cs="仿宋"/>
          <w:b/>
          <w:color w:val="auto"/>
          <w:sz w:val="40"/>
          <w:szCs w:val="40"/>
          <w:highlight w:val="none"/>
        </w:rPr>
        <w:t>招标公告</w:t>
      </w:r>
      <w:bookmarkEnd w:id="6"/>
    </w:p>
    <w:p w14:paraId="34D31892">
      <w:pPr>
        <w:pStyle w:val="2"/>
        <w:pageBreakBefore w:val="0"/>
        <w:widowControl w:val="0"/>
        <w:numPr>
          <w:ilvl w:val="0"/>
          <w:numId w:val="0"/>
        </w:numPr>
        <w:tabs>
          <w:tab w:val="left" w:pos="0"/>
          <w:tab w:val="left" w:pos="3165"/>
          <w:tab w:val="center" w:pos="4153"/>
        </w:tabs>
        <w:kinsoku/>
        <w:wordWrap/>
        <w:overflowPunct/>
        <w:topLinePunct w:val="0"/>
        <w:autoSpaceDE w:val="0"/>
        <w:autoSpaceDN w:val="0"/>
        <w:bidi w:val="0"/>
        <w:adjustRightInd w:val="0"/>
        <w:snapToGrid/>
        <w:spacing w:before="0" w:after="0" w:line="480" w:lineRule="exact"/>
        <w:ind w:leftChars="0"/>
        <w:jc w:val="center"/>
        <w:textAlignment w:val="auto"/>
        <w:outlineLvl w:val="1"/>
        <w:rPr>
          <w:rFonts w:hint="eastAsia" w:ascii="仿宋" w:hAnsi="仿宋" w:eastAsia="仿宋" w:cs="仿宋"/>
          <w:b/>
          <w:bCs w:val="0"/>
          <w:color w:val="auto"/>
          <w:sz w:val="32"/>
          <w:szCs w:val="32"/>
          <w:highlight w:val="none"/>
          <w:lang w:val="en-US" w:eastAsia="zh-CN"/>
        </w:rPr>
      </w:pPr>
      <w:bookmarkStart w:id="7" w:name="_Toc7266"/>
      <w:bookmarkStart w:id="8" w:name="_Toc213397009"/>
      <w:bookmarkStart w:id="9" w:name="_Toc213396945"/>
      <w:bookmarkStart w:id="10" w:name="_Toc217446031"/>
      <w:bookmarkStart w:id="11" w:name="_Toc213396759"/>
      <w:bookmarkStart w:id="12" w:name="_Toc213496267"/>
      <w:bookmarkStart w:id="13" w:name="_Toc77400776"/>
      <w:bookmarkStart w:id="14" w:name="_Toc183582202"/>
      <w:bookmarkStart w:id="15" w:name="_Toc89075871"/>
      <w:bookmarkStart w:id="16" w:name="_Toc183682339"/>
      <w:r>
        <w:rPr>
          <w:rFonts w:hint="eastAsia" w:ascii="仿宋" w:hAnsi="仿宋" w:eastAsia="仿宋" w:cs="仿宋"/>
          <w:b/>
          <w:bCs w:val="0"/>
          <w:color w:val="auto"/>
          <w:sz w:val="28"/>
          <w:szCs w:val="28"/>
          <w:highlight w:val="none"/>
          <w:lang w:val="en-US" w:eastAsia="zh-CN"/>
        </w:rPr>
        <w:t>伊宁市教育系统提升改造设施设备采购第四标公开招标公告</w:t>
      </w:r>
      <w:bookmarkEnd w:id="7"/>
    </w:p>
    <w:p w14:paraId="12B23B88">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sz w:val="22"/>
          <w:szCs w:val="22"/>
          <w:highlight w:val="none"/>
          <w:u w:val="none"/>
        </w:rPr>
        <w:t>项目概况</w:t>
      </w:r>
    </w:p>
    <w:p w14:paraId="7A3F283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b/>
          <w:bCs/>
          <w:i w:val="0"/>
          <w:iCs w:val="0"/>
          <w:color w:val="auto"/>
          <w:sz w:val="22"/>
          <w:szCs w:val="22"/>
          <w:highlight w:val="none"/>
          <w:u w:val="none"/>
        </w:rPr>
      </w:pPr>
      <w:r>
        <w:rPr>
          <w:rFonts w:hint="eastAsia" w:ascii="仿宋" w:hAnsi="仿宋" w:eastAsia="仿宋" w:cs="仿宋"/>
          <w:i w:val="0"/>
          <w:iCs w:val="0"/>
          <w:color w:val="auto"/>
          <w:sz w:val="22"/>
          <w:szCs w:val="22"/>
          <w:highlight w:val="none"/>
          <w:u w:val="single"/>
          <w:lang w:eastAsia="zh-CN"/>
        </w:rPr>
        <w:t>伊宁市教育系统提升改造设施设备采购第四标</w:t>
      </w:r>
      <w:r>
        <w:rPr>
          <w:rFonts w:hint="eastAsia" w:ascii="仿宋" w:hAnsi="仿宋" w:eastAsia="仿宋" w:cs="仿宋"/>
          <w:i w:val="0"/>
          <w:iCs w:val="0"/>
          <w:color w:val="auto"/>
          <w:sz w:val="22"/>
          <w:szCs w:val="22"/>
          <w:highlight w:val="none"/>
          <w:u w:val="none"/>
        </w:rPr>
        <w:t>的潜在</w:t>
      </w:r>
      <w:r>
        <w:rPr>
          <w:rFonts w:hint="eastAsia" w:ascii="仿宋" w:hAnsi="仿宋" w:eastAsia="仿宋" w:cs="仿宋"/>
          <w:i w:val="0"/>
          <w:iCs w:val="0"/>
          <w:color w:val="auto"/>
          <w:sz w:val="22"/>
          <w:szCs w:val="22"/>
          <w:highlight w:val="none"/>
          <w:u w:val="none"/>
          <w:lang w:val="en-US" w:eastAsia="zh-CN"/>
        </w:rPr>
        <w:t>投标人</w:t>
      </w:r>
      <w:r>
        <w:rPr>
          <w:rFonts w:hint="eastAsia" w:ascii="仿宋" w:hAnsi="仿宋" w:eastAsia="仿宋" w:cs="仿宋"/>
          <w:i w:val="0"/>
          <w:iCs w:val="0"/>
          <w:color w:val="auto"/>
          <w:sz w:val="22"/>
          <w:szCs w:val="22"/>
          <w:highlight w:val="none"/>
          <w:u w:val="none"/>
        </w:rPr>
        <w:t>应在政采云系统平台（https://www.zcygov.cn/）获取采购文件，</w:t>
      </w:r>
      <w:r>
        <w:rPr>
          <w:rFonts w:hint="eastAsia" w:ascii="仿宋" w:hAnsi="仿宋" w:eastAsia="仿宋" w:cs="仿宋"/>
          <w:b/>
          <w:bCs/>
          <w:i w:val="0"/>
          <w:iCs w:val="0"/>
          <w:color w:val="auto"/>
          <w:sz w:val="22"/>
          <w:szCs w:val="22"/>
          <w:highlight w:val="none"/>
          <w:u w:val="none"/>
        </w:rPr>
        <w:t>并于</w:t>
      </w:r>
      <w:r>
        <w:rPr>
          <w:rFonts w:hint="eastAsia" w:ascii="仿宋" w:hAnsi="仿宋" w:eastAsia="仿宋" w:cs="仿宋"/>
          <w:b/>
          <w:bCs/>
          <w:i w:val="0"/>
          <w:iCs w:val="0"/>
          <w:color w:val="auto"/>
          <w:sz w:val="22"/>
          <w:szCs w:val="22"/>
          <w:highlight w:val="none"/>
          <w:u w:val="single"/>
          <w:lang w:val="en-US" w:eastAsia="zh-CN"/>
        </w:rPr>
        <w:t>2026</w:t>
      </w:r>
      <w:r>
        <w:rPr>
          <w:rFonts w:hint="eastAsia" w:ascii="仿宋" w:hAnsi="仿宋" w:eastAsia="仿宋" w:cs="仿宋"/>
          <w:b/>
          <w:bCs/>
          <w:i w:val="0"/>
          <w:iCs w:val="0"/>
          <w:color w:val="auto"/>
          <w:sz w:val="22"/>
          <w:szCs w:val="22"/>
          <w:highlight w:val="none"/>
          <w:u w:val="single"/>
        </w:rPr>
        <w:t>年</w:t>
      </w:r>
      <w:r>
        <w:rPr>
          <w:rFonts w:hint="eastAsia" w:ascii="仿宋" w:hAnsi="仿宋" w:eastAsia="仿宋" w:cs="仿宋"/>
          <w:b/>
          <w:bCs/>
          <w:i w:val="0"/>
          <w:iCs w:val="0"/>
          <w:color w:val="auto"/>
          <w:sz w:val="22"/>
          <w:szCs w:val="22"/>
          <w:highlight w:val="none"/>
          <w:u w:val="single"/>
          <w:lang w:val="en-US" w:eastAsia="zh-CN"/>
        </w:rPr>
        <w:t>07</w:t>
      </w:r>
      <w:r>
        <w:rPr>
          <w:rFonts w:hint="eastAsia" w:ascii="仿宋" w:hAnsi="仿宋" w:eastAsia="仿宋" w:cs="仿宋"/>
          <w:b/>
          <w:bCs/>
          <w:color w:val="auto"/>
          <w:kern w:val="2"/>
          <w:sz w:val="22"/>
          <w:szCs w:val="22"/>
          <w:highlight w:val="none"/>
          <w:u w:val="single"/>
          <w:lang w:val="en-US" w:eastAsia="zh-CN" w:bidi="ar-SA"/>
        </w:rPr>
        <w:t>月14日10点30</w:t>
      </w:r>
      <w:r>
        <w:rPr>
          <w:rFonts w:hint="eastAsia" w:ascii="仿宋" w:hAnsi="仿宋" w:eastAsia="仿宋" w:cs="仿宋"/>
          <w:b/>
          <w:bCs/>
          <w:i w:val="0"/>
          <w:iCs w:val="0"/>
          <w:color w:val="auto"/>
          <w:sz w:val="22"/>
          <w:szCs w:val="22"/>
          <w:highlight w:val="none"/>
          <w:u w:val="single"/>
        </w:rPr>
        <w:t>分</w:t>
      </w:r>
      <w:r>
        <w:rPr>
          <w:rFonts w:hint="eastAsia" w:ascii="仿宋" w:hAnsi="仿宋" w:eastAsia="仿宋" w:cs="仿宋"/>
          <w:b/>
          <w:bCs/>
          <w:i w:val="0"/>
          <w:iCs w:val="0"/>
          <w:color w:val="auto"/>
          <w:sz w:val="22"/>
          <w:szCs w:val="22"/>
          <w:highlight w:val="none"/>
          <w:u w:val="none"/>
        </w:rPr>
        <w:t>（北京时间）前递交投标文件。</w:t>
      </w:r>
    </w:p>
    <w:p w14:paraId="4689361F">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rPr>
          <w:rFonts w:hint="eastAsia" w:ascii="仿宋" w:hAnsi="仿宋" w:eastAsia="仿宋" w:cs="仿宋"/>
          <w:b/>
          <w:bCs w:val="0"/>
          <w:i w:val="0"/>
          <w:iCs w:val="0"/>
          <w:color w:val="auto"/>
          <w:sz w:val="22"/>
          <w:szCs w:val="22"/>
          <w:highlight w:val="none"/>
        </w:rPr>
      </w:pPr>
      <w:bookmarkStart w:id="17" w:name="_Toc35393621"/>
      <w:bookmarkStart w:id="18" w:name="_Toc28359079"/>
      <w:bookmarkStart w:id="19" w:name="_Toc28359002"/>
      <w:bookmarkStart w:id="20" w:name="_Toc11836"/>
      <w:bookmarkStart w:id="21" w:name="_Toc35393790"/>
      <w:bookmarkStart w:id="22" w:name="_Hlk24379207"/>
      <w:r>
        <w:rPr>
          <w:rFonts w:hint="eastAsia" w:ascii="仿宋" w:hAnsi="仿宋" w:eastAsia="仿宋" w:cs="仿宋"/>
          <w:b/>
          <w:bCs w:val="0"/>
          <w:i w:val="0"/>
          <w:iCs w:val="0"/>
          <w:color w:val="auto"/>
          <w:sz w:val="22"/>
          <w:szCs w:val="22"/>
          <w:highlight w:val="none"/>
        </w:rPr>
        <w:t>一、项目基本情况</w:t>
      </w:r>
      <w:bookmarkEnd w:id="17"/>
      <w:bookmarkEnd w:id="18"/>
      <w:bookmarkEnd w:id="19"/>
      <w:bookmarkEnd w:id="20"/>
      <w:bookmarkEnd w:id="21"/>
    </w:p>
    <w:p w14:paraId="2C4173D5">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442" w:firstLineChars="200"/>
        <w:textAlignment w:val="auto"/>
        <w:rPr>
          <w:rFonts w:hint="default" w:ascii="仿宋" w:hAnsi="仿宋" w:eastAsia="仿宋" w:cs="仿宋"/>
          <w:b w:val="0"/>
          <w:bCs w:val="0"/>
          <w:i w:val="0"/>
          <w:iCs w:val="0"/>
          <w:color w:val="auto"/>
          <w:sz w:val="22"/>
          <w:szCs w:val="22"/>
          <w:highlight w:val="none"/>
          <w:u w:val="none"/>
          <w:lang w:val="en-US" w:eastAsia="zh-CN"/>
        </w:rPr>
      </w:pPr>
      <w:r>
        <w:rPr>
          <w:rFonts w:hint="eastAsia" w:ascii="仿宋" w:hAnsi="仿宋" w:eastAsia="仿宋" w:cs="仿宋"/>
          <w:b/>
          <w:bCs/>
          <w:i w:val="0"/>
          <w:iCs w:val="0"/>
          <w:color w:val="auto"/>
          <w:sz w:val="22"/>
          <w:szCs w:val="22"/>
          <w:highlight w:val="none"/>
          <w:u w:val="none"/>
          <w:lang w:eastAsia="zh-CN"/>
        </w:rPr>
        <w:t>项目编号：</w:t>
      </w:r>
      <w:r>
        <w:rPr>
          <w:rFonts w:hint="eastAsia" w:ascii="仿宋" w:hAnsi="仿宋" w:eastAsia="仿宋" w:cs="仿宋"/>
          <w:b w:val="0"/>
          <w:bCs w:val="0"/>
          <w:i w:val="0"/>
          <w:iCs w:val="0"/>
          <w:color w:val="auto"/>
          <w:sz w:val="22"/>
          <w:szCs w:val="22"/>
          <w:highlight w:val="none"/>
          <w:lang w:eastAsia="zh-CN"/>
        </w:rPr>
        <w:t>XJWQCG-2026010</w:t>
      </w:r>
    </w:p>
    <w:p w14:paraId="3B4C7E26">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442" w:firstLineChars="200"/>
        <w:textAlignment w:val="auto"/>
        <w:rPr>
          <w:rFonts w:hint="eastAsia" w:ascii="仿宋" w:hAnsi="仿宋" w:eastAsia="仿宋" w:cs="仿宋"/>
          <w:b w:val="0"/>
          <w:bCs w:val="0"/>
          <w:i w:val="0"/>
          <w:iCs w:val="0"/>
          <w:color w:val="auto"/>
          <w:sz w:val="22"/>
          <w:szCs w:val="22"/>
          <w:highlight w:val="none"/>
          <w:u w:val="none"/>
          <w:lang w:eastAsia="zh-CN"/>
        </w:rPr>
      </w:pPr>
      <w:r>
        <w:rPr>
          <w:rFonts w:hint="eastAsia" w:ascii="仿宋" w:hAnsi="仿宋" w:eastAsia="仿宋" w:cs="仿宋"/>
          <w:b/>
          <w:bCs/>
          <w:i w:val="0"/>
          <w:iCs w:val="0"/>
          <w:color w:val="auto"/>
          <w:sz w:val="22"/>
          <w:szCs w:val="22"/>
          <w:highlight w:val="none"/>
          <w:u w:val="none"/>
        </w:rPr>
        <w:t>项目名称：</w:t>
      </w:r>
      <w:r>
        <w:rPr>
          <w:rFonts w:hint="eastAsia" w:ascii="仿宋" w:hAnsi="仿宋" w:eastAsia="仿宋" w:cs="仿宋"/>
          <w:b w:val="0"/>
          <w:bCs w:val="0"/>
          <w:i w:val="0"/>
          <w:iCs w:val="0"/>
          <w:color w:val="auto"/>
          <w:sz w:val="22"/>
          <w:szCs w:val="22"/>
          <w:highlight w:val="none"/>
          <w:u w:val="none"/>
          <w:lang w:val="en-US" w:eastAsia="zh-CN"/>
        </w:rPr>
        <w:t>伊宁市教育系统提升改造设施设备采购第四标</w:t>
      </w:r>
    </w:p>
    <w:bookmarkEnd w:id="22"/>
    <w:p w14:paraId="593B71DC">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val="0"/>
          <w:bCs w:val="0"/>
          <w:i w:val="0"/>
          <w:iCs w:val="0"/>
          <w:color w:val="auto"/>
          <w:sz w:val="22"/>
          <w:szCs w:val="22"/>
          <w:highlight w:val="none"/>
          <w:lang w:val="en-US" w:eastAsia="zh-CN"/>
        </w:rPr>
      </w:pPr>
      <w:r>
        <w:rPr>
          <w:rFonts w:hint="eastAsia" w:ascii="仿宋" w:hAnsi="仿宋" w:eastAsia="仿宋" w:cs="仿宋"/>
          <w:b/>
          <w:bCs/>
          <w:i w:val="0"/>
          <w:iCs w:val="0"/>
          <w:color w:val="auto"/>
          <w:sz w:val="22"/>
          <w:szCs w:val="22"/>
          <w:highlight w:val="none"/>
          <w:lang w:val="en-US" w:eastAsia="zh-CN"/>
        </w:rPr>
        <w:t>采购方式：</w:t>
      </w:r>
      <w:r>
        <w:rPr>
          <w:rFonts w:hint="eastAsia" w:ascii="仿宋" w:hAnsi="仿宋" w:eastAsia="仿宋" w:cs="仿宋"/>
          <w:b w:val="0"/>
          <w:bCs w:val="0"/>
          <w:i w:val="0"/>
          <w:iCs w:val="0"/>
          <w:color w:val="auto"/>
          <w:sz w:val="22"/>
          <w:szCs w:val="22"/>
          <w:highlight w:val="none"/>
          <w:lang w:val="en-US" w:eastAsia="zh-CN"/>
        </w:rPr>
        <w:t>公开招标</w:t>
      </w:r>
    </w:p>
    <w:p w14:paraId="6D1A6C26">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bCs/>
          <w:i w:val="0"/>
          <w:iCs w:val="0"/>
          <w:color w:val="auto"/>
          <w:sz w:val="22"/>
          <w:szCs w:val="22"/>
          <w:highlight w:val="none"/>
          <w:lang w:val="en-US" w:eastAsia="zh-CN"/>
        </w:rPr>
      </w:pPr>
      <w:bookmarkStart w:id="23" w:name="_Toc35393791"/>
      <w:bookmarkStart w:id="24" w:name="_Toc35393622"/>
      <w:bookmarkStart w:id="25" w:name="_Toc28359080"/>
      <w:bookmarkStart w:id="26" w:name="_Toc28359003"/>
      <w:r>
        <w:rPr>
          <w:rFonts w:hint="eastAsia" w:ascii="仿宋" w:hAnsi="仿宋" w:eastAsia="仿宋" w:cs="仿宋"/>
          <w:b/>
          <w:bCs/>
          <w:i w:val="0"/>
          <w:iCs w:val="0"/>
          <w:color w:val="auto"/>
          <w:sz w:val="22"/>
          <w:szCs w:val="22"/>
          <w:highlight w:val="none"/>
          <w:lang w:val="en-US" w:eastAsia="zh-CN"/>
        </w:rPr>
        <w:t>预算金额：503.555318万元；</w:t>
      </w:r>
    </w:p>
    <w:p w14:paraId="7E6513BF">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bCs/>
          <w:i w:val="0"/>
          <w:iCs w:val="0"/>
          <w:color w:val="auto"/>
          <w:sz w:val="22"/>
          <w:szCs w:val="22"/>
          <w:highlight w:val="none"/>
          <w:lang w:val="en-US" w:eastAsia="zh-CN"/>
        </w:rPr>
      </w:pPr>
      <w:r>
        <w:rPr>
          <w:rFonts w:hint="eastAsia" w:ascii="仿宋" w:hAnsi="仿宋" w:eastAsia="仿宋" w:cs="仿宋"/>
          <w:b/>
          <w:bCs/>
          <w:i w:val="0"/>
          <w:iCs w:val="0"/>
          <w:color w:val="auto"/>
          <w:sz w:val="22"/>
          <w:szCs w:val="22"/>
          <w:highlight w:val="none"/>
          <w:lang w:val="en-US" w:eastAsia="zh-CN"/>
        </w:rPr>
        <w:t>最高限价：503.555318万元；</w:t>
      </w:r>
    </w:p>
    <w:p w14:paraId="113BDEE4">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b/>
          <w:bCs/>
          <w:i w:val="0"/>
          <w:iCs w:val="0"/>
          <w:color w:val="auto"/>
          <w:sz w:val="22"/>
          <w:szCs w:val="22"/>
          <w:highlight w:val="none"/>
        </w:rPr>
        <w:t>采购需求：</w:t>
      </w:r>
      <w:r>
        <w:rPr>
          <w:rFonts w:hint="eastAsia" w:ascii="仿宋" w:hAnsi="仿宋" w:eastAsia="仿宋" w:cs="仿宋"/>
          <w:b w:val="0"/>
          <w:bCs w:val="0"/>
          <w:i w:val="0"/>
          <w:iCs w:val="0"/>
          <w:color w:val="auto"/>
          <w:sz w:val="22"/>
          <w:szCs w:val="22"/>
          <w:highlight w:val="none"/>
          <w:lang w:val="en-US" w:eastAsia="zh-CN"/>
        </w:rPr>
        <w:t>采购班班通、课桌椅、实验室设备等，具体参数详见招标文件</w:t>
      </w:r>
      <w:r>
        <w:rPr>
          <w:rFonts w:hint="eastAsia" w:ascii="仿宋" w:hAnsi="仿宋" w:eastAsia="仿宋" w:cs="仿宋"/>
          <w:color w:val="auto"/>
          <w:sz w:val="22"/>
          <w:szCs w:val="22"/>
          <w:highlight w:val="none"/>
          <w:lang w:eastAsia="zh-CN"/>
        </w:rPr>
        <w:t>。</w:t>
      </w:r>
    </w:p>
    <w:p w14:paraId="72BA402E">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val="0"/>
          <w:bCs w:val="0"/>
          <w:i w:val="0"/>
          <w:iCs w:val="0"/>
          <w:color w:val="auto"/>
          <w:sz w:val="22"/>
          <w:szCs w:val="22"/>
          <w:highlight w:val="none"/>
          <w:lang w:val="en-US" w:eastAsia="zh-CN"/>
        </w:rPr>
      </w:pPr>
      <w:r>
        <w:rPr>
          <w:rFonts w:hint="eastAsia" w:ascii="仿宋" w:hAnsi="仿宋" w:eastAsia="仿宋" w:cs="仿宋"/>
          <w:b/>
          <w:bCs/>
          <w:i w:val="0"/>
          <w:iCs w:val="0"/>
          <w:color w:val="auto"/>
          <w:sz w:val="22"/>
          <w:szCs w:val="22"/>
          <w:highlight w:val="none"/>
        </w:rPr>
        <w:t>合同履行期限：</w:t>
      </w:r>
      <w:r>
        <w:rPr>
          <w:rFonts w:hint="eastAsia" w:ascii="仿宋" w:hAnsi="仿宋" w:eastAsia="仿宋" w:cs="仿宋"/>
          <w:b w:val="0"/>
          <w:bCs w:val="0"/>
          <w:i w:val="0"/>
          <w:iCs w:val="0"/>
          <w:color w:val="auto"/>
          <w:sz w:val="22"/>
          <w:szCs w:val="22"/>
          <w:highlight w:val="none"/>
          <w:lang w:val="en-US" w:eastAsia="zh-CN"/>
        </w:rPr>
        <w:t>合同签订后20个工作日内安装交付完成</w:t>
      </w:r>
      <w:r>
        <w:rPr>
          <w:rFonts w:hint="eastAsia" w:ascii="仿宋" w:hAnsi="仿宋" w:eastAsia="仿宋" w:cs="仿宋"/>
          <w:b w:val="0"/>
          <w:bCs w:val="0"/>
          <w:i w:val="0"/>
          <w:iCs w:val="0"/>
          <w:color w:val="auto"/>
          <w:sz w:val="22"/>
          <w:szCs w:val="22"/>
          <w:highlight w:val="none"/>
          <w:lang w:eastAsia="zh-CN"/>
        </w:rPr>
        <w:t>。</w:t>
      </w:r>
    </w:p>
    <w:p w14:paraId="477822A5">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0" w:firstLineChars="200"/>
        <w:textAlignment w:val="auto"/>
        <w:rPr>
          <w:rFonts w:hint="eastAsia" w:ascii="仿宋" w:hAnsi="仿宋" w:eastAsia="仿宋" w:cs="仿宋"/>
          <w:b w:val="0"/>
          <w:bCs w:val="0"/>
          <w:i w:val="0"/>
          <w:iCs w:val="0"/>
          <w:color w:val="auto"/>
          <w:sz w:val="22"/>
          <w:szCs w:val="22"/>
          <w:highlight w:val="none"/>
        </w:rPr>
      </w:pPr>
      <w:r>
        <w:rPr>
          <w:rFonts w:hint="eastAsia" w:ascii="仿宋" w:hAnsi="仿宋" w:eastAsia="仿宋" w:cs="仿宋"/>
          <w:b w:val="0"/>
          <w:bCs w:val="0"/>
          <w:i w:val="0"/>
          <w:iCs w:val="0"/>
          <w:color w:val="auto"/>
          <w:sz w:val="22"/>
          <w:szCs w:val="22"/>
          <w:highlight w:val="none"/>
        </w:rPr>
        <w:t>本项目</w:t>
      </w:r>
      <w:r>
        <w:rPr>
          <w:rFonts w:hint="eastAsia" w:ascii="仿宋" w:hAnsi="仿宋" w:eastAsia="仿宋" w:cs="仿宋"/>
          <w:b w:val="0"/>
          <w:bCs w:val="0"/>
          <w:i w:val="0"/>
          <w:iCs w:val="0"/>
          <w:color w:val="auto"/>
          <w:sz w:val="22"/>
          <w:szCs w:val="22"/>
          <w:highlight w:val="none"/>
          <w:lang w:val="en-US" w:eastAsia="zh-CN"/>
        </w:rPr>
        <w:t>不</w:t>
      </w:r>
      <w:r>
        <w:rPr>
          <w:rFonts w:hint="eastAsia" w:ascii="仿宋" w:hAnsi="仿宋" w:eastAsia="仿宋" w:cs="仿宋"/>
          <w:b w:val="0"/>
          <w:bCs w:val="0"/>
          <w:i w:val="0"/>
          <w:iCs w:val="0"/>
          <w:color w:val="auto"/>
          <w:sz w:val="22"/>
          <w:szCs w:val="22"/>
          <w:highlight w:val="none"/>
        </w:rPr>
        <w:t>接受联合体。</w:t>
      </w:r>
    </w:p>
    <w:p w14:paraId="2C35B93D">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rPr>
          <w:rFonts w:hint="eastAsia" w:ascii="仿宋" w:hAnsi="仿宋" w:eastAsia="仿宋" w:cs="仿宋"/>
          <w:b/>
          <w:bCs w:val="0"/>
          <w:i w:val="0"/>
          <w:iCs w:val="0"/>
          <w:color w:val="auto"/>
          <w:sz w:val="22"/>
          <w:szCs w:val="22"/>
          <w:highlight w:val="none"/>
        </w:rPr>
      </w:pPr>
      <w:bookmarkStart w:id="27" w:name="_Toc3873"/>
      <w:r>
        <w:rPr>
          <w:rFonts w:hint="eastAsia" w:ascii="仿宋" w:hAnsi="仿宋" w:eastAsia="仿宋" w:cs="仿宋"/>
          <w:b/>
          <w:bCs w:val="0"/>
          <w:i w:val="0"/>
          <w:iCs w:val="0"/>
          <w:color w:val="auto"/>
          <w:sz w:val="22"/>
          <w:szCs w:val="22"/>
          <w:highlight w:val="none"/>
        </w:rPr>
        <w:t>二、申请人的资格要求：</w:t>
      </w:r>
      <w:bookmarkEnd w:id="23"/>
      <w:bookmarkEnd w:id="24"/>
      <w:bookmarkEnd w:id="25"/>
      <w:bookmarkEnd w:id="26"/>
      <w:bookmarkEnd w:id="27"/>
    </w:p>
    <w:p w14:paraId="1CC270DA">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bCs/>
          <w:i w:val="0"/>
          <w:iCs w:val="0"/>
          <w:color w:val="auto"/>
          <w:sz w:val="22"/>
          <w:szCs w:val="22"/>
          <w:highlight w:val="none"/>
          <w:u w:val="none"/>
        </w:rPr>
      </w:pPr>
      <w:bookmarkStart w:id="28" w:name="_Toc28359004"/>
      <w:bookmarkStart w:id="29" w:name="_Toc28359081"/>
      <w:r>
        <w:rPr>
          <w:rFonts w:hint="eastAsia" w:ascii="仿宋" w:hAnsi="仿宋" w:eastAsia="仿宋" w:cs="仿宋"/>
          <w:b/>
          <w:bCs/>
          <w:i w:val="0"/>
          <w:iCs w:val="0"/>
          <w:color w:val="auto"/>
          <w:sz w:val="22"/>
          <w:szCs w:val="22"/>
          <w:highlight w:val="none"/>
          <w:u w:val="none"/>
        </w:rPr>
        <w:t>1.满足《中华人民共和国政府采购法》第二十二条规定；</w:t>
      </w:r>
    </w:p>
    <w:p w14:paraId="3809E791">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bCs/>
          <w:i w:val="0"/>
          <w:iCs w:val="0"/>
          <w:color w:val="auto"/>
          <w:sz w:val="22"/>
          <w:szCs w:val="22"/>
          <w:highlight w:val="none"/>
          <w:u w:val="none"/>
          <w:lang w:val="en-US" w:eastAsia="zh-CN"/>
        </w:rPr>
      </w:pPr>
      <w:r>
        <w:rPr>
          <w:rFonts w:hint="eastAsia" w:ascii="仿宋" w:hAnsi="仿宋" w:eastAsia="仿宋" w:cs="仿宋"/>
          <w:b/>
          <w:bCs/>
          <w:i w:val="0"/>
          <w:iCs w:val="0"/>
          <w:color w:val="auto"/>
          <w:sz w:val="22"/>
          <w:szCs w:val="22"/>
          <w:highlight w:val="none"/>
          <w:u w:val="none"/>
          <w:lang w:eastAsia="zh-CN"/>
        </w:rPr>
        <w:t>2.落实政府采购政策需满足的资格要求：</w:t>
      </w:r>
      <w:r>
        <w:rPr>
          <w:rFonts w:hint="eastAsia" w:ascii="仿宋" w:hAnsi="仿宋" w:eastAsia="仿宋" w:cs="仿宋"/>
          <w:b/>
          <w:bCs/>
          <w:i w:val="0"/>
          <w:iCs w:val="0"/>
          <w:color w:val="auto"/>
          <w:sz w:val="22"/>
          <w:szCs w:val="22"/>
          <w:highlight w:val="none"/>
          <w:u w:val="none"/>
          <w:lang w:val="en-US" w:eastAsia="zh-CN"/>
        </w:rPr>
        <w:t>/；</w:t>
      </w:r>
    </w:p>
    <w:p w14:paraId="563008AA">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2" w:firstLineChars="200"/>
        <w:textAlignment w:val="auto"/>
        <w:rPr>
          <w:rFonts w:hint="eastAsia" w:ascii="仿宋" w:hAnsi="仿宋" w:eastAsia="仿宋" w:cs="仿宋"/>
          <w:b/>
          <w:bCs/>
          <w:i w:val="0"/>
          <w:iCs w:val="0"/>
          <w:color w:val="auto"/>
          <w:sz w:val="22"/>
          <w:szCs w:val="22"/>
          <w:highlight w:val="none"/>
          <w:u w:val="none"/>
          <w:lang w:eastAsia="zh-CN"/>
        </w:rPr>
      </w:pPr>
      <w:r>
        <w:rPr>
          <w:rFonts w:hint="eastAsia" w:ascii="仿宋" w:hAnsi="仿宋" w:eastAsia="仿宋" w:cs="仿宋"/>
          <w:b/>
          <w:bCs/>
          <w:i w:val="0"/>
          <w:iCs w:val="0"/>
          <w:color w:val="auto"/>
          <w:sz w:val="22"/>
          <w:szCs w:val="22"/>
          <w:highlight w:val="none"/>
          <w:u w:val="none"/>
          <w:lang w:eastAsia="zh-CN"/>
        </w:rPr>
        <w:t>3.本项目的特定资格要求</w:t>
      </w:r>
      <w:bookmarkStart w:id="30" w:name="_Toc16265"/>
      <w:bookmarkStart w:id="31" w:name="_Toc35393792"/>
      <w:bookmarkStart w:id="32" w:name="_Toc35393623"/>
      <w:r>
        <w:rPr>
          <w:rFonts w:hint="eastAsia" w:ascii="仿宋" w:hAnsi="仿宋" w:eastAsia="仿宋" w:cs="仿宋"/>
          <w:b/>
          <w:bCs/>
          <w:i w:val="0"/>
          <w:iCs w:val="0"/>
          <w:color w:val="auto"/>
          <w:sz w:val="22"/>
          <w:szCs w:val="22"/>
          <w:highlight w:val="none"/>
          <w:u w:val="none"/>
          <w:lang w:val="en-US" w:eastAsia="zh-CN"/>
        </w:rPr>
        <w:t>:/</w:t>
      </w:r>
    </w:p>
    <w:p w14:paraId="022D09DB">
      <w:pPr>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val="0"/>
          <w:i w:val="0"/>
          <w:iCs w:val="0"/>
          <w:color w:val="auto"/>
          <w:sz w:val="22"/>
          <w:szCs w:val="22"/>
          <w:highlight w:val="none"/>
        </w:rPr>
      </w:pPr>
      <w:r>
        <w:rPr>
          <w:rFonts w:hint="eastAsia" w:ascii="仿宋" w:hAnsi="仿宋" w:eastAsia="仿宋" w:cs="仿宋"/>
          <w:b/>
          <w:bCs w:val="0"/>
          <w:i w:val="0"/>
          <w:iCs w:val="0"/>
          <w:color w:val="auto"/>
          <w:sz w:val="22"/>
          <w:szCs w:val="22"/>
          <w:highlight w:val="none"/>
        </w:rPr>
        <w:t>三、获取招标文件</w:t>
      </w:r>
      <w:bookmarkEnd w:id="28"/>
      <w:bookmarkEnd w:id="29"/>
      <w:bookmarkEnd w:id="30"/>
      <w:bookmarkEnd w:id="31"/>
      <w:bookmarkEnd w:id="32"/>
    </w:p>
    <w:p w14:paraId="6662E7A6">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442" w:firstLineChars="200"/>
        <w:textAlignment w:val="auto"/>
        <w:rPr>
          <w:rFonts w:hint="eastAsia" w:ascii="仿宋" w:hAnsi="仿宋" w:eastAsia="仿宋" w:cs="仿宋"/>
          <w:i w:val="0"/>
          <w:iCs w:val="0"/>
          <w:color w:val="auto"/>
          <w:sz w:val="22"/>
          <w:szCs w:val="22"/>
          <w:highlight w:val="none"/>
        </w:rPr>
      </w:pPr>
      <w:r>
        <w:rPr>
          <w:rFonts w:hint="eastAsia" w:ascii="仿宋" w:hAnsi="仿宋" w:eastAsia="仿宋" w:cs="仿宋"/>
          <w:b/>
          <w:bCs/>
          <w:i w:val="0"/>
          <w:iCs w:val="0"/>
          <w:color w:val="auto"/>
          <w:sz w:val="22"/>
          <w:szCs w:val="22"/>
          <w:highlight w:val="none"/>
        </w:rPr>
        <w:t>时间：</w:t>
      </w:r>
      <w:r>
        <w:rPr>
          <w:rFonts w:hint="eastAsia" w:ascii="仿宋" w:hAnsi="仿宋" w:eastAsia="仿宋" w:cs="仿宋"/>
          <w:i w:val="0"/>
          <w:iCs w:val="0"/>
          <w:color w:val="auto"/>
          <w:sz w:val="22"/>
          <w:szCs w:val="22"/>
          <w:highlight w:val="none"/>
          <w:u w:val="single"/>
          <w:lang w:val="en-US" w:eastAsia="zh-CN"/>
        </w:rPr>
        <w:t>2026</w:t>
      </w:r>
      <w:r>
        <w:rPr>
          <w:rFonts w:hint="eastAsia" w:ascii="仿宋" w:hAnsi="仿宋" w:eastAsia="仿宋" w:cs="仿宋"/>
          <w:i w:val="0"/>
          <w:iCs w:val="0"/>
          <w:color w:val="auto"/>
          <w:sz w:val="22"/>
          <w:szCs w:val="22"/>
          <w:highlight w:val="none"/>
          <w:u w:val="single"/>
        </w:rPr>
        <w:t>年</w:t>
      </w:r>
      <w:r>
        <w:rPr>
          <w:rFonts w:hint="eastAsia" w:ascii="仿宋" w:hAnsi="仿宋" w:eastAsia="仿宋" w:cs="仿宋"/>
          <w:i w:val="0"/>
          <w:iCs w:val="0"/>
          <w:color w:val="auto"/>
          <w:sz w:val="22"/>
          <w:szCs w:val="22"/>
          <w:highlight w:val="none"/>
          <w:u w:val="single"/>
          <w:lang w:val="en-US" w:eastAsia="zh-CN"/>
        </w:rPr>
        <w:t>06</w:t>
      </w:r>
      <w:r>
        <w:rPr>
          <w:rFonts w:hint="eastAsia" w:ascii="仿宋" w:hAnsi="仿宋" w:eastAsia="仿宋" w:cs="仿宋"/>
          <w:i w:val="0"/>
          <w:iCs w:val="0"/>
          <w:color w:val="auto"/>
          <w:sz w:val="22"/>
          <w:szCs w:val="22"/>
          <w:highlight w:val="none"/>
          <w:u w:val="single"/>
        </w:rPr>
        <w:t>月</w:t>
      </w:r>
      <w:r>
        <w:rPr>
          <w:rFonts w:hint="eastAsia" w:ascii="仿宋" w:hAnsi="仿宋" w:eastAsia="仿宋" w:cs="仿宋"/>
          <w:i w:val="0"/>
          <w:iCs w:val="0"/>
          <w:color w:val="auto"/>
          <w:sz w:val="22"/>
          <w:szCs w:val="22"/>
          <w:highlight w:val="none"/>
          <w:u w:val="single"/>
          <w:lang w:val="en-US" w:eastAsia="zh-CN"/>
        </w:rPr>
        <w:t>22</w:t>
      </w:r>
      <w:r>
        <w:rPr>
          <w:rFonts w:hint="eastAsia" w:ascii="仿宋" w:hAnsi="仿宋" w:eastAsia="仿宋" w:cs="仿宋"/>
          <w:i w:val="0"/>
          <w:iCs w:val="0"/>
          <w:color w:val="auto"/>
          <w:sz w:val="22"/>
          <w:szCs w:val="22"/>
          <w:highlight w:val="none"/>
          <w:u w:val="single"/>
        </w:rPr>
        <w:t>日</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2026</w:t>
      </w:r>
      <w:r>
        <w:rPr>
          <w:rFonts w:hint="eastAsia" w:ascii="仿宋" w:hAnsi="仿宋" w:eastAsia="仿宋" w:cs="仿宋"/>
          <w:i w:val="0"/>
          <w:iCs w:val="0"/>
          <w:color w:val="auto"/>
          <w:sz w:val="22"/>
          <w:szCs w:val="22"/>
          <w:highlight w:val="none"/>
          <w:u w:val="single"/>
        </w:rPr>
        <w:t>年</w:t>
      </w:r>
      <w:r>
        <w:rPr>
          <w:rFonts w:hint="eastAsia" w:ascii="仿宋" w:hAnsi="仿宋" w:eastAsia="仿宋" w:cs="仿宋"/>
          <w:i w:val="0"/>
          <w:iCs w:val="0"/>
          <w:color w:val="auto"/>
          <w:sz w:val="22"/>
          <w:szCs w:val="22"/>
          <w:highlight w:val="none"/>
          <w:u w:val="single"/>
          <w:lang w:val="en-US" w:eastAsia="zh-CN"/>
        </w:rPr>
        <w:t>06</w:t>
      </w:r>
      <w:r>
        <w:rPr>
          <w:rFonts w:hint="eastAsia" w:ascii="仿宋" w:hAnsi="仿宋" w:eastAsia="仿宋" w:cs="仿宋"/>
          <w:i w:val="0"/>
          <w:iCs w:val="0"/>
          <w:color w:val="auto"/>
          <w:sz w:val="22"/>
          <w:szCs w:val="22"/>
          <w:highlight w:val="none"/>
          <w:u w:val="single"/>
        </w:rPr>
        <w:t>月</w:t>
      </w:r>
      <w:r>
        <w:rPr>
          <w:rFonts w:hint="eastAsia" w:ascii="仿宋" w:hAnsi="仿宋" w:eastAsia="仿宋" w:cs="仿宋"/>
          <w:i w:val="0"/>
          <w:iCs w:val="0"/>
          <w:color w:val="auto"/>
          <w:sz w:val="22"/>
          <w:szCs w:val="22"/>
          <w:highlight w:val="none"/>
          <w:u w:val="single"/>
          <w:lang w:val="en-US" w:eastAsia="zh-CN"/>
        </w:rPr>
        <w:t>29</w:t>
      </w:r>
      <w:r>
        <w:rPr>
          <w:rFonts w:hint="eastAsia" w:ascii="仿宋" w:hAnsi="仿宋" w:eastAsia="仿宋" w:cs="仿宋"/>
          <w:i w:val="0"/>
          <w:iCs w:val="0"/>
          <w:color w:val="auto"/>
          <w:sz w:val="22"/>
          <w:szCs w:val="22"/>
          <w:highlight w:val="none"/>
          <w:u w:val="single"/>
        </w:rPr>
        <w:t>日</w:t>
      </w:r>
      <w:r>
        <w:rPr>
          <w:rFonts w:hint="eastAsia" w:ascii="仿宋" w:hAnsi="仿宋" w:eastAsia="仿宋" w:cs="仿宋"/>
          <w:i w:val="0"/>
          <w:iCs w:val="0"/>
          <w:color w:val="auto"/>
          <w:sz w:val="22"/>
          <w:szCs w:val="22"/>
          <w:highlight w:val="none"/>
        </w:rPr>
        <w:t>，每天上午</w:t>
      </w:r>
      <w:r>
        <w:rPr>
          <w:rFonts w:hint="eastAsia" w:ascii="仿宋" w:hAnsi="仿宋" w:eastAsia="仿宋" w:cs="仿宋"/>
          <w:i w:val="0"/>
          <w:iCs w:val="0"/>
          <w:color w:val="auto"/>
          <w:sz w:val="22"/>
          <w:szCs w:val="22"/>
          <w:highlight w:val="none"/>
          <w:u w:val="single"/>
          <w:lang w:val="en-US" w:eastAsia="zh-CN"/>
        </w:rPr>
        <w:t>00:00</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14:00</w:t>
      </w:r>
      <w:r>
        <w:rPr>
          <w:rFonts w:hint="eastAsia" w:ascii="仿宋" w:hAnsi="仿宋" w:eastAsia="仿宋" w:cs="仿宋"/>
          <w:i w:val="0"/>
          <w:iCs w:val="0"/>
          <w:color w:val="auto"/>
          <w:sz w:val="22"/>
          <w:szCs w:val="22"/>
          <w:highlight w:val="none"/>
        </w:rPr>
        <w:t>，下午</w:t>
      </w:r>
      <w:r>
        <w:rPr>
          <w:rFonts w:hint="eastAsia" w:ascii="仿宋" w:hAnsi="仿宋" w:eastAsia="仿宋" w:cs="仿宋"/>
          <w:i w:val="0"/>
          <w:iCs w:val="0"/>
          <w:color w:val="auto"/>
          <w:sz w:val="22"/>
          <w:szCs w:val="22"/>
          <w:highlight w:val="none"/>
          <w:u w:val="single"/>
          <w:lang w:val="en-US" w:eastAsia="zh-CN"/>
        </w:rPr>
        <w:t>14:00</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23:59</w:t>
      </w:r>
      <w:r>
        <w:rPr>
          <w:rFonts w:hint="eastAsia" w:ascii="仿宋" w:hAnsi="仿宋" w:eastAsia="仿宋" w:cs="仿宋"/>
          <w:i w:val="0"/>
          <w:iCs w:val="0"/>
          <w:color w:val="auto"/>
          <w:sz w:val="22"/>
          <w:szCs w:val="22"/>
          <w:highlight w:val="none"/>
        </w:rPr>
        <w:t>（北京时间，法定节假日除外）</w:t>
      </w:r>
    </w:p>
    <w:p w14:paraId="522AE57B">
      <w:pPr>
        <w:pageBreakBefore w:val="0"/>
        <w:widowControl w:val="0"/>
        <w:kinsoku/>
        <w:wordWrap/>
        <w:overflowPunct/>
        <w:topLinePunct w:val="0"/>
        <w:autoSpaceDE/>
        <w:autoSpaceDN/>
        <w:bidi w:val="0"/>
        <w:adjustRightInd/>
        <w:snapToGrid/>
        <w:spacing w:beforeAutospacing="0" w:afterAutospacing="0" w:line="480" w:lineRule="exact"/>
        <w:ind w:left="0" w:leftChars="0" w:firstLine="442" w:firstLineChars="200"/>
        <w:textAlignment w:val="auto"/>
        <w:rPr>
          <w:rFonts w:hint="eastAsia" w:ascii="仿宋" w:hAnsi="仿宋" w:eastAsia="仿宋" w:cs="仿宋"/>
          <w:i w:val="0"/>
          <w:iCs w:val="0"/>
          <w:color w:val="auto"/>
          <w:sz w:val="22"/>
          <w:szCs w:val="22"/>
          <w:highlight w:val="none"/>
          <w:u w:val="single"/>
          <w:lang w:val="en-US" w:eastAsia="zh-CN"/>
        </w:rPr>
      </w:pPr>
      <w:bookmarkStart w:id="33" w:name="_Toc35393793"/>
      <w:bookmarkStart w:id="34" w:name="_Toc28359082"/>
      <w:bookmarkStart w:id="35" w:name="_Toc35393624"/>
      <w:bookmarkStart w:id="36" w:name="_Toc28359005"/>
      <w:r>
        <w:rPr>
          <w:rFonts w:hint="eastAsia" w:ascii="仿宋" w:hAnsi="仿宋" w:eastAsia="仿宋" w:cs="仿宋"/>
          <w:b/>
          <w:bCs/>
          <w:i w:val="0"/>
          <w:iCs w:val="0"/>
          <w:color w:val="auto"/>
          <w:sz w:val="22"/>
          <w:szCs w:val="22"/>
          <w:highlight w:val="none"/>
        </w:rPr>
        <w:t>地点：</w:t>
      </w:r>
      <w:r>
        <w:rPr>
          <w:rFonts w:hint="eastAsia" w:ascii="仿宋" w:hAnsi="仿宋" w:eastAsia="仿宋" w:cs="仿宋"/>
          <w:i w:val="0"/>
          <w:iCs w:val="0"/>
          <w:caps w:val="0"/>
          <w:color w:val="auto"/>
          <w:spacing w:val="0"/>
          <w:sz w:val="22"/>
          <w:szCs w:val="22"/>
          <w:highlight w:val="none"/>
        </w:rPr>
        <w:t>政采云平台线上</w:t>
      </w:r>
    </w:p>
    <w:p w14:paraId="1E681471">
      <w:pPr>
        <w:keepNext w:val="0"/>
        <w:keepLines w:val="0"/>
        <w:pageBreakBefore w:val="0"/>
        <w:widowControl w:val="0"/>
        <w:kinsoku/>
        <w:wordWrap/>
        <w:overflowPunct/>
        <w:topLinePunct w:val="0"/>
        <w:autoSpaceDE/>
        <w:autoSpaceDN/>
        <w:bidi w:val="0"/>
        <w:adjustRightInd/>
        <w:snapToGrid/>
        <w:spacing w:line="480" w:lineRule="exact"/>
        <w:ind w:left="0" w:leftChars="0" w:firstLine="442" w:firstLineChars="200"/>
        <w:textAlignment w:val="auto"/>
        <w:rPr>
          <w:rFonts w:hint="eastAsia" w:ascii="仿宋" w:hAnsi="仿宋" w:eastAsia="仿宋" w:cs="仿宋"/>
          <w:b w:val="0"/>
          <w:bCs w:val="0"/>
          <w:i w:val="0"/>
          <w:iCs w:val="0"/>
          <w:color w:val="auto"/>
          <w:sz w:val="22"/>
          <w:szCs w:val="22"/>
          <w:highlight w:val="none"/>
          <w:lang w:eastAsia="zh-CN"/>
        </w:rPr>
      </w:pPr>
      <w:r>
        <w:rPr>
          <w:rFonts w:hint="eastAsia" w:ascii="仿宋" w:hAnsi="仿宋" w:eastAsia="仿宋" w:cs="仿宋"/>
          <w:b/>
          <w:bCs/>
          <w:i w:val="0"/>
          <w:iCs w:val="0"/>
          <w:color w:val="auto"/>
          <w:sz w:val="22"/>
          <w:szCs w:val="22"/>
          <w:highlight w:val="none"/>
        </w:rPr>
        <w:t>方式</w:t>
      </w:r>
      <w:r>
        <w:rPr>
          <w:rFonts w:hint="eastAsia" w:ascii="仿宋" w:hAnsi="仿宋" w:eastAsia="仿宋" w:cs="仿宋"/>
          <w:b w:val="0"/>
          <w:bCs w:val="0"/>
          <w:i w:val="0"/>
          <w:iCs w:val="0"/>
          <w:color w:val="auto"/>
          <w:sz w:val="22"/>
          <w:szCs w:val="22"/>
          <w:highlight w:val="none"/>
        </w:rPr>
        <w:t>：</w:t>
      </w:r>
      <w:r>
        <w:rPr>
          <w:rFonts w:hint="eastAsia" w:ascii="仿宋" w:hAnsi="仿宋" w:eastAsia="仿宋" w:cs="仿宋"/>
          <w:b w:val="0"/>
          <w:bCs w:val="0"/>
          <w:i w:val="0"/>
          <w:iCs w:val="0"/>
          <w:color w:val="auto"/>
          <w:sz w:val="22"/>
          <w:szCs w:val="22"/>
          <w:highlight w:val="none"/>
          <w:lang w:eastAsia="zh-CN"/>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41D42C54">
      <w:pPr>
        <w:pStyle w:val="36"/>
        <w:pageBreakBefore w:val="0"/>
        <w:widowControl w:val="0"/>
        <w:kinsoku/>
        <w:wordWrap/>
        <w:overflowPunct/>
        <w:topLinePunct w:val="0"/>
        <w:autoSpaceDE/>
        <w:autoSpaceDN/>
        <w:bidi w:val="0"/>
        <w:adjustRightInd/>
        <w:snapToGrid/>
        <w:spacing w:line="480" w:lineRule="exact"/>
        <w:ind w:left="0" w:firstLine="442" w:firstLineChars="200"/>
        <w:textAlignment w:val="auto"/>
        <w:rPr>
          <w:rFonts w:hint="eastAsia" w:ascii="仿宋" w:hAnsi="仿宋" w:eastAsia="仿宋" w:cs="仿宋"/>
          <w:i w:val="0"/>
          <w:iCs w:val="0"/>
          <w:color w:val="auto"/>
          <w:sz w:val="22"/>
          <w:szCs w:val="22"/>
          <w:highlight w:val="none"/>
        </w:rPr>
      </w:pPr>
      <w:r>
        <w:rPr>
          <w:rFonts w:hint="eastAsia" w:ascii="仿宋" w:hAnsi="仿宋" w:eastAsia="仿宋" w:cs="仿宋"/>
          <w:b/>
          <w:bCs/>
          <w:i w:val="0"/>
          <w:iCs w:val="0"/>
          <w:color w:val="auto"/>
          <w:sz w:val="22"/>
          <w:szCs w:val="22"/>
          <w:highlight w:val="none"/>
        </w:rPr>
        <w:t>售价：</w:t>
      </w:r>
      <w:r>
        <w:rPr>
          <w:rFonts w:hint="eastAsia" w:ascii="仿宋" w:hAnsi="仿宋" w:eastAsia="仿宋" w:cs="仿宋"/>
          <w:i w:val="0"/>
          <w:iCs w:val="0"/>
          <w:color w:val="auto"/>
          <w:sz w:val="22"/>
          <w:szCs w:val="22"/>
          <w:highlight w:val="none"/>
        </w:rPr>
        <w:t>0元</w:t>
      </w:r>
    </w:p>
    <w:p w14:paraId="1568690A">
      <w:pPr>
        <w:pStyle w:val="20"/>
        <w:keepNext w:val="0"/>
        <w:keepLines w:val="0"/>
        <w:pageBreakBefore w:val="0"/>
        <w:widowControl/>
        <w:suppressLineNumbers w:val="0"/>
        <w:kinsoku/>
        <w:wordWrap w:val="0"/>
        <w:overflowPunct/>
        <w:topLinePunct w:val="0"/>
        <w:bidi w:val="0"/>
        <w:spacing w:before="0" w:beforeAutospacing="0" w:after="0" w:afterAutospacing="0" w:line="480" w:lineRule="exact"/>
        <w:ind w:left="0" w:right="0" w:firstLine="0"/>
        <w:jc w:val="both"/>
        <w:textAlignment w:val="auto"/>
        <w:rPr>
          <w:rFonts w:hint="eastAsia" w:ascii="仿宋" w:hAnsi="仿宋" w:eastAsia="仿宋" w:cs="仿宋"/>
          <w:b/>
          <w:bCs w:val="0"/>
          <w:i w:val="0"/>
          <w:iCs w:val="0"/>
          <w:color w:val="auto"/>
          <w:kern w:val="2"/>
          <w:sz w:val="22"/>
          <w:szCs w:val="22"/>
          <w:highlight w:val="none"/>
          <w:lang w:val="en-US" w:eastAsia="zh-CN" w:bidi="ar-SA"/>
        </w:rPr>
      </w:pPr>
      <w:bookmarkStart w:id="37" w:name="_Toc12731"/>
      <w:r>
        <w:rPr>
          <w:rFonts w:hint="eastAsia" w:ascii="仿宋" w:hAnsi="仿宋" w:eastAsia="仿宋" w:cs="仿宋"/>
          <w:b/>
          <w:bCs w:val="0"/>
          <w:i w:val="0"/>
          <w:iCs w:val="0"/>
          <w:color w:val="auto"/>
          <w:sz w:val="22"/>
          <w:szCs w:val="22"/>
          <w:highlight w:val="none"/>
        </w:rPr>
        <w:t>四、</w:t>
      </w:r>
      <w:bookmarkEnd w:id="33"/>
      <w:bookmarkEnd w:id="34"/>
      <w:bookmarkEnd w:id="35"/>
      <w:bookmarkEnd w:id="36"/>
      <w:bookmarkEnd w:id="37"/>
      <w:r>
        <w:rPr>
          <w:rFonts w:hint="eastAsia" w:ascii="仿宋" w:hAnsi="仿宋" w:eastAsia="仿宋" w:cs="仿宋"/>
          <w:b/>
          <w:bCs w:val="0"/>
          <w:i w:val="0"/>
          <w:iCs w:val="0"/>
          <w:color w:val="auto"/>
          <w:kern w:val="2"/>
          <w:sz w:val="22"/>
          <w:szCs w:val="22"/>
          <w:highlight w:val="none"/>
          <w:lang w:val="en-US" w:eastAsia="zh-CN" w:bidi="ar-SA"/>
        </w:rPr>
        <w:t>提交投标文件截止时间、开标时间和地点</w:t>
      </w:r>
    </w:p>
    <w:p w14:paraId="736D87AD">
      <w:pPr>
        <w:pStyle w:val="20"/>
        <w:keepNext w:val="0"/>
        <w:keepLines w:val="0"/>
        <w:pageBreakBefore w:val="0"/>
        <w:widowControl/>
        <w:suppressLineNumbers w:val="0"/>
        <w:kinsoku/>
        <w:wordWrap w:val="0"/>
        <w:overflowPunct/>
        <w:topLinePunct w:val="0"/>
        <w:bidi w:val="0"/>
        <w:spacing w:before="0" w:beforeAutospacing="0" w:after="0" w:afterAutospacing="0" w:line="480" w:lineRule="exact"/>
        <w:ind w:left="0" w:right="0" w:firstLine="420"/>
        <w:textAlignment w:val="auto"/>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提交投标文件截止时间：2026年07月14日10:30（北京时间）</w:t>
      </w:r>
    </w:p>
    <w:p w14:paraId="6204B924">
      <w:pPr>
        <w:pStyle w:val="20"/>
        <w:keepNext w:val="0"/>
        <w:keepLines w:val="0"/>
        <w:pageBreakBefore w:val="0"/>
        <w:widowControl/>
        <w:suppressLineNumbers w:val="0"/>
        <w:kinsoku/>
        <w:wordWrap w:val="0"/>
        <w:overflowPunct/>
        <w:topLinePunct w:val="0"/>
        <w:bidi w:val="0"/>
        <w:spacing w:before="0" w:beforeAutospacing="0" w:after="0" w:afterAutospacing="0" w:line="480" w:lineRule="exact"/>
        <w:ind w:left="0" w:right="0" w:firstLine="420"/>
        <w:textAlignment w:val="auto"/>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投标地点：请登录政采云投标客户端投标</w:t>
      </w:r>
    </w:p>
    <w:p w14:paraId="23EED369">
      <w:pPr>
        <w:pStyle w:val="20"/>
        <w:keepNext w:val="0"/>
        <w:keepLines w:val="0"/>
        <w:pageBreakBefore w:val="0"/>
        <w:widowControl/>
        <w:suppressLineNumbers w:val="0"/>
        <w:kinsoku/>
        <w:wordWrap w:val="0"/>
        <w:overflowPunct/>
        <w:topLinePunct w:val="0"/>
        <w:bidi w:val="0"/>
        <w:spacing w:before="0" w:beforeAutospacing="0" w:after="0" w:afterAutospacing="0" w:line="480" w:lineRule="exact"/>
        <w:ind w:left="0" w:right="0" w:firstLine="420"/>
        <w:textAlignment w:val="auto"/>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开标时间：2026年07月14日10:30（北京时间）</w:t>
      </w:r>
    </w:p>
    <w:p w14:paraId="21A4429C">
      <w:pPr>
        <w:pStyle w:val="20"/>
        <w:keepNext w:val="0"/>
        <w:keepLines w:val="0"/>
        <w:pageBreakBefore w:val="0"/>
        <w:widowControl/>
        <w:suppressLineNumbers w:val="0"/>
        <w:kinsoku/>
        <w:wordWrap w:val="0"/>
        <w:overflowPunct/>
        <w:topLinePunct w:val="0"/>
        <w:bidi w:val="0"/>
        <w:spacing w:before="0" w:beforeAutospacing="0" w:after="0" w:afterAutospacing="0" w:line="480" w:lineRule="exact"/>
        <w:ind w:left="0" w:right="0" w:firstLine="420"/>
        <w:textAlignment w:val="auto"/>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highlight w:val="none"/>
          <w:u w:val="none"/>
          <w:lang w:val="en-US" w:eastAsia="zh-CN" w:bidi="ar-SA"/>
        </w:rPr>
        <w:t>开标地点：投标人登录政采云平台https://www.zcygov.cn/，进入“项目采购-开标评标-右边选择对应项目点击“进入项目”进入开标大厅。</w:t>
      </w:r>
    </w:p>
    <w:p w14:paraId="0EFE1F76">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rPr>
          <w:rFonts w:hint="eastAsia" w:ascii="仿宋" w:hAnsi="仿宋" w:eastAsia="仿宋" w:cs="仿宋"/>
          <w:b/>
          <w:bCs w:val="0"/>
          <w:i w:val="0"/>
          <w:iCs w:val="0"/>
          <w:color w:val="auto"/>
          <w:sz w:val="22"/>
          <w:szCs w:val="22"/>
          <w:highlight w:val="none"/>
        </w:rPr>
      </w:pPr>
      <w:bookmarkStart w:id="38" w:name="_Toc28359007"/>
      <w:bookmarkStart w:id="39" w:name="_Toc28359084"/>
      <w:bookmarkStart w:id="40" w:name="_Toc6872"/>
      <w:bookmarkStart w:id="41" w:name="_Toc35393794"/>
      <w:bookmarkStart w:id="42" w:name="_Toc35393625"/>
      <w:r>
        <w:rPr>
          <w:rFonts w:hint="eastAsia" w:ascii="仿宋" w:hAnsi="仿宋" w:eastAsia="仿宋" w:cs="仿宋"/>
          <w:b/>
          <w:bCs w:val="0"/>
          <w:i w:val="0"/>
          <w:iCs w:val="0"/>
          <w:color w:val="auto"/>
          <w:sz w:val="22"/>
          <w:szCs w:val="22"/>
          <w:highlight w:val="none"/>
        </w:rPr>
        <w:t>五、公告期限</w:t>
      </w:r>
      <w:bookmarkEnd w:id="38"/>
      <w:bookmarkEnd w:id="39"/>
      <w:bookmarkEnd w:id="40"/>
      <w:bookmarkEnd w:id="41"/>
      <w:bookmarkEnd w:id="42"/>
    </w:p>
    <w:p w14:paraId="047A3002">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leftChars="0" w:firstLine="440" w:firstLineChars="20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自本公告发布之日起5个工作日。</w:t>
      </w:r>
    </w:p>
    <w:p w14:paraId="2405BCAB">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rPr>
          <w:rFonts w:hint="eastAsia" w:ascii="仿宋" w:hAnsi="仿宋" w:eastAsia="仿宋" w:cs="仿宋"/>
          <w:b/>
          <w:bCs w:val="0"/>
          <w:i w:val="0"/>
          <w:iCs w:val="0"/>
          <w:color w:val="auto"/>
          <w:sz w:val="22"/>
          <w:szCs w:val="22"/>
          <w:highlight w:val="none"/>
        </w:rPr>
      </w:pPr>
      <w:bookmarkStart w:id="43" w:name="_Toc35393795"/>
      <w:bookmarkStart w:id="44" w:name="_Toc664"/>
      <w:bookmarkStart w:id="45" w:name="_Toc35393626"/>
      <w:r>
        <w:rPr>
          <w:rFonts w:hint="eastAsia" w:ascii="仿宋" w:hAnsi="仿宋" w:eastAsia="仿宋" w:cs="仿宋"/>
          <w:b/>
          <w:bCs w:val="0"/>
          <w:i w:val="0"/>
          <w:iCs w:val="0"/>
          <w:color w:val="auto"/>
          <w:sz w:val="22"/>
          <w:szCs w:val="22"/>
          <w:highlight w:val="none"/>
        </w:rPr>
        <w:t>六、其他补充事宜</w:t>
      </w:r>
      <w:bookmarkEnd w:id="43"/>
      <w:bookmarkEnd w:id="44"/>
      <w:bookmarkEnd w:id="45"/>
    </w:p>
    <w:p w14:paraId="1D762E5C">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442" w:firstLineChars="200"/>
        <w:jc w:val="both"/>
        <w:textAlignment w:val="auto"/>
        <w:rPr>
          <w:rFonts w:hint="eastAsia" w:ascii="仿宋" w:hAnsi="仿宋" w:eastAsia="仿宋" w:cs="仿宋"/>
          <w:i w:val="0"/>
          <w:iCs w:val="0"/>
          <w:color w:val="auto"/>
          <w:sz w:val="22"/>
          <w:szCs w:val="22"/>
          <w:highlight w:val="none"/>
          <w:u w:val="none"/>
          <w:lang w:val="en-US" w:eastAsia="zh-CN"/>
        </w:rPr>
      </w:pPr>
      <w:bookmarkStart w:id="46" w:name="_Toc35393627"/>
      <w:bookmarkStart w:id="47" w:name="_Toc31618"/>
      <w:bookmarkStart w:id="48" w:name="_Toc28359085"/>
      <w:bookmarkStart w:id="49" w:name="_Toc35393796"/>
      <w:bookmarkStart w:id="50" w:name="_Toc28359008"/>
      <w:r>
        <w:rPr>
          <w:rFonts w:hint="eastAsia" w:ascii="仿宋" w:hAnsi="仿宋" w:eastAsia="仿宋" w:cs="仿宋"/>
          <w:i w:val="0"/>
          <w:iCs w:val="0"/>
          <w:color w:val="auto"/>
          <w:sz w:val="22"/>
          <w:szCs w:val="22"/>
          <w:highlight w:val="none"/>
          <w:u w:val="none"/>
          <w:lang w:val="en-US" w:eastAsia="zh-CN"/>
        </w:rPr>
        <w:t>/</w:t>
      </w:r>
    </w:p>
    <w:p w14:paraId="4E4D2DCD">
      <w:pPr>
        <w:pStyle w:val="3"/>
        <w:pageBreakBefore w:val="0"/>
        <w:widowControl w:val="0"/>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rPr>
          <w:rFonts w:hint="eastAsia" w:ascii="仿宋" w:hAnsi="仿宋" w:eastAsia="仿宋" w:cs="仿宋"/>
          <w:b/>
          <w:bCs w:val="0"/>
          <w:i w:val="0"/>
          <w:iCs w:val="0"/>
          <w:color w:val="auto"/>
          <w:sz w:val="22"/>
          <w:szCs w:val="22"/>
          <w:highlight w:val="none"/>
        </w:rPr>
      </w:pPr>
      <w:r>
        <w:rPr>
          <w:rFonts w:hint="eastAsia" w:ascii="仿宋" w:hAnsi="仿宋" w:eastAsia="仿宋" w:cs="仿宋"/>
          <w:b/>
          <w:bCs w:val="0"/>
          <w:i w:val="0"/>
          <w:iCs w:val="0"/>
          <w:color w:val="auto"/>
          <w:sz w:val="22"/>
          <w:szCs w:val="22"/>
          <w:highlight w:val="none"/>
        </w:rPr>
        <w:t>七、对本次招标提出询问，请按以下方式联系</w:t>
      </w:r>
      <w:bookmarkEnd w:id="46"/>
      <w:bookmarkEnd w:id="47"/>
      <w:bookmarkEnd w:id="48"/>
      <w:bookmarkEnd w:id="49"/>
      <w:bookmarkEnd w:id="50"/>
    </w:p>
    <w:p w14:paraId="0B71DB08">
      <w:pPr>
        <w:keepNext w:val="0"/>
        <w:keepLines w:val="0"/>
        <w:pageBreakBefore w:val="0"/>
        <w:widowControl/>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rPr>
      </w:pPr>
      <w:r>
        <w:rPr>
          <w:rFonts w:hint="eastAsia" w:ascii="仿宋" w:hAnsi="仿宋" w:eastAsia="仿宋" w:cs="仿宋"/>
          <w:i w:val="0"/>
          <w:iCs w:val="0"/>
          <w:color w:val="auto"/>
          <w:sz w:val="22"/>
          <w:szCs w:val="22"/>
          <w:highlight w:val="none"/>
        </w:rPr>
        <w:t>1.采购人信息</w:t>
      </w:r>
    </w:p>
    <w:p w14:paraId="1D075B4E">
      <w:pPr>
        <w:keepNext w:val="0"/>
        <w:keepLines w:val="0"/>
        <w:pageBreakBefore w:val="0"/>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rPr>
        <w:t>名 称：</w:t>
      </w:r>
      <w:r>
        <w:rPr>
          <w:rFonts w:hint="eastAsia" w:ascii="仿宋" w:hAnsi="仿宋" w:eastAsia="仿宋" w:cs="仿宋"/>
          <w:i w:val="0"/>
          <w:iCs w:val="0"/>
          <w:color w:val="auto"/>
          <w:sz w:val="22"/>
          <w:szCs w:val="22"/>
          <w:highlight w:val="none"/>
          <w:u w:val="none"/>
          <w:lang w:val="en-US" w:eastAsia="zh-CN"/>
        </w:rPr>
        <w:t xml:space="preserve">伊宁市教育局 </w:t>
      </w:r>
    </w:p>
    <w:p w14:paraId="3B59C4D8">
      <w:pPr>
        <w:keepNext w:val="0"/>
        <w:keepLines w:val="0"/>
        <w:pageBreakBefore w:val="0"/>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地 址：新疆维吾尔自治区伊犁哈萨克自治州伊宁市海棠路5号</w:t>
      </w:r>
    </w:p>
    <w:p w14:paraId="158F1AA7">
      <w:pPr>
        <w:keepNext w:val="0"/>
        <w:keepLines w:val="0"/>
        <w:pageBreakBefore w:val="0"/>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bookmarkStart w:id="51" w:name="_Toc28359086"/>
      <w:bookmarkStart w:id="52" w:name="_Toc28359009"/>
      <w:r>
        <w:rPr>
          <w:rFonts w:hint="eastAsia" w:ascii="仿宋" w:hAnsi="仿宋" w:eastAsia="仿宋" w:cs="仿宋"/>
          <w:i w:val="0"/>
          <w:iCs w:val="0"/>
          <w:color w:val="auto"/>
          <w:sz w:val="22"/>
          <w:szCs w:val="22"/>
          <w:highlight w:val="none"/>
          <w:u w:val="none"/>
          <w:lang w:val="en-US" w:eastAsia="zh-CN"/>
        </w:rPr>
        <w:t>联系人：</w:t>
      </w:r>
      <w:bookmarkStart w:id="245" w:name="_GoBack"/>
      <w:bookmarkEnd w:id="245"/>
      <w:r>
        <w:rPr>
          <w:rFonts w:hint="eastAsia" w:ascii="仿宋" w:hAnsi="仿宋" w:eastAsia="仿宋" w:cs="仿宋"/>
          <w:i w:val="0"/>
          <w:iCs w:val="0"/>
          <w:color w:val="auto"/>
          <w:sz w:val="22"/>
          <w:szCs w:val="22"/>
          <w:highlight w:val="none"/>
          <w:u w:val="none"/>
          <w:lang w:val="en-US" w:eastAsia="zh-CN"/>
        </w:rPr>
        <w:t>丁志锋</w:t>
      </w:r>
    </w:p>
    <w:p w14:paraId="5AE525D5">
      <w:pPr>
        <w:keepNext w:val="0"/>
        <w:keepLines w:val="0"/>
        <w:pageBreakBefore w:val="0"/>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联系方式：17699399987</w:t>
      </w:r>
    </w:p>
    <w:p w14:paraId="6B04FF15">
      <w:pPr>
        <w:keepNext w:val="0"/>
        <w:keepLines w:val="0"/>
        <w:pageBreakBefore w:val="0"/>
        <w:kinsoku/>
        <w:wordWrap/>
        <w:overflowPunct/>
        <w:topLinePunct w:val="0"/>
        <w:autoSpaceDE/>
        <w:autoSpaceDN/>
        <w:bidi w:val="0"/>
        <w:adjustRightInd/>
        <w:snapToGrid/>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2.采购代理机构信息</w:t>
      </w:r>
      <w:bookmarkEnd w:id="51"/>
      <w:bookmarkEnd w:id="52"/>
    </w:p>
    <w:p w14:paraId="2DBF239B">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eastAsia="zh-CN"/>
        </w:rPr>
      </w:pPr>
      <w:r>
        <w:rPr>
          <w:rFonts w:hint="eastAsia" w:ascii="仿宋" w:hAnsi="仿宋" w:eastAsia="仿宋" w:cs="仿宋"/>
          <w:i w:val="0"/>
          <w:iCs w:val="0"/>
          <w:color w:val="auto"/>
          <w:sz w:val="22"/>
          <w:szCs w:val="22"/>
          <w:highlight w:val="none"/>
          <w:u w:val="none"/>
        </w:rPr>
        <w:t>名 称：</w:t>
      </w:r>
      <w:r>
        <w:rPr>
          <w:rFonts w:hint="eastAsia" w:ascii="仿宋" w:hAnsi="仿宋" w:eastAsia="仿宋" w:cs="仿宋"/>
          <w:i w:val="0"/>
          <w:iCs w:val="0"/>
          <w:color w:val="auto"/>
          <w:sz w:val="22"/>
          <w:szCs w:val="22"/>
          <w:highlight w:val="none"/>
          <w:u w:val="none"/>
          <w:lang w:eastAsia="zh-CN"/>
        </w:rPr>
        <w:t>新疆万启工程项目管理有限公司</w:t>
      </w:r>
    </w:p>
    <w:p w14:paraId="73FFA381">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rPr>
        <w:t>地 址：</w:t>
      </w:r>
      <w:r>
        <w:rPr>
          <w:rFonts w:hint="eastAsia" w:ascii="仿宋" w:hAnsi="仿宋" w:eastAsia="仿宋" w:cs="仿宋"/>
          <w:i w:val="0"/>
          <w:iCs w:val="0"/>
          <w:color w:val="auto"/>
          <w:sz w:val="22"/>
          <w:szCs w:val="22"/>
          <w:highlight w:val="none"/>
          <w:u w:val="none"/>
          <w:lang w:eastAsia="zh-CN"/>
        </w:rPr>
        <w:t>伊宁市金茂新天地B座16楼</w:t>
      </w:r>
    </w:p>
    <w:p w14:paraId="7E74E78E">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rPr>
        <w:t>项目联系人：</w:t>
      </w:r>
      <w:r>
        <w:rPr>
          <w:rFonts w:hint="eastAsia" w:ascii="仿宋" w:hAnsi="仿宋" w:eastAsia="仿宋" w:cs="仿宋"/>
          <w:i w:val="0"/>
          <w:iCs w:val="0"/>
          <w:color w:val="auto"/>
          <w:sz w:val="22"/>
          <w:szCs w:val="22"/>
          <w:highlight w:val="none"/>
          <w:u w:val="none"/>
          <w:lang w:val="en-US" w:eastAsia="zh-CN"/>
        </w:rPr>
        <w:t>李梦</w:t>
      </w:r>
    </w:p>
    <w:p w14:paraId="21435834">
      <w:pPr>
        <w:pageBreakBefore w:val="0"/>
        <w:widowControl w:val="0"/>
        <w:kinsoku/>
        <w:wordWrap/>
        <w:overflowPunct/>
        <w:topLinePunct w:val="0"/>
        <w:autoSpaceDE/>
        <w:autoSpaceDN/>
        <w:bidi w:val="0"/>
        <w:adjustRightInd/>
        <w:snapToGrid w:val="0"/>
        <w:spacing w:beforeAutospacing="0" w:afterAutospacing="0" w:line="480" w:lineRule="exact"/>
        <w:ind w:left="0" w:leftChars="0" w:firstLine="440" w:firstLineChars="200"/>
        <w:jc w:val="left"/>
        <w:textAlignment w:val="auto"/>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rPr>
        <w:t>项目联系方式：</w:t>
      </w:r>
      <w:r>
        <w:rPr>
          <w:rFonts w:hint="eastAsia" w:ascii="仿宋" w:hAnsi="仿宋" w:eastAsia="仿宋" w:cs="仿宋"/>
          <w:i w:val="0"/>
          <w:iCs w:val="0"/>
          <w:color w:val="auto"/>
          <w:sz w:val="22"/>
          <w:szCs w:val="22"/>
          <w:highlight w:val="none"/>
          <w:u w:val="none"/>
          <w:lang w:eastAsia="zh-CN"/>
        </w:rPr>
        <w:t>18116999102</w:t>
      </w:r>
    </w:p>
    <w:p w14:paraId="108EE2E3">
      <w:pPr>
        <w:rPr>
          <w:rFonts w:hint="eastAsia" w:ascii="仿宋" w:hAnsi="仿宋" w:eastAsia="仿宋" w:cs="仿宋"/>
          <w:color w:val="auto"/>
          <w:highlight w:val="none"/>
        </w:rPr>
      </w:pPr>
    </w:p>
    <w:p w14:paraId="1D13A45B">
      <w:pPr>
        <w:rPr>
          <w:rFonts w:hint="eastAsia" w:ascii="仿宋" w:hAnsi="仿宋" w:eastAsia="仿宋" w:cs="仿宋"/>
          <w:color w:val="auto"/>
          <w:highlight w:val="none"/>
        </w:rPr>
      </w:pPr>
    </w:p>
    <w:p w14:paraId="5127156C">
      <w:pPr>
        <w:rPr>
          <w:rFonts w:hint="eastAsia" w:ascii="仿宋" w:hAnsi="仿宋" w:eastAsia="仿宋" w:cs="仿宋"/>
          <w:b/>
          <w:color w:val="auto"/>
          <w:kern w:val="44"/>
          <w:sz w:val="44"/>
          <w:szCs w:val="44"/>
          <w:highlight w:val="none"/>
        </w:rPr>
      </w:pPr>
      <w:r>
        <w:rPr>
          <w:rFonts w:hint="eastAsia" w:ascii="仿宋" w:hAnsi="仿宋" w:eastAsia="仿宋" w:cs="仿宋"/>
          <w:b/>
          <w:color w:val="auto"/>
          <w:kern w:val="44"/>
          <w:sz w:val="44"/>
          <w:szCs w:val="44"/>
          <w:highlight w:val="none"/>
        </w:rPr>
        <w:br w:type="page"/>
      </w:r>
    </w:p>
    <w:p w14:paraId="24DC3199">
      <w:pPr>
        <w:pStyle w:val="7"/>
        <w:pageBreakBefore w:val="0"/>
        <w:widowControl w:val="0"/>
        <w:kinsoku/>
        <w:wordWrap/>
        <w:overflowPunct/>
        <w:topLinePunct w:val="0"/>
        <w:bidi w:val="0"/>
        <w:snapToGrid/>
        <w:spacing w:line="480" w:lineRule="exact"/>
        <w:ind w:firstLine="0"/>
        <w:jc w:val="center"/>
        <w:textAlignment w:val="auto"/>
        <w:outlineLvl w:val="0"/>
        <w:rPr>
          <w:rFonts w:hint="eastAsia" w:ascii="仿宋" w:hAnsi="仿宋" w:eastAsia="仿宋" w:cs="仿宋"/>
          <w:b/>
          <w:color w:val="auto"/>
          <w:kern w:val="44"/>
          <w:sz w:val="40"/>
          <w:szCs w:val="40"/>
          <w:highlight w:val="none"/>
        </w:rPr>
      </w:pPr>
      <w:bookmarkStart w:id="53" w:name="_Toc29688"/>
      <w:r>
        <w:rPr>
          <w:rFonts w:hint="eastAsia" w:ascii="仿宋" w:hAnsi="仿宋" w:eastAsia="仿宋" w:cs="仿宋"/>
          <w:b/>
          <w:color w:val="auto"/>
          <w:kern w:val="44"/>
          <w:sz w:val="40"/>
          <w:szCs w:val="40"/>
          <w:highlight w:val="none"/>
        </w:rPr>
        <w:t>第二章</w:t>
      </w:r>
      <w:r>
        <w:rPr>
          <w:rFonts w:hint="eastAsia" w:ascii="仿宋" w:hAnsi="仿宋" w:eastAsia="仿宋" w:cs="仿宋"/>
          <w:b/>
          <w:color w:val="auto"/>
          <w:kern w:val="44"/>
          <w:sz w:val="40"/>
          <w:szCs w:val="40"/>
          <w:highlight w:val="none"/>
          <w:lang w:val="en-US" w:eastAsia="zh-CN"/>
        </w:rPr>
        <w:t xml:space="preserve"> </w:t>
      </w:r>
      <w:r>
        <w:rPr>
          <w:rFonts w:hint="eastAsia" w:ascii="仿宋" w:hAnsi="仿宋" w:eastAsia="仿宋" w:cs="仿宋"/>
          <w:b/>
          <w:color w:val="auto"/>
          <w:kern w:val="44"/>
          <w:sz w:val="40"/>
          <w:szCs w:val="40"/>
          <w:highlight w:val="none"/>
        </w:rPr>
        <w:t>投标人须知</w:t>
      </w:r>
      <w:bookmarkEnd w:id="8"/>
      <w:bookmarkEnd w:id="9"/>
      <w:bookmarkEnd w:id="10"/>
      <w:bookmarkEnd w:id="11"/>
      <w:bookmarkEnd w:id="12"/>
      <w:bookmarkEnd w:id="53"/>
      <w:bookmarkStart w:id="54" w:name="_Toc184274915"/>
      <w:bookmarkStart w:id="55" w:name="_Toc184283909"/>
      <w:bookmarkStart w:id="56" w:name="_Toc213396946"/>
      <w:bookmarkStart w:id="57" w:name="_Toc213397010"/>
      <w:bookmarkStart w:id="58" w:name="_Toc213496268"/>
      <w:bookmarkStart w:id="59" w:name="_Toc217446032"/>
      <w:bookmarkStart w:id="60" w:name="_Toc213396760"/>
      <w:bookmarkStart w:id="61" w:name="_Toc189727030"/>
    </w:p>
    <w:p w14:paraId="0BFBC162">
      <w:pPr>
        <w:pStyle w:val="2"/>
        <w:pageBreakBefore w:val="0"/>
        <w:widowControl w:val="0"/>
        <w:numPr>
          <w:ilvl w:val="0"/>
          <w:numId w:val="0"/>
        </w:numPr>
        <w:tabs>
          <w:tab w:val="left" w:pos="0"/>
          <w:tab w:val="left" w:pos="3165"/>
          <w:tab w:val="center" w:pos="4153"/>
        </w:tabs>
        <w:kinsoku/>
        <w:wordWrap/>
        <w:overflowPunct/>
        <w:topLinePunct w:val="0"/>
        <w:autoSpaceDE w:val="0"/>
        <w:autoSpaceDN w:val="0"/>
        <w:bidi w:val="0"/>
        <w:adjustRightInd w:val="0"/>
        <w:snapToGrid/>
        <w:spacing w:before="0" w:after="0" w:line="480" w:lineRule="exact"/>
        <w:ind w:leftChars="0"/>
        <w:jc w:val="center"/>
        <w:textAlignment w:val="auto"/>
        <w:outlineLvl w:val="1"/>
        <w:rPr>
          <w:rFonts w:hint="eastAsia" w:ascii="仿宋" w:hAnsi="仿宋" w:eastAsia="仿宋" w:cs="仿宋"/>
          <w:b/>
          <w:bCs w:val="0"/>
          <w:color w:val="auto"/>
          <w:sz w:val="28"/>
          <w:szCs w:val="28"/>
          <w:highlight w:val="none"/>
          <w:lang w:val="en-US" w:eastAsia="zh-CN"/>
        </w:rPr>
      </w:pPr>
      <w:bookmarkStart w:id="62" w:name="_Toc17895"/>
      <w:r>
        <w:rPr>
          <w:rFonts w:hint="eastAsia" w:ascii="仿宋" w:hAnsi="仿宋" w:eastAsia="仿宋" w:cs="仿宋"/>
          <w:b/>
          <w:bCs w:val="0"/>
          <w:color w:val="auto"/>
          <w:sz w:val="28"/>
          <w:szCs w:val="28"/>
          <w:highlight w:val="none"/>
          <w:lang w:val="en-US" w:eastAsia="zh-CN"/>
        </w:rPr>
        <w:t>投标人须知前附表</w:t>
      </w:r>
      <w:bookmarkEnd w:id="54"/>
      <w:bookmarkEnd w:id="55"/>
      <w:bookmarkEnd w:id="56"/>
      <w:bookmarkEnd w:id="57"/>
      <w:bookmarkEnd w:id="58"/>
      <w:bookmarkEnd w:id="59"/>
      <w:bookmarkEnd w:id="60"/>
      <w:bookmarkEnd w:id="61"/>
      <w:bookmarkEnd w:id="62"/>
    </w:p>
    <w:tbl>
      <w:tblPr>
        <w:tblStyle w:val="23"/>
        <w:tblW w:w="9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1"/>
        <w:gridCol w:w="2160"/>
        <w:gridCol w:w="6658"/>
      </w:tblGrid>
      <w:tr w14:paraId="25F9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exact"/>
          <w:tblHeader/>
          <w:jc w:val="center"/>
        </w:trPr>
        <w:tc>
          <w:tcPr>
            <w:tcW w:w="811" w:type="dxa"/>
            <w:noWrap w:val="0"/>
            <w:vAlign w:val="center"/>
          </w:tcPr>
          <w:p w14:paraId="2C627D4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 xml:space="preserve">序号 </w:t>
            </w:r>
          </w:p>
        </w:tc>
        <w:tc>
          <w:tcPr>
            <w:tcW w:w="2160" w:type="dxa"/>
            <w:noWrap w:val="0"/>
            <w:vAlign w:val="center"/>
          </w:tcPr>
          <w:p w14:paraId="332B033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内容</w:t>
            </w:r>
          </w:p>
        </w:tc>
        <w:tc>
          <w:tcPr>
            <w:tcW w:w="6658" w:type="dxa"/>
            <w:noWrap w:val="0"/>
            <w:vAlign w:val="center"/>
          </w:tcPr>
          <w:p w14:paraId="25268EE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b/>
                <w:bCs/>
                <w:color w:val="auto"/>
                <w:sz w:val="22"/>
                <w:szCs w:val="22"/>
                <w:highlight w:val="none"/>
                <w:lang w:val="zh-CN"/>
              </w:rPr>
            </w:pPr>
            <w:r>
              <w:rPr>
                <w:rFonts w:hint="eastAsia" w:ascii="仿宋" w:hAnsi="仿宋" w:eastAsia="仿宋" w:cs="仿宋"/>
                <w:b/>
                <w:bCs/>
                <w:color w:val="auto"/>
                <w:sz w:val="22"/>
                <w:szCs w:val="22"/>
                <w:highlight w:val="none"/>
                <w:lang w:val="zh-CN"/>
              </w:rPr>
              <w:t>说明和要求</w:t>
            </w:r>
          </w:p>
        </w:tc>
      </w:tr>
      <w:tr w14:paraId="010A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3" w:hRule="atLeast"/>
          <w:jc w:val="center"/>
        </w:trPr>
        <w:tc>
          <w:tcPr>
            <w:tcW w:w="811" w:type="dxa"/>
            <w:noWrap w:val="0"/>
            <w:vAlign w:val="center"/>
          </w:tcPr>
          <w:p w14:paraId="69E7DF59">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w:t>
            </w:r>
          </w:p>
        </w:tc>
        <w:tc>
          <w:tcPr>
            <w:tcW w:w="2160" w:type="dxa"/>
            <w:noWrap w:val="0"/>
            <w:vAlign w:val="center"/>
          </w:tcPr>
          <w:p w14:paraId="7731A93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采购人</w:t>
            </w:r>
          </w:p>
        </w:tc>
        <w:tc>
          <w:tcPr>
            <w:tcW w:w="6658" w:type="dxa"/>
            <w:noWrap w:val="0"/>
            <w:vAlign w:val="center"/>
          </w:tcPr>
          <w:p w14:paraId="14F0930E">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 xml:space="preserve">名 称：伊宁市教育局 </w:t>
            </w:r>
          </w:p>
          <w:p w14:paraId="6CA08A12">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地 址：新疆维吾尔自治区伊犁哈萨克自治州伊宁市海棠路5号</w:t>
            </w:r>
          </w:p>
          <w:p w14:paraId="4FA4C446">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联系人：丁志锋</w:t>
            </w:r>
          </w:p>
          <w:p w14:paraId="372A65FB">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联系方式：17699399987</w:t>
            </w:r>
          </w:p>
        </w:tc>
      </w:tr>
      <w:tr w14:paraId="19C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0" w:hRule="atLeast"/>
          <w:jc w:val="center"/>
        </w:trPr>
        <w:tc>
          <w:tcPr>
            <w:tcW w:w="811" w:type="dxa"/>
            <w:noWrap w:val="0"/>
            <w:vAlign w:val="center"/>
          </w:tcPr>
          <w:p w14:paraId="5CBBF5B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w:t>
            </w:r>
          </w:p>
        </w:tc>
        <w:tc>
          <w:tcPr>
            <w:tcW w:w="2160" w:type="dxa"/>
            <w:noWrap w:val="0"/>
            <w:vAlign w:val="center"/>
          </w:tcPr>
          <w:p w14:paraId="153508EF">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采购代理机构</w:t>
            </w:r>
          </w:p>
        </w:tc>
        <w:tc>
          <w:tcPr>
            <w:tcW w:w="6658" w:type="dxa"/>
            <w:noWrap w:val="0"/>
            <w:vAlign w:val="center"/>
          </w:tcPr>
          <w:p w14:paraId="3BEBF2A8">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名 称：</w:t>
            </w:r>
            <w:r>
              <w:rPr>
                <w:rFonts w:hint="eastAsia" w:ascii="仿宋" w:hAnsi="仿宋" w:eastAsia="仿宋" w:cs="仿宋"/>
                <w:color w:val="auto"/>
                <w:sz w:val="22"/>
                <w:szCs w:val="22"/>
                <w:highlight w:val="none"/>
                <w:lang w:eastAsia="zh-CN"/>
              </w:rPr>
              <w:t>新疆万启工程项目管理有限公司</w:t>
            </w:r>
          </w:p>
          <w:p w14:paraId="334C628F">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地 址：</w:t>
            </w:r>
            <w:r>
              <w:rPr>
                <w:rFonts w:hint="eastAsia" w:ascii="仿宋" w:hAnsi="仿宋" w:eastAsia="仿宋" w:cs="仿宋"/>
                <w:color w:val="auto"/>
                <w:sz w:val="22"/>
                <w:szCs w:val="22"/>
                <w:highlight w:val="none"/>
                <w:lang w:eastAsia="zh-CN"/>
              </w:rPr>
              <w:t>伊宁市金茂新天地B座16楼</w:t>
            </w:r>
          </w:p>
          <w:p w14:paraId="31B740AF">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项目联系人：</w:t>
            </w:r>
            <w:r>
              <w:rPr>
                <w:rFonts w:hint="eastAsia" w:ascii="仿宋" w:hAnsi="仿宋" w:eastAsia="仿宋" w:cs="仿宋"/>
                <w:color w:val="auto"/>
                <w:sz w:val="22"/>
                <w:szCs w:val="22"/>
                <w:highlight w:val="none"/>
                <w:lang w:val="en-US" w:eastAsia="zh-CN"/>
              </w:rPr>
              <w:t>李梦</w:t>
            </w:r>
          </w:p>
          <w:p w14:paraId="48F02A25">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项目联系方式：</w:t>
            </w:r>
            <w:r>
              <w:rPr>
                <w:rFonts w:hint="eastAsia" w:ascii="仿宋" w:hAnsi="仿宋" w:eastAsia="仿宋" w:cs="仿宋"/>
                <w:color w:val="auto"/>
                <w:sz w:val="22"/>
                <w:szCs w:val="22"/>
                <w:highlight w:val="none"/>
                <w:lang w:eastAsia="zh-CN"/>
              </w:rPr>
              <w:t>18116999102</w:t>
            </w:r>
          </w:p>
        </w:tc>
      </w:tr>
      <w:tr w14:paraId="1BD6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6" w:hRule="exact"/>
          <w:jc w:val="center"/>
        </w:trPr>
        <w:tc>
          <w:tcPr>
            <w:tcW w:w="811" w:type="dxa"/>
            <w:noWrap w:val="0"/>
            <w:vAlign w:val="center"/>
          </w:tcPr>
          <w:p w14:paraId="24315F43">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w:t>
            </w:r>
          </w:p>
        </w:tc>
        <w:tc>
          <w:tcPr>
            <w:tcW w:w="2160" w:type="dxa"/>
            <w:noWrap w:val="0"/>
            <w:vAlign w:val="center"/>
          </w:tcPr>
          <w:p w14:paraId="603F4BAD">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采购项目名称</w:t>
            </w:r>
          </w:p>
        </w:tc>
        <w:tc>
          <w:tcPr>
            <w:tcW w:w="6658" w:type="dxa"/>
            <w:noWrap w:val="0"/>
            <w:vAlign w:val="center"/>
          </w:tcPr>
          <w:p w14:paraId="61A62C6E">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伊宁市教育系统提升改造设施设备采购第四标</w:t>
            </w:r>
          </w:p>
        </w:tc>
      </w:tr>
      <w:tr w14:paraId="10A7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exact"/>
          <w:jc w:val="center"/>
        </w:trPr>
        <w:tc>
          <w:tcPr>
            <w:tcW w:w="811" w:type="dxa"/>
            <w:noWrap w:val="0"/>
            <w:vAlign w:val="center"/>
          </w:tcPr>
          <w:p w14:paraId="53A2C639">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w:t>
            </w:r>
          </w:p>
        </w:tc>
        <w:tc>
          <w:tcPr>
            <w:tcW w:w="2160" w:type="dxa"/>
            <w:noWrap w:val="0"/>
            <w:vAlign w:val="center"/>
          </w:tcPr>
          <w:p w14:paraId="3E194E9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采购项目编号</w:t>
            </w:r>
          </w:p>
        </w:tc>
        <w:tc>
          <w:tcPr>
            <w:tcW w:w="6658" w:type="dxa"/>
            <w:noWrap w:val="0"/>
            <w:vAlign w:val="center"/>
          </w:tcPr>
          <w:p w14:paraId="46069F31">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en-US"/>
              </w:rPr>
            </w:pPr>
            <w:r>
              <w:rPr>
                <w:rFonts w:hint="eastAsia" w:ascii="仿宋" w:hAnsi="仿宋" w:eastAsia="仿宋" w:cs="仿宋"/>
                <w:color w:val="auto"/>
                <w:sz w:val="22"/>
                <w:szCs w:val="22"/>
                <w:highlight w:val="none"/>
                <w:lang w:eastAsia="zh-CN"/>
              </w:rPr>
              <w:t>XJWQCG-2026010</w:t>
            </w:r>
          </w:p>
        </w:tc>
      </w:tr>
      <w:tr w14:paraId="2E63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811" w:type="dxa"/>
            <w:noWrap w:val="0"/>
            <w:vAlign w:val="center"/>
          </w:tcPr>
          <w:p w14:paraId="2BE938B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5</w:t>
            </w:r>
          </w:p>
        </w:tc>
        <w:tc>
          <w:tcPr>
            <w:tcW w:w="2160" w:type="dxa"/>
            <w:noWrap w:val="0"/>
            <w:vAlign w:val="center"/>
          </w:tcPr>
          <w:p w14:paraId="1E47AF99">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资金来源</w:t>
            </w:r>
          </w:p>
        </w:tc>
        <w:tc>
          <w:tcPr>
            <w:tcW w:w="6658" w:type="dxa"/>
            <w:noWrap w:val="0"/>
            <w:vAlign w:val="center"/>
          </w:tcPr>
          <w:p w14:paraId="6BDED7F8">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财政资金</w:t>
            </w:r>
          </w:p>
        </w:tc>
      </w:tr>
      <w:tr w14:paraId="64E5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72" w:hRule="exact"/>
          <w:jc w:val="center"/>
        </w:trPr>
        <w:tc>
          <w:tcPr>
            <w:tcW w:w="811" w:type="dxa"/>
            <w:vMerge w:val="restart"/>
            <w:noWrap w:val="0"/>
            <w:vAlign w:val="center"/>
          </w:tcPr>
          <w:p w14:paraId="43E99D5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6</w:t>
            </w:r>
          </w:p>
        </w:tc>
        <w:tc>
          <w:tcPr>
            <w:tcW w:w="2160" w:type="dxa"/>
            <w:noWrap w:val="0"/>
            <w:vAlign w:val="center"/>
          </w:tcPr>
          <w:p w14:paraId="66119158">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预算金额</w:t>
            </w:r>
          </w:p>
        </w:tc>
        <w:tc>
          <w:tcPr>
            <w:tcW w:w="6658" w:type="dxa"/>
            <w:noWrap w:val="0"/>
            <w:vAlign w:val="center"/>
          </w:tcPr>
          <w:p w14:paraId="7BA0BB86">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预算金额：503.5553175万元</w:t>
            </w:r>
          </w:p>
          <w:p w14:paraId="290E9DC3">
            <w:pPr>
              <w:pStyle w:val="12"/>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投标人投标报价超出预算金额的，作为不实质性响应投标文件，按无效响应文件处理</w:t>
            </w:r>
          </w:p>
        </w:tc>
      </w:tr>
      <w:tr w14:paraId="2C78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4" w:hRule="exact"/>
          <w:jc w:val="center"/>
        </w:trPr>
        <w:tc>
          <w:tcPr>
            <w:tcW w:w="811" w:type="dxa"/>
            <w:vMerge w:val="continue"/>
            <w:noWrap w:val="0"/>
            <w:vAlign w:val="center"/>
          </w:tcPr>
          <w:p w14:paraId="11BF58A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p>
        </w:tc>
        <w:tc>
          <w:tcPr>
            <w:tcW w:w="2160" w:type="dxa"/>
            <w:noWrap w:val="0"/>
            <w:vAlign w:val="center"/>
          </w:tcPr>
          <w:p w14:paraId="50179E3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rPr>
              <w:t>最高限价</w:t>
            </w:r>
          </w:p>
        </w:tc>
        <w:tc>
          <w:tcPr>
            <w:tcW w:w="6658" w:type="dxa"/>
            <w:noWrap w:val="0"/>
            <w:vAlign w:val="center"/>
          </w:tcPr>
          <w:p w14:paraId="64F0BC6D">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最高限价：503.5553175万元</w:t>
            </w:r>
          </w:p>
          <w:p w14:paraId="14BACE0A">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投标人投标报价超出最高限价的，作为不实质性响应投标文件，按无效响应文件处理</w:t>
            </w:r>
          </w:p>
        </w:tc>
      </w:tr>
      <w:tr w14:paraId="6943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exact"/>
          <w:jc w:val="center"/>
        </w:trPr>
        <w:tc>
          <w:tcPr>
            <w:tcW w:w="811" w:type="dxa"/>
            <w:noWrap w:val="0"/>
            <w:vAlign w:val="center"/>
          </w:tcPr>
          <w:p w14:paraId="5F3A839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7</w:t>
            </w:r>
          </w:p>
        </w:tc>
        <w:tc>
          <w:tcPr>
            <w:tcW w:w="2160" w:type="dxa"/>
            <w:noWrap w:val="0"/>
            <w:vAlign w:val="center"/>
          </w:tcPr>
          <w:p w14:paraId="2103E37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项目分包</w:t>
            </w:r>
          </w:p>
        </w:tc>
        <w:tc>
          <w:tcPr>
            <w:tcW w:w="6658" w:type="dxa"/>
            <w:noWrap w:val="0"/>
            <w:vAlign w:val="center"/>
          </w:tcPr>
          <w:p w14:paraId="7285C460">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val="zh-CN"/>
              </w:rPr>
              <w:t>个</w:t>
            </w:r>
          </w:p>
        </w:tc>
      </w:tr>
      <w:tr w14:paraId="39EB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exact"/>
          <w:jc w:val="center"/>
        </w:trPr>
        <w:tc>
          <w:tcPr>
            <w:tcW w:w="811" w:type="dxa"/>
            <w:noWrap w:val="0"/>
            <w:vAlign w:val="center"/>
          </w:tcPr>
          <w:p w14:paraId="68D8DDA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8</w:t>
            </w:r>
          </w:p>
        </w:tc>
        <w:tc>
          <w:tcPr>
            <w:tcW w:w="2160" w:type="dxa"/>
            <w:noWrap w:val="0"/>
            <w:vAlign w:val="center"/>
          </w:tcPr>
          <w:p w14:paraId="0D42420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采购方式</w:t>
            </w:r>
          </w:p>
        </w:tc>
        <w:tc>
          <w:tcPr>
            <w:tcW w:w="6658" w:type="dxa"/>
            <w:noWrap w:val="0"/>
            <w:vAlign w:val="center"/>
          </w:tcPr>
          <w:p w14:paraId="55075225">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公开招标</w:t>
            </w:r>
          </w:p>
        </w:tc>
      </w:tr>
      <w:tr w14:paraId="517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4" w:hRule="exact"/>
          <w:jc w:val="center"/>
        </w:trPr>
        <w:tc>
          <w:tcPr>
            <w:tcW w:w="811" w:type="dxa"/>
            <w:noWrap w:val="0"/>
            <w:vAlign w:val="center"/>
          </w:tcPr>
          <w:p w14:paraId="09A56C8B">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9</w:t>
            </w:r>
          </w:p>
        </w:tc>
        <w:tc>
          <w:tcPr>
            <w:tcW w:w="2160" w:type="dxa"/>
            <w:noWrap w:val="0"/>
            <w:vAlign w:val="center"/>
          </w:tcPr>
          <w:p w14:paraId="19078DFC">
            <w:pPr>
              <w:pStyle w:val="37"/>
              <w:keepNext w:val="0"/>
              <w:keepLines w:val="0"/>
              <w:pageBreakBefore w:val="0"/>
              <w:widowControl w:val="0"/>
              <w:kinsoku/>
              <w:wordWrap/>
              <w:overflowPunct/>
              <w:topLinePunct w:val="0"/>
              <w:bidi w:val="0"/>
              <w:snapToGrid/>
              <w:spacing w:line="480" w:lineRule="exact"/>
              <w:ind w:left="0" w:right="0" w:right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是否专门面向</w:t>
            </w:r>
            <w:r>
              <w:rPr>
                <w:rFonts w:hint="eastAsia" w:ascii="仿宋" w:hAnsi="仿宋" w:eastAsia="仿宋" w:cs="仿宋"/>
                <w:color w:val="auto"/>
                <w:sz w:val="22"/>
                <w:szCs w:val="22"/>
                <w:highlight w:val="none"/>
                <w:lang w:val="en-US" w:eastAsia="zh-CN"/>
              </w:rPr>
              <w:t>中小微</w:t>
            </w:r>
            <w:r>
              <w:rPr>
                <w:rFonts w:hint="eastAsia" w:ascii="仿宋" w:hAnsi="仿宋" w:eastAsia="仿宋" w:cs="仿宋"/>
                <w:color w:val="auto"/>
                <w:sz w:val="22"/>
                <w:szCs w:val="22"/>
                <w:highlight w:val="none"/>
                <w:lang w:val="zh-CN"/>
              </w:rPr>
              <w:t>企业采购</w:t>
            </w:r>
          </w:p>
        </w:tc>
        <w:tc>
          <w:tcPr>
            <w:tcW w:w="6658" w:type="dxa"/>
            <w:noWrap w:val="0"/>
            <w:vAlign w:val="center"/>
          </w:tcPr>
          <w:p w14:paraId="4B6F16E6">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sym w:font="Wingdings 2" w:char="0052"/>
            </w:r>
            <w:r>
              <w:rPr>
                <w:rFonts w:hint="eastAsia" w:ascii="仿宋" w:hAnsi="仿宋" w:eastAsia="仿宋" w:cs="仿宋"/>
                <w:color w:val="auto"/>
                <w:sz w:val="22"/>
                <w:szCs w:val="22"/>
                <w:highlight w:val="none"/>
                <w:lang w:val="zh-CN"/>
              </w:rPr>
              <w:t xml:space="preserve">否 </w:t>
            </w:r>
          </w:p>
          <w:p w14:paraId="078E816E">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right="0" w:rightChars="0"/>
              <w:jc w:val="both"/>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zh-CN"/>
              </w:rPr>
              <w:t>□是，非</w:t>
            </w:r>
            <w:r>
              <w:rPr>
                <w:rFonts w:hint="eastAsia" w:ascii="仿宋" w:hAnsi="仿宋" w:eastAsia="仿宋" w:cs="仿宋"/>
                <w:color w:val="auto"/>
                <w:sz w:val="22"/>
                <w:szCs w:val="22"/>
                <w:highlight w:val="none"/>
                <w:lang w:val="en-US" w:eastAsia="zh-CN"/>
              </w:rPr>
              <w:t>中</w:t>
            </w:r>
            <w:r>
              <w:rPr>
                <w:rFonts w:hint="eastAsia" w:ascii="仿宋" w:hAnsi="仿宋" w:eastAsia="仿宋" w:cs="仿宋"/>
                <w:color w:val="auto"/>
                <w:sz w:val="22"/>
                <w:szCs w:val="22"/>
                <w:highlight w:val="none"/>
                <w:lang w:val="zh-CN"/>
              </w:rPr>
              <w:t>小微企业、监狱企业或者残疾人福利性单位的投标人，其</w:t>
            </w:r>
            <w:r>
              <w:rPr>
                <w:rFonts w:hint="eastAsia" w:ascii="仿宋" w:hAnsi="仿宋" w:eastAsia="仿宋" w:cs="仿宋"/>
                <w:color w:val="auto"/>
                <w:sz w:val="22"/>
                <w:szCs w:val="22"/>
                <w:highlight w:val="none"/>
                <w:lang w:val="en-US" w:eastAsia="zh-CN"/>
              </w:rPr>
              <w:t>投标</w:t>
            </w:r>
            <w:r>
              <w:rPr>
                <w:rFonts w:hint="eastAsia" w:ascii="仿宋" w:hAnsi="仿宋" w:eastAsia="仿宋" w:cs="仿宋"/>
                <w:color w:val="auto"/>
                <w:sz w:val="22"/>
                <w:szCs w:val="22"/>
                <w:highlight w:val="none"/>
                <w:lang w:val="zh-CN"/>
              </w:rPr>
              <w:t>文件无效</w:t>
            </w:r>
          </w:p>
        </w:tc>
      </w:tr>
      <w:tr w14:paraId="5682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2" w:hRule="exact"/>
          <w:jc w:val="center"/>
        </w:trPr>
        <w:tc>
          <w:tcPr>
            <w:tcW w:w="811" w:type="dxa"/>
            <w:noWrap w:val="0"/>
            <w:vAlign w:val="center"/>
          </w:tcPr>
          <w:p w14:paraId="76C1A796">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10</w:t>
            </w:r>
          </w:p>
        </w:tc>
        <w:tc>
          <w:tcPr>
            <w:tcW w:w="2160" w:type="dxa"/>
            <w:noWrap w:val="0"/>
            <w:vAlign w:val="center"/>
          </w:tcPr>
          <w:p w14:paraId="1B8B6FD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采购内容</w:t>
            </w:r>
          </w:p>
        </w:tc>
        <w:tc>
          <w:tcPr>
            <w:tcW w:w="6658" w:type="dxa"/>
            <w:noWrap w:val="0"/>
            <w:vAlign w:val="center"/>
          </w:tcPr>
          <w:p w14:paraId="6334AF33">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eastAsia="zh-CN"/>
              </w:rPr>
              <w:t>采购班班通、课桌椅、实验室设备等，具体参数详见招标文件。</w:t>
            </w:r>
          </w:p>
        </w:tc>
      </w:tr>
      <w:tr w14:paraId="317F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811" w:type="dxa"/>
            <w:noWrap w:val="0"/>
            <w:vAlign w:val="center"/>
          </w:tcPr>
          <w:p w14:paraId="5DFADE3D">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11</w:t>
            </w:r>
          </w:p>
        </w:tc>
        <w:tc>
          <w:tcPr>
            <w:tcW w:w="2160" w:type="dxa"/>
            <w:noWrap w:val="0"/>
            <w:vAlign w:val="center"/>
          </w:tcPr>
          <w:p w14:paraId="1FF1FFC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en-US" w:eastAsia="zh-CN"/>
              </w:rPr>
              <w:t>合同履行期限</w:t>
            </w:r>
          </w:p>
        </w:tc>
        <w:tc>
          <w:tcPr>
            <w:tcW w:w="6658" w:type="dxa"/>
            <w:noWrap w:val="0"/>
            <w:vAlign w:val="center"/>
          </w:tcPr>
          <w:p w14:paraId="10D74271">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eastAsia="zh-CN"/>
              </w:rPr>
              <w:t>合同签订后20个工作日内安装交付完成。</w:t>
            </w:r>
          </w:p>
        </w:tc>
      </w:tr>
      <w:tr w14:paraId="0AE8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811" w:type="dxa"/>
            <w:noWrap w:val="0"/>
            <w:vAlign w:val="center"/>
          </w:tcPr>
          <w:p w14:paraId="6355AC3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12</w:t>
            </w:r>
          </w:p>
        </w:tc>
        <w:tc>
          <w:tcPr>
            <w:tcW w:w="2160" w:type="dxa"/>
            <w:noWrap w:val="0"/>
            <w:vAlign w:val="center"/>
          </w:tcPr>
          <w:p w14:paraId="1B42D88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交货地点</w:t>
            </w:r>
          </w:p>
        </w:tc>
        <w:tc>
          <w:tcPr>
            <w:tcW w:w="6658" w:type="dxa"/>
            <w:noWrap w:val="0"/>
            <w:vAlign w:val="center"/>
          </w:tcPr>
          <w:p w14:paraId="3A3A88B0">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采购人指定地点</w:t>
            </w:r>
          </w:p>
        </w:tc>
      </w:tr>
      <w:tr w14:paraId="433E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8" w:hRule="exact"/>
          <w:jc w:val="center"/>
        </w:trPr>
        <w:tc>
          <w:tcPr>
            <w:tcW w:w="811" w:type="dxa"/>
            <w:noWrap w:val="0"/>
            <w:vAlign w:val="center"/>
          </w:tcPr>
          <w:p w14:paraId="52D14D0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13</w:t>
            </w:r>
          </w:p>
        </w:tc>
        <w:tc>
          <w:tcPr>
            <w:tcW w:w="2160" w:type="dxa"/>
            <w:noWrap w:val="0"/>
            <w:vAlign w:val="center"/>
          </w:tcPr>
          <w:p w14:paraId="1A372B9E">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质量要求、验收标准</w:t>
            </w:r>
          </w:p>
        </w:tc>
        <w:tc>
          <w:tcPr>
            <w:tcW w:w="6658" w:type="dxa"/>
            <w:noWrap w:val="0"/>
            <w:vAlign w:val="center"/>
          </w:tcPr>
          <w:p w14:paraId="6C014467">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详见第四章</w:t>
            </w:r>
          </w:p>
        </w:tc>
      </w:tr>
      <w:tr w14:paraId="1F6C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811" w:type="dxa"/>
            <w:noWrap w:val="0"/>
            <w:vAlign w:val="center"/>
          </w:tcPr>
          <w:p w14:paraId="7ED4DB7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14</w:t>
            </w:r>
          </w:p>
        </w:tc>
        <w:tc>
          <w:tcPr>
            <w:tcW w:w="2160" w:type="dxa"/>
            <w:noWrap w:val="0"/>
            <w:vAlign w:val="center"/>
          </w:tcPr>
          <w:p w14:paraId="31599319">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是否采购进口产品</w:t>
            </w:r>
          </w:p>
        </w:tc>
        <w:tc>
          <w:tcPr>
            <w:tcW w:w="6658" w:type="dxa"/>
            <w:noWrap w:val="0"/>
            <w:vAlign w:val="center"/>
          </w:tcPr>
          <w:p w14:paraId="09F8A33D">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本项目拒绝进口产品参加</w:t>
            </w:r>
            <w:r>
              <w:rPr>
                <w:rFonts w:hint="eastAsia" w:ascii="仿宋" w:hAnsi="仿宋" w:eastAsia="仿宋" w:cs="仿宋"/>
                <w:color w:val="auto"/>
                <w:sz w:val="22"/>
                <w:szCs w:val="22"/>
                <w:highlight w:val="none"/>
                <w:lang w:val="en-US" w:eastAsia="zh-CN"/>
              </w:rPr>
              <w:t>投标</w:t>
            </w:r>
          </w:p>
        </w:tc>
      </w:tr>
      <w:tr w14:paraId="05C3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 w:hRule="atLeast"/>
          <w:jc w:val="center"/>
        </w:trPr>
        <w:tc>
          <w:tcPr>
            <w:tcW w:w="811" w:type="dxa"/>
            <w:noWrap w:val="0"/>
            <w:vAlign w:val="center"/>
          </w:tcPr>
          <w:p w14:paraId="441A3F9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15</w:t>
            </w:r>
          </w:p>
        </w:tc>
        <w:tc>
          <w:tcPr>
            <w:tcW w:w="2160" w:type="dxa"/>
            <w:noWrap w:val="0"/>
            <w:vAlign w:val="center"/>
          </w:tcPr>
          <w:p w14:paraId="7D5BBD3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联合体投标</w:t>
            </w:r>
          </w:p>
        </w:tc>
        <w:tc>
          <w:tcPr>
            <w:tcW w:w="6658" w:type="dxa"/>
            <w:noWrap w:val="0"/>
            <w:vAlign w:val="top"/>
          </w:tcPr>
          <w:p w14:paraId="50E4166A">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sym w:font="Wingdings 2" w:char="0052"/>
            </w:r>
            <w:r>
              <w:rPr>
                <w:rFonts w:hint="eastAsia" w:ascii="仿宋" w:hAnsi="仿宋" w:eastAsia="仿宋" w:cs="仿宋"/>
                <w:color w:val="auto"/>
                <w:sz w:val="22"/>
                <w:szCs w:val="22"/>
                <w:highlight w:val="none"/>
              </w:rPr>
              <w:t>不接受</w:t>
            </w:r>
          </w:p>
          <w:p w14:paraId="2A8D92CA">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□接受，详见投标人须知第3.3条款</w:t>
            </w:r>
          </w:p>
        </w:tc>
      </w:tr>
      <w:tr w14:paraId="2709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811" w:type="dxa"/>
            <w:noWrap w:val="0"/>
            <w:vAlign w:val="center"/>
          </w:tcPr>
          <w:p w14:paraId="48789CC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16</w:t>
            </w:r>
          </w:p>
        </w:tc>
        <w:tc>
          <w:tcPr>
            <w:tcW w:w="2160" w:type="dxa"/>
            <w:noWrap w:val="0"/>
            <w:vAlign w:val="center"/>
          </w:tcPr>
          <w:p w14:paraId="74A27E4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招标文件发售</w:t>
            </w:r>
          </w:p>
        </w:tc>
        <w:tc>
          <w:tcPr>
            <w:tcW w:w="6658" w:type="dxa"/>
            <w:noWrap w:val="0"/>
            <w:vAlign w:val="center"/>
          </w:tcPr>
          <w:p w14:paraId="62980AC7">
            <w:pPr>
              <w:keepNext w:val="0"/>
              <w:keepLines w:val="0"/>
              <w:pageBreakBefore w:val="0"/>
              <w:widowControl w:val="0"/>
              <w:kinsoku/>
              <w:wordWrap/>
              <w:overflowPunct/>
              <w:topLinePunct w:val="0"/>
              <w:autoSpaceDE/>
              <w:autoSpaceDN/>
              <w:bidi w:val="0"/>
              <w:adjustRightInd/>
              <w:snapToGrid/>
              <w:spacing w:beforeAutospacing="0" w:afterAutospacing="0" w:line="480" w:lineRule="exact"/>
              <w:textAlignment w:val="auto"/>
              <w:rPr>
                <w:rFonts w:hint="eastAsia" w:ascii="仿宋" w:hAnsi="仿宋" w:eastAsia="仿宋" w:cs="仿宋"/>
                <w:color w:val="auto"/>
                <w:kern w:val="0"/>
                <w:sz w:val="22"/>
                <w:szCs w:val="22"/>
                <w:highlight w:val="none"/>
                <w:lang w:val="zh-CN" w:eastAsia="zh-CN" w:bidi="ar-SA"/>
              </w:rPr>
            </w:pPr>
            <w:r>
              <w:rPr>
                <w:rFonts w:hint="eastAsia" w:ascii="仿宋" w:hAnsi="仿宋" w:eastAsia="仿宋" w:cs="仿宋"/>
                <w:color w:val="auto"/>
                <w:kern w:val="0"/>
                <w:sz w:val="22"/>
                <w:szCs w:val="22"/>
                <w:highlight w:val="none"/>
                <w:lang w:val="zh-CN" w:eastAsia="zh-CN" w:bidi="ar-SA"/>
              </w:rPr>
              <w:t>时间：</w:t>
            </w:r>
            <w:r>
              <w:rPr>
                <w:rFonts w:hint="eastAsia" w:ascii="仿宋" w:hAnsi="仿宋" w:eastAsia="仿宋" w:cs="仿宋"/>
                <w:i w:val="0"/>
                <w:iCs w:val="0"/>
                <w:color w:val="auto"/>
                <w:sz w:val="22"/>
                <w:szCs w:val="22"/>
                <w:highlight w:val="none"/>
                <w:u w:val="single"/>
                <w:lang w:val="en-US" w:eastAsia="zh-CN"/>
              </w:rPr>
              <w:t>2026</w:t>
            </w:r>
            <w:r>
              <w:rPr>
                <w:rFonts w:hint="eastAsia" w:ascii="仿宋" w:hAnsi="仿宋" w:eastAsia="仿宋" w:cs="仿宋"/>
                <w:i w:val="0"/>
                <w:iCs w:val="0"/>
                <w:color w:val="auto"/>
                <w:sz w:val="22"/>
                <w:szCs w:val="22"/>
                <w:highlight w:val="none"/>
                <w:u w:val="single"/>
              </w:rPr>
              <w:t>年</w:t>
            </w:r>
            <w:r>
              <w:rPr>
                <w:rFonts w:hint="eastAsia" w:ascii="仿宋" w:hAnsi="仿宋" w:eastAsia="仿宋" w:cs="仿宋"/>
                <w:i w:val="0"/>
                <w:iCs w:val="0"/>
                <w:color w:val="auto"/>
                <w:sz w:val="22"/>
                <w:szCs w:val="22"/>
                <w:highlight w:val="none"/>
                <w:u w:val="single"/>
                <w:lang w:val="en-US" w:eastAsia="zh-CN"/>
              </w:rPr>
              <w:t>06</w:t>
            </w:r>
            <w:r>
              <w:rPr>
                <w:rFonts w:hint="eastAsia" w:ascii="仿宋" w:hAnsi="仿宋" w:eastAsia="仿宋" w:cs="仿宋"/>
                <w:i w:val="0"/>
                <w:iCs w:val="0"/>
                <w:color w:val="auto"/>
                <w:sz w:val="22"/>
                <w:szCs w:val="22"/>
                <w:highlight w:val="none"/>
                <w:u w:val="single"/>
              </w:rPr>
              <w:t>月</w:t>
            </w:r>
            <w:r>
              <w:rPr>
                <w:rFonts w:hint="eastAsia" w:ascii="仿宋" w:hAnsi="仿宋" w:eastAsia="仿宋" w:cs="仿宋"/>
                <w:i w:val="0"/>
                <w:iCs w:val="0"/>
                <w:color w:val="auto"/>
                <w:sz w:val="22"/>
                <w:szCs w:val="22"/>
                <w:highlight w:val="none"/>
                <w:u w:val="single"/>
                <w:lang w:val="en-US" w:eastAsia="zh-CN"/>
              </w:rPr>
              <w:t>22</w:t>
            </w:r>
            <w:r>
              <w:rPr>
                <w:rFonts w:hint="eastAsia" w:ascii="仿宋" w:hAnsi="仿宋" w:eastAsia="仿宋" w:cs="仿宋"/>
                <w:i w:val="0"/>
                <w:iCs w:val="0"/>
                <w:color w:val="auto"/>
                <w:sz w:val="22"/>
                <w:szCs w:val="22"/>
                <w:highlight w:val="none"/>
                <w:u w:val="single"/>
              </w:rPr>
              <w:t>日</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2026</w:t>
            </w:r>
            <w:r>
              <w:rPr>
                <w:rFonts w:hint="eastAsia" w:ascii="仿宋" w:hAnsi="仿宋" w:eastAsia="仿宋" w:cs="仿宋"/>
                <w:i w:val="0"/>
                <w:iCs w:val="0"/>
                <w:color w:val="auto"/>
                <w:sz w:val="22"/>
                <w:szCs w:val="22"/>
                <w:highlight w:val="none"/>
                <w:u w:val="single"/>
              </w:rPr>
              <w:t>年</w:t>
            </w:r>
            <w:r>
              <w:rPr>
                <w:rFonts w:hint="eastAsia" w:ascii="仿宋" w:hAnsi="仿宋" w:eastAsia="仿宋" w:cs="仿宋"/>
                <w:i w:val="0"/>
                <w:iCs w:val="0"/>
                <w:color w:val="auto"/>
                <w:sz w:val="22"/>
                <w:szCs w:val="22"/>
                <w:highlight w:val="none"/>
                <w:u w:val="single"/>
                <w:lang w:val="en-US" w:eastAsia="zh-CN"/>
              </w:rPr>
              <w:t>06</w:t>
            </w:r>
            <w:r>
              <w:rPr>
                <w:rFonts w:hint="eastAsia" w:ascii="仿宋" w:hAnsi="仿宋" w:eastAsia="仿宋" w:cs="仿宋"/>
                <w:i w:val="0"/>
                <w:iCs w:val="0"/>
                <w:color w:val="auto"/>
                <w:sz w:val="22"/>
                <w:szCs w:val="22"/>
                <w:highlight w:val="none"/>
                <w:u w:val="single"/>
              </w:rPr>
              <w:t>月</w:t>
            </w:r>
            <w:r>
              <w:rPr>
                <w:rFonts w:hint="eastAsia" w:ascii="仿宋" w:hAnsi="仿宋" w:eastAsia="仿宋" w:cs="仿宋"/>
                <w:i w:val="0"/>
                <w:iCs w:val="0"/>
                <w:color w:val="auto"/>
                <w:sz w:val="22"/>
                <w:szCs w:val="22"/>
                <w:highlight w:val="none"/>
                <w:u w:val="single"/>
                <w:lang w:val="en-US" w:eastAsia="zh-CN"/>
              </w:rPr>
              <w:t>29</w:t>
            </w:r>
            <w:r>
              <w:rPr>
                <w:rFonts w:hint="eastAsia" w:ascii="仿宋" w:hAnsi="仿宋" w:eastAsia="仿宋" w:cs="仿宋"/>
                <w:i w:val="0"/>
                <w:iCs w:val="0"/>
                <w:color w:val="auto"/>
                <w:sz w:val="22"/>
                <w:szCs w:val="22"/>
                <w:highlight w:val="none"/>
                <w:u w:val="single"/>
              </w:rPr>
              <w:t>日</w:t>
            </w:r>
            <w:r>
              <w:rPr>
                <w:rFonts w:hint="eastAsia" w:ascii="仿宋" w:hAnsi="仿宋" w:eastAsia="仿宋" w:cs="仿宋"/>
                <w:i w:val="0"/>
                <w:iCs w:val="0"/>
                <w:color w:val="auto"/>
                <w:sz w:val="22"/>
                <w:szCs w:val="22"/>
                <w:highlight w:val="none"/>
              </w:rPr>
              <w:t>，每天上午</w:t>
            </w:r>
            <w:r>
              <w:rPr>
                <w:rFonts w:hint="eastAsia" w:ascii="仿宋" w:hAnsi="仿宋" w:eastAsia="仿宋" w:cs="仿宋"/>
                <w:i w:val="0"/>
                <w:iCs w:val="0"/>
                <w:color w:val="auto"/>
                <w:sz w:val="22"/>
                <w:szCs w:val="22"/>
                <w:highlight w:val="none"/>
                <w:u w:val="single"/>
                <w:lang w:val="en-US" w:eastAsia="zh-CN"/>
              </w:rPr>
              <w:t>00:00</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14:00</w:t>
            </w:r>
            <w:r>
              <w:rPr>
                <w:rFonts w:hint="eastAsia" w:ascii="仿宋" w:hAnsi="仿宋" w:eastAsia="仿宋" w:cs="仿宋"/>
                <w:i w:val="0"/>
                <w:iCs w:val="0"/>
                <w:color w:val="auto"/>
                <w:sz w:val="22"/>
                <w:szCs w:val="22"/>
                <w:highlight w:val="none"/>
              </w:rPr>
              <w:t>，下午</w:t>
            </w:r>
            <w:r>
              <w:rPr>
                <w:rFonts w:hint="eastAsia" w:ascii="仿宋" w:hAnsi="仿宋" w:eastAsia="仿宋" w:cs="仿宋"/>
                <w:i w:val="0"/>
                <w:iCs w:val="0"/>
                <w:color w:val="auto"/>
                <w:sz w:val="22"/>
                <w:szCs w:val="22"/>
                <w:highlight w:val="none"/>
                <w:u w:val="single"/>
                <w:lang w:val="en-US" w:eastAsia="zh-CN"/>
              </w:rPr>
              <w:t>14:00</w:t>
            </w:r>
            <w:r>
              <w:rPr>
                <w:rFonts w:hint="eastAsia" w:ascii="仿宋" w:hAnsi="仿宋" w:eastAsia="仿宋" w:cs="仿宋"/>
                <w:i w:val="0"/>
                <w:iCs w:val="0"/>
                <w:color w:val="auto"/>
                <w:sz w:val="22"/>
                <w:szCs w:val="22"/>
                <w:highlight w:val="none"/>
              </w:rPr>
              <w:t>至</w:t>
            </w:r>
            <w:r>
              <w:rPr>
                <w:rFonts w:hint="eastAsia" w:ascii="仿宋" w:hAnsi="仿宋" w:eastAsia="仿宋" w:cs="仿宋"/>
                <w:i w:val="0"/>
                <w:iCs w:val="0"/>
                <w:color w:val="auto"/>
                <w:sz w:val="22"/>
                <w:szCs w:val="22"/>
                <w:highlight w:val="none"/>
                <w:u w:val="single"/>
                <w:lang w:val="en-US" w:eastAsia="zh-CN"/>
              </w:rPr>
              <w:t>23:59</w:t>
            </w:r>
            <w:r>
              <w:rPr>
                <w:rFonts w:hint="eastAsia" w:ascii="仿宋" w:hAnsi="仿宋" w:eastAsia="仿宋" w:cs="仿宋"/>
                <w:i w:val="0"/>
                <w:iCs w:val="0"/>
                <w:color w:val="auto"/>
                <w:sz w:val="22"/>
                <w:szCs w:val="22"/>
                <w:highlight w:val="none"/>
              </w:rPr>
              <w:t>（北京时间，法定节假日除外）</w:t>
            </w:r>
          </w:p>
          <w:p w14:paraId="787DD9B8">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rightChars="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zh-CN" w:eastAsia="zh-CN" w:bidi="ar-SA"/>
              </w:rPr>
              <w:t>地点：政采云平台线上</w:t>
            </w:r>
          </w:p>
        </w:tc>
      </w:tr>
      <w:tr w14:paraId="147B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811" w:type="dxa"/>
            <w:noWrap w:val="0"/>
            <w:vAlign w:val="center"/>
          </w:tcPr>
          <w:p w14:paraId="78042D2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17</w:t>
            </w:r>
          </w:p>
        </w:tc>
        <w:tc>
          <w:tcPr>
            <w:tcW w:w="2160" w:type="dxa"/>
            <w:noWrap w:val="0"/>
            <w:vAlign w:val="center"/>
          </w:tcPr>
          <w:p w14:paraId="2F300DBE">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考察现场、标前答疑会</w:t>
            </w:r>
          </w:p>
        </w:tc>
        <w:tc>
          <w:tcPr>
            <w:tcW w:w="6658" w:type="dxa"/>
            <w:noWrap w:val="0"/>
            <w:vAlign w:val="center"/>
          </w:tcPr>
          <w:p w14:paraId="125A2E4B">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sym w:font="Wingdings 2" w:char="0052"/>
            </w:r>
            <w:r>
              <w:rPr>
                <w:rFonts w:hint="eastAsia" w:ascii="仿宋" w:hAnsi="仿宋" w:eastAsia="仿宋" w:cs="仿宋"/>
                <w:color w:val="auto"/>
                <w:sz w:val="22"/>
                <w:szCs w:val="22"/>
                <w:highlight w:val="none"/>
                <w:lang w:val="zh-CN"/>
              </w:rPr>
              <w:t>不组织</w:t>
            </w:r>
          </w:p>
          <w:p w14:paraId="392C96D1">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□组织，时间、地点另行书面通知</w:t>
            </w:r>
          </w:p>
        </w:tc>
      </w:tr>
      <w:tr w14:paraId="52EB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jc w:val="center"/>
        </w:trPr>
        <w:tc>
          <w:tcPr>
            <w:tcW w:w="811" w:type="dxa"/>
            <w:noWrap w:val="0"/>
            <w:vAlign w:val="center"/>
          </w:tcPr>
          <w:p w14:paraId="2E5A984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18</w:t>
            </w:r>
          </w:p>
        </w:tc>
        <w:tc>
          <w:tcPr>
            <w:tcW w:w="2160" w:type="dxa"/>
            <w:noWrap w:val="0"/>
            <w:vAlign w:val="center"/>
          </w:tcPr>
          <w:p w14:paraId="481CAF5D">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转包与分包履约</w:t>
            </w:r>
          </w:p>
        </w:tc>
        <w:tc>
          <w:tcPr>
            <w:tcW w:w="6658" w:type="dxa"/>
            <w:noWrap w:val="0"/>
            <w:vAlign w:val="center"/>
          </w:tcPr>
          <w:p w14:paraId="1142E91F">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不得转包。不允许分包。</w:t>
            </w:r>
          </w:p>
        </w:tc>
      </w:tr>
      <w:tr w14:paraId="7D81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jc w:val="center"/>
        </w:trPr>
        <w:tc>
          <w:tcPr>
            <w:tcW w:w="811" w:type="dxa"/>
            <w:noWrap w:val="0"/>
            <w:vAlign w:val="center"/>
          </w:tcPr>
          <w:p w14:paraId="2E894BA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19</w:t>
            </w:r>
          </w:p>
        </w:tc>
        <w:tc>
          <w:tcPr>
            <w:tcW w:w="2160" w:type="dxa"/>
            <w:noWrap w:val="0"/>
            <w:vAlign w:val="center"/>
          </w:tcPr>
          <w:p w14:paraId="5BEF7156">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付款方式</w:t>
            </w:r>
          </w:p>
        </w:tc>
        <w:tc>
          <w:tcPr>
            <w:tcW w:w="6658" w:type="dxa"/>
            <w:noWrap w:val="0"/>
            <w:vAlign w:val="center"/>
          </w:tcPr>
          <w:p w14:paraId="4A2F6FD7">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eastAsia="zh-CN"/>
              </w:rPr>
              <w:t>设备到货并安装完成后付70%，验收完成后付到97%，运行一年后设备正常付到100%</w:t>
            </w:r>
            <w:r>
              <w:rPr>
                <w:rFonts w:hint="eastAsia" w:ascii="仿宋" w:hAnsi="仿宋" w:eastAsia="仿宋" w:cs="仿宋"/>
                <w:color w:val="auto"/>
                <w:sz w:val="22"/>
                <w:szCs w:val="22"/>
                <w:highlight w:val="none"/>
                <w:lang w:val="zh-CN"/>
              </w:rPr>
              <w:t>。（具体与甲方签订为准）</w:t>
            </w:r>
          </w:p>
        </w:tc>
      </w:tr>
      <w:tr w14:paraId="124D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811" w:type="dxa"/>
            <w:noWrap w:val="0"/>
            <w:vAlign w:val="center"/>
          </w:tcPr>
          <w:p w14:paraId="2DF5066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20</w:t>
            </w:r>
          </w:p>
        </w:tc>
        <w:tc>
          <w:tcPr>
            <w:tcW w:w="2160" w:type="dxa"/>
            <w:noWrap w:val="0"/>
            <w:vAlign w:val="center"/>
          </w:tcPr>
          <w:p w14:paraId="062622F8">
            <w:pPr>
              <w:pStyle w:val="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招标文件澄清</w:t>
            </w:r>
          </w:p>
          <w:p w14:paraId="169855C6">
            <w:pPr>
              <w:pStyle w:val="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rPr>
              <w:t>或修改时间、形式</w:t>
            </w:r>
          </w:p>
        </w:tc>
        <w:tc>
          <w:tcPr>
            <w:tcW w:w="6658" w:type="dxa"/>
            <w:noWrap w:val="0"/>
            <w:vAlign w:val="center"/>
          </w:tcPr>
          <w:p w14:paraId="1FC3A896">
            <w:pPr>
              <w:pStyle w:val="7"/>
              <w:keepNext w:val="0"/>
              <w:keepLines w:val="0"/>
              <w:pageBreakBefore w:val="0"/>
              <w:kinsoku/>
              <w:wordWrap/>
              <w:overflowPunct/>
              <w:topLinePunct w:val="0"/>
              <w:bidi w:val="0"/>
              <w:snapToGrid/>
              <w:spacing w:line="480" w:lineRule="exact"/>
              <w:ind w:left="0" w:leftChars="0" w:right="0" w:rightChars="0" w:firstLine="0" w:firstLine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时间：</w:t>
            </w:r>
            <w:r>
              <w:rPr>
                <w:rFonts w:hint="eastAsia" w:ascii="仿宋" w:hAnsi="仿宋" w:eastAsia="仿宋" w:cs="仿宋"/>
                <w:color w:val="auto"/>
                <w:sz w:val="22"/>
                <w:szCs w:val="22"/>
                <w:highlight w:val="none"/>
              </w:rPr>
              <w:t>递交投标文件</w:t>
            </w:r>
            <w:r>
              <w:rPr>
                <w:rFonts w:hint="eastAsia" w:ascii="仿宋" w:hAnsi="仿宋" w:eastAsia="仿宋" w:cs="仿宋"/>
                <w:color w:val="auto"/>
                <w:sz w:val="22"/>
                <w:szCs w:val="22"/>
                <w:highlight w:val="none"/>
                <w:lang w:eastAsia="zh-CN"/>
              </w:rPr>
              <w:t>截止</w:t>
            </w:r>
            <w:r>
              <w:rPr>
                <w:rFonts w:hint="eastAsia" w:ascii="仿宋" w:hAnsi="仿宋" w:eastAsia="仿宋" w:cs="仿宋"/>
                <w:color w:val="auto"/>
                <w:sz w:val="22"/>
                <w:szCs w:val="22"/>
                <w:highlight w:val="none"/>
              </w:rPr>
              <w:t>时间15日前</w:t>
            </w:r>
          </w:p>
          <w:p w14:paraId="326F373A">
            <w:pPr>
              <w:pStyle w:val="7"/>
              <w:keepNext w:val="0"/>
              <w:keepLines w:val="0"/>
              <w:pageBreakBefore w:val="0"/>
              <w:kinsoku/>
              <w:wordWrap/>
              <w:overflowPunct/>
              <w:topLinePunct w:val="0"/>
              <w:bidi w:val="0"/>
              <w:snapToGrid/>
              <w:spacing w:line="480" w:lineRule="exact"/>
              <w:ind w:left="0" w:leftChars="0" w:right="0" w:rightChars="0" w:firstLine="0" w:firstLine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rPr>
              <w:t>形式：</w:t>
            </w:r>
            <w:r>
              <w:rPr>
                <w:rFonts w:hint="eastAsia" w:ascii="仿宋" w:hAnsi="仿宋" w:eastAsia="仿宋" w:cs="仿宋"/>
                <w:color w:val="auto"/>
                <w:sz w:val="22"/>
                <w:szCs w:val="22"/>
                <w:highlight w:val="none"/>
                <w:lang w:eastAsia="zh-CN"/>
              </w:rPr>
              <w:t>政采云平</w:t>
            </w:r>
            <w:r>
              <w:rPr>
                <w:rFonts w:hint="eastAsia" w:ascii="仿宋" w:hAnsi="仿宋" w:eastAsia="仿宋" w:cs="仿宋"/>
                <w:color w:val="auto"/>
                <w:sz w:val="22"/>
                <w:szCs w:val="22"/>
                <w:highlight w:val="none"/>
                <w:lang w:val="en-US" w:eastAsia="zh-CN"/>
              </w:rPr>
              <w:t>台发布更正澄清公告</w:t>
            </w:r>
          </w:p>
        </w:tc>
      </w:tr>
      <w:tr w14:paraId="4D42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811" w:type="dxa"/>
            <w:noWrap w:val="0"/>
            <w:vAlign w:val="center"/>
          </w:tcPr>
          <w:p w14:paraId="55A02EC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21</w:t>
            </w:r>
          </w:p>
        </w:tc>
        <w:tc>
          <w:tcPr>
            <w:tcW w:w="2160" w:type="dxa"/>
            <w:noWrap w:val="0"/>
            <w:vAlign w:val="center"/>
          </w:tcPr>
          <w:p w14:paraId="2E2FE7BE">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构成招标文件的</w:t>
            </w:r>
          </w:p>
          <w:p w14:paraId="2B5E4526">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其他文件</w:t>
            </w:r>
          </w:p>
        </w:tc>
        <w:tc>
          <w:tcPr>
            <w:tcW w:w="6658" w:type="dxa"/>
            <w:noWrap w:val="0"/>
            <w:vAlign w:val="center"/>
          </w:tcPr>
          <w:p w14:paraId="04DB4C6D">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right="0" w:rightChars="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zh-CN"/>
              </w:rPr>
              <w:t>招标文件的澄清</w:t>
            </w:r>
            <w:r>
              <w:rPr>
                <w:rFonts w:hint="eastAsia" w:ascii="仿宋" w:hAnsi="仿宋" w:eastAsia="仿宋" w:cs="仿宋"/>
                <w:color w:val="auto"/>
                <w:sz w:val="22"/>
                <w:szCs w:val="22"/>
                <w:highlight w:val="none"/>
              </w:rPr>
              <w:t>、修改书及有关补充通知为招标文件的有效组成部分</w:t>
            </w:r>
          </w:p>
        </w:tc>
      </w:tr>
      <w:tr w14:paraId="41C0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5" w:hRule="atLeast"/>
          <w:jc w:val="center"/>
        </w:trPr>
        <w:tc>
          <w:tcPr>
            <w:tcW w:w="811" w:type="dxa"/>
            <w:noWrap w:val="0"/>
            <w:vAlign w:val="center"/>
          </w:tcPr>
          <w:p w14:paraId="4524EA6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22</w:t>
            </w:r>
          </w:p>
        </w:tc>
        <w:tc>
          <w:tcPr>
            <w:tcW w:w="2160" w:type="dxa"/>
            <w:noWrap w:val="0"/>
            <w:vAlign w:val="center"/>
          </w:tcPr>
          <w:p w14:paraId="7B1FC0C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投标人对招标文件</w:t>
            </w:r>
          </w:p>
          <w:p w14:paraId="227520F8">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提出质疑的时间、形式</w:t>
            </w:r>
          </w:p>
        </w:tc>
        <w:tc>
          <w:tcPr>
            <w:tcW w:w="6658" w:type="dxa"/>
            <w:noWrap w:val="0"/>
            <w:vAlign w:val="center"/>
          </w:tcPr>
          <w:p w14:paraId="2D72497F">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时间：自投标人收到招标文件之日起7个工作日内，超过期限的采购人或采购代理机构不再受理；</w:t>
            </w:r>
          </w:p>
          <w:p w14:paraId="5A14DE43">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形式：书面形式</w:t>
            </w:r>
          </w:p>
        </w:tc>
      </w:tr>
      <w:tr w14:paraId="5F16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3" w:hRule="exact"/>
          <w:jc w:val="center"/>
        </w:trPr>
        <w:tc>
          <w:tcPr>
            <w:tcW w:w="811" w:type="dxa"/>
            <w:noWrap w:val="0"/>
            <w:vAlign w:val="center"/>
          </w:tcPr>
          <w:p w14:paraId="2BCE3D28">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23</w:t>
            </w:r>
          </w:p>
        </w:tc>
        <w:tc>
          <w:tcPr>
            <w:tcW w:w="2160" w:type="dxa"/>
            <w:noWrap w:val="0"/>
            <w:vAlign w:val="center"/>
          </w:tcPr>
          <w:p w14:paraId="17E4BF3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对投标人提出质疑</w:t>
            </w:r>
          </w:p>
          <w:p w14:paraId="251281B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答复时间、形式</w:t>
            </w:r>
          </w:p>
        </w:tc>
        <w:tc>
          <w:tcPr>
            <w:tcW w:w="6658" w:type="dxa"/>
            <w:noWrap w:val="0"/>
            <w:vAlign w:val="center"/>
          </w:tcPr>
          <w:p w14:paraId="1C6D6CB9">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时间：自收到投标人质疑函之日起7个工作日内</w:t>
            </w:r>
          </w:p>
          <w:p w14:paraId="2670C8DA">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形式：书面形式</w:t>
            </w:r>
          </w:p>
        </w:tc>
      </w:tr>
      <w:tr w14:paraId="1362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exact"/>
          <w:jc w:val="center"/>
        </w:trPr>
        <w:tc>
          <w:tcPr>
            <w:tcW w:w="811" w:type="dxa"/>
            <w:noWrap w:val="0"/>
            <w:vAlign w:val="center"/>
          </w:tcPr>
          <w:p w14:paraId="03BA41C7">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24</w:t>
            </w:r>
          </w:p>
        </w:tc>
        <w:tc>
          <w:tcPr>
            <w:tcW w:w="2160" w:type="dxa"/>
            <w:noWrap w:val="0"/>
            <w:vAlign w:val="center"/>
          </w:tcPr>
          <w:p w14:paraId="353E3B9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投标有效期</w:t>
            </w:r>
          </w:p>
        </w:tc>
        <w:tc>
          <w:tcPr>
            <w:tcW w:w="6658" w:type="dxa"/>
            <w:noWrap w:val="0"/>
            <w:vAlign w:val="center"/>
          </w:tcPr>
          <w:p w14:paraId="71C15792">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从投标截止日起90</w:t>
            </w:r>
            <w:r>
              <w:rPr>
                <w:rFonts w:hint="eastAsia" w:ascii="仿宋" w:hAnsi="仿宋" w:eastAsia="仿宋" w:cs="仿宋"/>
                <w:color w:val="auto"/>
                <w:sz w:val="22"/>
                <w:szCs w:val="22"/>
                <w:highlight w:val="none"/>
              </w:rPr>
              <w:t>日历</w:t>
            </w:r>
            <w:r>
              <w:rPr>
                <w:rFonts w:hint="eastAsia" w:ascii="仿宋" w:hAnsi="仿宋" w:eastAsia="仿宋" w:cs="仿宋"/>
                <w:color w:val="auto"/>
                <w:sz w:val="22"/>
                <w:szCs w:val="22"/>
                <w:highlight w:val="none"/>
                <w:lang w:val="zh-CN"/>
              </w:rPr>
              <w:t>日</w:t>
            </w:r>
          </w:p>
        </w:tc>
      </w:tr>
      <w:tr w14:paraId="2725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2" w:hRule="exact"/>
          <w:jc w:val="center"/>
        </w:trPr>
        <w:tc>
          <w:tcPr>
            <w:tcW w:w="811" w:type="dxa"/>
            <w:noWrap w:val="0"/>
            <w:vAlign w:val="center"/>
          </w:tcPr>
          <w:p w14:paraId="4F528D93">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25</w:t>
            </w:r>
          </w:p>
        </w:tc>
        <w:tc>
          <w:tcPr>
            <w:tcW w:w="2160" w:type="dxa"/>
            <w:noWrap w:val="0"/>
            <w:vAlign w:val="center"/>
          </w:tcPr>
          <w:p w14:paraId="1EE169A3">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是否允许递交多个</w:t>
            </w:r>
          </w:p>
          <w:p w14:paraId="7698A81E">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备选投标方案</w:t>
            </w:r>
          </w:p>
        </w:tc>
        <w:tc>
          <w:tcPr>
            <w:tcW w:w="6658" w:type="dxa"/>
            <w:noWrap w:val="0"/>
            <w:vAlign w:val="center"/>
          </w:tcPr>
          <w:p w14:paraId="084AD4AE">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不允许</w:t>
            </w:r>
          </w:p>
        </w:tc>
      </w:tr>
      <w:tr w14:paraId="605F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9" w:hRule="atLeast"/>
          <w:jc w:val="center"/>
        </w:trPr>
        <w:tc>
          <w:tcPr>
            <w:tcW w:w="811" w:type="dxa"/>
            <w:noWrap w:val="0"/>
            <w:vAlign w:val="center"/>
          </w:tcPr>
          <w:p w14:paraId="1AD61B1A">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26</w:t>
            </w:r>
          </w:p>
        </w:tc>
        <w:tc>
          <w:tcPr>
            <w:tcW w:w="2160" w:type="dxa"/>
            <w:noWrap w:val="0"/>
            <w:vAlign w:val="center"/>
          </w:tcPr>
          <w:p w14:paraId="391AAD2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投标保证金</w:t>
            </w:r>
          </w:p>
        </w:tc>
        <w:tc>
          <w:tcPr>
            <w:tcW w:w="6658" w:type="dxa"/>
            <w:noWrap w:val="0"/>
            <w:vAlign w:val="center"/>
          </w:tcPr>
          <w:p w14:paraId="3FE4DEF2">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是否</w:t>
            </w:r>
            <w:r>
              <w:rPr>
                <w:rFonts w:hint="eastAsia" w:ascii="仿宋" w:hAnsi="仿宋" w:eastAsia="仿宋" w:cs="仿宋"/>
                <w:color w:val="auto"/>
                <w:sz w:val="22"/>
                <w:szCs w:val="22"/>
                <w:highlight w:val="none"/>
                <w:lang w:val="en-US" w:eastAsia="zh-CN"/>
              </w:rPr>
              <w:t>要求投标人递交投标保证金：要求</w:t>
            </w:r>
          </w:p>
          <w:p w14:paraId="47D6ED13">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保证金数额（按照预算金额2%以内的整数计算）：100000元</w:t>
            </w:r>
          </w:p>
          <w:p w14:paraId="5C91210C">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交款方式：以支票、汇票、本票或者金融机构、担保机构出具的保函等非现金形式提交。（推广电子保函）</w:t>
            </w:r>
          </w:p>
          <w:p w14:paraId="4A053818">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户    名：新疆万启工程项目管理有限公司</w:t>
            </w:r>
          </w:p>
          <w:p w14:paraId="5496D878">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开 户 行：中国农业银行股份有限公司伊宁东城支行  </w:t>
            </w:r>
          </w:p>
          <w:p w14:paraId="5E8F5BD0">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银行账号：301 012 010 400 071 81</w:t>
            </w:r>
          </w:p>
          <w:p w14:paraId="5FEE0400">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行号:103 898 010 123</w:t>
            </w:r>
          </w:p>
          <w:p w14:paraId="49B18828">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在递交的投标保证金转账单附注说明中写清：项目名称（有标段号的需注明标段号），投标保证金递交截止时间：同提交响应文件截止时间（以银行到账时间为准），逾期未交或逾期到账视为放弃投标。</w:t>
            </w:r>
          </w:p>
          <w:p w14:paraId="2FA71275">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新疆政府采购电子保函操作流程：登录新疆政府采购网,进入“政采贷/电子保函”模块，即可在线完成电子保函的申请。若有任何问题，可以联系政采云金融服务专属客服，电话：95763。</w:t>
            </w:r>
          </w:p>
          <w:p w14:paraId="2931F0F7">
            <w:pPr>
              <w:keepNext w:val="0"/>
              <w:keepLines w:val="0"/>
              <w:pageBreakBefore w:val="0"/>
              <w:widowControl/>
              <w:kinsoku/>
              <w:wordWrap/>
              <w:overflowPunct/>
              <w:topLinePunct w:val="0"/>
              <w:bidi w:val="0"/>
              <w:snapToGrid/>
              <w:spacing w:line="480" w:lineRule="exact"/>
              <w:ind w:left="0" w:right="0" w:rightChars="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潜在供应商可以自主选择以上任一种递交方式提交保证金。</w:t>
            </w:r>
          </w:p>
        </w:tc>
      </w:tr>
      <w:tr w14:paraId="1D2B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3" w:hRule="exact"/>
          <w:jc w:val="center"/>
        </w:trPr>
        <w:tc>
          <w:tcPr>
            <w:tcW w:w="811" w:type="dxa"/>
            <w:noWrap w:val="0"/>
            <w:vAlign w:val="center"/>
          </w:tcPr>
          <w:p w14:paraId="45A6A9C8">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27</w:t>
            </w:r>
          </w:p>
        </w:tc>
        <w:tc>
          <w:tcPr>
            <w:tcW w:w="2160" w:type="dxa"/>
            <w:noWrap w:val="0"/>
            <w:vAlign w:val="center"/>
          </w:tcPr>
          <w:p w14:paraId="575600C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不予退还投标</w:t>
            </w:r>
          </w:p>
          <w:p w14:paraId="42AB323D">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保证金的情形</w:t>
            </w:r>
          </w:p>
        </w:tc>
        <w:tc>
          <w:tcPr>
            <w:tcW w:w="6658" w:type="dxa"/>
            <w:noWrap w:val="0"/>
            <w:vAlign w:val="center"/>
          </w:tcPr>
          <w:p w14:paraId="6215B83A">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详见</w:t>
            </w:r>
            <w:r>
              <w:rPr>
                <w:rFonts w:hint="eastAsia" w:ascii="仿宋" w:hAnsi="仿宋" w:eastAsia="仿宋" w:cs="仿宋"/>
                <w:color w:val="auto"/>
                <w:sz w:val="22"/>
                <w:szCs w:val="22"/>
                <w:highlight w:val="none"/>
              </w:rPr>
              <w:t>投标人须知第4.5.2.2条款</w:t>
            </w:r>
          </w:p>
        </w:tc>
      </w:tr>
      <w:tr w14:paraId="5681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9" w:hRule="exact"/>
          <w:jc w:val="center"/>
        </w:trPr>
        <w:tc>
          <w:tcPr>
            <w:tcW w:w="811" w:type="dxa"/>
            <w:noWrap w:val="0"/>
            <w:vAlign w:val="center"/>
          </w:tcPr>
          <w:p w14:paraId="3718562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28</w:t>
            </w:r>
          </w:p>
        </w:tc>
        <w:tc>
          <w:tcPr>
            <w:tcW w:w="2160" w:type="dxa"/>
            <w:noWrap w:val="0"/>
            <w:vAlign w:val="center"/>
          </w:tcPr>
          <w:p w14:paraId="5533866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解密响应文件现场</w:t>
            </w:r>
          </w:p>
          <w:p w14:paraId="58C4824D">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是否提供样品</w:t>
            </w:r>
          </w:p>
        </w:tc>
        <w:tc>
          <w:tcPr>
            <w:tcW w:w="6658" w:type="dxa"/>
            <w:noWrap w:val="0"/>
            <w:vAlign w:val="center"/>
          </w:tcPr>
          <w:p w14:paraId="54D2102A">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kern w:val="0"/>
                <w:sz w:val="22"/>
                <w:szCs w:val="22"/>
                <w:highlight w:val="none"/>
                <w:lang w:val="zh-CN" w:eastAsia="zh-CN" w:bidi="ar-SA"/>
              </w:rPr>
            </w:pPr>
            <w:r>
              <w:rPr>
                <w:rFonts w:hint="eastAsia" w:ascii="仿宋" w:hAnsi="仿宋" w:eastAsia="仿宋" w:cs="仿宋"/>
                <w:color w:val="auto"/>
                <w:kern w:val="0"/>
                <w:sz w:val="22"/>
                <w:szCs w:val="22"/>
                <w:highlight w:val="none"/>
                <w:lang w:val="zh-CN" w:eastAsia="zh-CN" w:bidi="ar-SA"/>
              </w:rPr>
              <w:sym w:font="Wingdings 2" w:char="0052"/>
            </w:r>
            <w:r>
              <w:rPr>
                <w:rFonts w:hint="eastAsia" w:ascii="仿宋" w:hAnsi="仿宋" w:eastAsia="仿宋" w:cs="仿宋"/>
                <w:color w:val="auto"/>
                <w:kern w:val="0"/>
                <w:sz w:val="22"/>
                <w:szCs w:val="22"/>
                <w:highlight w:val="none"/>
                <w:lang w:val="zh-CN" w:eastAsia="zh-CN" w:bidi="ar-SA"/>
              </w:rPr>
              <w:t xml:space="preserve">  不需要</w:t>
            </w:r>
          </w:p>
          <w:p w14:paraId="20026786">
            <w:pPr>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kern w:val="0"/>
                <w:sz w:val="22"/>
                <w:szCs w:val="22"/>
                <w:highlight w:val="none"/>
                <w:lang w:val="zh-CN" w:eastAsia="zh-CN" w:bidi="ar-SA"/>
              </w:rPr>
              <w:t>□  需要，样品要求：</w:t>
            </w:r>
          </w:p>
        </w:tc>
      </w:tr>
      <w:tr w14:paraId="1E3F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exact"/>
          <w:jc w:val="center"/>
        </w:trPr>
        <w:tc>
          <w:tcPr>
            <w:tcW w:w="811" w:type="dxa"/>
            <w:noWrap w:val="0"/>
            <w:vAlign w:val="center"/>
          </w:tcPr>
          <w:p w14:paraId="2639F2A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29</w:t>
            </w:r>
          </w:p>
        </w:tc>
        <w:tc>
          <w:tcPr>
            <w:tcW w:w="2160" w:type="dxa"/>
            <w:noWrap w:val="0"/>
            <w:vAlign w:val="center"/>
          </w:tcPr>
          <w:p w14:paraId="7063000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投标文件签字</w:t>
            </w:r>
          </w:p>
          <w:p w14:paraId="591FE18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或盖章要求</w:t>
            </w:r>
          </w:p>
        </w:tc>
        <w:tc>
          <w:tcPr>
            <w:tcW w:w="6658" w:type="dxa"/>
            <w:noWrap w:val="0"/>
            <w:vAlign w:val="center"/>
          </w:tcPr>
          <w:p w14:paraId="0AC85730">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投标人必须按照招标文件的规定和要求签字、盖章</w:t>
            </w:r>
          </w:p>
        </w:tc>
      </w:tr>
      <w:tr w14:paraId="65C8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97" w:hRule="exact"/>
          <w:jc w:val="center"/>
        </w:trPr>
        <w:tc>
          <w:tcPr>
            <w:tcW w:w="811" w:type="dxa"/>
            <w:noWrap w:val="0"/>
            <w:vAlign w:val="center"/>
          </w:tcPr>
          <w:p w14:paraId="30BDAE61">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30</w:t>
            </w:r>
          </w:p>
        </w:tc>
        <w:tc>
          <w:tcPr>
            <w:tcW w:w="2160" w:type="dxa"/>
            <w:noWrap w:val="0"/>
            <w:vAlign w:val="center"/>
          </w:tcPr>
          <w:p w14:paraId="083FC2A2">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投标文件</w:t>
            </w:r>
          </w:p>
        </w:tc>
        <w:tc>
          <w:tcPr>
            <w:tcW w:w="6658" w:type="dxa"/>
            <w:noWrap w:val="0"/>
            <w:vAlign w:val="center"/>
          </w:tcPr>
          <w:p w14:paraId="3BFF1058">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采用不见面开标：</w:t>
            </w:r>
          </w:p>
          <w:p w14:paraId="25B837E0">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1．本项目采用不见面开标、投标人需要递交电子投标文件，加密的电子投标文件，在投标截止时间前通过新疆政府采购网政采云平台上传到指定位置。无需递交纸质文件。</w:t>
            </w:r>
          </w:p>
          <w:p w14:paraId="475EBE08">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2.本项目采用远程不见面交易的模式。开标当日，投标人无需到达开标现场，仅需在任意地点通过新疆政府采购网政采云平台不见面开标系统（登录地址详见网站操作手册）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网上招投标平台发生故障，导致无法按时完成投标文件解密或开、评标工作无法进行的，可根据实际情况相应延迟解密时间或调整开、评标时间（友情提示：若投标人已领取副锁（含多把副锁）请注意正副锁的使用差别，务必使用生成投标文件的那把锁解密）。</w:t>
            </w:r>
          </w:p>
          <w:p w14:paraId="283CD6A5">
            <w:pPr>
              <w:pStyle w:val="37"/>
              <w:keepNext w:val="0"/>
              <w:keepLines w:val="0"/>
              <w:pageBreakBefore w:val="0"/>
              <w:widowControl w:val="0"/>
              <w:kinsoku/>
              <w:wordWrap w:val="0"/>
              <w:overflowPunct/>
              <w:topLinePunct w:val="0"/>
              <w:autoSpaceDE w:val="0"/>
              <w:autoSpaceDN w:val="0"/>
              <w:bidi w:val="0"/>
              <w:adjustRightInd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3.远程开标前，投标人务必在新疆政府采购网政采云平台（http://ccgp-bingtuan.gov.cn）投标文件上传模块中使用“模拟解密”功能，验证本机远程自助解密环境。</w:t>
            </w:r>
          </w:p>
        </w:tc>
      </w:tr>
      <w:tr w14:paraId="4BDA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5" w:hRule="atLeast"/>
          <w:jc w:val="center"/>
        </w:trPr>
        <w:tc>
          <w:tcPr>
            <w:tcW w:w="811" w:type="dxa"/>
            <w:noWrap w:val="0"/>
            <w:vAlign w:val="center"/>
          </w:tcPr>
          <w:p w14:paraId="4FDDACC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31</w:t>
            </w:r>
          </w:p>
        </w:tc>
        <w:tc>
          <w:tcPr>
            <w:tcW w:w="2160" w:type="dxa"/>
            <w:noWrap w:val="0"/>
            <w:vAlign w:val="center"/>
          </w:tcPr>
          <w:p w14:paraId="3034993A">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提交投标文件地点</w:t>
            </w:r>
          </w:p>
        </w:tc>
        <w:tc>
          <w:tcPr>
            <w:tcW w:w="6658" w:type="dxa"/>
            <w:noWrap w:val="0"/>
            <w:vAlign w:val="center"/>
          </w:tcPr>
          <w:p w14:paraId="181F6B46">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请登录政采云投标客户端，在截止时间前将加密的电子投标文件（.jmbs）上传到新疆政府采购网对应的位置（逾期上传或者未上传指定地点的响应文件，采购人不予受理）。</w:t>
            </w:r>
          </w:p>
          <w:p w14:paraId="0AB2B3F8">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采用不见面开标：</w:t>
            </w:r>
          </w:p>
          <w:p w14:paraId="377F7F1F">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投标地点：政采云远程不见面开标大厅</w:t>
            </w:r>
          </w:p>
          <w:p w14:paraId="62C5F5B3">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不见面开标默认解密时长：</w:t>
            </w:r>
            <w:r>
              <w:rPr>
                <w:rFonts w:hint="eastAsia" w:ascii="仿宋" w:hAnsi="仿宋" w:eastAsia="仿宋" w:cs="仿宋"/>
                <w:color w:val="auto"/>
                <w:sz w:val="22"/>
                <w:szCs w:val="22"/>
                <w:highlight w:val="none"/>
                <w:lang w:val="en-US" w:eastAsia="zh-CN"/>
              </w:rPr>
              <w:t>30</w:t>
            </w:r>
            <w:r>
              <w:rPr>
                <w:rFonts w:hint="eastAsia" w:ascii="仿宋" w:hAnsi="仿宋" w:eastAsia="仿宋" w:cs="仿宋"/>
                <w:color w:val="auto"/>
                <w:sz w:val="22"/>
                <w:szCs w:val="22"/>
                <w:highlight w:val="none"/>
                <w:lang w:val="zh-CN"/>
              </w:rPr>
              <w:t>分钟</w:t>
            </w:r>
          </w:p>
          <w:p w14:paraId="64B14F18">
            <w:pPr>
              <w:pStyle w:val="37"/>
              <w:keepNext w:val="0"/>
              <w:keepLines w:val="0"/>
              <w:pageBreakBefore w:val="0"/>
              <w:kinsoku/>
              <w:wordWrap/>
              <w:overflowPunct/>
              <w:topLinePunct w:val="0"/>
              <w:bidi w:val="0"/>
              <w:snapToGrid/>
              <w:spacing w:line="480" w:lineRule="exact"/>
              <w:ind w:left="0" w:right="0" w:rightChars="0"/>
              <w:jc w:val="both"/>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关于能否延长解密时间的约定：开标现场若发现默认解密时长不足，由采购人决定是否延长解密时长。</w:t>
            </w:r>
          </w:p>
        </w:tc>
      </w:tr>
      <w:tr w14:paraId="3204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exact"/>
          <w:jc w:val="center"/>
        </w:trPr>
        <w:tc>
          <w:tcPr>
            <w:tcW w:w="811" w:type="dxa"/>
            <w:noWrap w:val="0"/>
            <w:vAlign w:val="center"/>
          </w:tcPr>
          <w:p w14:paraId="1A1DF77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32</w:t>
            </w:r>
          </w:p>
        </w:tc>
        <w:tc>
          <w:tcPr>
            <w:tcW w:w="2160" w:type="dxa"/>
            <w:noWrap w:val="0"/>
            <w:vAlign w:val="center"/>
          </w:tcPr>
          <w:p w14:paraId="6ECBBCA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i w:val="0"/>
                <w:iCs w:val="0"/>
                <w:color w:val="auto"/>
                <w:sz w:val="22"/>
                <w:szCs w:val="22"/>
                <w:highlight w:val="none"/>
                <w:u w:val="none"/>
                <w:lang w:val="zh-CN"/>
              </w:rPr>
            </w:pPr>
            <w:r>
              <w:rPr>
                <w:rFonts w:hint="eastAsia" w:ascii="仿宋" w:hAnsi="仿宋" w:eastAsia="仿宋" w:cs="仿宋"/>
                <w:i w:val="0"/>
                <w:iCs w:val="0"/>
                <w:color w:val="auto"/>
                <w:sz w:val="22"/>
                <w:szCs w:val="22"/>
                <w:highlight w:val="none"/>
                <w:u w:val="none"/>
                <w:lang w:val="zh-CN"/>
              </w:rPr>
              <w:t>投标截止时间</w:t>
            </w:r>
          </w:p>
        </w:tc>
        <w:tc>
          <w:tcPr>
            <w:tcW w:w="6658" w:type="dxa"/>
            <w:noWrap w:val="0"/>
            <w:vAlign w:val="center"/>
          </w:tcPr>
          <w:p w14:paraId="4387AC1B">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2"/>
                <w:sz w:val="22"/>
                <w:szCs w:val="22"/>
                <w:highlight w:val="none"/>
                <w:u w:val="none"/>
                <w:lang w:val="en-US" w:eastAsia="zh-CN" w:bidi="ar-SA"/>
              </w:rPr>
              <w:t>2026年07月14日10点30分（北京时间）</w:t>
            </w:r>
            <w:r>
              <w:rPr>
                <w:rFonts w:hint="eastAsia" w:ascii="仿宋" w:hAnsi="仿宋" w:eastAsia="仿宋" w:cs="仿宋"/>
                <w:i w:val="0"/>
                <w:iCs w:val="0"/>
                <w:color w:val="auto"/>
                <w:sz w:val="22"/>
                <w:szCs w:val="22"/>
                <w:highlight w:val="none"/>
                <w:u w:val="none"/>
              </w:rPr>
              <w:t>（如有变动另行通知）</w:t>
            </w:r>
          </w:p>
        </w:tc>
      </w:tr>
      <w:tr w14:paraId="2019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1" w:hRule="exact"/>
          <w:jc w:val="center"/>
        </w:trPr>
        <w:tc>
          <w:tcPr>
            <w:tcW w:w="811" w:type="dxa"/>
            <w:noWrap w:val="0"/>
            <w:vAlign w:val="center"/>
          </w:tcPr>
          <w:p w14:paraId="62A7215F">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33</w:t>
            </w:r>
          </w:p>
        </w:tc>
        <w:tc>
          <w:tcPr>
            <w:tcW w:w="2160" w:type="dxa"/>
            <w:noWrap w:val="0"/>
            <w:vAlign w:val="center"/>
          </w:tcPr>
          <w:p w14:paraId="16CEFFFC">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递交投标文件地点</w:t>
            </w:r>
          </w:p>
        </w:tc>
        <w:tc>
          <w:tcPr>
            <w:tcW w:w="6658" w:type="dxa"/>
            <w:noWrap w:val="0"/>
            <w:vAlign w:val="center"/>
          </w:tcPr>
          <w:p w14:paraId="3BCD4A06">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请登录政采云投标客户端，在截止时间前将加密的电子投标文件（.jmbs）上传到新疆政府采购网对应的位置（逾期上传或者未上传指定地点的投标文件，采购人不予受理）</w:t>
            </w:r>
          </w:p>
        </w:tc>
      </w:tr>
      <w:tr w14:paraId="3FFC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exact"/>
          <w:jc w:val="center"/>
        </w:trPr>
        <w:tc>
          <w:tcPr>
            <w:tcW w:w="811" w:type="dxa"/>
            <w:noWrap w:val="0"/>
            <w:vAlign w:val="center"/>
          </w:tcPr>
          <w:p w14:paraId="662BAE65">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34</w:t>
            </w:r>
          </w:p>
        </w:tc>
        <w:tc>
          <w:tcPr>
            <w:tcW w:w="2160" w:type="dxa"/>
            <w:noWrap w:val="0"/>
            <w:vAlign w:val="center"/>
          </w:tcPr>
          <w:p w14:paraId="38E6F870">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投标文件是否退还</w:t>
            </w:r>
          </w:p>
        </w:tc>
        <w:tc>
          <w:tcPr>
            <w:tcW w:w="6658" w:type="dxa"/>
            <w:noWrap w:val="0"/>
            <w:vAlign w:val="center"/>
          </w:tcPr>
          <w:p w14:paraId="590617E2">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否</w:t>
            </w:r>
          </w:p>
        </w:tc>
      </w:tr>
      <w:tr w14:paraId="07AB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0" w:hRule="atLeast"/>
          <w:jc w:val="center"/>
        </w:trPr>
        <w:tc>
          <w:tcPr>
            <w:tcW w:w="811" w:type="dxa"/>
            <w:noWrap w:val="0"/>
            <w:vAlign w:val="center"/>
          </w:tcPr>
          <w:p w14:paraId="6C86A7B2">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35</w:t>
            </w:r>
          </w:p>
        </w:tc>
        <w:tc>
          <w:tcPr>
            <w:tcW w:w="2160" w:type="dxa"/>
            <w:noWrap w:val="0"/>
            <w:vAlign w:val="center"/>
          </w:tcPr>
          <w:p w14:paraId="7D5E9384">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开标时间和地点</w:t>
            </w:r>
          </w:p>
        </w:tc>
        <w:tc>
          <w:tcPr>
            <w:tcW w:w="6658" w:type="dxa"/>
            <w:noWrap w:val="0"/>
            <w:vAlign w:val="center"/>
          </w:tcPr>
          <w:p w14:paraId="416BE395">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开标时间（解密）：同投标截止时间</w:t>
            </w:r>
          </w:p>
          <w:p w14:paraId="307465D4">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开标地点：政采云电子开标大厅</w:t>
            </w:r>
          </w:p>
        </w:tc>
      </w:tr>
      <w:tr w14:paraId="3730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811" w:type="dxa"/>
            <w:noWrap w:val="0"/>
            <w:vAlign w:val="center"/>
          </w:tcPr>
          <w:p w14:paraId="00E6B48D">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36</w:t>
            </w:r>
          </w:p>
        </w:tc>
        <w:tc>
          <w:tcPr>
            <w:tcW w:w="2160" w:type="dxa"/>
            <w:noWrap w:val="0"/>
            <w:vAlign w:val="center"/>
          </w:tcPr>
          <w:p w14:paraId="7E86615F">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评标委员会的组建</w:t>
            </w:r>
          </w:p>
        </w:tc>
        <w:tc>
          <w:tcPr>
            <w:tcW w:w="6658" w:type="dxa"/>
            <w:noWrap w:val="0"/>
            <w:vAlign w:val="center"/>
          </w:tcPr>
          <w:p w14:paraId="4A703114">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评标委员会构成形式、人数，评标专家确定方式：</w:t>
            </w:r>
          </w:p>
          <w:p w14:paraId="44E5723B">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详见投标人须知第8.1.1条款</w:t>
            </w:r>
          </w:p>
        </w:tc>
      </w:tr>
      <w:tr w14:paraId="3D1E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811" w:type="dxa"/>
            <w:noWrap w:val="0"/>
            <w:vAlign w:val="center"/>
          </w:tcPr>
          <w:p w14:paraId="012D8447">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37</w:t>
            </w:r>
          </w:p>
        </w:tc>
        <w:tc>
          <w:tcPr>
            <w:tcW w:w="2160" w:type="dxa"/>
            <w:noWrap w:val="0"/>
            <w:vAlign w:val="center"/>
          </w:tcPr>
          <w:p w14:paraId="29BF30BA">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评标方法及标准</w:t>
            </w:r>
          </w:p>
        </w:tc>
        <w:tc>
          <w:tcPr>
            <w:tcW w:w="6658" w:type="dxa"/>
            <w:noWrap w:val="0"/>
            <w:vAlign w:val="center"/>
          </w:tcPr>
          <w:p w14:paraId="04DDE811">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详见第三章评标方法</w:t>
            </w:r>
          </w:p>
        </w:tc>
      </w:tr>
      <w:tr w14:paraId="0E44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811" w:type="dxa"/>
            <w:noWrap w:val="0"/>
            <w:vAlign w:val="center"/>
          </w:tcPr>
          <w:p w14:paraId="559581C4">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38</w:t>
            </w:r>
          </w:p>
        </w:tc>
        <w:tc>
          <w:tcPr>
            <w:tcW w:w="2160" w:type="dxa"/>
            <w:noWrap w:val="0"/>
            <w:vAlign w:val="center"/>
          </w:tcPr>
          <w:p w14:paraId="74DED0BA">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评标委员会推荐中标候选人的人数</w:t>
            </w:r>
          </w:p>
        </w:tc>
        <w:tc>
          <w:tcPr>
            <w:tcW w:w="6658" w:type="dxa"/>
            <w:noWrap w:val="0"/>
            <w:vAlign w:val="center"/>
          </w:tcPr>
          <w:p w14:paraId="2D49E8FF">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w:t>
            </w:r>
          </w:p>
        </w:tc>
      </w:tr>
      <w:tr w14:paraId="2738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811" w:type="dxa"/>
            <w:noWrap w:val="0"/>
            <w:vAlign w:val="center"/>
          </w:tcPr>
          <w:p w14:paraId="302FF343">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39</w:t>
            </w:r>
          </w:p>
        </w:tc>
        <w:tc>
          <w:tcPr>
            <w:tcW w:w="2160" w:type="dxa"/>
            <w:noWrap w:val="0"/>
            <w:vAlign w:val="center"/>
          </w:tcPr>
          <w:p w14:paraId="1CB8DA0A">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是否授权评标委员会确定中标人</w:t>
            </w:r>
          </w:p>
        </w:tc>
        <w:tc>
          <w:tcPr>
            <w:tcW w:w="6658" w:type="dxa"/>
            <w:noWrap w:val="0"/>
            <w:vAlign w:val="center"/>
          </w:tcPr>
          <w:p w14:paraId="5F985AFD">
            <w:pPr>
              <w:pStyle w:val="37"/>
              <w:keepNext w:val="0"/>
              <w:keepLines w:val="0"/>
              <w:pageBreakBefore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否</w:t>
            </w:r>
          </w:p>
        </w:tc>
      </w:tr>
      <w:tr w14:paraId="1A9A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811" w:type="dxa"/>
            <w:noWrap w:val="0"/>
            <w:vAlign w:val="center"/>
          </w:tcPr>
          <w:p w14:paraId="6B9E6AEE">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40</w:t>
            </w:r>
          </w:p>
        </w:tc>
        <w:tc>
          <w:tcPr>
            <w:tcW w:w="2160" w:type="dxa"/>
            <w:noWrap w:val="0"/>
            <w:vAlign w:val="center"/>
          </w:tcPr>
          <w:p w14:paraId="28D330B5">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中标公告的时间、</w:t>
            </w:r>
          </w:p>
          <w:p w14:paraId="7641D87D">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媒介和期限</w:t>
            </w:r>
          </w:p>
        </w:tc>
        <w:tc>
          <w:tcPr>
            <w:tcW w:w="6658" w:type="dxa"/>
            <w:noWrap w:val="0"/>
            <w:vAlign w:val="center"/>
          </w:tcPr>
          <w:p w14:paraId="273EAC8C">
            <w:pPr>
              <w:pStyle w:val="7"/>
              <w:keepNext w:val="0"/>
              <w:keepLines w:val="0"/>
              <w:pageBreakBefore w:val="0"/>
              <w:widowControl w:val="0"/>
              <w:kinsoku/>
              <w:wordWrap/>
              <w:overflowPunct/>
              <w:topLinePunct w:val="0"/>
              <w:bidi w:val="0"/>
              <w:snapToGrid/>
              <w:spacing w:line="480" w:lineRule="exact"/>
              <w:ind w:left="0" w:leftChars="0" w:right="0" w:rightChars="0" w:firstLine="0" w:firstLine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公告时间：</w:t>
            </w:r>
            <w:r>
              <w:rPr>
                <w:rFonts w:hint="eastAsia" w:ascii="仿宋" w:hAnsi="仿宋" w:eastAsia="仿宋" w:cs="仿宋"/>
                <w:color w:val="auto"/>
                <w:sz w:val="22"/>
                <w:szCs w:val="22"/>
                <w:highlight w:val="none"/>
              </w:rPr>
              <w:t>在确定中标人之日起2个工作日内</w:t>
            </w:r>
          </w:p>
          <w:p w14:paraId="47A52256">
            <w:pPr>
              <w:pStyle w:val="7"/>
              <w:keepNext w:val="0"/>
              <w:keepLines w:val="0"/>
              <w:pageBreakBefore w:val="0"/>
              <w:widowControl w:val="0"/>
              <w:kinsoku/>
              <w:wordWrap/>
              <w:overflowPunct/>
              <w:topLinePunct w:val="0"/>
              <w:bidi w:val="0"/>
              <w:snapToGrid/>
              <w:spacing w:line="480" w:lineRule="exact"/>
              <w:ind w:left="0" w:leftChars="0" w:right="0" w:rightChars="0" w:firstLine="0" w:firstLine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公告媒介：</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zh-CN" w:eastAsia="zh-CN"/>
              </w:rPr>
              <w:t>新疆政府采购网》(http://www.ccgp-xinjiang.gov.cn/)</w:t>
            </w:r>
          </w:p>
          <w:p w14:paraId="590FFAB9">
            <w:pPr>
              <w:pStyle w:val="7"/>
              <w:keepNext w:val="0"/>
              <w:keepLines w:val="0"/>
              <w:pageBreakBefore w:val="0"/>
              <w:widowControl w:val="0"/>
              <w:kinsoku/>
              <w:wordWrap/>
              <w:overflowPunct/>
              <w:topLinePunct w:val="0"/>
              <w:bidi w:val="0"/>
              <w:snapToGrid/>
              <w:spacing w:line="480" w:lineRule="exact"/>
              <w:ind w:left="0" w:leftChars="0" w:right="0" w:rightChars="0" w:firstLine="0" w:firstLine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公告期限：1个工作日</w:t>
            </w:r>
          </w:p>
        </w:tc>
      </w:tr>
      <w:tr w14:paraId="307C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811" w:type="dxa"/>
            <w:noWrap w:val="0"/>
            <w:vAlign w:val="center"/>
          </w:tcPr>
          <w:p w14:paraId="00768C72">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41</w:t>
            </w:r>
          </w:p>
        </w:tc>
        <w:tc>
          <w:tcPr>
            <w:tcW w:w="2160" w:type="dxa"/>
            <w:noWrap w:val="0"/>
            <w:vAlign w:val="center"/>
          </w:tcPr>
          <w:p w14:paraId="13CBA260">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履约保证金</w:t>
            </w:r>
          </w:p>
        </w:tc>
        <w:tc>
          <w:tcPr>
            <w:tcW w:w="6658" w:type="dxa"/>
            <w:noWrap w:val="0"/>
            <w:vAlign w:val="center"/>
          </w:tcPr>
          <w:p w14:paraId="4D59D5EB">
            <w:pPr>
              <w:pStyle w:val="37"/>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rPr>
              <w:sym w:font="Wingdings 2" w:char="0052"/>
            </w:r>
            <w:r>
              <w:rPr>
                <w:rFonts w:hint="eastAsia" w:ascii="仿宋" w:hAnsi="仿宋" w:eastAsia="仿宋" w:cs="仿宋"/>
                <w:color w:val="auto"/>
                <w:sz w:val="22"/>
                <w:szCs w:val="22"/>
                <w:highlight w:val="none"/>
                <w:lang w:val="zh-CN"/>
              </w:rPr>
              <w:t xml:space="preserve"> 需要   </w:t>
            </w:r>
            <w:r>
              <w:rPr>
                <w:rFonts w:hint="eastAsia" w:ascii="仿宋" w:hAnsi="仿宋" w:eastAsia="仿宋" w:cs="仿宋"/>
                <w:color w:val="auto"/>
                <w:sz w:val="22"/>
                <w:szCs w:val="22"/>
                <w:highlight w:val="none"/>
              </w:rPr>
              <w:sym w:font="Wingdings 2" w:char="00A3"/>
            </w:r>
            <w:r>
              <w:rPr>
                <w:rFonts w:hint="eastAsia" w:ascii="仿宋" w:hAnsi="仿宋" w:eastAsia="仿宋" w:cs="仿宋"/>
                <w:color w:val="auto"/>
                <w:sz w:val="22"/>
                <w:szCs w:val="22"/>
                <w:highlight w:val="none"/>
                <w:lang w:val="zh-CN"/>
              </w:rPr>
              <w:t>不需要</w:t>
            </w:r>
          </w:p>
          <w:p w14:paraId="062CF89C">
            <w:pPr>
              <w:pStyle w:val="37"/>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履约保证金的形式：履约保证金（现金转账、支票或银行汇票</w:t>
            </w:r>
            <w:r>
              <w:rPr>
                <w:rFonts w:hint="eastAsia" w:ascii="仿宋" w:hAnsi="仿宋" w:eastAsia="仿宋" w:cs="仿宋"/>
                <w:color w:val="auto"/>
                <w:sz w:val="22"/>
                <w:szCs w:val="22"/>
                <w:highlight w:val="none"/>
                <w:lang w:val="en-US" w:eastAsia="zh-CN"/>
              </w:rPr>
              <w:t>或保函</w:t>
            </w:r>
            <w:r>
              <w:rPr>
                <w:rFonts w:hint="eastAsia" w:ascii="仿宋" w:hAnsi="仿宋" w:eastAsia="仿宋" w:cs="仿宋"/>
                <w:color w:val="auto"/>
                <w:sz w:val="22"/>
                <w:szCs w:val="22"/>
                <w:highlight w:val="none"/>
                <w:lang w:val="zh-CN"/>
              </w:rPr>
              <w:t>等）</w:t>
            </w:r>
          </w:p>
          <w:p w14:paraId="53EBC9B5">
            <w:pPr>
              <w:pStyle w:val="37"/>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履约保证金的金额：签约合同价款的</w:t>
            </w:r>
            <w:r>
              <w:rPr>
                <w:rFonts w:hint="eastAsia" w:ascii="仿宋" w:hAnsi="仿宋" w:eastAsia="仿宋" w:cs="仿宋"/>
                <w:color w:val="auto"/>
                <w:sz w:val="22"/>
                <w:szCs w:val="22"/>
                <w:highlight w:val="none"/>
                <w:u w:val="single"/>
                <w:lang w:val="en-US" w:eastAsia="zh-CN"/>
              </w:rPr>
              <w:t>10</w:t>
            </w:r>
            <w:r>
              <w:rPr>
                <w:rFonts w:hint="eastAsia" w:ascii="仿宋" w:hAnsi="仿宋" w:eastAsia="仿宋" w:cs="仿宋"/>
                <w:color w:val="auto"/>
                <w:sz w:val="22"/>
                <w:szCs w:val="22"/>
                <w:highlight w:val="none"/>
                <w:lang w:val="zh-CN"/>
              </w:rPr>
              <w:t>% ；投标人必须在收到中标通知书</w:t>
            </w:r>
            <w:r>
              <w:rPr>
                <w:rFonts w:hint="eastAsia" w:ascii="仿宋" w:hAnsi="仿宋" w:eastAsia="仿宋" w:cs="仿宋"/>
                <w:color w:val="auto"/>
                <w:sz w:val="22"/>
                <w:szCs w:val="22"/>
                <w:highlight w:val="none"/>
                <w:lang w:val="en-US" w:eastAsia="zh-CN"/>
              </w:rPr>
              <w:t>10日</w:t>
            </w:r>
            <w:r>
              <w:rPr>
                <w:rFonts w:hint="eastAsia" w:ascii="仿宋" w:hAnsi="仿宋" w:eastAsia="仿宋" w:cs="仿宋"/>
                <w:color w:val="auto"/>
                <w:sz w:val="22"/>
                <w:szCs w:val="22"/>
                <w:highlight w:val="none"/>
                <w:lang w:val="zh-CN"/>
              </w:rPr>
              <w:t>内（签订合同之前）汇入采购人指定账户，如中标后不能按规定缴纳履约保证金，招标人将有充分的理由解除中标人的中标资格并没收其投标保证金。</w:t>
            </w:r>
          </w:p>
          <w:p w14:paraId="010170E3">
            <w:pPr>
              <w:pStyle w:val="37"/>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履约保证金退还时间：验收完成后，资料齐全、遗留问题全部解决后退还（不计利息）</w:t>
            </w:r>
          </w:p>
        </w:tc>
      </w:tr>
      <w:tr w14:paraId="3B95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811" w:type="dxa"/>
            <w:noWrap w:val="0"/>
            <w:vAlign w:val="center"/>
          </w:tcPr>
          <w:p w14:paraId="0473E1AD">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42</w:t>
            </w:r>
          </w:p>
        </w:tc>
        <w:tc>
          <w:tcPr>
            <w:tcW w:w="2160" w:type="dxa"/>
            <w:noWrap w:val="0"/>
            <w:vAlign w:val="center"/>
          </w:tcPr>
          <w:p w14:paraId="0D235D57">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投标人信用信息</w:t>
            </w:r>
          </w:p>
          <w:p w14:paraId="5AEEA8F6">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查询截止时点</w:t>
            </w:r>
          </w:p>
        </w:tc>
        <w:tc>
          <w:tcPr>
            <w:tcW w:w="6658" w:type="dxa"/>
            <w:noWrap w:val="0"/>
            <w:vAlign w:val="center"/>
          </w:tcPr>
          <w:p w14:paraId="1982496E">
            <w:pPr>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投标文件递交截止时间当日</w:t>
            </w:r>
          </w:p>
        </w:tc>
      </w:tr>
      <w:tr w14:paraId="3968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jc w:val="center"/>
        </w:trPr>
        <w:tc>
          <w:tcPr>
            <w:tcW w:w="811" w:type="dxa"/>
            <w:noWrap w:val="0"/>
            <w:vAlign w:val="center"/>
          </w:tcPr>
          <w:p w14:paraId="58F20D11">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43</w:t>
            </w:r>
          </w:p>
        </w:tc>
        <w:tc>
          <w:tcPr>
            <w:tcW w:w="2160" w:type="dxa"/>
            <w:noWrap w:val="0"/>
            <w:vAlign w:val="center"/>
          </w:tcPr>
          <w:p w14:paraId="117725D3">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资格审查时是否</w:t>
            </w:r>
          </w:p>
          <w:p w14:paraId="1E788442">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核验证件</w:t>
            </w:r>
          </w:p>
        </w:tc>
        <w:tc>
          <w:tcPr>
            <w:tcW w:w="6658" w:type="dxa"/>
            <w:noWrap w:val="0"/>
            <w:vAlign w:val="center"/>
          </w:tcPr>
          <w:p w14:paraId="4A1C7D8C">
            <w:pPr>
              <w:pStyle w:val="37"/>
              <w:keepNext w:val="0"/>
              <w:keepLines w:val="0"/>
              <w:pageBreakBefore w:val="0"/>
              <w:widowControl w:val="0"/>
              <w:kinsoku/>
              <w:wordWrap/>
              <w:overflowPunct/>
              <w:topLinePunct w:val="0"/>
              <w:bidi w:val="0"/>
              <w:snapToGrid/>
              <w:spacing w:line="480" w:lineRule="exact"/>
              <w:ind w:left="0" w:right="0" w:rightChars="0"/>
              <w:textAlignment w:val="auto"/>
              <w:rPr>
                <w:rFonts w:hint="eastAsia" w:ascii="仿宋" w:hAnsi="仿宋" w:eastAsia="仿宋" w:cs="仿宋"/>
                <w:color w:val="auto"/>
                <w:kern w:val="2"/>
                <w:sz w:val="22"/>
                <w:szCs w:val="22"/>
                <w:highlight w:val="none"/>
              </w:rPr>
            </w:pPr>
            <w:r>
              <w:rPr>
                <w:rFonts w:hint="eastAsia" w:ascii="仿宋" w:hAnsi="仿宋" w:eastAsia="仿宋" w:cs="仿宋"/>
                <w:color w:val="auto"/>
                <w:sz w:val="22"/>
                <w:szCs w:val="22"/>
                <w:highlight w:val="none"/>
              </w:rPr>
              <w:sym w:font="Wingdings 2" w:char="0052"/>
            </w:r>
            <w:r>
              <w:rPr>
                <w:rFonts w:hint="eastAsia" w:ascii="仿宋" w:hAnsi="仿宋" w:eastAsia="仿宋" w:cs="仿宋"/>
                <w:color w:val="auto"/>
                <w:sz w:val="22"/>
                <w:szCs w:val="22"/>
                <w:highlight w:val="none"/>
              </w:rPr>
              <w:t xml:space="preserve"> 需要  </w:t>
            </w:r>
            <w:r>
              <w:rPr>
                <w:rFonts w:hint="eastAsia" w:ascii="仿宋" w:hAnsi="仿宋" w:eastAsia="仿宋" w:cs="仿宋"/>
                <w:color w:val="auto"/>
                <w:sz w:val="22"/>
                <w:szCs w:val="22"/>
                <w:highlight w:val="none"/>
              </w:rPr>
              <w:sym w:font="Wingdings 2" w:char="00A3"/>
            </w:r>
            <w:r>
              <w:rPr>
                <w:rFonts w:hint="eastAsia" w:ascii="仿宋" w:hAnsi="仿宋" w:eastAsia="仿宋" w:cs="仿宋"/>
                <w:color w:val="auto"/>
                <w:sz w:val="22"/>
                <w:szCs w:val="22"/>
                <w:highlight w:val="none"/>
              </w:rPr>
              <w:t xml:space="preserve"> 不需要</w:t>
            </w:r>
          </w:p>
        </w:tc>
      </w:tr>
      <w:tr w14:paraId="6B1A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811" w:type="dxa"/>
            <w:noWrap w:val="0"/>
            <w:vAlign w:val="center"/>
          </w:tcPr>
          <w:p w14:paraId="0DC071A7">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44</w:t>
            </w:r>
          </w:p>
        </w:tc>
        <w:tc>
          <w:tcPr>
            <w:tcW w:w="2160" w:type="dxa"/>
            <w:noWrap w:val="0"/>
            <w:vAlign w:val="center"/>
          </w:tcPr>
          <w:p w14:paraId="61324D44">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开标现场是否</w:t>
            </w:r>
          </w:p>
          <w:p w14:paraId="12351185">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演示与述标</w:t>
            </w:r>
          </w:p>
        </w:tc>
        <w:tc>
          <w:tcPr>
            <w:tcW w:w="6658" w:type="dxa"/>
            <w:noWrap w:val="0"/>
            <w:vAlign w:val="center"/>
          </w:tcPr>
          <w:p w14:paraId="37302DE9">
            <w:pPr>
              <w:keepNext w:val="0"/>
              <w:keepLines w:val="0"/>
              <w:pageBreakBefore w:val="0"/>
              <w:widowControl w:val="0"/>
              <w:tabs>
                <w:tab w:val="left" w:pos="279"/>
              </w:tabs>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sym w:font="Wingdings 2" w:char="00A3"/>
            </w:r>
            <w:r>
              <w:rPr>
                <w:rFonts w:hint="eastAsia" w:ascii="仿宋" w:hAnsi="仿宋" w:eastAsia="仿宋" w:cs="仿宋"/>
                <w:color w:val="auto"/>
                <w:sz w:val="22"/>
                <w:szCs w:val="22"/>
                <w:highlight w:val="none"/>
              </w:rPr>
              <w:t xml:space="preserve"> 需要  </w:t>
            </w:r>
            <w:r>
              <w:rPr>
                <w:rFonts w:hint="eastAsia" w:ascii="仿宋" w:hAnsi="仿宋" w:eastAsia="仿宋" w:cs="仿宋"/>
                <w:color w:val="auto"/>
                <w:sz w:val="22"/>
                <w:szCs w:val="22"/>
                <w:highlight w:val="none"/>
              </w:rPr>
              <w:sym w:font="Wingdings 2" w:char="0052"/>
            </w:r>
            <w:r>
              <w:rPr>
                <w:rFonts w:hint="eastAsia" w:ascii="仿宋" w:hAnsi="仿宋" w:eastAsia="仿宋" w:cs="仿宋"/>
                <w:color w:val="auto"/>
                <w:sz w:val="22"/>
                <w:szCs w:val="22"/>
                <w:highlight w:val="none"/>
              </w:rPr>
              <w:t xml:space="preserve"> 不需要</w:t>
            </w:r>
          </w:p>
        </w:tc>
      </w:tr>
      <w:tr w14:paraId="3DD1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811" w:type="dxa"/>
            <w:noWrap w:val="0"/>
            <w:vAlign w:val="center"/>
          </w:tcPr>
          <w:p w14:paraId="3E61851D">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45</w:t>
            </w:r>
          </w:p>
        </w:tc>
        <w:tc>
          <w:tcPr>
            <w:tcW w:w="2160" w:type="dxa"/>
            <w:noWrap w:val="0"/>
            <w:vAlign w:val="center"/>
          </w:tcPr>
          <w:p w14:paraId="6FD377D4">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开标现场是否</w:t>
            </w:r>
          </w:p>
          <w:p w14:paraId="43D6EAC8">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提供样品</w:t>
            </w:r>
          </w:p>
        </w:tc>
        <w:tc>
          <w:tcPr>
            <w:tcW w:w="6658" w:type="dxa"/>
            <w:noWrap w:val="0"/>
            <w:vAlign w:val="center"/>
          </w:tcPr>
          <w:p w14:paraId="568597D1">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sym w:font="Wingdings 2" w:char="0052"/>
            </w:r>
            <w:r>
              <w:rPr>
                <w:rFonts w:hint="eastAsia" w:ascii="仿宋" w:hAnsi="仿宋" w:eastAsia="仿宋" w:cs="仿宋"/>
                <w:color w:val="auto"/>
                <w:sz w:val="22"/>
                <w:szCs w:val="22"/>
                <w:highlight w:val="none"/>
              </w:rPr>
              <w:t xml:space="preserve"> 不需要</w:t>
            </w:r>
          </w:p>
        </w:tc>
      </w:tr>
      <w:tr w14:paraId="2F94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811" w:type="dxa"/>
            <w:noWrap w:val="0"/>
            <w:vAlign w:val="center"/>
          </w:tcPr>
          <w:p w14:paraId="4B965B99">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46</w:t>
            </w:r>
          </w:p>
        </w:tc>
        <w:tc>
          <w:tcPr>
            <w:tcW w:w="2160" w:type="dxa"/>
            <w:noWrap w:val="0"/>
            <w:vAlign w:val="center"/>
          </w:tcPr>
          <w:p w14:paraId="19F6CDD7">
            <w:pPr>
              <w:pStyle w:val="37"/>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资格要求</w:t>
            </w:r>
          </w:p>
        </w:tc>
        <w:tc>
          <w:tcPr>
            <w:tcW w:w="6658" w:type="dxa"/>
            <w:noWrap w:val="0"/>
            <w:vAlign w:val="center"/>
          </w:tcPr>
          <w:p w14:paraId="74C34643">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1.满足《中华人民共和国政府采购法》第二十二条规定：</w:t>
            </w:r>
          </w:p>
          <w:p w14:paraId="150B48C3">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（1）投标人具有独立承担民事责任和履行合同能力，持有工商行政管理部门核发的有效期内营业执照；</w:t>
            </w:r>
          </w:p>
          <w:p w14:paraId="0C73221B">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（2）投标人提供法定代表人授权委托书【法定代表人参加提供法定代表人身份证明书】；</w:t>
            </w:r>
          </w:p>
          <w:p w14:paraId="221F2FF5">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投标人须书面承诺自身商业信誉良好，投标截止时间前未在“信用中国”列入失信被执行人、重大税收违法失信主体，未在中国政府采购网存在政府采购严重违法失信记录，无法律法规禁止参与政府采购的其他违法失信情形（注：1.投标文件无需附信用查询截图，由资格审查小组及采购代理机构现场统一核验；2.承诺函格式自拟并加盖公章；3.现场查实存在上述失信记录的，投标无效，相关损失与法律责任由投标人自行承担。）；</w:t>
            </w:r>
          </w:p>
          <w:p w14:paraId="5401C3E4">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（4）投标人提供近半年内已缴存的至少一个月的社会保障资金缴存单据或社保机构开具的社会保险参保缴费情况证明，依法不需要缴纳社会保障资金的投标人应提供相关文件证明；</w:t>
            </w:r>
          </w:p>
          <w:p w14:paraId="64527915">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投标人须提供2025年度财务审计报告（附带可查验二维码，二维码清晰有效，供资格审查小组现场扫码核查）(成立不足一年的投标人提供成立至今的财务报表，包含资产负债表、现金流量表、利润表)或银行出具的资信证明；</w:t>
            </w:r>
          </w:p>
          <w:p w14:paraId="5769A716">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（6）投标人提供近半年内已缴纳的至少一个月的纳税证明或完税证明，纳税证明或完税证明上应有代收机构或税务机关的公章，依法免税的投标人应提供相关文件证明；</w:t>
            </w:r>
          </w:p>
          <w:p w14:paraId="2DAC9C21">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（7）投标人应具备良好的商业信誉，提供参加政府采购活动前3年内在经营活动中没有重大违法记录的书面声明；</w:t>
            </w:r>
          </w:p>
          <w:p w14:paraId="329FF938">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zh-CN" w:eastAsia="zh-CN"/>
              </w:rPr>
            </w:pP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lang w:val="zh-CN" w:eastAsia="zh-CN"/>
              </w:rPr>
              <w:t>具备履行合同所必需的设备和专业技术能力的证明；</w:t>
            </w:r>
          </w:p>
          <w:p w14:paraId="4FDC5195">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zh-CN" w:eastAsia="zh-CN"/>
              </w:rPr>
              <w:t>（</w:t>
            </w:r>
            <w:r>
              <w:rPr>
                <w:rFonts w:hint="eastAsia" w:ascii="仿宋" w:hAnsi="仿宋" w:eastAsia="仿宋" w:cs="仿宋"/>
                <w:color w:val="auto"/>
                <w:sz w:val="22"/>
                <w:szCs w:val="22"/>
                <w:highlight w:val="none"/>
                <w:lang w:val="en-US" w:eastAsia="zh-CN"/>
              </w:rPr>
              <w:t>9</w:t>
            </w:r>
            <w:r>
              <w:rPr>
                <w:rFonts w:hint="eastAsia" w:ascii="仿宋" w:hAnsi="仿宋" w:eastAsia="仿宋" w:cs="仿宋"/>
                <w:color w:val="auto"/>
                <w:sz w:val="22"/>
                <w:szCs w:val="22"/>
                <w:highlight w:val="none"/>
                <w:lang w:val="zh-CN" w:eastAsia="zh-CN"/>
              </w:rPr>
              <w:t>）</w:t>
            </w:r>
            <w:r>
              <w:rPr>
                <w:rFonts w:hint="eastAsia" w:ascii="仿宋" w:hAnsi="仿宋" w:eastAsia="仿宋" w:cs="仿宋"/>
                <w:color w:val="auto"/>
                <w:sz w:val="22"/>
                <w:szCs w:val="22"/>
                <w:highlight w:val="none"/>
                <w:lang w:val="en-US" w:eastAsia="zh-CN"/>
              </w:rPr>
              <w:t>投标人提供足额缴纳投标保证金凭证或金融机构担保机构机构出具的保函。</w:t>
            </w:r>
          </w:p>
          <w:p w14:paraId="39D53F7B">
            <w:pPr>
              <w:keepNext w:val="0"/>
              <w:keepLines w:val="0"/>
              <w:pageBreakBefore w:val="0"/>
              <w:widowControl w:val="0"/>
              <w:numPr>
                <w:ilvl w:val="0"/>
                <w:numId w:val="0"/>
              </w:numPr>
              <w:kinsoku/>
              <w:wordWrap/>
              <w:overflowPunct/>
              <w:topLinePunct w:val="0"/>
              <w:bidi w:val="0"/>
              <w:adjustRightInd/>
              <w:snapToGrid/>
              <w:spacing w:line="460" w:lineRule="exact"/>
              <w:ind w:right="0" w:rightChars="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2.落实政府采购政策需满足的资格要求：/；</w:t>
            </w:r>
          </w:p>
          <w:p w14:paraId="57AA3903">
            <w:pPr>
              <w:keepNext w:val="0"/>
              <w:keepLines w:val="0"/>
              <w:pageBreakBefore w:val="0"/>
              <w:widowControl w:val="0"/>
              <w:numPr>
                <w:ilvl w:val="0"/>
                <w:numId w:val="0"/>
              </w:numPr>
              <w:kinsoku/>
              <w:wordWrap/>
              <w:overflowPunct/>
              <w:topLinePunct w:val="0"/>
              <w:bidi w:val="0"/>
              <w:adjustRightInd/>
              <w:snapToGrid/>
              <w:spacing w:line="460" w:lineRule="exact"/>
              <w:ind w:right="0" w:rightChars="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3.本项目的特定资格要求:/。</w:t>
            </w:r>
          </w:p>
          <w:p w14:paraId="43810C60">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备注：供应商根据采购项目的具体情况，在响应文件中应附一套完整的资格证明材料，缺少一项或某项达不到招标文件要求的按无效响应文件处理；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tc>
      </w:tr>
      <w:tr w14:paraId="1997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811" w:type="dxa"/>
            <w:noWrap w:val="0"/>
            <w:vAlign w:val="center"/>
          </w:tcPr>
          <w:p w14:paraId="5C1DAEC6">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47</w:t>
            </w:r>
          </w:p>
        </w:tc>
        <w:tc>
          <w:tcPr>
            <w:tcW w:w="2160" w:type="dxa"/>
            <w:noWrap w:val="0"/>
            <w:vAlign w:val="center"/>
          </w:tcPr>
          <w:p w14:paraId="4C68FDE0">
            <w:pPr>
              <w:pStyle w:val="37"/>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中小微型企业</w:t>
            </w:r>
          </w:p>
          <w:p w14:paraId="3639FAA1">
            <w:pPr>
              <w:pStyle w:val="37"/>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有关政策</w:t>
            </w:r>
          </w:p>
        </w:tc>
        <w:tc>
          <w:tcPr>
            <w:tcW w:w="6658" w:type="dxa"/>
            <w:noWrap w:val="0"/>
            <w:vAlign w:val="center"/>
          </w:tcPr>
          <w:p w14:paraId="0FE369A5">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 根据工信部等部委发布的《关于印发中小企业划型标准规定的通知》（工信部联企业[2011]300 号）规定执行；</w:t>
            </w:r>
          </w:p>
          <w:p w14:paraId="3FB6EDB9">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 本项目为</w:t>
            </w:r>
            <w:r>
              <w:rPr>
                <w:rFonts w:hint="eastAsia" w:ascii="仿宋" w:hAnsi="仿宋" w:eastAsia="仿宋" w:cs="仿宋"/>
                <w:color w:val="auto"/>
                <w:sz w:val="22"/>
                <w:szCs w:val="22"/>
                <w:highlight w:val="none"/>
                <w:lang w:val="en-US" w:eastAsia="zh-CN"/>
              </w:rPr>
              <w:t>不</w:t>
            </w:r>
            <w:r>
              <w:rPr>
                <w:rFonts w:hint="eastAsia" w:ascii="仿宋" w:hAnsi="仿宋" w:eastAsia="仿宋" w:cs="仿宋"/>
                <w:color w:val="auto"/>
                <w:sz w:val="22"/>
                <w:szCs w:val="22"/>
                <w:highlight w:val="none"/>
              </w:rPr>
              <w:t>专门面向中小/小微企业采购。</w:t>
            </w:r>
          </w:p>
          <w:p w14:paraId="7F757F2D">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rPr>
              <w:t>采购标的对应的</w:t>
            </w:r>
            <w:r>
              <w:rPr>
                <w:rFonts w:hint="eastAsia" w:ascii="仿宋" w:hAnsi="仿宋" w:eastAsia="仿宋" w:cs="仿宋"/>
                <w:b/>
                <w:bCs/>
                <w:color w:val="auto"/>
                <w:sz w:val="22"/>
                <w:szCs w:val="22"/>
                <w:highlight w:val="none"/>
                <w:lang w:eastAsia="zh-CN"/>
              </w:rPr>
              <w:t>中小</w:t>
            </w:r>
            <w:r>
              <w:rPr>
                <w:rFonts w:hint="eastAsia" w:ascii="仿宋" w:hAnsi="仿宋" w:eastAsia="仿宋" w:cs="仿宋"/>
                <w:b/>
                <w:bCs/>
                <w:color w:val="auto"/>
                <w:sz w:val="22"/>
                <w:szCs w:val="22"/>
                <w:highlight w:val="none"/>
              </w:rPr>
              <w:t>企业划分标准所属行业为</w:t>
            </w:r>
            <w:r>
              <w:rPr>
                <w:rFonts w:hint="eastAsia" w:ascii="仿宋" w:hAnsi="仿宋" w:eastAsia="仿宋" w:cs="仿宋"/>
                <w:b/>
                <w:bCs/>
                <w:color w:val="auto"/>
                <w:sz w:val="22"/>
                <w:szCs w:val="22"/>
                <w:highlight w:val="none"/>
                <w:u w:val="single"/>
                <w:lang w:eastAsia="zh-CN"/>
              </w:rPr>
              <w:t>工业</w:t>
            </w:r>
            <w:r>
              <w:rPr>
                <w:rFonts w:hint="eastAsia" w:ascii="仿宋" w:hAnsi="仿宋" w:eastAsia="仿宋" w:cs="仿宋"/>
                <w:b/>
                <w:bCs/>
                <w:color w:val="auto"/>
                <w:sz w:val="22"/>
                <w:szCs w:val="22"/>
                <w:highlight w:val="none"/>
              </w:rPr>
              <w:t>。</w:t>
            </w:r>
          </w:p>
          <w:p w14:paraId="75002A4D">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工业（包括采矿业，制造业，电力、热力、燃气及水生产和供应业）。</w:t>
            </w:r>
            <w:r>
              <w:rPr>
                <w:rFonts w:hint="eastAsia" w:ascii="仿宋" w:hAnsi="仿宋" w:eastAsia="仿宋" w:cs="仿宋"/>
                <w:color w:val="auto"/>
                <w:sz w:val="22"/>
                <w:szCs w:val="22"/>
                <w:highlight w:val="none"/>
                <w:lang w:eastAsia="zh-CN"/>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6709D86">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b/>
                <w:bCs/>
                <w:color w:val="auto"/>
                <w:sz w:val="22"/>
                <w:szCs w:val="22"/>
                <w:highlight w:val="none"/>
                <w:lang w:eastAsia="zh-CN"/>
              </w:rPr>
            </w:pPr>
            <w:r>
              <w:rPr>
                <w:rFonts w:hint="eastAsia" w:ascii="仿宋" w:hAnsi="仿宋" w:eastAsia="仿宋" w:cs="仿宋"/>
                <w:b/>
                <w:bCs/>
                <w:color w:val="auto"/>
                <w:sz w:val="22"/>
                <w:szCs w:val="22"/>
                <w:highlight w:val="none"/>
                <w:lang w:eastAsia="zh-CN"/>
              </w:rPr>
              <w:t>注：若供应商提供的《中小企业声明函》中填写的行业与</w:t>
            </w:r>
            <w:r>
              <w:rPr>
                <w:rFonts w:hint="eastAsia" w:ascii="仿宋" w:hAnsi="仿宋" w:eastAsia="仿宋" w:cs="仿宋"/>
                <w:b/>
                <w:bCs/>
                <w:color w:val="auto"/>
                <w:sz w:val="22"/>
                <w:szCs w:val="22"/>
                <w:highlight w:val="none"/>
                <w:lang w:val="en-US" w:eastAsia="zh-CN"/>
              </w:rPr>
              <w:t>采购</w:t>
            </w:r>
            <w:r>
              <w:rPr>
                <w:rFonts w:hint="eastAsia" w:ascii="仿宋" w:hAnsi="仿宋" w:eastAsia="仿宋" w:cs="仿宋"/>
                <w:b/>
                <w:bCs/>
                <w:color w:val="auto"/>
                <w:sz w:val="22"/>
                <w:szCs w:val="22"/>
                <w:highlight w:val="none"/>
                <w:lang w:eastAsia="zh-CN"/>
              </w:rPr>
              <w:t>文件中明确的采购标的对应的中小企业划分标准所属行业不一致，则不予认定为中小企业。</w:t>
            </w:r>
          </w:p>
          <w:p w14:paraId="78B162C1">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(3) 根据《政府采购促进中小企业发展管理办法》（财库﹝2020﹞46 号）文件和《关于进一步加大政府采购支持中小企业力度的通知》（财库〔2022〕19 号）文件的规定，对非专门面向中小企业采购的采购项目，采购人、采购代理机构将对小型或微型企业报价给予10%—20%的扣除，用扣除后的价格参加评审（扣除后的价格仅作为评标使用）。</w:t>
            </w:r>
            <w:r>
              <w:rPr>
                <w:rFonts w:hint="eastAsia" w:ascii="仿宋" w:hAnsi="仿宋" w:eastAsia="仿宋" w:cs="仿宋"/>
                <w:b/>
                <w:bCs/>
                <w:color w:val="auto"/>
                <w:sz w:val="22"/>
                <w:szCs w:val="22"/>
                <w:highlight w:val="none"/>
                <w:lang w:eastAsia="zh-CN"/>
              </w:rPr>
              <w:t>本项目对全部提供小型和微型企业的价格给予</w:t>
            </w:r>
            <w:r>
              <w:rPr>
                <w:rFonts w:hint="eastAsia" w:ascii="仿宋" w:hAnsi="仿宋" w:eastAsia="仿宋" w:cs="仿宋"/>
                <w:b/>
                <w:bCs/>
                <w:color w:val="auto"/>
                <w:sz w:val="22"/>
                <w:szCs w:val="22"/>
                <w:highlight w:val="none"/>
                <w:u w:val="single"/>
                <w:lang w:val="en-US" w:eastAsia="zh-CN"/>
              </w:rPr>
              <w:t>10</w:t>
            </w:r>
            <w:r>
              <w:rPr>
                <w:rFonts w:hint="eastAsia" w:ascii="仿宋" w:hAnsi="仿宋" w:eastAsia="仿宋" w:cs="仿宋"/>
                <w:b/>
                <w:bCs/>
                <w:color w:val="auto"/>
                <w:sz w:val="22"/>
                <w:szCs w:val="22"/>
                <w:highlight w:val="none"/>
                <w:u w:val="single"/>
                <w:lang w:eastAsia="zh-CN"/>
              </w:rPr>
              <w:t>%</w:t>
            </w:r>
            <w:r>
              <w:rPr>
                <w:rFonts w:hint="eastAsia" w:ascii="仿宋" w:hAnsi="仿宋" w:eastAsia="仿宋" w:cs="仿宋"/>
                <w:b/>
                <w:bCs/>
                <w:color w:val="auto"/>
                <w:sz w:val="22"/>
                <w:szCs w:val="22"/>
                <w:highlight w:val="none"/>
                <w:lang w:eastAsia="zh-CN"/>
              </w:rPr>
              <w:t>的扣除，用扣除后的价格参与评审。</w:t>
            </w:r>
            <w:r>
              <w:rPr>
                <w:rFonts w:hint="eastAsia" w:ascii="仿宋" w:hAnsi="仿宋" w:eastAsia="仿宋" w:cs="仿宋"/>
                <w:color w:val="auto"/>
                <w:sz w:val="22"/>
                <w:szCs w:val="22"/>
                <w:highlight w:val="none"/>
                <w:lang w:eastAsia="zh-CN"/>
              </w:rPr>
              <w:t>监狱企业、残疾人福利性单位视同小型、微型企业。如供应商同时满足监狱企业、残疾人福利性单位和小型、微型企业中一种或多种情形，不叠加享受价格扣除优惠政策，其报价仅扣除一次。</w:t>
            </w:r>
          </w:p>
          <w:p w14:paraId="3B64146A">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(4)根据中华人民共和国财政部、中华人民共和国民政部、中国残疾人联合会《关于促进残疾人就业政府采购政策的通知》（财库〔2017〕141 号）文件的规定：残疾人福利性单位视同小型、微型企业。</w:t>
            </w:r>
          </w:p>
          <w:p w14:paraId="36BCC372">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(5)根据财政部、司法部《关于政府采购支持监狱企业发展有关问题的通知》(财库【2014】68 号)文件的规定：在政府采购活动中，监狱企业视同小型、微型企业。</w:t>
            </w:r>
          </w:p>
          <w:p w14:paraId="1FEAE2A8">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(6)供应商若为残疾人福利性单位，须在投标文件中提供《残疾人福利性单位声明函》，供应商须对其声明的真实性负责，若与事实不符的，将依照《政府采购法》第七十七条第一款的规定追究法律责任。</w:t>
            </w:r>
          </w:p>
        </w:tc>
      </w:tr>
      <w:tr w14:paraId="3289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8" w:hRule="atLeast"/>
          <w:jc w:val="center"/>
        </w:trPr>
        <w:tc>
          <w:tcPr>
            <w:tcW w:w="811" w:type="dxa"/>
            <w:noWrap w:val="0"/>
            <w:vAlign w:val="center"/>
          </w:tcPr>
          <w:p w14:paraId="37A7F2BF">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48</w:t>
            </w:r>
          </w:p>
        </w:tc>
        <w:tc>
          <w:tcPr>
            <w:tcW w:w="2160" w:type="dxa"/>
            <w:noWrap w:val="0"/>
            <w:vAlign w:val="center"/>
          </w:tcPr>
          <w:p w14:paraId="23583C29">
            <w:pPr>
              <w:pStyle w:val="37"/>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政府采购本国产品标准及相关政策</w:t>
            </w:r>
          </w:p>
          <w:p w14:paraId="2C9E20F2">
            <w:pPr>
              <w:pStyle w:val="37"/>
              <w:keepNext w:val="0"/>
              <w:keepLines w:val="0"/>
              <w:pageBreakBefore w:val="0"/>
              <w:widowControl w:val="0"/>
              <w:kinsoku/>
              <w:wordWrap/>
              <w:overflowPunct/>
              <w:topLinePunct w:val="0"/>
              <w:bidi w:val="0"/>
              <w:snapToGrid/>
              <w:spacing w:line="400" w:lineRule="exact"/>
              <w:jc w:val="center"/>
              <w:textAlignment w:val="auto"/>
              <w:rPr>
                <w:rFonts w:hint="eastAsia" w:ascii="仿宋" w:hAnsi="仿宋" w:eastAsia="仿宋" w:cs="仿宋"/>
                <w:color w:val="auto"/>
                <w:sz w:val="22"/>
                <w:szCs w:val="22"/>
                <w:highlight w:val="none"/>
                <w:lang w:val="en-US" w:eastAsia="zh-CN"/>
              </w:rPr>
            </w:pPr>
          </w:p>
        </w:tc>
        <w:tc>
          <w:tcPr>
            <w:tcW w:w="6658" w:type="dxa"/>
            <w:noWrap w:val="0"/>
            <w:vAlign w:val="center"/>
          </w:tcPr>
          <w:p w14:paraId="645A26FB">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需要落实政府采购政策：《国务院办公厅关于在政府采购中实施本国产品标准及相关政策的通知》（国办发〔2025〕34号）及相关规定。</w:t>
            </w:r>
          </w:p>
          <w:p w14:paraId="4C23EBF5">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符合《国务院办公厅关于在政府采购中实施本国产品标准及相关政策的通知》（国办发〔2025〕34号）规定的本国产品情形的，可享受的本国产品的支持政策，用扣除后的价格参加评审。</w:t>
            </w:r>
          </w:p>
          <w:p w14:paraId="0F4FCE43">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（1）当政府采购活动中既有本国产品又有非本国产品参与竞争的，依法对本国产品给予价格评审优惠，对本国产品的报价给予20%的价格扣除，用扣除后的价格参与评审。</w:t>
            </w:r>
          </w:p>
          <w:p w14:paraId="31A27DE0">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16ED922">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符合以上政策价格评审优惠政策的，需按以下要求提供证明文件，否则不予享受价格评审优惠政策：</w:t>
            </w:r>
          </w:p>
          <w:p w14:paraId="0A4362C8">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（一）产品在中国境内生产的组件成本核算规则。产品在中国境内生产的组件成本，按照《中国境内生产的组件成本核算基本规则》（见第五章 投标文件格式）计算。</w:t>
            </w:r>
          </w:p>
          <w:p w14:paraId="7B3C3FDD">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（二）有关证明文件。采购人、采购代理机构应当在采购文件中明确要求供应商对其提供的产品出具《关于符合本国产品标准的声明函》（样式见第</w:t>
            </w:r>
            <w:r>
              <w:rPr>
                <w:rFonts w:hint="eastAsia" w:ascii="仿宋" w:hAnsi="仿宋" w:eastAsia="仿宋" w:cs="仿宋"/>
                <w:color w:val="auto"/>
                <w:sz w:val="22"/>
                <w:szCs w:val="22"/>
                <w:highlight w:val="none"/>
                <w:lang w:val="en-US" w:eastAsia="zh-CN"/>
              </w:rPr>
              <w:t>六</w:t>
            </w:r>
            <w:r>
              <w:rPr>
                <w:rFonts w:hint="eastAsia" w:ascii="仿宋" w:hAnsi="仿宋" w:eastAsia="仿宋" w:cs="仿宋"/>
                <w:color w:val="auto"/>
                <w:sz w:val="22"/>
                <w:szCs w:val="22"/>
                <w:highlight w:val="none"/>
                <w:lang w:eastAsia="zh-CN"/>
              </w:rPr>
              <w:t>章 投标文件格式，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12FDFF5">
            <w:pPr>
              <w:keepNext w:val="0"/>
              <w:keepLines w:val="0"/>
              <w:pageBreakBefore w:val="0"/>
              <w:widowControl w:val="0"/>
              <w:kinsoku/>
              <w:wordWrap/>
              <w:overflowPunct/>
              <w:topLinePunct w:val="0"/>
              <w:bidi w:val="0"/>
              <w:snapToGrid/>
              <w:spacing w:line="400" w:lineRule="exact"/>
              <w:ind w:right="0" w:rightChars="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采购人、采购代理机构应当随中标、成交结果同时公告中标、成交供应商提供的《声明函》或有关证明文件。</w:t>
            </w:r>
          </w:p>
        </w:tc>
      </w:tr>
      <w:tr w14:paraId="0683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jc w:val="center"/>
        </w:trPr>
        <w:tc>
          <w:tcPr>
            <w:tcW w:w="811" w:type="dxa"/>
            <w:noWrap w:val="0"/>
            <w:vAlign w:val="center"/>
          </w:tcPr>
          <w:p w14:paraId="08027680">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48</w:t>
            </w:r>
          </w:p>
        </w:tc>
        <w:tc>
          <w:tcPr>
            <w:tcW w:w="2160" w:type="dxa"/>
            <w:noWrap w:val="0"/>
            <w:vAlign w:val="center"/>
          </w:tcPr>
          <w:p w14:paraId="69A34C77">
            <w:pPr>
              <w:pStyle w:val="37"/>
              <w:keepNext w:val="0"/>
              <w:keepLines w:val="0"/>
              <w:pageBreakBefore w:val="0"/>
              <w:widowControl w:val="0"/>
              <w:kinsoku/>
              <w:wordWrap/>
              <w:overflowPunct/>
              <w:topLinePunct w:val="0"/>
              <w:bidi w:val="0"/>
              <w:adjustRightInd w:val="0"/>
              <w:snapToGrid w:val="0"/>
              <w:spacing w:line="400" w:lineRule="exact"/>
              <w:ind w:left="0" w:leftChars="0" w:right="0" w:rightChars="0" w:firstLine="0" w:firstLineChars="0"/>
              <w:jc w:val="center"/>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核心产品</w:t>
            </w:r>
          </w:p>
        </w:tc>
        <w:tc>
          <w:tcPr>
            <w:tcW w:w="6658" w:type="dxa"/>
            <w:noWrap w:val="0"/>
            <w:vAlign w:val="center"/>
          </w:tcPr>
          <w:p w14:paraId="00C12CA3">
            <w:pPr>
              <w:pStyle w:val="67"/>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sym w:font="Wingdings" w:char="00A8"/>
            </w:r>
            <w:r>
              <w:rPr>
                <w:rFonts w:hint="eastAsia" w:ascii="仿宋" w:hAnsi="仿宋" w:eastAsia="仿宋" w:cs="仿宋"/>
                <w:color w:val="auto"/>
                <w:kern w:val="2"/>
                <w:sz w:val="22"/>
                <w:szCs w:val="22"/>
                <w:highlight w:val="none"/>
                <w:lang w:val="en-US" w:eastAsia="zh-CN" w:bidi="ar-SA"/>
              </w:rPr>
              <w:t xml:space="preserve">本项目适用。 </w:t>
            </w:r>
          </w:p>
          <w:p w14:paraId="38C1373B">
            <w:pPr>
              <w:pStyle w:val="67"/>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sym w:font="Wingdings" w:char="00A8"/>
            </w:r>
            <w:r>
              <w:rPr>
                <w:rFonts w:hint="eastAsia" w:ascii="仿宋" w:hAnsi="仿宋" w:eastAsia="仿宋" w:cs="仿宋"/>
                <w:color w:val="auto"/>
                <w:kern w:val="2"/>
                <w:sz w:val="22"/>
                <w:szCs w:val="22"/>
                <w:highlight w:val="none"/>
                <w:lang w:val="en-US" w:eastAsia="zh-CN" w:bidi="ar-SA"/>
              </w:rPr>
              <w:t xml:space="preserve">本项目为单一产品采购项目。 </w:t>
            </w:r>
          </w:p>
          <w:p w14:paraId="07154B9A">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0" w:rightChars="0"/>
              <w:textAlignment w:val="auto"/>
              <w:rPr>
                <w:rFonts w:hint="eastAsia" w:ascii="仿宋" w:hAnsi="仿宋" w:eastAsia="仿宋" w:cs="仿宋"/>
                <w:b/>
                <w:bCs/>
                <w:color w:val="auto"/>
                <w:kern w:val="2"/>
                <w:sz w:val="22"/>
                <w:szCs w:val="22"/>
                <w:highlight w:val="none"/>
                <w:u w:val="single"/>
                <w:lang w:val="en-US" w:eastAsia="zh-CN" w:bidi="ar-SA"/>
              </w:rPr>
            </w:pPr>
            <w:r>
              <w:rPr>
                <w:rFonts w:hint="eastAsia" w:ascii="仿宋" w:hAnsi="仿宋" w:eastAsia="仿宋" w:cs="仿宋"/>
                <w:b/>
                <w:bCs/>
                <w:color w:val="auto"/>
                <w:kern w:val="2"/>
                <w:sz w:val="22"/>
                <w:szCs w:val="22"/>
                <w:highlight w:val="none"/>
                <w:lang w:val="en-US" w:eastAsia="zh-CN" w:bidi="ar-SA"/>
              </w:rPr>
              <w:sym w:font="Wingdings" w:char="00FE"/>
            </w:r>
            <w:r>
              <w:rPr>
                <w:rFonts w:hint="eastAsia" w:ascii="仿宋" w:hAnsi="仿宋" w:eastAsia="仿宋" w:cs="仿宋"/>
                <w:b/>
                <w:bCs/>
                <w:color w:val="auto"/>
                <w:kern w:val="2"/>
                <w:sz w:val="22"/>
                <w:szCs w:val="22"/>
                <w:highlight w:val="none"/>
                <w:lang w:val="en-US" w:eastAsia="zh-CN" w:bidi="ar-SA"/>
              </w:rPr>
              <w:t>本项目为非单一产品采购项目，本项目核心产品为</w:t>
            </w:r>
            <w:r>
              <w:rPr>
                <w:rFonts w:hint="eastAsia" w:ascii="仿宋" w:hAnsi="仿宋" w:eastAsia="仿宋" w:cs="仿宋"/>
                <w:b/>
                <w:bCs/>
                <w:color w:val="auto"/>
                <w:kern w:val="2"/>
                <w:sz w:val="22"/>
                <w:szCs w:val="22"/>
                <w:highlight w:val="none"/>
                <w:u w:val="none"/>
                <w:lang w:val="en-US" w:eastAsia="zh-CN" w:bidi="ar-SA"/>
              </w:rPr>
              <w:t>：</w:t>
            </w:r>
            <w:r>
              <w:rPr>
                <w:rFonts w:hint="eastAsia" w:ascii="仿宋" w:hAnsi="仿宋" w:eastAsia="仿宋" w:cs="仿宋"/>
                <w:b/>
                <w:bCs/>
                <w:color w:val="auto"/>
                <w:kern w:val="2"/>
                <w:sz w:val="22"/>
                <w:szCs w:val="22"/>
                <w:highlight w:val="none"/>
                <w:u w:val="single"/>
                <w:lang w:val="en-US" w:eastAsia="zh-CN" w:bidi="ar-SA"/>
              </w:rPr>
              <w:t>学生实验桌、智慧黑板、教学演示台、实验数据采集处理软件；</w:t>
            </w:r>
          </w:p>
          <w:p w14:paraId="32E02104">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right="0" w:right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1.核心产品相同品牌且通过资格审查、符合性审查的不同投标人参加同一合同项下投标的，按一家投标人计算，评审后得分最高的同品牌投标人获得中标人推荐资格；评审得分相同的，按照以下方式确定一个投标人获得中标人推荐资格，其他同品牌投标人不作为中标候选人。</w:t>
            </w:r>
          </w:p>
          <w:p w14:paraId="0CF10076">
            <w:pPr>
              <w:keepNext w:val="0"/>
              <w:keepLines w:val="0"/>
              <w:pageBreakBefore w:val="0"/>
              <w:widowControl w:val="0"/>
              <w:kinsoku/>
              <w:wordWrap/>
              <w:overflowPunct/>
              <w:topLinePunct w:val="0"/>
              <w:bidi w:val="0"/>
              <w:adjustRightInd w:val="0"/>
              <w:snapToGrid w:val="0"/>
              <w:spacing w:line="400" w:lineRule="exact"/>
              <w:ind w:left="0" w:right="0" w:right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其他：得分相同的，按投标报价由低到高顺序排列。得分且投标报价相同的，投标文件满足招标文件全部实质性要求且按评审因素的量化指标评审得分最高的投标人为排名第一的中标候选人。</w:t>
            </w:r>
          </w:p>
          <w:p w14:paraId="697A776E">
            <w:pPr>
              <w:keepNext w:val="0"/>
              <w:keepLines w:val="0"/>
              <w:pageBreakBefore w:val="0"/>
              <w:widowControl w:val="0"/>
              <w:kinsoku/>
              <w:wordWrap/>
              <w:overflowPunct/>
              <w:topLinePunct w:val="0"/>
              <w:bidi w:val="0"/>
              <w:adjustRightInd w:val="0"/>
              <w:snapToGrid w:val="0"/>
              <w:spacing w:line="400" w:lineRule="exact"/>
              <w:ind w:left="0" w:right="0" w:right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2.产品中标后验收过程中如果发现有不满足招标要求的、篡改参数，投标产品与交货产品不一致的，用户可以拒绝付款，并列入黑名单。</w:t>
            </w:r>
          </w:p>
        </w:tc>
      </w:tr>
      <w:tr w14:paraId="6687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1" w:type="dxa"/>
            <w:noWrap w:val="0"/>
            <w:vAlign w:val="center"/>
          </w:tcPr>
          <w:p w14:paraId="14E6DC8B">
            <w:pPr>
              <w:pStyle w:val="37"/>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0" w:firstLineChars="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49</w:t>
            </w:r>
          </w:p>
        </w:tc>
        <w:tc>
          <w:tcPr>
            <w:tcW w:w="2160" w:type="dxa"/>
            <w:noWrap w:val="0"/>
            <w:vAlign w:val="center"/>
          </w:tcPr>
          <w:p w14:paraId="0031AC65">
            <w:pPr>
              <w:pStyle w:val="37"/>
              <w:keepNext w:val="0"/>
              <w:keepLines w:val="0"/>
              <w:pageBreakBefore w:val="0"/>
              <w:kinsoku/>
              <w:wordWrap/>
              <w:overflowPunct/>
              <w:topLinePunct w:val="0"/>
              <w:bidi w:val="0"/>
              <w:snapToGrid/>
              <w:spacing w:line="480" w:lineRule="exact"/>
              <w:ind w:left="0" w:leftChars="0" w:right="0" w:rightChars="0" w:firstLine="0" w:firstLineChars="0"/>
              <w:jc w:val="center"/>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其他</w:t>
            </w:r>
          </w:p>
        </w:tc>
        <w:tc>
          <w:tcPr>
            <w:tcW w:w="6658" w:type="dxa"/>
            <w:noWrap w:val="0"/>
            <w:vAlign w:val="center"/>
          </w:tcPr>
          <w:p w14:paraId="502816F6">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（1）政府采购评审中出现下列情形之一的，评审委员会应当启动异常低价投标（响应） 审查程序：</w:t>
            </w:r>
          </w:p>
          <w:p w14:paraId="0BFED4E0">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1.投标（响应）报价低于全部通过符合性审查供应商投标（响应）报价平均值50%的，即投标（响应）报价&lt;全部通过符合性审查供应商投标（响应）报价平均值×50%； </w:t>
            </w:r>
          </w:p>
          <w:p w14:paraId="3ED0395A">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2.投标（响应）报价低于通过符合性审查的次低报价供应商投标（响应）报价50%的，即投标（响应）报价&lt;通过符合性审查的次低报价供应商投标（响应）报价×50%； </w:t>
            </w:r>
          </w:p>
          <w:p w14:paraId="4A317712">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3.投标（响应）报价低于采购项目最高限价45%的，即投标（响应）报价&lt;采购项目最高限价×45%； </w:t>
            </w:r>
          </w:p>
          <w:p w14:paraId="61E41F87">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4.评审委员会基于专业判断，认为供应商报价过低，有可能影响产品质量或者不能诚信履约的其他情形。 </w:t>
            </w:r>
          </w:p>
          <w:p w14:paraId="7F71B167">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p>
          <w:p w14:paraId="7A68FCD3">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10C7217F">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（2）投标文件制作工具，请在新疆政府采购网政采云平台首页--下载专区--电子招投标客户端下载中进行下载。</w:t>
            </w:r>
          </w:p>
          <w:p w14:paraId="7FC20FA2">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（3）“电子投标文件”指利用新疆政府采购网政采云平台提供的“电子投标文件制作工具”编制加密的投标文件。</w:t>
            </w:r>
          </w:p>
          <w:p w14:paraId="38AC1DC5">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66C26398">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文件解释权：本招标文件的解释权归新疆万启工程项目管理有限公司所有，当对一个问题有多种解释时以采购代理机构解释为准。采购文件未作须知明示，而又有法律法规规定的，采购代理机构将依据法律法规的规定进行解释。</w:t>
            </w:r>
          </w:p>
          <w:p w14:paraId="11F770F4">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（6）录音录像：采购代理机构对开标、投标人资格审查和评标过程进行全程录音录像，并存档备查。</w:t>
            </w:r>
          </w:p>
          <w:p w14:paraId="73A49F11">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（7）合格投标人不足3家的，不得评标，不合格的投标人，不得进入评标环节。</w:t>
            </w:r>
          </w:p>
          <w:p w14:paraId="64CFBCE1">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（8）所有投标单位对招标文件中所有条款如有疑问或异议或质疑请在收到招标文件时间7个工作日内以书面形式（加盖公章）递交至新疆万启工程项目管理有限公司，否则不予受理。</w:t>
            </w:r>
          </w:p>
          <w:p w14:paraId="669F557E">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递交方式：纸质版递交</w:t>
            </w:r>
            <w:r>
              <w:rPr>
                <w:rFonts w:hint="eastAsia" w:ascii="仿宋" w:hAnsi="仿宋" w:eastAsia="仿宋" w:cs="仿宋"/>
                <w:color w:val="auto"/>
                <w:sz w:val="22"/>
                <w:szCs w:val="22"/>
                <w:highlight w:val="none"/>
                <w:lang w:val="en-US" w:eastAsia="zh-CN"/>
              </w:rPr>
              <w:tab/>
            </w:r>
          </w:p>
          <w:p w14:paraId="046B28B6">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接收人：李梦</w:t>
            </w:r>
          </w:p>
          <w:p w14:paraId="35106C16">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接收部门：新疆万启工程项目管理有限公司</w:t>
            </w:r>
          </w:p>
          <w:p w14:paraId="05F04633">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接受地址：</w:t>
            </w:r>
            <w:r>
              <w:rPr>
                <w:rFonts w:hint="eastAsia" w:ascii="仿宋" w:hAnsi="仿宋" w:eastAsia="仿宋" w:cs="仿宋"/>
                <w:i w:val="0"/>
                <w:iCs w:val="0"/>
                <w:color w:val="auto"/>
                <w:sz w:val="22"/>
                <w:szCs w:val="22"/>
                <w:highlight w:val="none"/>
                <w:u w:val="none"/>
                <w:lang w:eastAsia="zh-CN"/>
              </w:rPr>
              <w:t>伊宁市金茂新天地B座16楼</w:t>
            </w:r>
          </w:p>
          <w:p w14:paraId="72699ECD">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联系电话：18116999102</w:t>
            </w:r>
          </w:p>
          <w:p w14:paraId="310468F6">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（9）请各投标单位认真阅读并充分响应招标文件要求，以免造成投标失败。</w:t>
            </w:r>
          </w:p>
          <w:p w14:paraId="6AD163E9">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（10）为保证本项目产品质量及良好的服务，最低报价不作为中标的唯一依据。</w:t>
            </w:r>
          </w:p>
          <w:p w14:paraId="5C077CDF">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11）投标文件中有弄虚作假的内容，其投标文件作废。（如假证书、假业绩、隐瞒不良行为记录、夸大荣誉、使用非本单位在职员工的相关证件及不符合招标文件规定的条款等）；在签订合同之前，采购人如发现投标人的投标文件有弄虚作假内容，招标人可拒绝与其签订合同。并将其列入政府采购黑名单库。</w:t>
            </w:r>
          </w:p>
          <w:p w14:paraId="1BBB2AE5">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（12）若招标文件有前后不一致的地方，以投标须知前附表为准。</w:t>
            </w:r>
          </w:p>
          <w:p w14:paraId="548F119F">
            <w:pPr>
              <w:keepNext w:val="0"/>
              <w:keepLines w:val="0"/>
              <w:pageBreakBefore w:val="0"/>
              <w:widowControl w:val="0"/>
              <w:kinsoku/>
              <w:wordWrap/>
              <w:overflowPunct/>
              <w:topLinePunct w:val="0"/>
              <w:bidi w:val="0"/>
              <w:adjustRightInd/>
              <w:snapToGrid/>
              <w:spacing w:line="480" w:lineRule="exact"/>
              <w:ind w:left="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（13）本次采购项目属性：货物。</w:t>
            </w:r>
          </w:p>
        </w:tc>
      </w:tr>
    </w:tbl>
    <w:p w14:paraId="0B33A9F5">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2"/>
          <w:szCs w:val="22"/>
          <w:highlight w:val="none"/>
        </w:rPr>
      </w:pPr>
      <w:r>
        <w:rPr>
          <w:rFonts w:hint="eastAsia" w:ascii="仿宋" w:hAnsi="仿宋" w:eastAsia="仿宋" w:cs="仿宋"/>
          <w:color w:val="auto"/>
          <w:highlight w:val="none"/>
        </w:rPr>
        <w:br w:type="page"/>
      </w:r>
      <w:bookmarkEnd w:id="13"/>
      <w:bookmarkEnd w:id="14"/>
      <w:bookmarkEnd w:id="15"/>
      <w:bookmarkEnd w:id="16"/>
      <w:bookmarkStart w:id="63" w:name="_Toc89075873"/>
      <w:bookmarkStart w:id="64" w:name="_Toc12116"/>
      <w:bookmarkStart w:id="65" w:name="_Toc217446033"/>
      <w:bookmarkStart w:id="66" w:name="_Toc77400778"/>
      <w:bookmarkStart w:id="67" w:name="_Toc183582204"/>
      <w:bookmarkStart w:id="68" w:name="_Toc183682341"/>
      <w:r>
        <w:rPr>
          <w:rFonts w:hint="eastAsia" w:ascii="仿宋" w:hAnsi="仿宋" w:eastAsia="仿宋" w:cs="仿宋"/>
          <w:bCs/>
          <w:color w:val="auto"/>
          <w:sz w:val="28"/>
          <w:szCs w:val="28"/>
          <w:highlight w:val="none"/>
        </w:rPr>
        <w:t>1.总  则</w:t>
      </w:r>
      <w:bookmarkEnd w:id="63"/>
      <w:bookmarkEnd w:id="64"/>
      <w:bookmarkEnd w:id="65"/>
      <w:bookmarkEnd w:id="66"/>
      <w:bookmarkEnd w:id="67"/>
      <w:bookmarkEnd w:id="68"/>
      <w:bookmarkStart w:id="69" w:name="_Toc183682342"/>
      <w:bookmarkStart w:id="70" w:name="_Toc183582205"/>
      <w:bookmarkStart w:id="71" w:name="_Toc217446034"/>
    </w:p>
    <w:p w14:paraId="1844E8ED">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bCs/>
          <w:color w:val="auto"/>
          <w:sz w:val="22"/>
          <w:szCs w:val="22"/>
          <w:highlight w:val="none"/>
        </w:rPr>
      </w:pPr>
      <w:bookmarkStart w:id="72" w:name="_Toc25043"/>
      <w:r>
        <w:rPr>
          <w:rFonts w:hint="eastAsia" w:ascii="仿宋" w:hAnsi="仿宋" w:eastAsia="仿宋" w:cs="仿宋"/>
          <w:color w:val="auto"/>
          <w:sz w:val="22"/>
          <w:szCs w:val="22"/>
          <w:highlight w:val="none"/>
        </w:rPr>
        <w:t>1.</w:t>
      </w:r>
      <w:bookmarkEnd w:id="69"/>
      <w:bookmarkEnd w:id="70"/>
      <w:r>
        <w:rPr>
          <w:rFonts w:hint="eastAsia" w:ascii="仿宋" w:hAnsi="仿宋" w:eastAsia="仿宋" w:cs="仿宋"/>
          <w:color w:val="auto"/>
          <w:sz w:val="22"/>
          <w:szCs w:val="22"/>
          <w:highlight w:val="none"/>
        </w:rPr>
        <w:t>1适用范围</w:t>
      </w:r>
      <w:bookmarkEnd w:id="71"/>
      <w:bookmarkEnd w:id="72"/>
    </w:p>
    <w:p w14:paraId="03144AC9">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本招标文件仅适用于本次公开招标所叙述的货物（产品）项目采购活动。</w:t>
      </w:r>
      <w:bookmarkStart w:id="73" w:name="_Toc183682343"/>
      <w:bookmarkStart w:id="74" w:name="_Toc217446035"/>
      <w:bookmarkStart w:id="75" w:name="_Toc183582206"/>
    </w:p>
    <w:p w14:paraId="4FAB3EBC">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76" w:name="_Toc6321"/>
      <w:r>
        <w:rPr>
          <w:rFonts w:hint="eastAsia" w:ascii="仿宋" w:hAnsi="仿宋" w:eastAsia="仿宋" w:cs="仿宋"/>
          <w:color w:val="auto"/>
          <w:sz w:val="22"/>
          <w:szCs w:val="22"/>
          <w:highlight w:val="none"/>
        </w:rPr>
        <w:t>1.2</w:t>
      </w:r>
      <w:bookmarkEnd w:id="73"/>
      <w:bookmarkEnd w:id="74"/>
      <w:bookmarkEnd w:id="75"/>
      <w:r>
        <w:rPr>
          <w:rFonts w:hint="eastAsia" w:ascii="仿宋" w:hAnsi="仿宋" w:eastAsia="仿宋" w:cs="仿宋"/>
          <w:color w:val="auto"/>
          <w:sz w:val="22"/>
          <w:szCs w:val="22"/>
          <w:highlight w:val="none"/>
        </w:rPr>
        <w:t>名词解释</w:t>
      </w:r>
      <w:bookmarkEnd w:id="76"/>
    </w:p>
    <w:p w14:paraId="00CF44F7">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
          <w:color w:val="auto"/>
          <w:sz w:val="22"/>
          <w:szCs w:val="22"/>
          <w:highlight w:val="none"/>
        </w:rPr>
      </w:pPr>
      <w:bookmarkStart w:id="77" w:name="_Toc183582207"/>
      <w:bookmarkStart w:id="78" w:name="_Toc217446036"/>
      <w:bookmarkStart w:id="79" w:name="_Toc217390843"/>
      <w:bookmarkStart w:id="80" w:name="_Toc183682344"/>
      <w:r>
        <w:rPr>
          <w:rFonts w:hint="eastAsia" w:ascii="仿宋" w:hAnsi="仿宋" w:eastAsia="仿宋" w:cs="仿宋"/>
          <w:color w:val="auto"/>
          <w:sz w:val="22"/>
          <w:szCs w:val="22"/>
          <w:highlight w:val="none"/>
        </w:rPr>
        <w:t>1.2.1</w:t>
      </w:r>
      <w:r>
        <w:rPr>
          <w:rFonts w:hint="eastAsia" w:ascii="仿宋" w:hAnsi="仿宋" w:eastAsia="仿宋" w:cs="仿宋"/>
          <w:b/>
          <w:color w:val="auto"/>
          <w:sz w:val="22"/>
          <w:szCs w:val="22"/>
          <w:highlight w:val="none"/>
        </w:rPr>
        <w:t>采购人</w:t>
      </w:r>
      <w:r>
        <w:rPr>
          <w:rFonts w:hint="eastAsia" w:ascii="仿宋" w:hAnsi="仿宋" w:eastAsia="仿宋" w:cs="仿宋"/>
          <w:color w:val="auto"/>
          <w:sz w:val="22"/>
          <w:szCs w:val="22"/>
          <w:highlight w:val="none"/>
        </w:rPr>
        <w:t>系指依法进行采购的国家机关、事业单位、团体组织。本次采购的采购人名称、地址、电话、联系人见投标人须知前附表。</w:t>
      </w:r>
    </w:p>
    <w:p w14:paraId="179FA15D">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1.2.2</w:t>
      </w:r>
      <w:r>
        <w:rPr>
          <w:rFonts w:hint="eastAsia" w:ascii="仿宋" w:hAnsi="仿宋" w:eastAsia="仿宋" w:cs="仿宋"/>
          <w:b/>
          <w:color w:val="auto"/>
          <w:sz w:val="22"/>
          <w:szCs w:val="22"/>
          <w:highlight w:val="none"/>
        </w:rPr>
        <w:t>监督机构</w:t>
      </w:r>
      <w:r>
        <w:rPr>
          <w:rFonts w:hint="eastAsia" w:ascii="仿宋" w:hAnsi="仿宋" w:eastAsia="仿宋" w:cs="仿宋"/>
          <w:color w:val="auto"/>
          <w:sz w:val="22"/>
          <w:szCs w:val="22"/>
          <w:highlight w:val="none"/>
        </w:rPr>
        <w:t>系指监督管理部门。</w:t>
      </w:r>
    </w:p>
    <w:p w14:paraId="2CB13EA9">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1.2.3</w:t>
      </w:r>
      <w:r>
        <w:rPr>
          <w:rFonts w:hint="eastAsia" w:ascii="仿宋" w:hAnsi="仿宋" w:eastAsia="仿宋" w:cs="仿宋"/>
          <w:b/>
          <w:color w:val="auto"/>
          <w:sz w:val="22"/>
          <w:szCs w:val="22"/>
          <w:highlight w:val="none"/>
        </w:rPr>
        <w:t>采购代理机构</w:t>
      </w:r>
      <w:r>
        <w:rPr>
          <w:rFonts w:hint="eastAsia" w:ascii="仿宋" w:hAnsi="仿宋" w:eastAsia="仿宋" w:cs="仿宋"/>
          <w:color w:val="auto"/>
          <w:sz w:val="22"/>
          <w:szCs w:val="22"/>
          <w:highlight w:val="none"/>
        </w:rPr>
        <w:t>系指接受采购人委托，代理采购项目的依法经</w:t>
      </w:r>
      <w:r>
        <w:rPr>
          <w:rFonts w:hint="eastAsia" w:ascii="仿宋" w:hAnsi="仿宋" w:eastAsia="仿宋" w:cs="仿宋"/>
          <w:color w:val="auto"/>
          <w:sz w:val="22"/>
          <w:szCs w:val="22"/>
          <w:highlight w:val="none"/>
          <w:lang w:val="en-US" w:eastAsia="zh-CN"/>
        </w:rPr>
        <w:t>有关</w:t>
      </w:r>
      <w:r>
        <w:rPr>
          <w:rFonts w:hint="eastAsia" w:ascii="仿宋" w:hAnsi="仿宋" w:eastAsia="仿宋" w:cs="仿宋"/>
          <w:color w:val="auto"/>
          <w:sz w:val="22"/>
          <w:szCs w:val="22"/>
          <w:highlight w:val="none"/>
        </w:rPr>
        <w:t>部门认定资格的采购代理机构。本次采购的采购代理机构名称、地址、电话、联系人见投标人须知前附表。</w:t>
      </w:r>
    </w:p>
    <w:p w14:paraId="3437E49A">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1.2.4 </w:t>
      </w:r>
      <w:r>
        <w:rPr>
          <w:rFonts w:hint="eastAsia" w:ascii="仿宋" w:hAnsi="仿宋" w:eastAsia="仿宋" w:cs="仿宋"/>
          <w:b/>
          <w:color w:val="auto"/>
          <w:sz w:val="22"/>
          <w:szCs w:val="22"/>
          <w:highlight w:val="none"/>
        </w:rPr>
        <w:t>投标人</w:t>
      </w:r>
      <w:r>
        <w:rPr>
          <w:rFonts w:hint="eastAsia" w:ascii="仿宋" w:hAnsi="仿宋" w:eastAsia="仿宋" w:cs="仿宋"/>
          <w:color w:val="auto"/>
          <w:sz w:val="22"/>
          <w:szCs w:val="22"/>
          <w:highlight w:val="none"/>
        </w:rPr>
        <w:t>是指响应招标，参加投标竞争的法人或其他组织或个人。</w:t>
      </w:r>
    </w:p>
    <w:p w14:paraId="4F525A93">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1.2.5 </w:t>
      </w:r>
      <w:r>
        <w:rPr>
          <w:rFonts w:hint="eastAsia" w:ascii="仿宋" w:hAnsi="仿宋" w:eastAsia="仿宋" w:cs="仿宋"/>
          <w:b/>
          <w:color w:val="auto"/>
          <w:sz w:val="22"/>
          <w:szCs w:val="22"/>
          <w:highlight w:val="none"/>
        </w:rPr>
        <w:t>货物</w:t>
      </w:r>
      <w:r>
        <w:rPr>
          <w:rFonts w:hint="eastAsia" w:ascii="仿宋" w:hAnsi="仿宋" w:eastAsia="仿宋" w:cs="仿宋"/>
          <w:color w:val="auto"/>
          <w:sz w:val="22"/>
          <w:szCs w:val="22"/>
          <w:highlight w:val="none"/>
        </w:rPr>
        <w:t>是指本招标文件中第四章所述所有货物。</w:t>
      </w:r>
    </w:p>
    <w:p w14:paraId="09076E50">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1.2.6 </w:t>
      </w:r>
      <w:r>
        <w:rPr>
          <w:rFonts w:hint="eastAsia" w:ascii="仿宋" w:hAnsi="仿宋" w:eastAsia="仿宋" w:cs="仿宋"/>
          <w:b/>
          <w:color w:val="auto"/>
          <w:sz w:val="22"/>
          <w:szCs w:val="22"/>
          <w:highlight w:val="none"/>
        </w:rPr>
        <w:t>服务</w:t>
      </w:r>
      <w:r>
        <w:rPr>
          <w:rFonts w:hint="eastAsia" w:ascii="仿宋" w:hAnsi="仿宋" w:eastAsia="仿宋" w:cs="仿宋"/>
          <w:color w:val="auto"/>
          <w:sz w:val="22"/>
          <w:szCs w:val="22"/>
          <w:highlight w:val="none"/>
        </w:rPr>
        <w:t>是指人为满足招标文件要求而提供的服务。</w:t>
      </w:r>
    </w:p>
    <w:p w14:paraId="57E851D9">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1.2.7 </w:t>
      </w:r>
      <w:r>
        <w:rPr>
          <w:rFonts w:hint="eastAsia" w:ascii="仿宋" w:hAnsi="仿宋" w:eastAsia="仿宋" w:cs="仿宋"/>
          <w:b/>
          <w:color w:val="auto"/>
          <w:sz w:val="22"/>
          <w:szCs w:val="22"/>
          <w:highlight w:val="none"/>
        </w:rPr>
        <w:t>节能产品</w:t>
      </w:r>
      <w:r>
        <w:rPr>
          <w:rFonts w:hint="eastAsia" w:ascii="仿宋" w:hAnsi="仿宋" w:eastAsia="仿宋" w:cs="仿宋"/>
          <w:color w:val="auto"/>
          <w:sz w:val="22"/>
          <w:szCs w:val="22"/>
          <w:highlight w:val="none"/>
        </w:rPr>
        <w:t>指财政部、发展改革委、生态环境部等部门发布的《节能产品品目清单》中的产品。</w:t>
      </w:r>
    </w:p>
    <w:p w14:paraId="748B8548">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1.2.8 </w:t>
      </w:r>
      <w:r>
        <w:rPr>
          <w:rFonts w:hint="eastAsia" w:ascii="仿宋" w:hAnsi="仿宋" w:eastAsia="仿宋" w:cs="仿宋"/>
          <w:b/>
          <w:color w:val="auto"/>
          <w:sz w:val="22"/>
          <w:szCs w:val="22"/>
          <w:highlight w:val="none"/>
        </w:rPr>
        <w:t>环境标志产品</w:t>
      </w:r>
      <w:r>
        <w:rPr>
          <w:rFonts w:hint="eastAsia" w:ascii="仿宋" w:hAnsi="仿宋" w:eastAsia="仿宋" w:cs="仿宋"/>
          <w:color w:val="auto"/>
          <w:sz w:val="22"/>
          <w:szCs w:val="22"/>
          <w:highlight w:val="none"/>
        </w:rPr>
        <w:t>是指财政部、发展改革委、生态环境部等部门发布的《环境标志产品品目清单》中的产品。</w:t>
      </w:r>
    </w:p>
    <w:p w14:paraId="17E959F0">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 xml:space="preserve">1.2.9 </w:t>
      </w:r>
      <w:r>
        <w:rPr>
          <w:rFonts w:hint="eastAsia" w:ascii="仿宋" w:hAnsi="仿宋" w:eastAsia="仿宋" w:cs="仿宋"/>
          <w:b/>
          <w:color w:val="auto"/>
          <w:kern w:val="0"/>
          <w:sz w:val="22"/>
          <w:szCs w:val="22"/>
          <w:highlight w:val="none"/>
        </w:rPr>
        <w:t>进口产品</w:t>
      </w:r>
      <w:r>
        <w:rPr>
          <w:rFonts w:hint="eastAsia" w:ascii="仿宋" w:hAnsi="仿宋" w:eastAsia="仿宋" w:cs="仿宋"/>
          <w:color w:val="auto"/>
          <w:kern w:val="0"/>
          <w:sz w:val="22"/>
          <w:szCs w:val="22"/>
          <w:highlight w:val="none"/>
        </w:rPr>
        <w:t>是指通过中国海关报关验放进入中国境内且产自关境外的产品，详见《关于政府采购进口产品管理有关问题的通知》(财库[2007]119号)。</w:t>
      </w:r>
    </w:p>
    <w:p w14:paraId="4BF373B1">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kern w:val="0"/>
          <w:sz w:val="22"/>
          <w:szCs w:val="22"/>
          <w:highlight w:val="none"/>
        </w:rPr>
        <w:t>1.2.10</w:t>
      </w:r>
      <w:r>
        <w:rPr>
          <w:rFonts w:hint="eastAsia" w:ascii="仿宋" w:hAnsi="仿宋" w:eastAsia="仿宋" w:cs="仿宋"/>
          <w:b/>
          <w:color w:val="auto"/>
          <w:sz w:val="22"/>
          <w:szCs w:val="22"/>
          <w:highlight w:val="none"/>
        </w:rPr>
        <w:t>中小企业</w:t>
      </w:r>
      <w:r>
        <w:rPr>
          <w:rFonts w:hint="eastAsia" w:ascii="仿宋" w:hAnsi="仿宋" w:eastAsia="仿宋" w:cs="仿宋"/>
          <w:color w:val="auto"/>
          <w:sz w:val="22"/>
          <w:szCs w:val="22"/>
          <w:highlight w:val="none"/>
        </w:rPr>
        <w:t>是指符合《工业和信息化部、国家统计局、国家发展和改革委员会、财政部关于印发中小企业划型标准规定的通知》（工信部联企业[2011]300号）规定的对中小企业的划分标准的企业。</w:t>
      </w:r>
    </w:p>
    <w:p w14:paraId="5ED4112D">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1.2.11 </w:t>
      </w:r>
      <w:r>
        <w:rPr>
          <w:rFonts w:hint="eastAsia" w:ascii="仿宋" w:hAnsi="仿宋" w:eastAsia="仿宋" w:cs="仿宋"/>
          <w:b/>
          <w:color w:val="auto"/>
          <w:sz w:val="22"/>
          <w:szCs w:val="22"/>
          <w:highlight w:val="none"/>
        </w:rPr>
        <w:t>监狱企业</w:t>
      </w:r>
      <w:r>
        <w:rPr>
          <w:rFonts w:hint="eastAsia" w:ascii="仿宋" w:hAnsi="仿宋" w:eastAsia="仿宋" w:cs="仿宋"/>
          <w:color w:val="auto"/>
          <w:sz w:val="22"/>
          <w:szCs w:val="22"/>
          <w:highlight w:val="none"/>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监狱管理局、戒毒管理局的企业。</w:t>
      </w:r>
    </w:p>
    <w:p w14:paraId="41BBD407">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1.2.12 </w:t>
      </w:r>
      <w:r>
        <w:rPr>
          <w:rFonts w:hint="eastAsia" w:ascii="仿宋" w:hAnsi="仿宋" w:eastAsia="仿宋" w:cs="仿宋"/>
          <w:b/>
          <w:color w:val="auto"/>
          <w:kern w:val="0"/>
          <w:sz w:val="22"/>
          <w:szCs w:val="22"/>
          <w:highlight w:val="none"/>
        </w:rPr>
        <w:t>残疾人福利性单位</w:t>
      </w:r>
      <w:r>
        <w:rPr>
          <w:rFonts w:hint="eastAsia" w:ascii="仿宋" w:hAnsi="仿宋" w:eastAsia="仿宋" w:cs="仿宋"/>
          <w:color w:val="auto"/>
          <w:kern w:val="0"/>
          <w:sz w:val="22"/>
          <w:szCs w:val="22"/>
          <w:highlight w:val="none"/>
        </w:rPr>
        <w:t>是指符合</w:t>
      </w:r>
      <w:r>
        <w:rPr>
          <w:rFonts w:hint="eastAsia" w:ascii="仿宋" w:hAnsi="仿宋" w:eastAsia="仿宋" w:cs="仿宋"/>
          <w:color w:val="auto"/>
          <w:spacing w:val="6"/>
          <w:sz w:val="22"/>
          <w:szCs w:val="22"/>
          <w:highlight w:val="none"/>
        </w:rPr>
        <w:t>《财政部、民政部、中国残疾人联合会关于促进残疾人就业政府采购政策的通知》（财库</w:t>
      </w:r>
      <w:r>
        <w:rPr>
          <w:rFonts w:hint="eastAsia" w:ascii="仿宋" w:hAnsi="仿宋" w:eastAsia="仿宋" w:cs="仿宋"/>
          <w:color w:val="auto"/>
          <w:sz w:val="22"/>
          <w:szCs w:val="22"/>
          <w:highlight w:val="none"/>
        </w:rPr>
        <w:t>〔2017〕141</w:t>
      </w:r>
      <w:r>
        <w:rPr>
          <w:rFonts w:hint="eastAsia" w:ascii="仿宋" w:hAnsi="仿宋" w:eastAsia="仿宋" w:cs="仿宋"/>
          <w:color w:val="auto"/>
          <w:spacing w:val="6"/>
          <w:sz w:val="22"/>
          <w:szCs w:val="22"/>
          <w:highlight w:val="none"/>
        </w:rPr>
        <w:t>号）规定条件的单位。</w:t>
      </w:r>
    </w:p>
    <w:p w14:paraId="6A5AEC29">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81" w:name="_Toc30965"/>
      <w:r>
        <w:rPr>
          <w:rFonts w:hint="eastAsia" w:ascii="仿宋" w:hAnsi="仿宋" w:eastAsia="仿宋" w:cs="仿宋"/>
          <w:color w:val="auto"/>
          <w:sz w:val="22"/>
          <w:szCs w:val="22"/>
          <w:highlight w:val="none"/>
        </w:rPr>
        <w:t>1.3 合格的投标</w:t>
      </w:r>
      <w:bookmarkEnd w:id="77"/>
      <w:bookmarkEnd w:id="78"/>
      <w:bookmarkEnd w:id="79"/>
      <w:bookmarkEnd w:id="80"/>
      <w:r>
        <w:rPr>
          <w:rFonts w:hint="eastAsia" w:ascii="仿宋" w:hAnsi="仿宋" w:eastAsia="仿宋" w:cs="仿宋"/>
          <w:color w:val="auto"/>
          <w:sz w:val="22"/>
          <w:szCs w:val="22"/>
          <w:highlight w:val="none"/>
        </w:rPr>
        <w:t>人</w:t>
      </w:r>
      <w:bookmarkEnd w:id="81"/>
    </w:p>
    <w:p w14:paraId="29852CE1">
      <w:pPr>
        <w:pageBreakBefore w:val="0"/>
        <w:tabs>
          <w:tab w:val="left" w:pos="7665"/>
        </w:tabs>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1.3.1 合格的投标人应具备以下条件：</w:t>
      </w:r>
    </w:p>
    <w:p w14:paraId="0624EFB8">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（1）具备且满足“招标公告”要求的；</w:t>
      </w:r>
    </w:p>
    <w:p w14:paraId="2F4BF158">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在新疆政府采购网免费获取了</w:t>
      </w:r>
      <w:r>
        <w:rPr>
          <w:rFonts w:hint="eastAsia" w:ascii="仿宋" w:hAnsi="仿宋" w:eastAsia="仿宋" w:cs="仿宋"/>
          <w:color w:val="auto"/>
          <w:sz w:val="22"/>
          <w:szCs w:val="22"/>
          <w:highlight w:val="none"/>
        </w:rPr>
        <w:t>招标文件并</w:t>
      </w:r>
      <w:r>
        <w:rPr>
          <w:rFonts w:hint="eastAsia" w:ascii="仿宋" w:hAnsi="仿宋" w:eastAsia="仿宋" w:cs="仿宋"/>
          <w:color w:val="auto"/>
          <w:sz w:val="22"/>
          <w:szCs w:val="22"/>
          <w:highlight w:val="none"/>
          <w:lang w:val="en-US" w:eastAsia="zh-CN"/>
        </w:rPr>
        <w:t>注册为正式供应商</w:t>
      </w:r>
      <w:r>
        <w:rPr>
          <w:rFonts w:hint="eastAsia" w:ascii="仿宋" w:hAnsi="仿宋" w:eastAsia="仿宋" w:cs="仿宋"/>
          <w:color w:val="auto"/>
          <w:sz w:val="22"/>
          <w:szCs w:val="22"/>
          <w:highlight w:val="none"/>
        </w:rPr>
        <w:t>；</w:t>
      </w:r>
    </w:p>
    <w:p w14:paraId="1B68EDFC">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投标是否</w:t>
      </w:r>
      <w:r>
        <w:rPr>
          <w:rFonts w:hint="eastAsia" w:ascii="仿宋" w:hAnsi="仿宋" w:eastAsia="仿宋" w:cs="仿宋"/>
          <w:color w:val="auto"/>
          <w:sz w:val="22"/>
          <w:szCs w:val="22"/>
          <w:highlight w:val="none"/>
        </w:rPr>
        <w:t>交纳了投标保证金</w:t>
      </w:r>
      <w:r>
        <w:rPr>
          <w:rFonts w:hint="eastAsia" w:ascii="仿宋" w:hAnsi="仿宋" w:eastAsia="仿宋" w:cs="仿宋"/>
          <w:color w:val="auto"/>
          <w:sz w:val="22"/>
          <w:szCs w:val="22"/>
          <w:highlight w:val="none"/>
          <w:lang w:val="en-US" w:eastAsia="zh-CN"/>
        </w:rPr>
        <w:t>或投标保函</w:t>
      </w:r>
      <w:r>
        <w:rPr>
          <w:rFonts w:hint="eastAsia" w:ascii="仿宋" w:hAnsi="仿宋" w:eastAsia="仿宋" w:cs="仿宋"/>
          <w:color w:val="auto"/>
          <w:sz w:val="22"/>
          <w:szCs w:val="22"/>
          <w:highlight w:val="none"/>
        </w:rPr>
        <w:t>；</w:t>
      </w:r>
    </w:p>
    <w:p w14:paraId="00DA8FA3">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（4）遵守国家、新疆维吾尔自治区有关的法律法规、规章和规范性文件要求；</w:t>
      </w:r>
    </w:p>
    <w:p w14:paraId="3FF26E50">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（5）招标文件和法律、行政法规规定的其他条件。</w:t>
      </w:r>
    </w:p>
    <w:p w14:paraId="25E9679B">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 投标人不得存在下列情形之一：</w:t>
      </w:r>
    </w:p>
    <w:p w14:paraId="36547288">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（l）与采购人、采购代理机构存在</w:t>
      </w:r>
      <w:r>
        <w:rPr>
          <w:rFonts w:hint="eastAsia" w:ascii="仿宋" w:hAnsi="仿宋" w:eastAsia="仿宋" w:cs="仿宋"/>
          <w:bCs/>
          <w:color w:val="auto"/>
          <w:sz w:val="22"/>
          <w:szCs w:val="22"/>
          <w:highlight w:val="none"/>
        </w:rPr>
        <w:t>隶属关系或者其他利害关系，且可能影响招标公正性；</w:t>
      </w:r>
    </w:p>
    <w:p w14:paraId="1683CB99">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（2）与本采购项目其他投标人的法定代表人（或者负责人）为同一人；</w:t>
      </w:r>
    </w:p>
    <w:p w14:paraId="30D6E333">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（3）与本采购项目其他投标人存在控股、管理关系；</w:t>
      </w:r>
    </w:p>
    <w:p w14:paraId="17648FD4">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（4）为本项目采购代理机构；</w:t>
      </w:r>
    </w:p>
    <w:p w14:paraId="7322B4E5">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（5）为本项目代理投标的为其采购代理机构；</w:t>
      </w:r>
    </w:p>
    <w:p w14:paraId="3C2649E2">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（6）为本项目提供整体设计、规范编制或者项目管理、监理、检测、咨询服务；</w:t>
      </w:r>
    </w:p>
    <w:p w14:paraId="231B614C">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（7）</w:t>
      </w:r>
      <w:r>
        <w:rPr>
          <w:rFonts w:hint="eastAsia" w:ascii="仿宋" w:hAnsi="仿宋" w:eastAsia="仿宋" w:cs="仿宋"/>
          <w:bCs/>
          <w:color w:val="auto"/>
          <w:sz w:val="22"/>
          <w:szCs w:val="22"/>
          <w:highlight w:val="none"/>
        </w:rPr>
        <w:t>受到刑事处罚；</w:t>
      </w:r>
    </w:p>
    <w:p w14:paraId="2B4F308E">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（8）受到财政部门3万元以上数额罚款的行政处罚或其他行政部门较大数额罚款的行政处罚（举行听证会的）；</w:t>
      </w:r>
    </w:p>
    <w:p w14:paraId="01847114">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w:t>
      </w:r>
      <w:r>
        <w:rPr>
          <w:rFonts w:hint="eastAsia" w:ascii="仿宋" w:hAnsi="仿宋" w:eastAsia="仿宋" w:cs="仿宋"/>
          <w:bCs/>
          <w:color w:val="auto"/>
          <w:sz w:val="22"/>
          <w:szCs w:val="22"/>
          <w:highlight w:val="none"/>
          <w:lang w:val="en-US" w:eastAsia="zh-CN"/>
        </w:rPr>
        <w:t>9</w:t>
      </w:r>
      <w:r>
        <w:rPr>
          <w:rFonts w:hint="eastAsia" w:ascii="仿宋" w:hAnsi="仿宋" w:eastAsia="仿宋" w:cs="仿宋"/>
          <w:bCs/>
          <w:color w:val="auto"/>
          <w:sz w:val="22"/>
          <w:szCs w:val="22"/>
          <w:highlight w:val="none"/>
        </w:rPr>
        <w:t>）被责令停产停业、暂扣或者吊销许可证、暂扣或者吊销执照的行政处罚；</w:t>
      </w:r>
    </w:p>
    <w:p w14:paraId="4D7CAA57">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rPr>
        <w:t>（10）</w:t>
      </w:r>
      <w:r>
        <w:rPr>
          <w:rFonts w:hint="eastAsia" w:ascii="仿宋" w:hAnsi="仿宋" w:eastAsia="仿宋" w:cs="仿宋"/>
          <w:color w:val="auto"/>
          <w:sz w:val="22"/>
          <w:szCs w:val="22"/>
          <w:highlight w:val="none"/>
        </w:rPr>
        <w:t>被列入失信被执行人名单；</w:t>
      </w:r>
    </w:p>
    <w:p w14:paraId="6A8AD173">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（11）被列入</w:t>
      </w:r>
      <w:r>
        <w:rPr>
          <w:rFonts w:hint="eastAsia" w:ascii="仿宋" w:hAnsi="仿宋" w:eastAsia="仿宋" w:cs="仿宋"/>
          <w:color w:val="auto"/>
          <w:sz w:val="22"/>
          <w:szCs w:val="22"/>
          <w:highlight w:val="none"/>
          <w:lang w:eastAsia="zh-CN"/>
        </w:rPr>
        <w:t>重大税收违法失信主体</w:t>
      </w:r>
      <w:r>
        <w:rPr>
          <w:rFonts w:hint="eastAsia" w:ascii="仿宋" w:hAnsi="仿宋" w:eastAsia="仿宋" w:cs="仿宋"/>
          <w:color w:val="auto"/>
          <w:sz w:val="22"/>
          <w:szCs w:val="22"/>
          <w:highlight w:val="none"/>
        </w:rPr>
        <w:t>；</w:t>
      </w:r>
    </w:p>
    <w:p w14:paraId="0E205574">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rPr>
        <w:t>（12）被禁止在一至三年内参加政府采购活动或存在</w:t>
      </w:r>
      <w:r>
        <w:rPr>
          <w:rFonts w:hint="eastAsia" w:ascii="仿宋" w:hAnsi="仿宋" w:eastAsia="仿宋" w:cs="仿宋"/>
          <w:color w:val="auto"/>
          <w:sz w:val="22"/>
          <w:szCs w:val="22"/>
          <w:highlight w:val="none"/>
        </w:rPr>
        <w:t>财政部门认定的其他重大违法记录。</w:t>
      </w:r>
    </w:p>
    <w:p w14:paraId="263BD9C3">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82" w:name="_Toc14783"/>
      <w:bookmarkStart w:id="83" w:name="_Toc183582208"/>
      <w:bookmarkStart w:id="84" w:name="_Toc183682345"/>
      <w:bookmarkStart w:id="85" w:name="_Toc217446037"/>
      <w:r>
        <w:rPr>
          <w:rFonts w:hint="eastAsia" w:ascii="仿宋" w:hAnsi="仿宋" w:eastAsia="仿宋" w:cs="仿宋"/>
          <w:color w:val="auto"/>
          <w:sz w:val="22"/>
          <w:szCs w:val="22"/>
          <w:highlight w:val="none"/>
        </w:rPr>
        <w:t>1.4合格的货物（产品）和服务</w:t>
      </w:r>
      <w:bookmarkEnd w:id="82"/>
    </w:p>
    <w:p w14:paraId="0CC02A56">
      <w:pPr>
        <w:pageBreakBefore w:val="0"/>
        <w:tabs>
          <w:tab w:val="left" w:pos="747"/>
        </w:tabs>
        <w:kinsoku/>
        <w:wordWrap/>
        <w:overflowPunct/>
        <w:topLinePunct w:val="0"/>
        <w:bidi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1.4.1 投标人提供的所有货物和服务，必须是合法生产、合法来源，符合国家有关标准要求，并满足招标文件规定的规格、参数、质量、价格、有效期、售后服务及投标人须承担的运输、安装、技术支持、培训和招标文件规定的其它伴随服务等要求。</w:t>
      </w:r>
    </w:p>
    <w:p w14:paraId="4F2B21DF">
      <w:pPr>
        <w:pageBreakBefore w:val="0"/>
        <w:tabs>
          <w:tab w:val="left" w:pos="747"/>
        </w:tabs>
        <w:kinsoku/>
        <w:wordWrap/>
        <w:overflowPunct/>
        <w:topLinePunct w:val="0"/>
        <w:bidi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1.4.2 采购人有权拒绝接受任何不合格的货物和服务，由此产生的费用及相关后果均由投标人自行承担。</w:t>
      </w:r>
    </w:p>
    <w:p w14:paraId="252D577F">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86" w:name="_Toc217446047"/>
      <w:bookmarkStart w:id="87" w:name="_Toc16914"/>
      <w:r>
        <w:rPr>
          <w:rFonts w:hint="eastAsia" w:ascii="仿宋" w:hAnsi="仿宋" w:eastAsia="仿宋" w:cs="仿宋"/>
          <w:color w:val="auto"/>
          <w:sz w:val="22"/>
          <w:szCs w:val="22"/>
          <w:highlight w:val="none"/>
        </w:rPr>
        <w:t>1.5知识产权</w:t>
      </w:r>
      <w:bookmarkEnd w:id="86"/>
      <w:bookmarkEnd w:id="87"/>
    </w:p>
    <w:p w14:paraId="3F3B6E4E">
      <w:pPr>
        <w:pStyle w:val="10"/>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9C89327">
      <w:pPr>
        <w:pStyle w:val="10"/>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1.5.2 采购人享有本项目实施过程中产生的知识成果及知识产权。</w:t>
      </w:r>
    </w:p>
    <w:p w14:paraId="2112D3A5">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351C1748">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1.5.4 如采用投标人所不拥有的知识产权，则在投标报价中必须包括合法获取该知识产权的相关费用。</w:t>
      </w:r>
    </w:p>
    <w:p w14:paraId="69910364">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88" w:name="_Toc15030"/>
      <w:r>
        <w:rPr>
          <w:rFonts w:hint="eastAsia" w:ascii="仿宋" w:hAnsi="仿宋" w:eastAsia="仿宋" w:cs="仿宋"/>
          <w:color w:val="auto"/>
          <w:sz w:val="22"/>
          <w:szCs w:val="22"/>
          <w:highlight w:val="none"/>
        </w:rPr>
        <w:t>1.6投标费用</w:t>
      </w:r>
      <w:bookmarkEnd w:id="83"/>
      <w:bookmarkEnd w:id="84"/>
      <w:bookmarkEnd w:id="85"/>
      <w:bookmarkEnd w:id="88"/>
    </w:p>
    <w:p w14:paraId="7047242D">
      <w:pPr>
        <w:pageBreakBefore w:val="0"/>
        <w:tabs>
          <w:tab w:val="left" w:pos="7665"/>
        </w:tabs>
        <w:kinsoku/>
        <w:wordWrap/>
        <w:overflowPunct/>
        <w:topLinePunct w:val="0"/>
        <w:bidi w:val="0"/>
        <w:spacing w:line="480" w:lineRule="exact"/>
        <w:ind w:left="0" w:leftChars="0" w:right="0" w:firstLine="450" w:firstLineChars="20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不论投标结果如何，投标人准备和参加投标活动发生的费用自理。</w:t>
      </w:r>
      <w:bookmarkStart w:id="89" w:name="_Toc89075875"/>
      <w:bookmarkStart w:id="90" w:name="_Toc183582209"/>
      <w:bookmarkStart w:id="91" w:name="_Toc77400779"/>
      <w:bookmarkStart w:id="92" w:name="_Toc217446038"/>
      <w:bookmarkStart w:id="93" w:name="_Toc183682346"/>
    </w:p>
    <w:p w14:paraId="7347DE06">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lang w:val="zh-CN"/>
        </w:rPr>
      </w:pPr>
      <w:bookmarkStart w:id="94" w:name="_Toc1761"/>
      <w:r>
        <w:rPr>
          <w:rFonts w:hint="eastAsia" w:ascii="仿宋" w:hAnsi="仿宋" w:eastAsia="仿宋" w:cs="仿宋"/>
          <w:color w:val="auto"/>
          <w:sz w:val="22"/>
          <w:szCs w:val="22"/>
          <w:highlight w:val="none"/>
          <w:lang w:val="zh-CN"/>
        </w:rPr>
        <w:t>1.7 保密</w:t>
      </w:r>
      <w:bookmarkEnd w:id="94"/>
    </w:p>
    <w:p w14:paraId="7DF6BB0F">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lang w:val="zh-CN"/>
        </w:rPr>
        <w:t>参与采购活动的当事人应对招标文件和响应文件中的商业秘密、技术秘密和个人隐私等保密，违者应对由此造成的后果承担法律责任。</w:t>
      </w:r>
    </w:p>
    <w:p w14:paraId="38642058">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95" w:name="_Toc32589"/>
      <w:r>
        <w:rPr>
          <w:rFonts w:hint="eastAsia" w:ascii="仿宋" w:hAnsi="仿宋" w:eastAsia="仿宋" w:cs="仿宋"/>
          <w:color w:val="auto"/>
          <w:sz w:val="22"/>
          <w:szCs w:val="22"/>
          <w:highlight w:val="none"/>
        </w:rPr>
        <w:t>1.8语言文字</w:t>
      </w:r>
      <w:bookmarkEnd w:id="95"/>
    </w:p>
    <w:p w14:paraId="3B3A32D3">
      <w:pPr>
        <w:pageBreakBefore w:val="0"/>
        <w:tabs>
          <w:tab w:val="left" w:pos="7665"/>
        </w:tabs>
        <w:kinsoku/>
        <w:wordWrap/>
        <w:overflowPunct/>
        <w:topLinePunct w:val="0"/>
        <w:bidi w:val="0"/>
        <w:spacing w:line="480" w:lineRule="exact"/>
        <w:ind w:left="0" w:leftChars="0" w:right="0" w:firstLine="40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1.8.1 招标投标文件使用的语言为中文。专用术语使用外文的，应附有中文注释。</w:t>
      </w:r>
    </w:p>
    <w:p w14:paraId="12C82B01">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1.8.2 投标文件中如附有外文资料，必须逐一对应翻译成中文并加盖投标人单位章后附在相关外文资料后面，否则，投标人的投标文件将作为无效投标处理。</w:t>
      </w:r>
    </w:p>
    <w:p w14:paraId="42A0B193">
      <w:pPr>
        <w:pStyle w:val="12"/>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1.8.3 投标文件中翻译的中文资料与外文资料如果出现差异和矛盾时，以中文为准。但不能故意错误翻译，否则，投标人的投标文件将作为无效投标处理。</w:t>
      </w:r>
      <w:r>
        <w:rPr>
          <w:rFonts w:hint="eastAsia" w:ascii="仿宋" w:hAnsi="仿宋" w:eastAsia="仿宋" w:cs="仿宋"/>
          <w:color w:val="auto"/>
          <w:kern w:val="0"/>
          <w:sz w:val="22"/>
          <w:szCs w:val="22"/>
          <w:highlight w:val="none"/>
        </w:rPr>
        <w:t>必要时采购人可以要求投标人提供附有公证书的中文翻译文件或者与原版文件签章相一致的中文翻译文件。</w:t>
      </w:r>
    </w:p>
    <w:p w14:paraId="58B06D2C">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96" w:name="_Toc16815"/>
      <w:r>
        <w:rPr>
          <w:rFonts w:hint="eastAsia" w:ascii="仿宋" w:hAnsi="仿宋" w:eastAsia="仿宋" w:cs="仿宋"/>
          <w:color w:val="auto"/>
          <w:sz w:val="22"/>
          <w:szCs w:val="22"/>
          <w:highlight w:val="none"/>
        </w:rPr>
        <w:t>1.9计量单位</w:t>
      </w:r>
      <w:bookmarkEnd w:id="96"/>
    </w:p>
    <w:p w14:paraId="70FCD921">
      <w:pPr>
        <w:pageBreakBefore w:val="0"/>
        <w:tabs>
          <w:tab w:val="left" w:pos="7665"/>
        </w:tabs>
        <w:kinsoku/>
        <w:wordWrap/>
        <w:overflowPunct/>
        <w:topLinePunct w:val="0"/>
        <w:bidi w:val="0"/>
        <w:spacing w:line="480" w:lineRule="exact"/>
        <w:ind w:left="0" w:leftChars="0" w:right="0" w:firstLine="40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所有计量单位均采用中华人民共和国法定计量单位。</w:t>
      </w:r>
    </w:p>
    <w:p w14:paraId="6BB56F65">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97" w:name="_Toc28741"/>
      <w:r>
        <w:rPr>
          <w:rFonts w:hint="eastAsia" w:ascii="仿宋" w:hAnsi="仿宋" w:eastAsia="仿宋" w:cs="仿宋"/>
          <w:color w:val="auto"/>
          <w:sz w:val="22"/>
          <w:szCs w:val="22"/>
          <w:highlight w:val="none"/>
        </w:rPr>
        <w:t>1.10 答疑会或现场考察</w:t>
      </w:r>
      <w:bookmarkEnd w:id="97"/>
    </w:p>
    <w:p w14:paraId="4FCF2427">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1.10.1 根据本采购项目的具体情况，采购代理机构认为有必要，可以组织召开标前答疑会或组织投标人对项目现场进行考察，澄清投标人提出的问题。答疑会或进行现场考察的时间与地点，采购代理机构将以书面形式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通知所有获取了招标文件的投标人。</w:t>
      </w:r>
    </w:p>
    <w:p w14:paraId="5E56FDA6">
      <w:pPr>
        <w:pageBreakBefore w:val="0"/>
        <w:kinsoku/>
        <w:wordWrap/>
        <w:overflowPunct/>
        <w:topLinePunct w:val="0"/>
        <w:bidi w:val="0"/>
        <w:adjustRightInd w:val="0"/>
        <w:snapToGrid w:val="0"/>
        <w:spacing w:line="480" w:lineRule="exact"/>
        <w:ind w:left="0" w:leftChars="0" w:right="0" w:firstLine="385" w:firstLineChars="17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1.10.2 答疑会或现场考察后，采购人或采购代理机构对投标人所提问题的澄清，以书面形式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通知所有获取了招标文件的投标人。该澄清内容为招标文件的组成部分。</w:t>
      </w:r>
    </w:p>
    <w:p w14:paraId="157C9A17">
      <w:pPr>
        <w:pageBreakBefore w:val="0"/>
        <w:kinsoku/>
        <w:wordWrap/>
        <w:overflowPunct/>
        <w:topLinePunct w:val="0"/>
        <w:bidi w:val="0"/>
        <w:adjustRightInd w:val="0"/>
        <w:snapToGrid w:val="0"/>
        <w:spacing w:line="480" w:lineRule="exact"/>
        <w:ind w:left="0" w:leftChars="0" w:right="0" w:firstLine="385" w:firstLineChars="17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1.10.3 采购人不对投标人现场考察而做出的推论、理解和结论负责。一旦成交，中标人不得以任何借口，提出额外补偿，或延长合同期限的要求。</w:t>
      </w:r>
    </w:p>
    <w:p w14:paraId="311E5BEA">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98" w:name="_Toc22846"/>
      <w:r>
        <w:rPr>
          <w:rFonts w:hint="eastAsia" w:ascii="仿宋" w:hAnsi="仿宋" w:eastAsia="仿宋" w:cs="仿宋"/>
          <w:bCs/>
          <w:color w:val="auto"/>
          <w:sz w:val="28"/>
          <w:szCs w:val="28"/>
          <w:highlight w:val="none"/>
          <w:lang w:val="en-US" w:eastAsia="zh-CN"/>
        </w:rPr>
        <w:t>2.招标文件</w:t>
      </w:r>
      <w:bookmarkEnd w:id="89"/>
      <w:bookmarkEnd w:id="90"/>
      <w:bookmarkEnd w:id="91"/>
      <w:bookmarkEnd w:id="92"/>
      <w:bookmarkEnd w:id="93"/>
      <w:bookmarkEnd w:id="98"/>
      <w:bookmarkStart w:id="99" w:name="_Toc183682347"/>
      <w:bookmarkStart w:id="100" w:name="_Toc217446039"/>
      <w:bookmarkStart w:id="101" w:name="_Toc183582210"/>
    </w:p>
    <w:p w14:paraId="259E174D">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02" w:name="_Toc32340"/>
      <w:r>
        <w:rPr>
          <w:rFonts w:hint="eastAsia" w:ascii="仿宋" w:hAnsi="仿宋" w:eastAsia="仿宋" w:cs="仿宋"/>
          <w:color w:val="auto"/>
          <w:sz w:val="22"/>
          <w:szCs w:val="22"/>
          <w:highlight w:val="none"/>
        </w:rPr>
        <w:t>2.1招标文件的</w:t>
      </w:r>
      <w:bookmarkEnd w:id="99"/>
      <w:bookmarkEnd w:id="100"/>
      <w:bookmarkEnd w:id="101"/>
      <w:r>
        <w:rPr>
          <w:rFonts w:hint="eastAsia" w:ascii="仿宋" w:hAnsi="仿宋" w:eastAsia="仿宋" w:cs="仿宋"/>
          <w:color w:val="auto"/>
          <w:sz w:val="22"/>
          <w:szCs w:val="22"/>
          <w:highlight w:val="none"/>
        </w:rPr>
        <w:t>组成</w:t>
      </w:r>
      <w:bookmarkEnd w:id="102"/>
    </w:p>
    <w:p w14:paraId="5F5234D0">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本招标文件包括以下内容：</w:t>
      </w:r>
    </w:p>
    <w:p w14:paraId="088028A3">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（1）招标公告；</w:t>
      </w:r>
    </w:p>
    <w:p w14:paraId="7FEF3CA7">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（2）投标人须知；</w:t>
      </w:r>
    </w:p>
    <w:p w14:paraId="20C001E4">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（3）评标办法；</w:t>
      </w:r>
    </w:p>
    <w:p w14:paraId="4D65D0C9">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（4）采购内容及要求；</w:t>
      </w:r>
    </w:p>
    <w:p w14:paraId="00AEEA06">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（5）采购合同条款；</w:t>
      </w:r>
    </w:p>
    <w:p w14:paraId="0F63AEFD">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（6）投标文件格式要求；</w:t>
      </w:r>
    </w:p>
    <w:p w14:paraId="04A3FAEA">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（7）投标人须知前附表规定的其他材料。</w:t>
      </w:r>
      <w:bookmarkStart w:id="103" w:name="_Toc183682348"/>
      <w:bookmarkStart w:id="104" w:name="_Toc183582211"/>
      <w:bookmarkStart w:id="105" w:name="_Toc217446040"/>
    </w:p>
    <w:p w14:paraId="1F41CFCC">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根据本章第1.10款、第2.2款对招标文件所作的澄清、修改，构成招标文件组成部分。</w:t>
      </w:r>
    </w:p>
    <w:p w14:paraId="015DB4E1">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06" w:name="_Toc29819"/>
      <w:r>
        <w:rPr>
          <w:rFonts w:hint="eastAsia" w:ascii="仿宋" w:hAnsi="仿宋" w:eastAsia="仿宋" w:cs="仿宋"/>
          <w:color w:val="auto"/>
          <w:sz w:val="22"/>
          <w:szCs w:val="22"/>
          <w:highlight w:val="none"/>
        </w:rPr>
        <w:t>2.2招标文件的澄清</w:t>
      </w:r>
      <w:bookmarkEnd w:id="103"/>
      <w:bookmarkEnd w:id="104"/>
      <w:r>
        <w:rPr>
          <w:rFonts w:hint="eastAsia" w:ascii="仿宋" w:hAnsi="仿宋" w:eastAsia="仿宋" w:cs="仿宋"/>
          <w:color w:val="auto"/>
          <w:sz w:val="22"/>
          <w:szCs w:val="22"/>
          <w:highlight w:val="none"/>
        </w:rPr>
        <w:t>或修改</w:t>
      </w:r>
      <w:bookmarkEnd w:id="105"/>
      <w:bookmarkEnd w:id="106"/>
    </w:p>
    <w:p w14:paraId="17D6B1B7">
      <w:pPr>
        <w:pageBreakBefore w:val="0"/>
        <w:tabs>
          <w:tab w:val="left" w:pos="720"/>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2.2.1 在投标截止时间前，采购代理机构无论出于何种原因，可以对已发出的招标文件进行必要的澄清或者修改，但不得修改采购标的和资格条件。</w:t>
      </w:r>
    </w:p>
    <w:p w14:paraId="5385A5FF">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2.2.2 采购人或采购代理机构对已发出的招标文件进行必要的澄清或者修改，澄清或修改的内容可能影响投标文件编制的，应当在投标文件截止时间</w:t>
      </w:r>
      <w:r>
        <w:rPr>
          <w:rFonts w:hint="eastAsia" w:ascii="仿宋" w:hAnsi="仿宋" w:eastAsia="仿宋" w:cs="仿宋"/>
          <w:b/>
          <w:color w:val="auto"/>
          <w:sz w:val="22"/>
          <w:szCs w:val="22"/>
          <w:highlight w:val="none"/>
        </w:rPr>
        <w:t>15</w:t>
      </w:r>
      <w:r>
        <w:rPr>
          <w:rFonts w:hint="eastAsia" w:ascii="仿宋" w:hAnsi="仿宋" w:eastAsia="仿宋" w:cs="仿宋"/>
          <w:color w:val="auto"/>
          <w:sz w:val="22"/>
          <w:szCs w:val="22"/>
          <w:highlight w:val="none"/>
        </w:rPr>
        <w:t>日前，以书面形式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将澄清或者修改的内容通知所有获取招标文件的投标人。投标人在收到上述通知后，应立即以书面形式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向采购代理机构确认。如果澄清或者修改发出的时间距规定的投标截止时间不足</w:t>
      </w:r>
      <w:r>
        <w:rPr>
          <w:rFonts w:hint="eastAsia" w:ascii="仿宋" w:hAnsi="仿宋" w:eastAsia="仿宋" w:cs="仿宋"/>
          <w:b/>
          <w:color w:val="auto"/>
          <w:sz w:val="22"/>
          <w:szCs w:val="22"/>
          <w:highlight w:val="none"/>
        </w:rPr>
        <w:t>15</w:t>
      </w:r>
      <w:r>
        <w:rPr>
          <w:rFonts w:hint="eastAsia" w:ascii="仿宋" w:hAnsi="仿宋" w:eastAsia="仿宋" w:cs="仿宋"/>
          <w:color w:val="auto"/>
          <w:sz w:val="22"/>
          <w:szCs w:val="22"/>
          <w:highlight w:val="none"/>
        </w:rPr>
        <w:t>日，将相应顺延投标截止时间。</w:t>
      </w:r>
    </w:p>
    <w:p w14:paraId="0A1DBC68">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w:t>
      </w:r>
      <w:r>
        <w:rPr>
          <w:rFonts w:hint="eastAsia" w:ascii="仿宋" w:hAnsi="仿宋" w:eastAsia="仿宋" w:cs="仿宋"/>
          <w:b/>
          <w:bCs/>
          <w:color w:val="auto"/>
          <w:sz w:val="22"/>
          <w:szCs w:val="22"/>
          <w:highlight w:val="none"/>
        </w:rPr>
        <w:t>.</w:t>
      </w:r>
      <w:r>
        <w:rPr>
          <w:rFonts w:hint="eastAsia" w:ascii="仿宋" w:hAnsi="仿宋" w:eastAsia="仿宋" w:cs="仿宋"/>
          <w:color w:val="auto"/>
          <w:sz w:val="22"/>
          <w:szCs w:val="22"/>
          <w:highlight w:val="none"/>
        </w:rPr>
        <w:t>3 投标人应仔细阅读和检查招标文件的全部内容。如发现缺页或附件不全，应及时向采购代理机构提出，以便补齐。如需要询问或澄清的（除质疑外），或认为有必要与采购代理机构进行技术交流的，均应在投标截止时间</w:t>
      </w:r>
      <w:r>
        <w:rPr>
          <w:rFonts w:hint="eastAsia" w:ascii="仿宋" w:hAnsi="仿宋" w:eastAsia="仿宋" w:cs="仿宋"/>
          <w:b/>
          <w:color w:val="auto"/>
          <w:sz w:val="22"/>
          <w:szCs w:val="22"/>
          <w:highlight w:val="none"/>
        </w:rPr>
        <w:t>10</w:t>
      </w:r>
      <w:r>
        <w:rPr>
          <w:rFonts w:hint="eastAsia" w:ascii="仿宋" w:hAnsi="仿宋" w:eastAsia="仿宋" w:cs="仿宋"/>
          <w:color w:val="auto"/>
          <w:sz w:val="22"/>
          <w:szCs w:val="22"/>
          <w:highlight w:val="none"/>
        </w:rPr>
        <w:t>日前按招标文件中的联系方式，以书面形式向采购代理机构提出，采购代理机构应当在</w:t>
      </w:r>
      <w:r>
        <w:rPr>
          <w:rFonts w:hint="eastAsia" w:ascii="仿宋" w:hAnsi="仿宋" w:eastAsia="仿宋" w:cs="仿宋"/>
          <w:b/>
          <w:color w:val="auto"/>
          <w:sz w:val="22"/>
          <w:szCs w:val="22"/>
          <w:highlight w:val="none"/>
        </w:rPr>
        <w:t>3</w:t>
      </w:r>
      <w:r>
        <w:rPr>
          <w:rFonts w:hint="eastAsia" w:ascii="仿宋" w:hAnsi="仿宋" w:eastAsia="仿宋" w:cs="仿宋"/>
          <w:color w:val="auto"/>
          <w:sz w:val="22"/>
          <w:szCs w:val="22"/>
          <w:highlight w:val="none"/>
        </w:rPr>
        <w:t>个工作日内，以书面形式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予以答复，或认为有必要召开答疑会。超过该时间收到的需要询问或澄清的内容，采购代理机构有权不予答复。</w:t>
      </w:r>
    </w:p>
    <w:p w14:paraId="1BD6B5FD">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2.2.4 在投标截止时间前，采购代理机构可以视采购具体情况，延长投标截止时间和开标时间，并在招标文件要求提交投标文件的截止时间前，将变更时间以书面形式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通知所有获取招标文件的投标人，同时在原信息发布媒体上发布变更公告。</w:t>
      </w:r>
      <w:bookmarkStart w:id="107" w:name="_Toc183582213"/>
      <w:bookmarkStart w:id="108" w:name="_Toc183682350"/>
      <w:bookmarkStart w:id="109" w:name="_Toc217446041"/>
      <w:bookmarkStart w:id="110" w:name="_Toc208848971"/>
    </w:p>
    <w:p w14:paraId="2AB1C254">
      <w:pPr>
        <w:pageBreakBefore w:val="0"/>
        <w:kinsoku/>
        <w:wordWrap/>
        <w:overflowPunct/>
        <w:topLinePunct w:val="0"/>
        <w:bidi w:val="0"/>
        <w:spacing w:line="480" w:lineRule="exact"/>
        <w:ind w:left="0" w:leftChars="0" w:right="0" w:firstLine="42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2.2.5 当招标文件澄清、答复、修改或补充通知与招标文件就同一内容表述不一致时，以最后发出的书面文件内容为准。</w:t>
      </w:r>
    </w:p>
    <w:bookmarkEnd w:id="107"/>
    <w:bookmarkEnd w:id="108"/>
    <w:bookmarkEnd w:id="109"/>
    <w:bookmarkEnd w:id="110"/>
    <w:p w14:paraId="004B91CA">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11" w:name="_Toc4480"/>
      <w:r>
        <w:rPr>
          <w:rFonts w:hint="eastAsia" w:ascii="仿宋" w:hAnsi="仿宋" w:eastAsia="仿宋" w:cs="仿宋"/>
          <w:color w:val="auto"/>
          <w:sz w:val="22"/>
          <w:szCs w:val="22"/>
          <w:highlight w:val="none"/>
        </w:rPr>
        <w:t>2.3招标文件的解释权</w:t>
      </w:r>
      <w:bookmarkEnd w:id="111"/>
    </w:p>
    <w:p w14:paraId="03D5BC8D">
      <w:pPr>
        <w:pStyle w:val="7"/>
        <w:pageBreakBefore w:val="0"/>
        <w:kinsoku/>
        <w:wordWrap/>
        <w:overflowPunct/>
        <w:topLinePunct w:val="0"/>
        <w:bidi w:val="0"/>
        <w:spacing w:line="480" w:lineRule="exact"/>
        <w:ind w:left="0" w:leftChars="0" w:right="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招标文件的解释权归采购代理机构，如发现招标文件内容与现行法律法规不相符的情况，以现行法律法规为准。</w:t>
      </w:r>
      <w:bookmarkStart w:id="112" w:name="_Toc89075876"/>
      <w:bookmarkStart w:id="113" w:name="_Toc77400780"/>
      <w:bookmarkStart w:id="114" w:name="_Toc183682351"/>
      <w:bookmarkStart w:id="115" w:name="_Toc183582214"/>
      <w:bookmarkStart w:id="116" w:name="_Toc217446042"/>
    </w:p>
    <w:p w14:paraId="4F6489F3">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17" w:name="_Toc27898"/>
      <w:r>
        <w:rPr>
          <w:rFonts w:hint="eastAsia" w:ascii="仿宋" w:hAnsi="仿宋" w:eastAsia="仿宋" w:cs="仿宋"/>
          <w:bCs/>
          <w:color w:val="auto"/>
          <w:sz w:val="28"/>
          <w:szCs w:val="28"/>
          <w:highlight w:val="none"/>
          <w:lang w:val="en-US" w:eastAsia="zh-CN"/>
        </w:rPr>
        <w:t>3.投标人</w:t>
      </w:r>
      <w:bookmarkEnd w:id="117"/>
    </w:p>
    <w:p w14:paraId="3E157C24">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18" w:name="_Toc28703"/>
      <w:r>
        <w:rPr>
          <w:rFonts w:hint="eastAsia" w:ascii="仿宋" w:hAnsi="仿宋" w:eastAsia="仿宋" w:cs="仿宋"/>
          <w:color w:val="auto"/>
          <w:sz w:val="22"/>
          <w:szCs w:val="22"/>
          <w:highlight w:val="none"/>
        </w:rPr>
        <w:t>3.1</w:t>
      </w:r>
      <w:bookmarkEnd w:id="112"/>
      <w:bookmarkEnd w:id="113"/>
      <w:bookmarkEnd w:id="114"/>
      <w:bookmarkEnd w:id="115"/>
      <w:bookmarkEnd w:id="116"/>
      <w:bookmarkStart w:id="119" w:name="_Toc217446043"/>
      <w:bookmarkStart w:id="120" w:name="_Toc183682352"/>
      <w:bookmarkStart w:id="121" w:name="_Toc183582215"/>
      <w:r>
        <w:rPr>
          <w:rFonts w:hint="eastAsia" w:ascii="仿宋" w:hAnsi="仿宋" w:eastAsia="仿宋" w:cs="仿宋"/>
          <w:color w:val="auto"/>
          <w:sz w:val="22"/>
          <w:szCs w:val="22"/>
          <w:highlight w:val="none"/>
        </w:rPr>
        <w:t>投标人资格要求</w:t>
      </w:r>
      <w:bookmarkEnd w:id="118"/>
    </w:p>
    <w:p w14:paraId="3873A60A">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3.1.1 投标人应符合资格要求规定的条件，</w:t>
      </w:r>
      <w:r>
        <w:rPr>
          <w:rFonts w:hint="eastAsia" w:ascii="仿宋" w:hAnsi="仿宋" w:eastAsia="仿宋" w:cs="仿宋"/>
          <w:color w:val="auto"/>
          <w:kern w:val="0"/>
          <w:sz w:val="22"/>
          <w:szCs w:val="22"/>
          <w:highlight w:val="none"/>
          <w:lang w:val="zh-CN" w:eastAsia="zh-CN"/>
        </w:rPr>
        <w:t>并根据</w:t>
      </w:r>
      <w:r>
        <w:rPr>
          <w:rFonts w:hint="eastAsia" w:ascii="仿宋" w:hAnsi="仿宋" w:eastAsia="仿宋" w:cs="仿宋"/>
          <w:color w:val="auto"/>
          <w:kern w:val="0"/>
          <w:sz w:val="22"/>
          <w:szCs w:val="22"/>
          <w:highlight w:val="none"/>
          <w:lang w:val="en-US" w:eastAsia="zh-CN"/>
        </w:rPr>
        <w:t>资格要求</w:t>
      </w:r>
      <w:r>
        <w:rPr>
          <w:rFonts w:hint="eastAsia" w:ascii="仿宋" w:hAnsi="仿宋" w:eastAsia="仿宋" w:cs="仿宋"/>
          <w:color w:val="auto"/>
          <w:kern w:val="0"/>
          <w:sz w:val="22"/>
          <w:szCs w:val="22"/>
          <w:highlight w:val="none"/>
          <w:lang w:val="zh-CN" w:eastAsia="zh-CN"/>
        </w:rPr>
        <w:t>规定提供下列材料：</w:t>
      </w:r>
    </w:p>
    <w:p w14:paraId="100BD469">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1.满足《中华人民共和国政府采购法》第二十二条规定：</w:t>
      </w:r>
    </w:p>
    <w:p w14:paraId="6F6F4058">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（1）投标人具有独立承担民事责任和履行合同能力，持有工商行政管理部门核发的有效期内营业执照；</w:t>
      </w:r>
    </w:p>
    <w:p w14:paraId="57D0C6F3">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（2）投标人提供法定代表人授权委托书【法定代表人参加提供法定代表人身份证明书】；</w:t>
      </w:r>
    </w:p>
    <w:p w14:paraId="11964C29">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投标人须书面承诺自身商业信誉良好，投标截止时间前未在“信用中国”列入失信被执行人、重大税收违法失信主体，未在中国政府采购网存在政府采购严重违法失信记录，无法律法规禁止参与政府采购的其他违法失信情形（注：1.投标文件无需附信用查询截图，由资格审查小组及采购代理机构现场统一核验；2.承诺函格式自拟并加盖公章；3.现场查实存在上述失信记录的，投标无效，相关损失与法律责任由投标人自行承担。）；</w:t>
      </w:r>
    </w:p>
    <w:p w14:paraId="492A2422">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（4）投标人提供近半年内已缴存的至少一个月的社会保障资金缴存单据或社保机构开具的社会保险参保缴费情况证明，依法不需要缴纳社会保障资金的投标人应提供相关文件证明；</w:t>
      </w:r>
    </w:p>
    <w:p w14:paraId="19649BA8">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投标人须提供2025年度财务审计报告（附带可查验二维码，二维码清晰有效，供资格审查小组现场扫码核查）(成立不足一年的投标人提供成立至今的财务报表，包含资产负债表、现金流量表、利润表)或银行出具的资信证明；</w:t>
      </w:r>
    </w:p>
    <w:p w14:paraId="0D4DEDA9">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（6）投标人提供近半年内已缴纳的至少一个月的纳税证明或完税证明，纳税证明或完税证明上应有代收机构或税务机关的公章，依法免税的投标人应提供相关文件证明；</w:t>
      </w:r>
    </w:p>
    <w:p w14:paraId="64E3DB7E">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（7）投标人应具备良好的商业信誉，提供参加政府采购活动前3年内在经营活动中没有重大违法记录的书面声明；</w:t>
      </w:r>
    </w:p>
    <w:p w14:paraId="00A8F4FE">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zh-CN" w:eastAsia="zh-CN"/>
        </w:rPr>
      </w:pPr>
      <w:r>
        <w:rPr>
          <w:rFonts w:hint="eastAsia" w:ascii="仿宋" w:hAnsi="仿宋" w:eastAsia="仿宋" w:cs="仿宋"/>
          <w:color w:val="auto"/>
          <w:kern w:val="0"/>
          <w:sz w:val="22"/>
          <w:szCs w:val="22"/>
          <w:highlight w:val="none"/>
          <w:lang w:val="en-US" w:eastAsia="zh-CN"/>
        </w:rPr>
        <w:t>（8）</w:t>
      </w:r>
      <w:r>
        <w:rPr>
          <w:rFonts w:hint="eastAsia" w:ascii="仿宋" w:hAnsi="仿宋" w:eastAsia="仿宋" w:cs="仿宋"/>
          <w:color w:val="auto"/>
          <w:kern w:val="0"/>
          <w:sz w:val="22"/>
          <w:szCs w:val="22"/>
          <w:highlight w:val="none"/>
          <w:lang w:val="zh-CN" w:eastAsia="zh-CN"/>
        </w:rPr>
        <w:t>具备履行合同所必需的设备和专业技术能力的证明；</w:t>
      </w:r>
    </w:p>
    <w:p w14:paraId="4A583A7A">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9</w:t>
      </w:r>
      <w:r>
        <w:rPr>
          <w:rFonts w:hint="eastAsia" w:ascii="仿宋" w:hAnsi="仿宋" w:eastAsia="仿宋" w:cs="仿宋"/>
          <w:color w:val="auto"/>
          <w:kern w:val="0"/>
          <w:sz w:val="22"/>
          <w:szCs w:val="22"/>
          <w:highlight w:val="none"/>
          <w:lang w:val="zh-CN" w:eastAsia="zh-CN"/>
        </w:rPr>
        <w:t>）</w:t>
      </w:r>
      <w:r>
        <w:rPr>
          <w:rFonts w:hint="eastAsia" w:ascii="仿宋" w:hAnsi="仿宋" w:eastAsia="仿宋" w:cs="仿宋"/>
          <w:color w:val="auto"/>
          <w:kern w:val="0"/>
          <w:sz w:val="22"/>
          <w:szCs w:val="22"/>
          <w:highlight w:val="none"/>
          <w:lang w:val="en-US" w:eastAsia="zh-CN"/>
        </w:rPr>
        <w:t>投标人提供足额缴纳投标保证金凭证或金融机构担保机构机构出具的保函。</w:t>
      </w:r>
    </w:p>
    <w:p w14:paraId="02584528">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2.落实政府采购政策需满足的资格要求：/；</w:t>
      </w:r>
    </w:p>
    <w:p w14:paraId="240E584B">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3.本项目的特定资格要求:/。</w:t>
      </w:r>
    </w:p>
    <w:p w14:paraId="4C41ADEC">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备注：供应商根据采购项目的具体情况，在响应文件中应附一套完整的资格证明材料，缺少一项或某项达不到招标文件要求的按无效响应文件处理；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0381DC08">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3.1.2 采购代理机构将通过“信用中国”网站（www.creditchina.gov.cn）和中国政府采购网站（www.ccgp.gov.cn）查询投标人信用记录，被列入失信被执行人、重大税收违法失信主体、政府采购严重违法失信行为记录名单的单位将被拒绝参与本项目投标。</w:t>
      </w:r>
    </w:p>
    <w:p w14:paraId="2B5A59D1">
      <w:pPr>
        <w:pageBreakBefore w:val="0"/>
        <w:kinsoku/>
        <w:wordWrap/>
        <w:overflowPunct/>
        <w:topLinePunct w:val="0"/>
        <w:autoSpaceDE w:val="0"/>
        <w:autoSpaceDN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3.1.3 投标人应保证所提供的全部证明材料的真实性，并保证愿意接受由采购人对其所提供材料的真实性的调查和考证。</w:t>
      </w:r>
    </w:p>
    <w:p w14:paraId="5D35A704">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22" w:name="_Toc24166"/>
      <w:r>
        <w:rPr>
          <w:rFonts w:hint="eastAsia" w:ascii="仿宋" w:hAnsi="仿宋" w:eastAsia="仿宋" w:cs="仿宋"/>
          <w:color w:val="auto"/>
          <w:sz w:val="22"/>
          <w:szCs w:val="22"/>
          <w:highlight w:val="none"/>
        </w:rPr>
        <w:t>3.2授权委托</w:t>
      </w:r>
      <w:bookmarkEnd w:id="122"/>
    </w:p>
    <w:p w14:paraId="68E648B3">
      <w:pPr>
        <w:pStyle w:val="12"/>
        <w:pageBreakBefore w:val="0"/>
        <w:kinsoku/>
        <w:wordWrap/>
        <w:overflowPunct/>
        <w:topLinePunct w:val="0"/>
        <w:bidi w:val="0"/>
        <w:adjustRightInd w:val="0"/>
        <w:snapToGrid w:val="0"/>
        <w:spacing w:line="480" w:lineRule="exact"/>
        <w:ind w:left="0" w:leftChars="0" w:right="0"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3.2.1投标人代表为法定代表人（单位负责人）的，应持有法定代表人（单位负责人）身份证明。投标人代表不是法定代表人（单位负责人）的，应持有法定代表人（单位负责人）授权委托书。</w:t>
      </w:r>
    </w:p>
    <w:p w14:paraId="46A68DA6">
      <w:pPr>
        <w:pStyle w:val="12"/>
        <w:pageBreakBefore w:val="0"/>
        <w:kinsoku/>
        <w:wordWrap/>
        <w:overflowPunct/>
        <w:topLinePunct w:val="0"/>
        <w:bidi w:val="0"/>
        <w:adjustRightInd w:val="0"/>
        <w:snapToGrid w:val="0"/>
        <w:spacing w:line="480" w:lineRule="exact"/>
        <w:ind w:left="0" w:leftChars="0" w:right="0" w:firstLine="550" w:firstLineChars="25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3.2</w:t>
      </w:r>
      <w:r>
        <w:rPr>
          <w:rFonts w:hint="eastAsia" w:ascii="仿宋" w:hAnsi="仿宋" w:eastAsia="仿宋" w:cs="仿宋"/>
          <w:color w:val="auto"/>
          <w:kern w:val="0"/>
          <w:sz w:val="22"/>
          <w:szCs w:val="22"/>
          <w:highlight w:val="none"/>
        </w:rPr>
        <w:t>.2投标人应当委托本单位正式员工作为投标人代表，且投标人代表只能接受一个投标人的委托参加投标。</w:t>
      </w:r>
    </w:p>
    <w:p w14:paraId="58D2B415">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lang w:eastAsia="zh-CN"/>
        </w:rPr>
      </w:pPr>
      <w:bookmarkStart w:id="123" w:name="_Toc17181"/>
      <w:r>
        <w:rPr>
          <w:rFonts w:hint="eastAsia" w:ascii="仿宋" w:hAnsi="仿宋" w:eastAsia="仿宋" w:cs="仿宋"/>
          <w:color w:val="auto"/>
          <w:sz w:val="22"/>
          <w:szCs w:val="22"/>
          <w:highlight w:val="none"/>
        </w:rPr>
        <w:t>3.3联合投标</w:t>
      </w:r>
      <w:bookmarkEnd w:id="123"/>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本项目不允许联合体投标</w:t>
      </w:r>
      <w:r>
        <w:rPr>
          <w:rFonts w:hint="eastAsia" w:ascii="仿宋" w:hAnsi="仿宋" w:eastAsia="仿宋" w:cs="仿宋"/>
          <w:color w:val="auto"/>
          <w:sz w:val="22"/>
          <w:szCs w:val="22"/>
          <w:highlight w:val="none"/>
          <w:lang w:eastAsia="zh-CN"/>
        </w:rPr>
        <w:t>）</w:t>
      </w:r>
    </w:p>
    <w:p w14:paraId="2C13D583">
      <w:pPr>
        <w:pageBreakBefore w:val="0"/>
        <w:tabs>
          <w:tab w:val="left" w:pos="7665"/>
        </w:tabs>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3.3.1本项目允许联合投标的，适用本条款。</w:t>
      </w:r>
    </w:p>
    <w:p w14:paraId="1CEDE8FA">
      <w:pPr>
        <w:pageBreakBefore w:val="0"/>
        <w:kinsoku/>
        <w:wordWrap/>
        <w:overflowPunct/>
        <w:topLinePunct w:val="0"/>
        <w:bidi w:val="0"/>
        <w:spacing w:line="480" w:lineRule="exact"/>
        <w:ind w:left="0" w:leftChars="0" w:right="0" w:firstLine="429" w:firstLineChars="1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3.3.2 两个以上投标人可以组成一个投标联合体，以一个投标人的身份投标。以联合体形式参加投标的，联合体各方均应当符合《中华人民共和国政府采购法》规定的资格条件：</w:t>
      </w:r>
    </w:p>
    <w:p w14:paraId="1BF6EDD2">
      <w:pPr>
        <w:pageBreakBefore w:val="0"/>
        <w:kinsoku/>
        <w:wordWrap/>
        <w:overflowPunct/>
        <w:topLinePunct w:val="0"/>
        <w:bidi w:val="0"/>
        <w:spacing w:line="480" w:lineRule="exact"/>
        <w:ind w:left="0" w:leftChars="0" w:right="0" w:firstLine="429" w:firstLineChars="1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（1）联合体各方均应当符合本章第3.1.1条规定的投标人基本资格条件；</w:t>
      </w:r>
    </w:p>
    <w:p w14:paraId="69A0DE56">
      <w:pPr>
        <w:pageBreakBefore w:val="0"/>
        <w:kinsoku/>
        <w:wordWrap/>
        <w:overflowPunct/>
        <w:topLinePunct w:val="0"/>
        <w:bidi w:val="0"/>
        <w:adjustRightInd w:val="0"/>
        <w:snapToGrid w:val="0"/>
        <w:spacing w:line="480" w:lineRule="exact"/>
        <w:ind w:left="0" w:leftChars="0" w:right="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（2）联合体各方中至少应当有一方符合本章第3.1.1（7）条款规定的投标人强制资格条件。</w:t>
      </w:r>
    </w:p>
    <w:p w14:paraId="337CDCCC">
      <w:pPr>
        <w:pageBreakBefore w:val="0"/>
        <w:kinsoku/>
        <w:wordWrap/>
        <w:overflowPunct/>
        <w:topLinePunct w:val="0"/>
        <w:bidi w:val="0"/>
        <w:spacing w:line="480" w:lineRule="exact"/>
        <w:ind w:left="0" w:leftChars="0" w:right="0" w:firstLine="429" w:firstLineChars="1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3.3.3联合体各方之间应当签订共同投标协议，明确约定联合体各方承担的合同工作量比例和相应的责任，并将共同投标协议连同投标文件一并提交采购代理机构。联合体各方签订共同投标协议后，不得再以自己名义单独在同一项目中投标，也不得组成新的联合体参加同一项目投标。</w:t>
      </w:r>
    </w:p>
    <w:p w14:paraId="3BE9E7E1">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3.3.4联合体应当确定其中一个单位为投标的全权代表，负责参加投标的一切事务，并承担投标及履约中应承担的全部责任与义务。</w:t>
      </w:r>
    </w:p>
    <w:p w14:paraId="5B007EC4">
      <w:pPr>
        <w:pStyle w:val="10"/>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3.3.5联合体各方应当共同与采购人签订采购合同，就采购合同约定的事项对采购人承担连带责任。</w:t>
      </w:r>
    </w:p>
    <w:p w14:paraId="15D63AC9">
      <w:pPr>
        <w:pStyle w:val="3"/>
        <w:pageBreakBefore w:val="0"/>
        <w:kinsoku/>
        <w:wordWrap/>
        <w:overflowPunct/>
        <w:topLinePunct w:val="0"/>
        <w:bidi w:val="0"/>
        <w:spacing w:before="0" w:after="0" w:line="480" w:lineRule="exact"/>
        <w:ind w:left="0" w:leftChars="0" w:right="0"/>
        <w:textAlignment w:val="auto"/>
        <w:rPr>
          <w:rFonts w:hint="eastAsia" w:ascii="仿宋" w:hAnsi="仿宋" w:eastAsia="仿宋" w:cs="仿宋"/>
          <w:color w:val="auto"/>
          <w:sz w:val="22"/>
          <w:szCs w:val="22"/>
          <w:highlight w:val="none"/>
        </w:rPr>
      </w:pPr>
      <w:bookmarkStart w:id="124" w:name="_Toc573"/>
      <w:r>
        <w:rPr>
          <w:rFonts w:hint="eastAsia" w:ascii="仿宋" w:hAnsi="仿宋" w:eastAsia="仿宋" w:cs="仿宋"/>
          <w:color w:val="auto"/>
          <w:sz w:val="22"/>
          <w:szCs w:val="22"/>
          <w:highlight w:val="none"/>
        </w:rPr>
        <w:t>3.4享受的政府采购政策</w:t>
      </w:r>
      <w:bookmarkEnd w:id="124"/>
    </w:p>
    <w:p w14:paraId="2FF609F2">
      <w:pPr>
        <w:pStyle w:val="12"/>
        <w:pageBreakBefore w:val="0"/>
        <w:widowControl w:val="0"/>
        <w:kinsoku/>
        <w:wordWrap/>
        <w:overflowPunct/>
        <w:topLinePunct w:val="0"/>
        <w:bidi w:val="0"/>
        <w:adjustRightInd w:val="0"/>
        <w:snapToGrid w:val="0"/>
        <w:spacing w:line="480" w:lineRule="exact"/>
        <w:ind w:left="0" w:leftChars="0" w:right="0" w:firstLine="442" w:firstLineChars="200"/>
        <w:textAlignment w:val="auto"/>
        <w:rPr>
          <w:rFonts w:hint="eastAsia" w:ascii="仿宋" w:hAnsi="仿宋" w:eastAsia="仿宋" w:cs="仿宋"/>
          <w:b/>
          <w:color w:val="auto"/>
          <w:kern w:val="2"/>
          <w:sz w:val="22"/>
          <w:szCs w:val="22"/>
          <w:highlight w:val="none"/>
          <w:lang w:val="en-US" w:eastAsia="zh-CN" w:bidi="ar-SA"/>
        </w:rPr>
      </w:pPr>
      <w:r>
        <w:rPr>
          <w:rFonts w:hint="eastAsia" w:ascii="仿宋" w:hAnsi="仿宋" w:eastAsia="仿宋" w:cs="仿宋"/>
          <w:b/>
          <w:color w:val="auto"/>
          <w:kern w:val="2"/>
          <w:sz w:val="22"/>
          <w:szCs w:val="22"/>
          <w:highlight w:val="none"/>
          <w:lang w:val="en-US" w:eastAsia="zh-CN" w:bidi="ar-SA"/>
        </w:rPr>
        <w:t>3.4.1 节能产品、环境标志产品</w:t>
      </w:r>
    </w:p>
    <w:p w14:paraId="11F9DE3A">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3.4.1.1 根据《国家市场监督管理总局关于发布强制性产品认证目录描述与界定表的公告》（2023 年第 36 号）要求，本项目采购产品若属于《强制性产品认证目录》《强制性产品认证目录描述与界定表（2023 年修订）》范围内，须提供有效期内的强制性认证（CCC）证书。</w:t>
      </w:r>
    </w:p>
    <w:p w14:paraId="38E4D331">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3.4.1.2 根据财政部、发展改革委、生态环境部、市场监管总局联合发布的《关于调整优化节能产品、环境标志产品政府采购执行机制的通知》(财库[2019]9号)要求，相关采购产品须满足以下认证及价格扣除要求：</w:t>
      </w:r>
    </w:p>
    <w:p w14:paraId="145E7870">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1.若属于《关于印发节能产品政府采购品目清单的通知》（财库[2019]19号）范围内的强制采购产品，须提供有效期内的节能产品认证证书；属于优先采购产品的，须提供有效期内的节能产品认证证书，且按以下标准给予价格扣除：节能产品金额占项目总金额≥30%，扣除2%；＜30%，扣除1%；强制采购节能产品不享受该价格扣除。</w:t>
      </w:r>
    </w:p>
    <w:p w14:paraId="48971907">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2.若属于《关于印发节能产品政府采购品目清单的通知》（财库[2019]19号）、《关于印发环境标志产品政府采购品目清单的通知》（财库[2019]18号）范围内的优先采购产品，须提供有效期内的对应认证证书（节能或环境标志产品认证证书）；环境标志产品按以下标准给予价格扣除：环境标志产品金额占项目总金额≥30%，扣除2%；＜30%，扣除1%。</w:t>
      </w:r>
    </w:p>
    <w:p w14:paraId="6BD07CA8">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注：节能产品指属于《节能产品政府采购品目清单》范围，且具备国家指定认证机构出具的有效期内节能产品认证证书的产品；环境标志产品指属于《环境标志产品政府采购品目清单》范围，且具备国家指定认证机构出具的有效期内环境标志产品认证证书的产品。</w:t>
      </w:r>
    </w:p>
    <w:p w14:paraId="60D33136">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3.4.1.3 投标人所投产品有下列情形之一的，优先采购产品不再享受优先采购政策，强制采购产品按无效投标文件处理：</w:t>
      </w:r>
    </w:p>
    <w:p w14:paraId="218355EC">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（1）不属于《节能产品、环境标志产品品目清单》范围内的产品；</w:t>
      </w:r>
    </w:p>
    <w:p w14:paraId="5718F96D">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（2）未提供对应认证证书，或经核对认证证书信息有误的。</w:t>
      </w:r>
    </w:p>
    <w:p w14:paraId="3B7038B8">
      <w:pPr>
        <w:pageBreakBefore w:val="0"/>
        <w:kinsoku/>
        <w:wordWrap/>
        <w:overflowPunct/>
        <w:topLinePunct w:val="0"/>
        <w:bidi w:val="0"/>
        <w:adjustRightInd w:val="0"/>
        <w:snapToGrid w:val="0"/>
        <w:spacing w:line="480" w:lineRule="exact"/>
        <w:ind w:left="0" w:leftChars="0" w:right="0" w:firstLine="442" w:firstLineChars="200"/>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3.4.2 中小企业</w:t>
      </w:r>
      <w:r>
        <w:rPr>
          <w:rFonts w:hint="eastAsia" w:ascii="仿宋" w:hAnsi="仿宋" w:eastAsia="仿宋" w:cs="仿宋"/>
          <w:b/>
          <w:color w:val="auto"/>
          <w:sz w:val="22"/>
          <w:szCs w:val="22"/>
          <w:highlight w:val="none"/>
          <w:lang w:eastAsia="zh-CN"/>
        </w:rPr>
        <w:t>（</w:t>
      </w:r>
      <w:r>
        <w:rPr>
          <w:rFonts w:hint="eastAsia" w:ascii="仿宋" w:hAnsi="仿宋" w:eastAsia="仿宋" w:cs="仿宋"/>
          <w:b/>
          <w:color w:val="auto"/>
          <w:sz w:val="22"/>
          <w:szCs w:val="22"/>
          <w:highlight w:val="none"/>
          <w:lang w:val="en-US" w:eastAsia="zh-CN"/>
        </w:rPr>
        <w:t>本项目不专门面向中小企业采购，对全部提供小型和微型企业的价格给予10%的扣除，用扣除后的价格参与评审。</w:t>
      </w:r>
      <w:r>
        <w:rPr>
          <w:rFonts w:hint="eastAsia" w:ascii="仿宋" w:hAnsi="仿宋" w:eastAsia="仿宋" w:cs="仿宋"/>
          <w:b/>
          <w:color w:val="auto"/>
          <w:sz w:val="22"/>
          <w:szCs w:val="22"/>
          <w:highlight w:val="none"/>
          <w:lang w:eastAsia="zh-CN"/>
        </w:rPr>
        <w:t>）</w:t>
      </w:r>
    </w:p>
    <w:p w14:paraId="591E76AD">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3.4.2.1 </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依据《工业和信息化部、国家统计局、国家发展和改革委员会、财政部关于印发中小企业划型标准规定的通知》规定划分标准，属于中小企业的，可享受支持中小型企业发展优惠政策。</w:t>
      </w:r>
    </w:p>
    <w:p w14:paraId="48EEC743">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3.4.2.2</w:t>
      </w:r>
      <w:r>
        <w:rPr>
          <w:rFonts w:hint="eastAsia" w:ascii="仿宋" w:hAnsi="仿宋" w:eastAsia="仿宋" w:cs="仿宋"/>
          <w:color w:val="auto"/>
          <w:sz w:val="22"/>
          <w:szCs w:val="22"/>
          <w:highlight w:val="none"/>
          <w:lang w:eastAsia="zh-CN"/>
        </w:rPr>
        <w:t>投标人</w:t>
      </w:r>
      <w:r>
        <w:rPr>
          <w:rFonts w:hint="eastAsia" w:ascii="仿宋" w:hAnsi="仿宋" w:eastAsia="仿宋" w:cs="仿宋"/>
          <w:color w:val="auto"/>
          <w:sz w:val="22"/>
          <w:szCs w:val="22"/>
          <w:highlight w:val="none"/>
        </w:rPr>
        <w:t>作为中小企业参加政府采购活动时，应当提供《中小企业声明函》（见第六章响应文件格式），不提供或提供有瑕疵的：</w:t>
      </w:r>
    </w:p>
    <w:p w14:paraId="31DDC750">
      <w:pPr>
        <w:pageBreakBefore w:val="0"/>
        <w:tabs>
          <w:tab w:val="left" w:pos="7665"/>
        </w:tabs>
        <w:kinsoku/>
        <w:wordWrap/>
        <w:overflowPunct/>
        <w:topLinePunct w:val="0"/>
        <w:bidi w:val="0"/>
        <w:spacing w:line="480" w:lineRule="exact"/>
        <w:ind w:left="0" w:leftChars="0" w:right="0" w:firstLine="442" w:firstLineChars="20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（1）在评审时，</w:t>
      </w:r>
      <w:r>
        <w:rPr>
          <w:rFonts w:hint="eastAsia" w:ascii="仿宋" w:hAnsi="仿宋" w:eastAsia="仿宋" w:cs="仿宋"/>
          <w:b/>
          <w:bCs/>
          <w:color w:val="auto"/>
          <w:sz w:val="22"/>
          <w:szCs w:val="22"/>
          <w:highlight w:val="none"/>
          <w:lang w:val="en-US" w:eastAsia="zh-CN"/>
        </w:rPr>
        <w:t>不</w:t>
      </w:r>
      <w:r>
        <w:rPr>
          <w:rFonts w:hint="eastAsia" w:ascii="仿宋" w:hAnsi="仿宋" w:eastAsia="仿宋" w:cs="仿宋"/>
          <w:b/>
          <w:bCs/>
          <w:color w:val="auto"/>
          <w:sz w:val="22"/>
          <w:szCs w:val="22"/>
          <w:highlight w:val="none"/>
        </w:rPr>
        <w:t>享受政府采购价格折扣的优惠政策；</w:t>
      </w:r>
    </w:p>
    <w:p w14:paraId="41E51A1C">
      <w:pPr>
        <w:pageBreakBefore w:val="0"/>
        <w:kinsoku/>
        <w:wordWrap/>
        <w:overflowPunct/>
        <w:topLinePunct w:val="0"/>
        <w:bidi w:val="0"/>
        <w:adjustRightInd w:val="0"/>
        <w:snapToGrid w:val="0"/>
        <w:spacing w:line="480" w:lineRule="exact"/>
        <w:ind w:left="0" w:leftChars="0" w:right="0" w:firstLine="442" w:firstLineChars="20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（2）在资格审查时，不予通过资格审查（仅限专门面向中小企业采购的项目）。</w:t>
      </w:r>
    </w:p>
    <w:p w14:paraId="72F84C80">
      <w:pPr>
        <w:pageBreakBefore w:val="0"/>
        <w:kinsoku/>
        <w:wordWrap/>
        <w:overflowPunct/>
        <w:topLinePunct w:val="0"/>
        <w:bidi w:val="0"/>
        <w:adjustRightInd w:val="0"/>
        <w:snapToGrid w:val="0"/>
        <w:spacing w:line="480" w:lineRule="exact"/>
        <w:ind w:left="0" w:leftChars="0" w:right="0" w:firstLine="442" w:firstLineChars="20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根据《政府采购促进中小企业发展管理办法》（财库﹝2020﹞46 号）文件和《关于进一步加大政府采购支持中小企业力度的通知》（财库〔2022〕19 号）文件的规定，对非专门面向中小企业采购的采购项目，采购人、采购代理机构将对小型或微型企业报价给予 10%—20%的扣除，用扣除后的价格参加评审（扣除后的价格仅作为评标使用）。本项目对全部提供小型和微型企业的价格给予10%的扣除，用扣除后的价格参与评审。监狱企业、残疾人福利性单位视同小型、微型企业。如供应商同时满足监狱企业、残疾人福利性单位和小型、微型企业中一种或多种情形，不叠加享受价格扣除优惠政策，其报价仅扣除一次。</w:t>
      </w:r>
    </w:p>
    <w:p w14:paraId="09076BB5">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3.4.2.3监狱企业参加政府采购活动时，视同小型微型企业。依照&lt;财政部、司法部关于政府采购支持监狱企业发展有关问题的通知&gt;（财库〔2014〕68号）之规定，应当提供由省级以上监狱管理局、戒毒管理局出具的属于监狱企业的证明文件，不提供或提供有瑕疵的，不视为小型微型企业。</w:t>
      </w:r>
    </w:p>
    <w:p w14:paraId="14D8E18B">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3.4.2.4 残疾人福利性单位参加政府采购活动时，视同小型微型企业。依据《财政部、民政部、中国残疾人联合会关于促进残疾人就业政府采购政策的通知》（财库〔2017〕141号）的规定，应当提供《残疾人福利性单位声明函》（见第六章响应文件格式），不提供或提供有瑕疵的，不视为小型微型企业。</w:t>
      </w:r>
    </w:p>
    <w:p w14:paraId="54FFD8EC">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3.4.2.5联合体各方均中小企业的，参加政府采购活动时，视同中小企业。联合体各方均需提供《中小企业声明函》，有一方未提供或提供有瑕疵的，不视为中小企业。</w:t>
      </w:r>
    </w:p>
    <w:p w14:paraId="0AA87046">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3.4.2.6 中小企业可以同时享受节能产品、环境标志产品优先采购政策。同一项目中部分产品属于优先采购政策的，评审时只对该部分产品实行优先采购。</w:t>
      </w:r>
    </w:p>
    <w:p w14:paraId="076CE843">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3.4.2.7 政府采购监督检查和投诉处理中对中小企业的认定，由企业所在地的县级以上中小企业主管部门负责。</w:t>
      </w:r>
    </w:p>
    <w:p w14:paraId="7C7575F3">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3.4.</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 xml:space="preserve"> 进口产品</w:t>
      </w:r>
    </w:p>
    <w:p w14:paraId="3D2D4605">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（A）本项目</w:t>
      </w:r>
      <w:r>
        <w:rPr>
          <w:rFonts w:hint="eastAsia" w:ascii="仿宋" w:hAnsi="仿宋" w:eastAsia="仿宋" w:cs="仿宋"/>
          <w:color w:val="auto"/>
          <w:sz w:val="22"/>
          <w:szCs w:val="22"/>
          <w:highlight w:val="none"/>
          <w:lang w:val="en-US" w:eastAsia="zh-CN"/>
        </w:rPr>
        <w:t>拒绝</w:t>
      </w:r>
      <w:r>
        <w:rPr>
          <w:rFonts w:hint="eastAsia" w:ascii="仿宋" w:hAnsi="仿宋" w:eastAsia="仿宋" w:cs="仿宋"/>
          <w:color w:val="auto"/>
          <w:sz w:val="22"/>
          <w:szCs w:val="22"/>
          <w:highlight w:val="none"/>
        </w:rPr>
        <w:t>进口产品参加投标。本条款适合未经财政部门批准采购进口产品的项目。</w:t>
      </w:r>
    </w:p>
    <w:p w14:paraId="60AB09B7">
      <w:pPr>
        <w:pStyle w:val="12"/>
        <w:pageBreakBefore w:val="0"/>
        <w:kinsoku/>
        <w:wordWrap/>
        <w:overflowPunct/>
        <w:topLinePunct w:val="0"/>
        <w:bidi w:val="0"/>
        <w:adjustRightInd w:val="0"/>
        <w:snapToGrid w:val="0"/>
        <w:spacing w:line="480" w:lineRule="exact"/>
        <w:ind w:left="0" w:leftChars="0" w:right="0" w:firstLine="161" w:firstLineChars="73"/>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3.5转包与分包</w:t>
      </w:r>
    </w:p>
    <w:p w14:paraId="3160EBDF">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3.5.1本项目严禁采取转包方式履行合同。本项项目所称转包，是指中标人将采购合同业务转让给第三人，并退出现有采购合同当事人双方权利业务关系，受让人（即第三人）成为采购合同的另一方当事人的行为。</w:t>
      </w:r>
    </w:p>
    <w:p w14:paraId="5B63B215">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中标人转包的，视同拒绝履行采购合同业务，将依法追究法律责任。</w:t>
      </w:r>
    </w:p>
    <w:p w14:paraId="70A078C0">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3.5.2本项目经采购人同意，可以将中标项目的部分非主体、非关键性工作分包给他人完成，</w:t>
      </w:r>
      <w:r>
        <w:rPr>
          <w:rFonts w:hint="eastAsia" w:ascii="仿宋" w:hAnsi="仿宋" w:eastAsia="仿宋" w:cs="仿宋"/>
          <w:color w:val="auto"/>
          <w:sz w:val="22"/>
          <w:szCs w:val="22"/>
          <w:highlight w:val="none"/>
          <w:lang w:val="en-US" w:eastAsia="zh-CN"/>
        </w:rPr>
        <w:t>本项目</w:t>
      </w:r>
      <w:r>
        <w:rPr>
          <w:rFonts w:hint="eastAsia" w:ascii="仿宋" w:hAnsi="仿宋" w:eastAsia="仿宋" w:cs="仿宋"/>
          <w:b/>
          <w:bCs/>
          <w:color w:val="auto"/>
          <w:sz w:val="22"/>
          <w:szCs w:val="22"/>
          <w:highlight w:val="none"/>
        </w:rPr>
        <w:t>“主体和关键性工作”是指：</w:t>
      </w:r>
      <w:r>
        <w:rPr>
          <w:rFonts w:hint="eastAsia" w:ascii="仿宋" w:hAnsi="仿宋" w:eastAsia="仿宋" w:cs="仿宋"/>
          <w:b/>
          <w:bCs/>
          <w:color w:val="auto"/>
          <w:sz w:val="22"/>
          <w:szCs w:val="22"/>
          <w:highlight w:val="none"/>
          <w:lang w:eastAsia="zh-CN"/>
        </w:rPr>
        <w:t>本项目</w:t>
      </w:r>
      <w:r>
        <w:rPr>
          <w:rFonts w:hint="eastAsia" w:ascii="仿宋" w:hAnsi="仿宋" w:eastAsia="仿宋" w:cs="仿宋"/>
          <w:color w:val="auto"/>
          <w:sz w:val="22"/>
          <w:szCs w:val="22"/>
          <w:highlight w:val="none"/>
        </w:rPr>
        <w:t>全部内容，本项目不允许分包。</w:t>
      </w:r>
    </w:p>
    <w:p w14:paraId="27729B47">
      <w:pPr>
        <w:pageBreakBefore w:val="0"/>
        <w:kinsoku/>
        <w:wordWrap/>
        <w:overflowPunct/>
        <w:topLinePunct w:val="0"/>
        <w:bidi w:val="0"/>
        <w:spacing w:line="480" w:lineRule="exact"/>
        <w:ind w:left="0" w:leftChars="0" w:right="0" w:firstLine="493"/>
        <w:textAlignment w:val="auto"/>
        <w:rPr>
          <w:rFonts w:hint="eastAsia" w:ascii="仿宋" w:hAnsi="仿宋" w:eastAsia="仿宋" w:cs="仿宋"/>
          <w:b/>
          <w:bCs/>
          <w:color w:val="auto"/>
          <w:kern w:val="0"/>
          <w:sz w:val="22"/>
          <w:szCs w:val="22"/>
          <w:highlight w:val="none"/>
        </w:rPr>
      </w:pPr>
      <w:r>
        <w:rPr>
          <w:rFonts w:hint="eastAsia" w:ascii="仿宋" w:hAnsi="仿宋" w:eastAsia="仿宋" w:cs="仿宋"/>
          <w:color w:val="auto"/>
          <w:kern w:val="0"/>
          <w:sz w:val="22"/>
          <w:szCs w:val="22"/>
          <w:highlight w:val="none"/>
        </w:rPr>
        <w:t>接受分包的投标人应当具备相应的资格条件，并不得再次分包。</w:t>
      </w:r>
      <w:r>
        <w:rPr>
          <w:rFonts w:hint="eastAsia" w:ascii="仿宋" w:hAnsi="仿宋" w:eastAsia="仿宋" w:cs="仿宋"/>
          <w:color w:val="auto"/>
          <w:sz w:val="22"/>
          <w:szCs w:val="22"/>
          <w:highlight w:val="none"/>
        </w:rPr>
        <w:t>采购合同实行分包履行的，中标人就采购项目和分包项目向采购人负责，分包投标人就分包项目承担责任。</w:t>
      </w:r>
    </w:p>
    <w:p w14:paraId="3E02FF3D">
      <w:pPr>
        <w:pStyle w:val="12"/>
        <w:pageBreakBefore w:val="0"/>
        <w:kinsoku/>
        <w:wordWrap/>
        <w:overflowPunct/>
        <w:topLinePunct w:val="0"/>
        <w:bidi w:val="0"/>
        <w:adjustRightInd w:val="0"/>
        <w:snapToGrid w:val="0"/>
        <w:spacing w:line="480" w:lineRule="exact"/>
        <w:ind w:left="0" w:leftChars="0" w:right="0" w:firstLine="161" w:firstLineChars="73"/>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3.6投标人的风险</w:t>
      </w:r>
    </w:p>
    <w:p w14:paraId="323C744B">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投标人应认真阅读和充分理解招标文件中所有的事项、格式条款和规范要求，任何对</w:t>
      </w:r>
      <w:r>
        <w:rPr>
          <w:rFonts w:hint="eastAsia" w:ascii="仿宋" w:hAnsi="仿宋" w:eastAsia="仿宋" w:cs="仿宋"/>
          <w:bCs/>
          <w:color w:val="auto"/>
          <w:sz w:val="22"/>
          <w:szCs w:val="22"/>
          <w:highlight w:val="none"/>
        </w:rPr>
        <w:t>招标</w:t>
      </w:r>
      <w:r>
        <w:rPr>
          <w:rFonts w:hint="eastAsia" w:ascii="仿宋" w:hAnsi="仿宋" w:eastAsia="仿宋" w:cs="仿宋"/>
          <w:color w:val="auto"/>
          <w:sz w:val="22"/>
          <w:szCs w:val="22"/>
          <w:highlight w:val="none"/>
        </w:rPr>
        <w:t>文件的忽略或误解不能作为投标文件存在缺陷或瑕疵的理由；投标人</w:t>
      </w:r>
      <w:r>
        <w:rPr>
          <w:rFonts w:hint="eastAsia" w:ascii="仿宋" w:hAnsi="仿宋" w:eastAsia="仿宋" w:cs="仿宋"/>
          <w:color w:val="auto"/>
          <w:kern w:val="0"/>
          <w:sz w:val="22"/>
          <w:szCs w:val="22"/>
          <w:highlight w:val="none"/>
        </w:rPr>
        <w:t>没有按照招标文件要求提供全部资料，</w:t>
      </w:r>
      <w:r>
        <w:rPr>
          <w:rFonts w:hint="eastAsia" w:ascii="仿宋" w:hAnsi="仿宋" w:eastAsia="仿宋" w:cs="仿宋"/>
          <w:color w:val="auto"/>
          <w:sz w:val="22"/>
          <w:szCs w:val="22"/>
          <w:highlight w:val="none"/>
        </w:rPr>
        <w:t>或对招标文件全面做出实质性响应是投标人的风险，</w:t>
      </w:r>
      <w:r>
        <w:rPr>
          <w:rFonts w:hint="eastAsia" w:ascii="仿宋" w:hAnsi="仿宋" w:eastAsia="仿宋" w:cs="仿宋"/>
          <w:color w:val="auto"/>
          <w:kern w:val="0"/>
          <w:sz w:val="22"/>
          <w:szCs w:val="22"/>
          <w:highlight w:val="none"/>
        </w:rPr>
        <w:t>并可能导致其投标文件被拒绝。</w:t>
      </w:r>
    </w:p>
    <w:p w14:paraId="65B25F4F">
      <w:pPr>
        <w:pageBreakBefore w:val="0"/>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3.7投标人的纪律要求</w:t>
      </w:r>
    </w:p>
    <w:p w14:paraId="28826A73">
      <w:pPr>
        <w:pStyle w:val="7"/>
        <w:pageBreakBefore w:val="0"/>
        <w:kinsoku/>
        <w:wordWrap/>
        <w:overflowPunct/>
        <w:topLinePunct w:val="0"/>
        <w:bidi w:val="0"/>
        <w:spacing w:line="480" w:lineRule="exact"/>
        <w:ind w:left="0" w:leftChars="0" w:right="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3.7.1 有下列情形之一的，属于不合格投标人，其投标或中标资格将被取消：</w:t>
      </w:r>
    </w:p>
    <w:p w14:paraId="7E057D5F">
      <w:pPr>
        <w:pageBreakBefore w:val="0"/>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（1）提供虚假材料谋取中标；</w:t>
      </w:r>
    </w:p>
    <w:p w14:paraId="3BA2C35B">
      <w:pPr>
        <w:pageBreakBefore w:val="0"/>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（2）采取不正当手段诋毁、排挤其他投标人；</w:t>
      </w:r>
    </w:p>
    <w:p w14:paraId="0AD5E214">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（3）与采购人、采购代理机构、其他投标人恶意串通；</w:t>
      </w:r>
    </w:p>
    <w:p w14:paraId="2B20F17D">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（4）向采购人、采购代理机构、评标委员会成员行贿或者提供其他不正当利益；</w:t>
      </w:r>
    </w:p>
    <w:p w14:paraId="1FC3AB47">
      <w:pPr>
        <w:pStyle w:val="14"/>
        <w:pageBreakBefore w:val="0"/>
        <w:tabs>
          <w:tab w:val="left" w:pos="720"/>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（5）在招标过程中与采购人、采购代理机构进行协商谈判；</w:t>
      </w:r>
    </w:p>
    <w:p w14:paraId="4A987049">
      <w:pPr>
        <w:pStyle w:val="14"/>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（6）拒绝有关部门的监督检查或者向监督检查部门提供虚假情况。</w:t>
      </w:r>
    </w:p>
    <w:p w14:paraId="7236338B">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3.7.2有下列情形之一的，视为投标人相互恶意串通投标，其投标无效：</w:t>
      </w:r>
    </w:p>
    <w:p w14:paraId="05014FCC">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（1）不同投标人的投标文件由同一单位或者个人编制；</w:t>
      </w:r>
    </w:p>
    <w:p w14:paraId="3E5C069D">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（2）不同投标人委托同一单位或者个人办理投标事宜；</w:t>
      </w:r>
    </w:p>
    <w:p w14:paraId="38F55318">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（3）不同投标人的投标文件载明的项目管理成员为同一人；</w:t>
      </w:r>
    </w:p>
    <w:p w14:paraId="37CFC9A2">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（4）不同投标人的投标文件异常一致或者投标报价呈规律性差异；</w:t>
      </w:r>
    </w:p>
    <w:p w14:paraId="401BD6C2">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（5）不同投标人的投标文件相互混装；</w:t>
      </w:r>
    </w:p>
    <w:p w14:paraId="73B09DF4">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（6）不同投标人的投标保证金从同一单位或者个人的账户转出；</w:t>
      </w:r>
    </w:p>
    <w:p w14:paraId="33CDADE1">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（7）不同投标人的投标文件由同一投标人送达。</w:t>
      </w:r>
    </w:p>
    <w:p w14:paraId="69C3EE29">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25" w:name="_Toc18750"/>
      <w:r>
        <w:rPr>
          <w:rFonts w:hint="eastAsia" w:ascii="仿宋" w:hAnsi="仿宋" w:eastAsia="仿宋" w:cs="仿宋"/>
          <w:bCs/>
          <w:color w:val="auto"/>
          <w:sz w:val="28"/>
          <w:szCs w:val="28"/>
          <w:highlight w:val="none"/>
          <w:lang w:val="en-US" w:eastAsia="zh-CN"/>
        </w:rPr>
        <w:t>4.投标文件</w:t>
      </w:r>
      <w:bookmarkEnd w:id="125"/>
    </w:p>
    <w:p w14:paraId="00198093">
      <w:pPr>
        <w:pageBreakBefore w:val="0"/>
        <w:kinsoku/>
        <w:wordWrap/>
        <w:overflowPunct/>
        <w:topLinePunct w:val="0"/>
        <w:bidi w:val="0"/>
        <w:snapToGrid w:val="0"/>
        <w:spacing w:line="480" w:lineRule="exact"/>
        <w:ind w:left="0" w:leftChars="0" w:right="0"/>
        <w:textAlignment w:val="auto"/>
        <w:outlineLvl w:val="2"/>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4.1投标文件的编写原则和要求</w:t>
      </w:r>
    </w:p>
    <w:p w14:paraId="71D4A989">
      <w:pPr>
        <w:pageBreakBefore w:val="0"/>
        <w:tabs>
          <w:tab w:val="left" w:pos="720"/>
        </w:tabs>
        <w:kinsoku/>
        <w:wordWrap/>
        <w:overflowPunct/>
        <w:topLinePunct w:val="0"/>
        <w:bidi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4.1.1 投标人应仔细阅读招标文件的所有内容，按招标文件规定及要求编写，应当对招标文件提出的实质性要求做出响应，并提交完整的投标文件。投标人应对投标货物和服务提供完整详细的技术说明，若投标人对指定的技术要求不能完全响应，应在投标文件中清楚地注明。</w:t>
      </w:r>
      <w:r>
        <w:rPr>
          <w:rFonts w:hint="eastAsia" w:ascii="仿宋" w:hAnsi="仿宋" w:eastAsia="仿宋" w:cs="仿宋"/>
          <w:b/>
          <w:color w:val="auto"/>
          <w:sz w:val="22"/>
          <w:szCs w:val="22"/>
          <w:highlight w:val="none"/>
        </w:rPr>
        <w:t>投标人拟在中标后将中标项目的非主体、非关键性工作交由他人完成的，应当在投标文件中载明。</w:t>
      </w:r>
      <w:r>
        <w:rPr>
          <w:rFonts w:hint="eastAsia" w:ascii="仿宋" w:hAnsi="仿宋" w:eastAsia="仿宋" w:cs="仿宋"/>
          <w:color w:val="auto"/>
          <w:sz w:val="22"/>
          <w:szCs w:val="22"/>
          <w:highlight w:val="none"/>
        </w:rPr>
        <w:t>投标人对本招标文件的每一项要求所给予的响应必须是唯一的，否则将视为无效投标文件。</w:t>
      </w:r>
    </w:p>
    <w:p w14:paraId="71EA30B6">
      <w:pPr>
        <w:pageBreakBefore w:val="0"/>
        <w:tabs>
          <w:tab w:val="left" w:pos="720"/>
        </w:tabs>
        <w:kinsoku/>
        <w:wordWrap/>
        <w:overflowPunct/>
        <w:topLinePunct w:val="0"/>
        <w:bidi w:val="0"/>
        <w:snapToGrid w:val="0"/>
        <w:spacing w:line="480" w:lineRule="exact"/>
        <w:ind w:left="0" w:leftChars="0" w:right="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4.1.2 真实性原则</w:t>
      </w:r>
    </w:p>
    <w:p w14:paraId="0E07A90B">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4.1.2.1 投标人应保证所提供的投标文件和所有资料的真实性、准确性和完整性。</w:t>
      </w:r>
    </w:p>
    <w:p w14:paraId="6CDA0068">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4.1.2.2 投标人被认定为在采购活动中提供不真实材料的，无论其材料是否重要，采购人均有权拒绝，并取消其投标或中标资格，投标人需承担相应的法律后果。</w:t>
      </w:r>
    </w:p>
    <w:p w14:paraId="7BED92FE">
      <w:pPr>
        <w:pageBreakBefore w:val="0"/>
        <w:tabs>
          <w:tab w:val="left" w:pos="720"/>
        </w:tabs>
        <w:kinsoku/>
        <w:wordWrap/>
        <w:overflowPunct/>
        <w:topLinePunct w:val="0"/>
        <w:bidi w:val="0"/>
        <w:snapToGrid w:val="0"/>
        <w:spacing w:line="480" w:lineRule="exact"/>
        <w:ind w:left="0" w:leftChars="0" w:right="0" w:firstLine="48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4.1.3 投标货币</w:t>
      </w:r>
    </w:p>
    <w:p w14:paraId="00DD064E">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本项目的投标均以人民币报价。</w:t>
      </w:r>
    </w:p>
    <w:p w14:paraId="6B6251FA">
      <w:pPr>
        <w:pageBreakBefore w:val="0"/>
        <w:tabs>
          <w:tab w:val="left" w:pos="720"/>
        </w:tabs>
        <w:kinsoku/>
        <w:wordWrap/>
        <w:overflowPunct/>
        <w:topLinePunct w:val="0"/>
        <w:bidi w:val="0"/>
        <w:snapToGrid w:val="0"/>
        <w:spacing w:line="480" w:lineRule="exact"/>
        <w:ind w:left="0" w:leftChars="0" w:right="0" w:firstLine="444" w:firstLineChars="201"/>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4.1.4 投标文件形式</w:t>
      </w:r>
    </w:p>
    <w:p w14:paraId="2A87AF69">
      <w:pPr>
        <w:pStyle w:val="12"/>
        <w:pageBreakBefore w:val="0"/>
        <w:kinsoku/>
        <w:wordWrap/>
        <w:overflowPunct/>
        <w:topLinePunct w:val="0"/>
        <w:bidi w:val="0"/>
        <w:adjustRightInd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本项目投标文件应采用</w:t>
      </w:r>
      <w:r>
        <w:rPr>
          <w:rFonts w:hint="eastAsia" w:ascii="仿宋" w:hAnsi="仿宋" w:eastAsia="仿宋" w:cs="仿宋"/>
          <w:color w:val="auto"/>
          <w:sz w:val="22"/>
          <w:szCs w:val="22"/>
          <w:highlight w:val="none"/>
          <w:lang w:eastAsia="zh-CN"/>
        </w:rPr>
        <w:t>软件</w:t>
      </w:r>
      <w:r>
        <w:rPr>
          <w:rFonts w:hint="eastAsia" w:ascii="仿宋" w:hAnsi="仿宋" w:eastAsia="仿宋" w:cs="仿宋"/>
          <w:color w:val="auto"/>
          <w:sz w:val="22"/>
          <w:szCs w:val="22"/>
          <w:highlight w:val="none"/>
        </w:rPr>
        <w:t>形式，电报、传真、电子邮件形式的投标文件不予接受。</w:t>
      </w:r>
    </w:p>
    <w:p w14:paraId="21FB6CAF">
      <w:pPr>
        <w:pageBreakBefore w:val="0"/>
        <w:tabs>
          <w:tab w:val="left" w:pos="720"/>
        </w:tabs>
        <w:kinsoku/>
        <w:wordWrap/>
        <w:overflowPunct/>
        <w:topLinePunct w:val="0"/>
        <w:bidi w:val="0"/>
        <w:snapToGrid w:val="0"/>
        <w:spacing w:line="480" w:lineRule="exact"/>
        <w:ind w:left="0" w:leftChars="0" w:right="0"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4.1.5 备选方案</w:t>
      </w:r>
    </w:p>
    <w:p w14:paraId="41848825">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4.1.5.1 除投标人须知前附表规定允许外，投标人不得递交备选投标方案，投标文件的报价只允许有一个报价，不接受具有附加条件的报价，否则，视为无效投标。</w:t>
      </w:r>
    </w:p>
    <w:p w14:paraId="1D740B57">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4.1.5.2 允许投标人递交备选投标方案的，只有中标人所递交的备选投标方案方可予以考虑。评标委员会认为中标人的备选投标方案优于其按照招标文件要求编制的投标方案的，采购人可以接受该备选方案。</w:t>
      </w:r>
    </w:p>
    <w:p w14:paraId="3DD9A7B2">
      <w:pPr>
        <w:pageBreakBefore w:val="0"/>
        <w:tabs>
          <w:tab w:val="left" w:pos="720"/>
        </w:tabs>
        <w:kinsoku/>
        <w:wordWrap/>
        <w:overflowPunct/>
        <w:topLinePunct w:val="0"/>
        <w:bidi w:val="0"/>
        <w:snapToGrid w:val="0"/>
        <w:spacing w:line="480" w:lineRule="exact"/>
        <w:ind w:left="0" w:leftChars="0" w:right="0"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4.1.5.3 投标人提供两个或两个以上投标报价，或者在投标文件中提供一个报价，但同时提供两个或两个以上供货方案的，视为提供备选方案。</w:t>
      </w:r>
    </w:p>
    <w:bookmarkEnd w:id="119"/>
    <w:bookmarkEnd w:id="120"/>
    <w:bookmarkEnd w:id="121"/>
    <w:p w14:paraId="3200D9B2">
      <w:pPr>
        <w:pageBreakBefore w:val="0"/>
        <w:tabs>
          <w:tab w:val="left" w:pos="720"/>
        </w:tabs>
        <w:kinsoku/>
        <w:wordWrap/>
        <w:overflowPunct/>
        <w:topLinePunct w:val="0"/>
        <w:bidi w:val="0"/>
        <w:snapToGrid w:val="0"/>
        <w:spacing w:line="480" w:lineRule="exact"/>
        <w:ind w:left="0" w:leftChars="0" w:right="0"/>
        <w:textAlignment w:val="auto"/>
        <w:rPr>
          <w:rFonts w:hint="eastAsia" w:ascii="仿宋" w:hAnsi="仿宋" w:eastAsia="仿宋" w:cs="仿宋"/>
          <w:b/>
          <w:color w:val="auto"/>
          <w:sz w:val="22"/>
          <w:szCs w:val="22"/>
          <w:highlight w:val="none"/>
        </w:rPr>
      </w:pPr>
      <w:bookmarkStart w:id="126" w:name="_Toc183582217"/>
      <w:bookmarkStart w:id="127" w:name="_Toc183682354"/>
      <w:bookmarkStart w:id="128" w:name="_Toc217446048"/>
      <w:r>
        <w:rPr>
          <w:rFonts w:hint="eastAsia" w:ascii="仿宋" w:hAnsi="仿宋" w:eastAsia="仿宋" w:cs="仿宋"/>
          <w:b/>
          <w:color w:val="auto"/>
          <w:sz w:val="22"/>
          <w:szCs w:val="22"/>
          <w:highlight w:val="none"/>
        </w:rPr>
        <w:t>4.2 投标文件的组成</w:t>
      </w:r>
      <w:bookmarkEnd w:id="126"/>
      <w:bookmarkEnd w:id="127"/>
      <w:bookmarkEnd w:id="128"/>
    </w:p>
    <w:p w14:paraId="38E45636">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4.2.1投标文件由下列文件组成：</w:t>
      </w:r>
    </w:p>
    <w:p w14:paraId="4E60C02E">
      <w:pPr>
        <w:pageBreakBefore w:val="0"/>
        <w:tabs>
          <w:tab w:val="left" w:pos="2730"/>
        </w:tabs>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（1）资格审查</w:t>
      </w:r>
      <w:r>
        <w:rPr>
          <w:rFonts w:hint="eastAsia" w:ascii="仿宋" w:hAnsi="仿宋" w:eastAsia="仿宋" w:cs="仿宋"/>
          <w:color w:val="auto"/>
          <w:sz w:val="22"/>
          <w:szCs w:val="22"/>
          <w:highlight w:val="none"/>
          <w:lang w:val="en-US" w:eastAsia="zh-CN"/>
        </w:rPr>
        <w:t>部分</w:t>
      </w:r>
      <w:r>
        <w:rPr>
          <w:rFonts w:hint="eastAsia" w:ascii="仿宋" w:hAnsi="仿宋" w:eastAsia="仿宋" w:cs="仿宋"/>
          <w:color w:val="auto"/>
          <w:sz w:val="22"/>
          <w:szCs w:val="22"/>
          <w:highlight w:val="none"/>
        </w:rPr>
        <w:t>文件</w:t>
      </w:r>
      <w:r>
        <w:rPr>
          <w:rFonts w:hint="eastAsia" w:ascii="仿宋" w:hAnsi="仿宋" w:eastAsia="仿宋" w:cs="仿宋"/>
          <w:color w:val="auto"/>
          <w:sz w:val="22"/>
          <w:szCs w:val="22"/>
          <w:highlight w:val="none"/>
          <w:lang w:eastAsia="zh-CN"/>
        </w:rPr>
        <w:t>（详见</w:t>
      </w:r>
      <w:r>
        <w:rPr>
          <w:rFonts w:hint="eastAsia" w:ascii="仿宋" w:hAnsi="仿宋" w:eastAsia="仿宋" w:cs="仿宋"/>
          <w:color w:val="auto"/>
          <w:sz w:val="22"/>
          <w:szCs w:val="22"/>
          <w:highlight w:val="none"/>
        </w:rPr>
        <w:t>投标文件格式</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ab/>
      </w:r>
    </w:p>
    <w:p w14:paraId="36D1A76B">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（2）商务技术</w:t>
      </w:r>
      <w:r>
        <w:rPr>
          <w:rFonts w:hint="eastAsia" w:ascii="仿宋" w:hAnsi="仿宋" w:eastAsia="仿宋" w:cs="仿宋"/>
          <w:color w:val="auto"/>
          <w:sz w:val="22"/>
          <w:szCs w:val="22"/>
          <w:highlight w:val="none"/>
          <w:lang w:val="en-US" w:eastAsia="zh-CN"/>
        </w:rPr>
        <w:t>部分</w:t>
      </w:r>
      <w:r>
        <w:rPr>
          <w:rFonts w:hint="eastAsia" w:ascii="仿宋" w:hAnsi="仿宋" w:eastAsia="仿宋" w:cs="仿宋"/>
          <w:color w:val="auto"/>
          <w:sz w:val="22"/>
          <w:szCs w:val="22"/>
          <w:highlight w:val="none"/>
        </w:rPr>
        <w:t>文件</w:t>
      </w:r>
      <w:r>
        <w:rPr>
          <w:rFonts w:hint="eastAsia" w:ascii="仿宋" w:hAnsi="仿宋" w:eastAsia="仿宋" w:cs="仿宋"/>
          <w:color w:val="auto"/>
          <w:sz w:val="22"/>
          <w:szCs w:val="22"/>
          <w:highlight w:val="none"/>
          <w:lang w:eastAsia="zh-CN"/>
        </w:rPr>
        <w:t>（详见</w:t>
      </w:r>
      <w:r>
        <w:rPr>
          <w:rFonts w:hint="eastAsia" w:ascii="仿宋" w:hAnsi="仿宋" w:eastAsia="仿宋" w:cs="仿宋"/>
          <w:color w:val="auto"/>
          <w:sz w:val="22"/>
          <w:szCs w:val="22"/>
          <w:highlight w:val="none"/>
        </w:rPr>
        <w:t>投标文件格式</w:t>
      </w:r>
      <w:r>
        <w:rPr>
          <w:rFonts w:hint="eastAsia" w:ascii="仿宋" w:hAnsi="仿宋" w:eastAsia="仿宋" w:cs="仿宋"/>
          <w:color w:val="auto"/>
          <w:sz w:val="22"/>
          <w:szCs w:val="22"/>
          <w:highlight w:val="none"/>
          <w:lang w:eastAsia="zh-CN"/>
        </w:rPr>
        <w:t>）</w:t>
      </w:r>
    </w:p>
    <w:p w14:paraId="5655384F">
      <w:pPr>
        <w:pageBreakBefore w:val="0"/>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4.3投标报价</w:t>
      </w:r>
    </w:p>
    <w:p w14:paraId="0E9671E5">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4.3.1 </w:t>
      </w:r>
      <w:r>
        <w:rPr>
          <w:rFonts w:hint="eastAsia" w:ascii="仿宋" w:hAnsi="仿宋" w:eastAsia="仿宋" w:cs="仿宋"/>
          <w:bCs/>
          <w:color w:val="auto"/>
          <w:sz w:val="22"/>
          <w:szCs w:val="22"/>
          <w:highlight w:val="none"/>
        </w:rPr>
        <w:t>投标人应当</w:t>
      </w:r>
      <w:r>
        <w:rPr>
          <w:rFonts w:hint="eastAsia" w:ascii="仿宋" w:hAnsi="仿宋" w:eastAsia="仿宋" w:cs="仿宋"/>
          <w:color w:val="auto"/>
          <w:sz w:val="22"/>
          <w:szCs w:val="22"/>
          <w:highlight w:val="none"/>
        </w:rPr>
        <w:t>按照招标文件要求填报投标报价，并充分了解该采购项目的总体情况以及影响投标报价的其他要素。</w:t>
      </w:r>
    </w:p>
    <w:p w14:paraId="357D2FAB">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4.3.2 </w:t>
      </w:r>
      <w:r>
        <w:rPr>
          <w:rFonts w:hint="eastAsia" w:ascii="仿宋" w:hAnsi="仿宋" w:eastAsia="仿宋" w:cs="仿宋"/>
          <w:color w:val="auto"/>
          <w:spacing w:val="3"/>
          <w:sz w:val="22"/>
          <w:szCs w:val="22"/>
          <w:highlight w:val="none"/>
        </w:rPr>
        <w:t>投标报价应是完成招标内容所需设备的全部费用，包括但不限于产品的报价及所发生</w:t>
      </w:r>
      <w:r>
        <w:rPr>
          <w:rFonts w:hint="eastAsia" w:ascii="仿宋" w:hAnsi="仿宋" w:eastAsia="仿宋" w:cs="仿宋"/>
          <w:color w:val="auto"/>
          <w:spacing w:val="-4"/>
          <w:sz w:val="22"/>
          <w:szCs w:val="22"/>
          <w:highlight w:val="none"/>
        </w:rPr>
        <w:t>的：</w:t>
      </w:r>
      <w:r>
        <w:rPr>
          <w:rFonts w:hint="eastAsia" w:ascii="仿宋" w:hAnsi="仿宋" w:eastAsia="仿宋" w:cs="仿宋"/>
          <w:b/>
          <w:bCs/>
          <w:color w:val="auto"/>
          <w:spacing w:val="-4"/>
          <w:sz w:val="22"/>
          <w:szCs w:val="22"/>
          <w:highlight w:val="none"/>
        </w:rPr>
        <w:t>包括采购代理服务费、货物价格、备品备件、包装、运输、仓储、保管、保险、装卸（卸货至甲方指定地点）、利润、相关税费及市场价格风险在内等全部费用。</w:t>
      </w:r>
      <w:r>
        <w:rPr>
          <w:rFonts w:hint="eastAsia" w:ascii="仿宋" w:hAnsi="仿宋" w:eastAsia="仿宋" w:cs="仿宋"/>
          <w:color w:val="auto"/>
          <w:sz w:val="22"/>
          <w:szCs w:val="22"/>
          <w:highlight w:val="none"/>
        </w:rPr>
        <w:t>进口设备除应包括要向中华人民共和国政府缴纳的增值税和其它税，还应包括货物在制造或组装时使用的部件和原材料是从关境外进口的已交纳或应交纳的全部关税、增值税和其它税等一切费用。要求的其他相关费用以本招标文件的内容和要求作为投标依据。报价时单价所反映的内容同上，综合考虑在单价中。在供货、安装、调试、培训等工作中出现硬件、软件等的任何遗漏，均由中标人免费提供，采购人将不再支付任何费用。</w:t>
      </w:r>
    </w:p>
    <w:p w14:paraId="21C4EDC8">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4.3.3 投标</w:t>
      </w:r>
      <w:r>
        <w:rPr>
          <w:rFonts w:hint="eastAsia" w:ascii="仿宋" w:hAnsi="仿宋" w:eastAsia="仿宋" w:cs="仿宋"/>
          <w:color w:val="auto"/>
          <w:kern w:val="0"/>
          <w:sz w:val="22"/>
          <w:szCs w:val="22"/>
          <w:highlight w:val="none"/>
        </w:rPr>
        <w:t>人应按</w:t>
      </w:r>
      <w:r>
        <w:rPr>
          <w:rFonts w:hint="eastAsia" w:ascii="仿宋" w:hAnsi="仿宋" w:eastAsia="仿宋" w:cs="仿宋"/>
          <w:color w:val="auto"/>
          <w:sz w:val="22"/>
          <w:szCs w:val="22"/>
          <w:highlight w:val="none"/>
        </w:rPr>
        <w:t>“开标一览表”</w:t>
      </w:r>
      <w:r>
        <w:rPr>
          <w:rFonts w:hint="eastAsia" w:ascii="仿宋" w:hAnsi="仿宋" w:eastAsia="仿宋" w:cs="仿宋"/>
          <w:color w:val="auto"/>
          <w:sz w:val="22"/>
          <w:szCs w:val="22"/>
          <w:highlight w:val="none"/>
          <w:lang w:val="en-US" w:eastAsia="zh-CN"/>
        </w:rPr>
        <w:t>及</w:t>
      </w:r>
      <w:r>
        <w:rPr>
          <w:rFonts w:hint="eastAsia" w:ascii="仿宋" w:hAnsi="仿宋" w:eastAsia="仿宋" w:cs="仿宋"/>
          <w:color w:val="auto"/>
          <w:sz w:val="22"/>
          <w:szCs w:val="22"/>
          <w:highlight w:val="none"/>
        </w:rPr>
        <w:t>“货物（产品）分项报价表”</w:t>
      </w:r>
      <w:r>
        <w:rPr>
          <w:rFonts w:hint="eastAsia" w:ascii="仿宋" w:hAnsi="仿宋" w:eastAsia="仿宋" w:cs="仿宋"/>
          <w:color w:val="auto"/>
          <w:kern w:val="0"/>
          <w:sz w:val="22"/>
          <w:szCs w:val="22"/>
          <w:highlight w:val="none"/>
        </w:rPr>
        <w:t>的内容</w:t>
      </w:r>
      <w:r>
        <w:rPr>
          <w:rFonts w:hint="eastAsia" w:ascii="仿宋" w:hAnsi="仿宋" w:eastAsia="仿宋" w:cs="仿宋"/>
          <w:color w:val="auto"/>
          <w:sz w:val="22"/>
          <w:szCs w:val="22"/>
          <w:highlight w:val="none"/>
        </w:rPr>
        <w:t>和格式要求填写各项货物及服务的分项价格和总价。投标报价为各分项报价金额之和。投标报价与分项报价的合价不一致的，应以各分项合价累计数为准，修正投标报价；如分项报价中存在遗漏项，视为缺项价格已包含在其他分项报价之中。</w:t>
      </w:r>
    </w:p>
    <w:p w14:paraId="0EA7CCAD">
      <w:pPr>
        <w:pageBreakBefore w:val="0"/>
        <w:kinsoku/>
        <w:wordWrap/>
        <w:overflowPunct/>
        <w:topLinePunct w:val="0"/>
        <w:bidi w:val="0"/>
        <w:adjustRightInd w:val="0"/>
        <w:snapToGrid w:val="0"/>
        <w:spacing w:line="480" w:lineRule="exact"/>
        <w:ind w:left="0" w:leftChars="0" w:right="0" w:firstLine="482"/>
        <w:textAlignment w:val="auto"/>
        <w:rPr>
          <w:rFonts w:hint="eastAsia" w:ascii="仿宋" w:hAnsi="仿宋" w:eastAsia="仿宋" w:cs="仿宋"/>
          <w:color w:val="auto"/>
          <w:sz w:val="22"/>
          <w:szCs w:val="22"/>
          <w:highlight w:val="none"/>
        </w:rPr>
      </w:pPr>
      <w:r>
        <w:rPr>
          <w:rFonts w:hint="eastAsia" w:ascii="仿宋" w:hAnsi="仿宋" w:eastAsia="仿宋" w:cs="仿宋"/>
          <w:color w:val="auto"/>
          <w:kern w:val="0"/>
          <w:sz w:val="22"/>
          <w:szCs w:val="22"/>
          <w:highlight w:val="none"/>
        </w:rPr>
        <w:t xml:space="preserve">4.3.4 </w:t>
      </w:r>
      <w:r>
        <w:rPr>
          <w:rFonts w:hint="eastAsia" w:ascii="仿宋" w:hAnsi="仿宋" w:eastAsia="仿宋" w:cs="仿宋"/>
          <w:color w:val="auto"/>
          <w:sz w:val="22"/>
          <w:szCs w:val="22"/>
          <w:highlight w:val="none"/>
        </w:rPr>
        <w:t>投标人每种产品只允许有一个报价，并且在合同履行过程中是固定不变的，任何有选择或可调整的报价将不予接受并按无效投标处理。</w:t>
      </w:r>
    </w:p>
    <w:p w14:paraId="7618AEA1">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4.3.5 当评标委员会认为，某投标人的报价存在明显低于其他通过符合性审查投标人的报价，有可能影响货物质量和不能诚信履约的，应当要求其在评标现场规定时间内，提供必要的书面文件予以解释和说明，</w:t>
      </w:r>
      <w:r>
        <w:rPr>
          <w:rFonts w:hint="eastAsia" w:ascii="仿宋" w:hAnsi="仿宋" w:eastAsia="仿宋" w:cs="仿宋"/>
          <w:b/>
          <w:color w:val="auto"/>
          <w:sz w:val="22"/>
          <w:szCs w:val="22"/>
          <w:highlight w:val="none"/>
        </w:rPr>
        <w:t>必要时</w:t>
      </w:r>
      <w:r>
        <w:rPr>
          <w:rFonts w:hint="eastAsia" w:ascii="仿宋" w:hAnsi="仿宋" w:eastAsia="仿宋" w:cs="仿宋"/>
          <w:color w:val="auto"/>
          <w:sz w:val="22"/>
          <w:szCs w:val="22"/>
          <w:highlight w:val="none"/>
        </w:rPr>
        <w:t>提交相关证明材料；若投标人不能证明其报价合理性，评标委员会将其作无效投标处理。</w:t>
      </w:r>
    </w:p>
    <w:p w14:paraId="347E1E3D">
      <w:pPr>
        <w:pageBreakBefore w:val="0"/>
        <w:kinsoku/>
        <w:wordWrap/>
        <w:overflowPunct/>
        <w:topLinePunct w:val="0"/>
        <w:bidi w:val="0"/>
        <w:spacing w:line="480" w:lineRule="exact"/>
        <w:ind w:left="0" w:leftChars="0" w:right="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4.4投标有效期</w:t>
      </w:r>
    </w:p>
    <w:p w14:paraId="7F913EB1">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4.4.1投标有效期见投标人须知前附表。在此期间投标文件对投标人具有法律约束力，从</w:t>
      </w:r>
      <w:r>
        <w:rPr>
          <w:rFonts w:hint="eastAsia" w:ascii="仿宋" w:hAnsi="仿宋" w:eastAsia="仿宋" w:cs="仿宋"/>
          <w:b/>
          <w:color w:val="auto"/>
          <w:sz w:val="22"/>
          <w:szCs w:val="22"/>
          <w:highlight w:val="none"/>
        </w:rPr>
        <w:t>投标人须知前附表规定</w:t>
      </w:r>
      <w:r>
        <w:rPr>
          <w:rFonts w:hint="eastAsia" w:ascii="仿宋" w:hAnsi="仿宋" w:eastAsia="仿宋" w:cs="仿宋"/>
          <w:color w:val="auto"/>
          <w:sz w:val="22"/>
          <w:szCs w:val="22"/>
          <w:highlight w:val="none"/>
        </w:rPr>
        <w:t>的</w:t>
      </w:r>
      <w:r>
        <w:rPr>
          <w:rFonts w:hint="eastAsia" w:ascii="仿宋" w:hAnsi="仿宋" w:eastAsia="仿宋" w:cs="仿宋"/>
          <w:color w:val="auto"/>
          <w:kern w:val="0"/>
          <w:sz w:val="22"/>
          <w:szCs w:val="22"/>
          <w:highlight w:val="none"/>
        </w:rPr>
        <w:t>递交投标文件截止时间</w:t>
      </w:r>
      <w:r>
        <w:rPr>
          <w:rFonts w:hint="eastAsia" w:ascii="仿宋" w:hAnsi="仿宋" w:eastAsia="仿宋" w:cs="仿宋"/>
          <w:color w:val="auto"/>
          <w:sz w:val="22"/>
          <w:szCs w:val="22"/>
          <w:highlight w:val="none"/>
        </w:rPr>
        <w:t>之日起计算。投标有效期短于此规定期限的投标，属于非实质性响应，将按无效投标处理。</w:t>
      </w:r>
    </w:p>
    <w:p w14:paraId="0407C3E6">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4.4.2 出现特殊情况需要延长投标有效期的，采购代理机构或采购人可于投标有效期满之前，以书面形式或政采云平台通知所有投标人延长投标有效期。投标人应予书面答复，同意延长的，应相应延长其投标保证金有效期，但不得要求或被允许修改其投标文件；投标人拒绝延长的，其投标失效，但投标人有权收回其投标保证金。</w:t>
      </w:r>
    </w:p>
    <w:p w14:paraId="7506246D">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4.4.3 在投标有效期内，投标人撤销投标文件的，应承担招标文件和法律规定的责任。</w:t>
      </w:r>
    </w:p>
    <w:p w14:paraId="05E60DBB">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4.4.4 中标人的投标有效期自动延长至合同终止为止。</w:t>
      </w:r>
    </w:p>
    <w:p w14:paraId="56C94CA6">
      <w:pPr>
        <w:pStyle w:val="7"/>
        <w:pageBreakBefore w:val="0"/>
        <w:kinsoku/>
        <w:wordWrap/>
        <w:overflowPunct/>
        <w:topLinePunct w:val="0"/>
        <w:bidi w:val="0"/>
        <w:spacing w:line="480" w:lineRule="exact"/>
        <w:ind w:left="0" w:leftChars="0" w:right="0" w:firstLine="0"/>
        <w:textAlignment w:val="auto"/>
        <w:rPr>
          <w:rFonts w:hint="eastAsia" w:ascii="仿宋" w:hAnsi="仿宋" w:eastAsia="仿宋" w:cs="仿宋"/>
          <w:b/>
          <w:color w:val="auto"/>
          <w:sz w:val="22"/>
          <w:szCs w:val="22"/>
          <w:highlight w:val="none"/>
        </w:rPr>
      </w:pPr>
      <w:r>
        <w:rPr>
          <w:rFonts w:hint="eastAsia" w:ascii="仿宋" w:hAnsi="仿宋" w:eastAsia="仿宋" w:cs="仿宋"/>
          <w:b/>
          <w:bCs/>
          <w:color w:val="auto"/>
          <w:sz w:val="22"/>
          <w:szCs w:val="22"/>
          <w:highlight w:val="none"/>
        </w:rPr>
        <w:t>4.5 投标保证金</w:t>
      </w:r>
    </w:p>
    <w:p w14:paraId="38D9DE9E">
      <w:pPr>
        <w:pageBreakBefore w:val="0"/>
        <w:kinsoku/>
        <w:wordWrap/>
        <w:overflowPunct/>
        <w:topLinePunct w:val="0"/>
        <w:bidi w:val="0"/>
        <w:spacing w:line="480" w:lineRule="exact"/>
        <w:ind w:left="0" w:leftChars="0" w:right="0" w:firstLine="433" w:firstLineChars="196"/>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4.5.1投标保证金的提交</w:t>
      </w:r>
    </w:p>
    <w:p w14:paraId="7E7665C4">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4.5.1.1 开标现场不办理投标保证金事宜。</w:t>
      </w:r>
    </w:p>
    <w:p w14:paraId="31ED1DAB">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4.5.1.2 投标人应按投标人须知前附表规定的金额、形式和时间提交，作为其投标文件的一部分。联合投标的，</w:t>
      </w:r>
      <w:r>
        <w:rPr>
          <w:rFonts w:hint="eastAsia" w:ascii="仿宋" w:hAnsi="仿宋" w:eastAsia="仿宋" w:cs="仿宋"/>
          <w:color w:val="auto"/>
          <w:sz w:val="22"/>
          <w:szCs w:val="22"/>
          <w:highlight w:val="none"/>
          <w:shd w:val="clear" w:color="auto" w:fill="FFFFFF"/>
        </w:rPr>
        <w:t>应当以</w:t>
      </w:r>
      <w:r>
        <w:rPr>
          <w:rFonts w:hint="eastAsia" w:ascii="仿宋" w:hAnsi="仿宋" w:eastAsia="仿宋" w:cs="仿宋"/>
          <w:color w:val="auto"/>
          <w:sz w:val="22"/>
          <w:szCs w:val="22"/>
          <w:highlight w:val="none"/>
        </w:rPr>
        <w:t>各方或者联合体中牵头人的名义提交投标保证金。以联合体牵头单位提交投标保证金的，对联合体各方均具有约束力。</w:t>
      </w:r>
    </w:p>
    <w:p w14:paraId="43D0D1F9">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 xml:space="preserve">4.5.1.3 </w:t>
      </w:r>
      <w:r>
        <w:rPr>
          <w:rFonts w:hint="eastAsia" w:ascii="仿宋" w:hAnsi="仿宋" w:eastAsia="仿宋" w:cs="仿宋"/>
          <w:color w:val="auto"/>
          <w:sz w:val="22"/>
          <w:szCs w:val="22"/>
          <w:highlight w:val="none"/>
          <w:lang w:val="en-US" w:eastAsia="zh-CN"/>
        </w:rPr>
        <w:t>以支票、汇票、本票或者金融机构、担保机构出具的保函等非现金形式提交。（推广电子保函）</w:t>
      </w:r>
    </w:p>
    <w:p w14:paraId="3D02A32C">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4.5.1.</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未按招标文件要求在规定时间前提交投标保证金的投标将被拒绝。</w:t>
      </w:r>
    </w:p>
    <w:p w14:paraId="28DF6BFE">
      <w:pPr>
        <w:pageBreakBefore w:val="0"/>
        <w:kinsoku/>
        <w:wordWrap/>
        <w:overflowPunct/>
        <w:topLinePunct w:val="0"/>
        <w:bidi w:val="0"/>
        <w:spacing w:line="480" w:lineRule="exact"/>
        <w:ind w:left="0" w:leftChars="0" w:right="0" w:firstLine="433" w:firstLineChars="196"/>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4.5.2 投标保证金的退还</w:t>
      </w:r>
    </w:p>
    <w:p w14:paraId="4DFC4014">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4.5.2.1未中标人的投标保证金，将在中标通知书发出之日起5个工作日内全额退还。中标人的投标保证金，在采购人与中标人签订合同后5个工作日内全额退还。</w:t>
      </w:r>
    </w:p>
    <w:p w14:paraId="03F938E5">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bookmarkStart w:id="129" w:name="_Toc183582224"/>
      <w:bookmarkStart w:id="130" w:name="_Toc183682361"/>
      <w:bookmarkStart w:id="131" w:name="_Toc217446051"/>
      <w:r>
        <w:rPr>
          <w:rFonts w:hint="eastAsia" w:ascii="仿宋" w:hAnsi="仿宋" w:eastAsia="仿宋" w:cs="仿宋"/>
          <w:color w:val="auto"/>
          <w:sz w:val="22"/>
          <w:szCs w:val="22"/>
          <w:highlight w:val="none"/>
        </w:rPr>
        <w:t>4.5.2.2有下列情形之一的，投标保证金将不予退还：</w:t>
      </w:r>
    </w:p>
    <w:bookmarkEnd w:id="129"/>
    <w:bookmarkEnd w:id="130"/>
    <w:bookmarkEnd w:id="131"/>
    <w:p w14:paraId="3266DDDE">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596BB472">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（2）供应商在响应文件中提供虚假材料的；</w:t>
      </w:r>
    </w:p>
    <w:p w14:paraId="4606DD51">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（3）除因不可抗力或招标文件认可的情形以外，中标供应商不与采购人签订合同的；</w:t>
      </w:r>
    </w:p>
    <w:p w14:paraId="02940381">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（4）供应商与采购人、其他供应商或者采购代理机构恶意串通的；</w:t>
      </w:r>
    </w:p>
    <w:p w14:paraId="49A039C8">
      <w:pPr>
        <w:pageBreakBefore w:val="0"/>
        <w:kinsoku/>
        <w:wordWrap/>
        <w:overflowPunct/>
        <w:topLinePunct w:val="0"/>
        <w:bidi w:val="0"/>
        <w:spacing w:line="480" w:lineRule="exact"/>
        <w:ind w:left="0" w:leftChars="0" w:right="0" w:firstLine="651" w:firstLineChars="296"/>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（5）招标文件规定的其他情形。</w:t>
      </w:r>
    </w:p>
    <w:p w14:paraId="04F28D9F">
      <w:pPr>
        <w:pageBreakBefore w:val="0"/>
        <w:kinsoku/>
        <w:wordWrap/>
        <w:overflowPunct/>
        <w:topLinePunct w:val="0"/>
        <w:bidi w:val="0"/>
        <w:spacing w:line="480" w:lineRule="exact"/>
        <w:ind w:left="0" w:leftChars="0" w:right="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4.6 商务文件</w:t>
      </w:r>
    </w:p>
    <w:p w14:paraId="33074D5B">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4.6.1投标人应按照招标文件商务要求做出完全响应。未作出商务响应的，作为不实质性响应招标文件，按无效投标处理。</w:t>
      </w:r>
    </w:p>
    <w:p w14:paraId="013C27FF">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 xml:space="preserve">4.6.2 </w:t>
      </w:r>
      <w:r>
        <w:rPr>
          <w:rFonts w:hint="eastAsia" w:ascii="仿宋" w:hAnsi="仿宋" w:eastAsia="仿宋" w:cs="仿宋"/>
          <w:bCs/>
          <w:color w:val="auto"/>
          <w:sz w:val="22"/>
          <w:szCs w:val="22"/>
          <w:highlight w:val="none"/>
        </w:rPr>
        <w:t>投标人应按照招标文件中售后服务要求作出积极响应。包括以下内容：</w:t>
      </w:r>
    </w:p>
    <w:p w14:paraId="6217C50C">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（1）产品制造商或投标人设立的售后服务机构网点清单、服务电话和维修人员名单（加盖单位章）；</w:t>
      </w:r>
    </w:p>
    <w:p w14:paraId="6A1A1A08">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（2）说明投标产品的保修时间、保修期内的保修内容与范围、维修响应时间等。分别提供产品制造商和投标人的服务承诺和保障措施；</w:t>
      </w:r>
    </w:p>
    <w:p w14:paraId="7DC45327">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（3）培训措施：说明培训内容及培训的时间、地点、目标、培训人数、收费标准和办法。</w:t>
      </w:r>
    </w:p>
    <w:p w14:paraId="5FC873E2">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4.6.3投标人应对以下（不限于）要求作出承诺：</w:t>
      </w:r>
    </w:p>
    <w:p w14:paraId="71049EE9">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（1）</w:t>
      </w:r>
      <w:r>
        <w:rPr>
          <w:rFonts w:hint="eastAsia" w:ascii="仿宋" w:hAnsi="仿宋" w:eastAsia="仿宋" w:cs="仿宋"/>
          <w:color w:val="auto"/>
          <w:sz w:val="22"/>
          <w:szCs w:val="22"/>
          <w:highlight w:val="none"/>
        </w:rPr>
        <w:t>承诺给予采购人的各种优惠条件（优惠条件事项不能包括采购项目本身所包括涉及的采购事项。投标人不能以“赠送、赠予”等任何名义提供货物和服务以规避招标文件的约束。否则，投标人提供的投标文件将作为无效投标处理，投标人的投标行为将作为以不正当手段排挤其他投标人认定）</w:t>
      </w:r>
      <w:r>
        <w:rPr>
          <w:rFonts w:hint="eastAsia" w:ascii="仿宋" w:hAnsi="仿宋" w:eastAsia="仿宋" w:cs="仿宋"/>
          <w:bCs/>
          <w:color w:val="auto"/>
          <w:sz w:val="22"/>
          <w:szCs w:val="22"/>
          <w:highlight w:val="none"/>
        </w:rPr>
        <w:t>；</w:t>
      </w:r>
    </w:p>
    <w:p w14:paraId="0B12FA0B">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（2）产品质量承诺；</w:t>
      </w:r>
    </w:p>
    <w:p w14:paraId="5CF97D7C">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（3）利于用户的售后服务承诺；</w:t>
      </w:r>
    </w:p>
    <w:p w14:paraId="2E60A03C">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（4）严格按招标文件对本项目的要求，组织生产、供货运输、安装调试和服务培训；</w:t>
      </w:r>
    </w:p>
    <w:p w14:paraId="312B80AF">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（5）未经采购人许可，不得将本采购项目采取转包实施的办法，一经发现，立即取消其中标资格，并承担由此产生的一切经济损失；</w:t>
      </w:r>
    </w:p>
    <w:p w14:paraId="28B869B8">
      <w:pPr>
        <w:pStyle w:val="7"/>
        <w:pageBreakBefore w:val="0"/>
        <w:kinsoku/>
        <w:wordWrap/>
        <w:overflowPunct/>
        <w:topLinePunct w:val="0"/>
        <w:bidi w:val="0"/>
        <w:spacing w:line="480" w:lineRule="exact"/>
        <w:ind w:left="0" w:leftChars="0" w:right="0" w:firstLine="495" w:firstLineChars="22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（6）接受采购人或采购人委托相关单位对项目实施方案、生产进度、货物质量、售后服务、货款支付与结算审核等方面监督和管理;</w:t>
      </w:r>
    </w:p>
    <w:p w14:paraId="46CD5D07">
      <w:pPr>
        <w:pStyle w:val="7"/>
        <w:pageBreakBefore w:val="0"/>
        <w:kinsoku/>
        <w:wordWrap/>
        <w:overflowPunct/>
        <w:topLinePunct w:val="0"/>
        <w:bidi w:val="0"/>
        <w:spacing w:line="480" w:lineRule="exact"/>
        <w:ind w:left="0" w:leftChars="0" w:right="0" w:firstLine="495" w:firstLineChars="22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（6）其它承诺</w:t>
      </w:r>
      <w:r>
        <w:rPr>
          <w:rFonts w:hint="eastAsia" w:ascii="仿宋" w:hAnsi="仿宋" w:eastAsia="仿宋" w:cs="仿宋"/>
          <w:color w:val="auto"/>
          <w:sz w:val="22"/>
          <w:szCs w:val="22"/>
          <w:highlight w:val="none"/>
          <w:u w:val="single"/>
        </w:rPr>
        <w:t xml:space="preserve">  /  </w:t>
      </w:r>
      <w:r>
        <w:rPr>
          <w:rFonts w:hint="eastAsia" w:ascii="仿宋" w:hAnsi="仿宋" w:eastAsia="仿宋" w:cs="仿宋"/>
          <w:color w:val="auto"/>
          <w:sz w:val="22"/>
          <w:szCs w:val="22"/>
          <w:highlight w:val="none"/>
        </w:rPr>
        <w:t>。</w:t>
      </w:r>
    </w:p>
    <w:p w14:paraId="37715093">
      <w:pPr>
        <w:pStyle w:val="7"/>
        <w:pageBreakBefore w:val="0"/>
        <w:kinsoku/>
        <w:wordWrap/>
        <w:overflowPunct/>
        <w:topLinePunct w:val="0"/>
        <w:bidi w:val="0"/>
        <w:spacing w:line="480" w:lineRule="exact"/>
        <w:ind w:left="0" w:leftChars="0" w:right="0" w:firstLine="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4.7 技术文件</w:t>
      </w:r>
    </w:p>
    <w:p w14:paraId="6D862AB7">
      <w:pPr>
        <w:pStyle w:val="7"/>
        <w:pageBreakBefore w:val="0"/>
        <w:kinsoku/>
        <w:wordWrap/>
        <w:overflowPunct/>
        <w:topLinePunct w:val="0"/>
        <w:bidi w:val="0"/>
        <w:spacing w:line="480" w:lineRule="exact"/>
        <w:ind w:left="0" w:leftChars="0" w:right="0" w:firstLine="46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4.7.1 </w:t>
      </w:r>
      <w:r>
        <w:rPr>
          <w:rFonts w:hint="eastAsia" w:ascii="仿宋" w:hAnsi="仿宋" w:eastAsia="仿宋" w:cs="仿宋"/>
          <w:bCs/>
          <w:color w:val="auto"/>
          <w:sz w:val="22"/>
          <w:szCs w:val="22"/>
          <w:highlight w:val="none"/>
        </w:rPr>
        <w:t>投标人应</w:t>
      </w:r>
      <w:r>
        <w:rPr>
          <w:rFonts w:hint="eastAsia" w:ascii="仿宋" w:hAnsi="仿宋" w:eastAsia="仿宋" w:cs="仿宋"/>
          <w:color w:val="auto"/>
          <w:sz w:val="22"/>
          <w:szCs w:val="22"/>
          <w:highlight w:val="none"/>
        </w:rPr>
        <w:t xml:space="preserve">按照招标文件要求做出的技术应答，主要是针对采购项目的技术指标、参数和技术服务要求做出的实质性响应和满足。 </w:t>
      </w:r>
    </w:p>
    <w:p w14:paraId="637335E6">
      <w:pPr>
        <w:pStyle w:val="7"/>
        <w:pageBreakBefore w:val="0"/>
        <w:kinsoku/>
        <w:wordWrap/>
        <w:overflowPunct/>
        <w:topLinePunct w:val="0"/>
        <w:bidi w:val="0"/>
        <w:spacing w:line="480" w:lineRule="exact"/>
        <w:ind w:left="0" w:leftChars="0" w:right="0" w:firstLine="442" w:firstLineChars="200"/>
        <w:textAlignment w:val="auto"/>
        <w:rPr>
          <w:rFonts w:hint="eastAsia" w:ascii="仿宋" w:hAnsi="仿宋" w:eastAsia="仿宋" w:cs="仿宋"/>
          <w:b/>
          <w:color w:val="auto"/>
          <w:sz w:val="22"/>
          <w:szCs w:val="22"/>
          <w:highlight w:val="none"/>
        </w:rPr>
      </w:pPr>
      <w:bookmarkStart w:id="132" w:name="_Toc217446049"/>
      <w:bookmarkStart w:id="133" w:name="_Toc183682355"/>
      <w:bookmarkStart w:id="134" w:name="_Toc183582218"/>
      <w:r>
        <w:rPr>
          <w:rFonts w:hint="eastAsia" w:ascii="仿宋" w:hAnsi="仿宋" w:eastAsia="仿宋" w:cs="仿宋"/>
          <w:b/>
          <w:color w:val="auto"/>
          <w:sz w:val="22"/>
          <w:szCs w:val="22"/>
          <w:highlight w:val="none"/>
        </w:rPr>
        <w:t>4.7.2 证明所投货物（产品）符合招标文件要求的相关文件，可以是文字资料、图纸、数据、宣传彩页等，所有证明文件，表达意思必须统一。如需投标人提供样品，证明文件的表述与投标人所提供样品必须完全符合，且是投标文件的组成部分，否则，按未实质响应招标文件予以拒绝。</w:t>
      </w:r>
      <w:bookmarkEnd w:id="132"/>
      <w:bookmarkEnd w:id="133"/>
      <w:bookmarkEnd w:id="134"/>
      <w:bookmarkStart w:id="135" w:name="_Toc183582223"/>
      <w:bookmarkStart w:id="136" w:name="_Toc183682360"/>
      <w:bookmarkStart w:id="137" w:name="_Toc217446050"/>
      <w:r>
        <w:rPr>
          <w:rFonts w:hint="eastAsia" w:ascii="仿宋" w:hAnsi="仿宋" w:eastAsia="仿宋" w:cs="仿宋"/>
          <w:b/>
          <w:color w:val="auto"/>
          <w:sz w:val="22"/>
          <w:szCs w:val="22"/>
          <w:highlight w:val="none"/>
        </w:rPr>
        <w:t xml:space="preserve"> </w:t>
      </w:r>
    </w:p>
    <w:bookmarkEnd w:id="135"/>
    <w:bookmarkEnd w:id="136"/>
    <w:bookmarkEnd w:id="137"/>
    <w:p w14:paraId="31B0E984">
      <w:pPr>
        <w:pageBreakBefore w:val="0"/>
        <w:tabs>
          <w:tab w:val="left" w:pos="7665"/>
        </w:tabs>
        <w:kinsoku/>
        <w:wordWrap/>
        <w:overflowPunct/>
        <w:topLinePunct w:val="0"/>
        <w:bidi w:val="0"/>
        <w:spacing w:line="480" w:lineRule="exact"/>
        <w:ind w:left="0" w:leftChars="0" w:right="0"/>
        <w:textAlignment w:val="auto"/>
        <w:rPr>
          <w:rFonts w:hint="eastAsia" w:ascii="仿宋" w:hAnsi="仿宋" w:eastAsia="仿宋" w:cs="仿宋"/>
          <w:b/>
          <w:bCs/>
          <w:color w:val="auto"/>
          <w:sz w:val="22"/>
          <w:szCs w:val="22"/>
          <w:highlight w:val="none"/>
        </w:rPr>
      </w:pPr>
      <w:bookmarkStart w:id="138" w:name="_Toc183582225"/>
      <w:bookmarkStart w:id="139" w:name="_Toc183682362"/>
      <w:bookmarkStart w:id="140" w:name="_Toc217446052"/>
      <w:r>
        <w:rPr>
          <w:rFonts w:hint="eastAsia" w:ascii="仿宋" w:hAnsi="仿宋" w:eastAsia="仿宋" w:cs="仿宋"/>
          <w:b/>
          <w:bCs/>
          <w:color w:val="auto"/>
          <w:sz w:val="22"/>
          <w:szCs w:val="22"/>
          <w:highlight w:val="none"/>
        </w:rPr>
        <w:t>4.8 投标文件的制作和签署</w:t>
      </w:r>
      <w:bookmarkEnd w:id="138"/>
      <w:bookmarkEnd w:id="139"/>
      <w:bookmarkEnd w:id="140"/>
    </w:p>
    <w:p w14:paraId="3FFDB6CD">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4.8.1 投标文件应根据招标文件的要求制作。投标人应填写全称，同时加盖单位章，签署、盖章和内容应完整，如有遗漏，将被视为无效投标。</w:t>
      </w:r>
    </w:p>
    <w:p w14:paraId="72ACE0AF">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4.8.2 投标文件格式。投标人应严格按照第六章提供的“投标文件格式”编写相关内容。除明确允许投标人可以自行编写外，投标人不得以“投标文件格式”规定之外的方式填写相关内容。否则，投标人提供的投标文件将作为无效投标处理。</w:t>
      </w:r>
    </w:p>
    <w:p w14:paraId="6DB30151">
      <w:pPr>
        <w:pageBreakBefore w:val="0"/>
        <w:tabs>
          <w:tab w:val="left" w:pos="7665"/>
        </w:tabs>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4.8.3 对于没有格式要求的投标文件由投标人自行编写。</w:t>
      </w:r>
    </w:p>
    <w:p w14:paraId="62F6C22B">
      <w:pPr>
        <w:pageBreakBefore w:val="0"/>
        <w:tabs>
          <w:tab w:val="left" w:pos="1080"/>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4.8.4 投标人应按“投标须知前附表”规定准备投标文件。</w:t>
      </w:r>
    </w:p>
    <w:p w14:paraId="78ADD4EB">
      <w:pPr>
        <w:pageBreakBefore w:val="0"/>
        <w:kinsoku/>
        <w:wordWrap/>
        <w:overflowPunct/>
        <w:topLinePunct w:val="0"/>
        <w:bidi w:val="0"/>
        <w:spacing w:line="480" w:lineRule="exact"/>
        <w:ind w:left="0" w:leftChars="0" w:right="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4.8.5 投标文件均需打印或用不褪色、不变质的墨水书写，并由投标人的法定代表人或其授权代表在规定签章处签字和盖章。</w:t>
      </w:r>
    </w:p>
    <w:p w14:paraId="3FBDD0B2">
      <w:pPr>
        <w:pageBreakBefore w:val="0"/>
        <w:tabs>
          <w:tab w:val="left" w:pos="1095"/>
        </w:tabs>
        <w:kinsoku/>
        <w:wordWrap/>
        <w:overflowPunct/>
        <w:topLinePunct w:val="0"/>
        <w:bidi w:val="0"/>
        <w:spacing w:line="480" w:lineRule="exact"/>
        <w:ind w:left="0" w:leftChars="0" w:right="0" w:firstLine="422" w:firstLineChars="192"/>
        <w:textAlignment w:val="auto"/>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4.8.6 投标文件的书写应清楚工整，尽量避免行间插字、涂改或增删。如出现上述情况，改动之处应由投标人的法定代表人或其授权代表签字或盖单位章。字迹潦草、表达不清或可能导致非唯一理解的投标文件可能视为无效投标。</w:t>
      </w:r>
      <w:bookmarkStart w:id="141" w:name="_Toc183682363"/>
      <w:bookmarkStart w:id="142" w:name="_Toc183582226"/>
      <w:bookmarkStart w:id="143" w:name="_Toc77400781"/>
      <w:bookmarkStart w:id="144" w:name="_Toc217446053"/>
      <w:bookmarkStart w:id="145" w:name="_Toc89075877"/>
    </w:p>
    <w:p w14:paraId="2C7A4BAC">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46" w:name="_Toc17037"/>
      <w:r>
        <w:rPr>
          <w:rFonts w:hint="eastAsia" w:ascii="仿宋" w:hAnsi="仿宋" w:eastAsia="仿宋" w:cs="仿宋"/>
          <w:bCs/>
          <w:color w:val="auto"/>
          <w:sz w:val="28"/>
          <w:szCs w:val="28"/>
          <w:highlight w:val="none"/>
          <w:lang w:val="en-US" w:eastAsia="zh-CN"/>
        </w:rPr>
        <w:t>5.投标</w:t>
      </w:r>
      <w:bookmarkEnd w:id="146"/>
    </w:p>
    <w:p w14:paraId="5B48656E">
      <w:pPr>
        <w:pageBreakBefore w:val="0"/>
        <w:tabs>
          <w:tab w:val="left" w:pos="1080"/>
        </w:tabs>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5.1 投标内容要求</w:t>
      </w:r>
    </w:p>
    <w:p w14:paraId="6C48150E">
      <w:pPr>
        <w:pageBreakBefore w:val="0"/>
        <w:tabs>
          <w:tab w:val="left" w:pos="1080"/>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人应仔细阅读招标文件中的所有事项、格式、条款和要求，对招标文件的全部内容及要求作出实质性响应，提交相应资料。若分包，应以包为单位投标，不得在其中选项投标或将其中内容再行分解，否则投标无效。</w:t>
      </w:r>
    </w:p>
    <w:p w14:paraId="3EA4357F">
      <w:pPr>
        <w:pageBreakBefore w:val="0"/>
        <w:tabs>
          <w:tab w:val="left" w:pos="1080"/>
        </w:tabs>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 xml:space="preserve">5.2 </w:t>
      </w:r>
      <w:bookmarkEnd w:id="141"/>
      <w:bookmarkEnd w:id="142"/>
      <w:bookmarkEnd w:id="143"/>
      <w:bookmarkEnd w:id="144"/>
      <w:bookmarkEnd w:id="145"/>
      <w:r>
        <w:rPr>
          <w:rFonts w:hint="eastAsia" w:ascii="仿宋" w:hAnsi="仿宋" w:eastAsia="仿宋" w:cs="仿宋"/>
          <w:b/>
          <w:color w:val="auto"/>
          <w:sz w:val="22"/>
          <w:szCs w:val="22"/>
          <w:highlight w:val="none"/>
        </w:rPr>
        <w:t>投标文件的加密、递交</w:t>
      </w:r>
    </w:p>
    <w:p w14:paraId="2CC0C2A1">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5.2.1</w:t>
      </w:r>
      <w:r>
        <w:rPr>
          <w:rFonts w:hint="eastAsia" w:ascii="仿宋" w:hAnsi="仿宋" w:eastAsia="仿宋" w:cs="仿宋"/>
          <w:color w:val="auto"/>
          <w:kern w:val="0"/>
          <w:sz w:val="22"/>
          <w:szCs w:val="22"/>
          <w:highlight w:val="none"/>
        </w:rPr>
        <w:t xml:space="preserve"> 加密的电子投标文件（.jmbs格式）应在投标文件递交截止时间前通过政采云平台上传完成。</w:t>
      </w:r>
    </w:p>
    <w:p w14:paraId="0C3A37F5">
      <w:pPr>
        <w:pageBreakBefore w:val="0"/>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lang w:val="en-US" w:eastAsia="zh-CN"/>
        </w:rPr>
        <w:t>5.2.</w:t>
      </w:r>
      <w:r>
        <w:rPr>
          <w:rFonts w:hint="eastAsia" w:ascii="仿宋" w:hAnsi="仿宋" w:eastAsia="仿宋" w:cs="仿宋"/>
          <w:color w:val="auto"/>
          <w:kern w:val="0"/>
          <w:sz w:val="22"/>
          <w:szCs w:val="22"/>
          <w:highlight w:val="none"/>
        </w:rPr>
        <w:t>2逾期上传或者未上传指定地点的投标文件，采购人不予受理。</w:t>
      </w:r>
    </w:p>
    <w:p w14:paraId="7E1CF669">
      <w:pPr>
        <w:pageBreakBefore w:val="0"/>
        <w:tabs>
          <w:tab w:val="left" w:pos="1080"/>
        </w:tabs>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bookmarkStart w:id="147" w:name="_Toc183582227"/>
      <w:bookmarkStart w:id="148" w:name="_Toc183682364"/>
      <w:bookmarkStart w:id="149" w:name="_Toc217446054"/>
      <w:r>
        <w:rPr>
          <w:rFonts w:hint="eastAsia" w:ascii="仿宋" w:hAnsi="仿宋" w:eastAsia="仿宋" w:cs="仿宋"/>
          <w:b/>
          <w:bCs/>
          <w:color w:val="auto"/>
          <w:sz w:val="22"/>
          <w:szCs w:val="22"/>
          <w:highlight w:val="none"/>
        </w:rPr>
        <w:t>5.3 投标文件的</w:t>
      </w:r>
      <w:bookmarkEnd w:id="147"/>
      <w:bookmarkEnd w:id="148"/>
      <w:r>
        <w:rPr>
          <w:rFonts w:hint="eastAsia" w:ascii="仿宋" w:hAnsi="仿宋" w:eastAsia="仿宋" w:cs="仿宋"/>
          <w:b/>
          <w:bCs/>
          <w:color w:val="auto"/>
          <w:sz w:val="22"/>
          <w:szCs w:val="22"/>
          <w:highlight w:val="none"/>
        </w:rPr>
        <w:t>递交</w:t>
      </w:r>
      <w:bookmarkEnd w:id="149"/>
    </w:p>
    <w:p w14:paraId="77B88C57">
      <w:pPr>
        <w:pageBreakBefore w:val="0"/>
        <w:tabs>
          <w:tab w:val="left" w:pos="1095"/>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5.3.1 投标人应在投标人须知前附表规定的投标截止时间前递交投标文件。</w:t>
      </w:r>
    </w:p>
    <w:p w14:paraId="54127C16">
      <w:pPr>
        <w:pageBreakBefore w:val="0"/>
        <w:tabs>
          <w:tab w:val="left" w:pos="1095"/>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5.3.</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 xml:space="preserve"> 除投标人须知前附表另有规定外，投标人递交的投标文件不予退还。</w:t>
      </w:r>
    </w:p>
    <w:p w14:paraId="1288B6AA">
      <w:pPr>
        <w:pageBreakBefore w:val="0"/>
        <w:tabs>
          <w:tab w:val="left" w:pos="851"/>
          <w:tab w:val="left" w:pos="1095"/>
        </w:tabs>
        <w:kinsoku/>
        <w:wordWrap/>
        <w:overflowPunct/>
        <w:topLinePunct w:val="0"/>
        <w:bidi w:val="0"/>
        <w:spacing w:line="480" w:lineRule="exact"/>
        <w:ind w:left="0" w:leftChars="0" w:right="0" w:firstLine="422" w:firstLineChars="192"/>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5.3.</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 xml:space="preserve"> 逾期送达的投标文件，采购代理机构将予以拒收。</w:t>
      </w:r>
    </w:p>
    <w:p w14:paraId="5FCAC341">
      <w:pPr>
        <w:pStyle w:val="7"/>
        <w:pageBreakBefore w:val="0"/>
        <w:kinsoku/>
        <w:wordWrap/>
        <w:overflowPunct/>
        <w:topLinePunct w:val="0"/>
        <w:bidi w:val="0"/>
        <w:spacing w:line="480" w:lineRule="exact"/>
        <w:ind w:left="0" w:leftChars="0" w:right="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5.3.</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 xml:space="preserve"> 本次招标不接受邮寄的投标文件。</w:t>
      </w:r>
    </w:p>
    <w:p w14:paraId="33631D54">
      <w:pPr>
        <w:pStyle w:val="7"/>
        <w:pageBreakBefore w:val="0"/>
        <w:kinsoku/>
        <w:wordWrap/>
        <w:overflowPunct/>
        <w:topLinePunct w:val="0"/>
        <w:bidi w:val="0"/>
        <w:spacing w:line="480" w:lineRule="exact"/>
        <w:ind w:left="0" w:leftChars="0" w:right="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5.3.</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 xml:space="preserve"> 需要投标人提供样品的，同投标文件一起递交。</w:t>
      </w:r>
      <w:bookmarkStart w:id="150" w:name="_Toc183682365"/>
      <w:bookmarkStart w:id="151" w:name="_Toc183582228"/>
      <w:bookmarkStart w:id="152" w:name="_Toc217446055"/>
    </w:p>
    <w:p w14:paraId="2E998D86">
      <w:pPr>
        <w:pStyle w:val="7"/>
        <w:pageBreakBefore w:val="0"/>
        <w:kinsoku/>
        <w:wordWrap/>
        <w:overflowPunct/>
        <w:topLinePunct w:val="0"/>
        <w:bidi w:val="0"/>
        <w:spacing w:line="480" w:lineRule="exact"/>
        <w:ind w:left="0" w:leftChars="0" w:right="0" w:firstLine="0"/>
        <w:textAlignment w:val="auto"/>
        <w:rPr>
          <w:rFonts w:hint="eastAsia" w:ascii="仿宋" w:hAnsi="仿宋" w:eastAsia="仿宋" w:cs="仿宋"/>
          <w:b/>
          <w:color w:val="auto"/>
          <w:sz w:val="22"/>
          <w:szCs w:val="22"/>
          <w:highlight w:val="none"/>
        </w:rPr>
      </w:pPr>
      <w:r>
        <w:rPr>
          <w:rFonts w:hint="eastAsia" w:ascii="仿宋" w:hAnsi="仿宋" w:eastAsia="仿宋" w:cs="仿宋"/>
          <w:b/>
          <w:bCs/>
          <w:color w:val="auto"/>
          <w:sz w:val="22"/>
          <w:szCs w:val="22"/>
          <w:highlight w:val="none"/>
        </w:rPr>
        <w:t xml:space="preserve">5.4 </w:t>
      </w:r>
      <w:r>
        <w:rPr>
          <w:rFonts w:hint="eastAsia" w:ascii="仿宋" w:hAnsi="仿宋" w:eastAsia="仿宋" w:cs="仿宋"/>
          <w:b/>
          <w:bCs/>
          <w:color w:val="auto"/>
          <w:spacing w:val="20"/>
          <w:sz w:val="22"/>
          <w:szCs w:val="22"/>
          <w:highlight w:val="none"/>
        </w:rPr>
        <w:t>投标文件的修改和撤</w:t>
      </w:r>
      <w:bookmarkEnd w:id="150"/>
      <w:bookmarkEnd w:id="151"/>
      <w:r>
        <w:rPr>
          <w:rFonts w:hint="eastAsia" w:ascii="仿宋" w:hAnsi="仿宋" w:eastAsia="仿宋" w:cs="仿宋"/>
          <w:b/>
          <w:bCs/>
          <w:color w:val="auto"/>
          <w:spacing w:val="20"/>
          <w:sz w:val="22"/>
          <w:szCs w:val="22"/>
          <w:highlight w:val="none"/>
        </w:rPr>
        <w:t>回</w:t>
      </w:r>
      <w:bookmarkEnd w:id="152"/>
    </w:p>
    <w:p w14:paraId="107FEB20">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5.4.1 在本章第5.3.1项规定的投标截止时间前，投标人可以修改或撤回已递交的投标文件，但应以书面形式或政采云平台通知采购代理机构。</w:t>
      </w:r>
    </w:p>
    <w:p w14:paraId="324A0396">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5.4.2 投标人的修改或撤回通知书，应由其法定代表人或委托代理人签署并盖单位章。修改或撤回通知书应进行密封，并在密封袋上标注“投标文件修改”或“投标文件撤回通知”字样，“修改文件”作为投标文件的组成部分。</w:t>
      </w:r>
    </w:p>
    <w:p w14:paraId="2CAEE3FB">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bookmarkStart w:id="153" w:name="_Toc77400782"/>
      <w:bookmarkStart w:id="154" w:name="_Toc183682368"/>
      <w:bookmarkStart w:id="155" w:name="_Toc183582231"/>
      <w:bookmarkStart w:id="156" w:name="_Toc217446056"/>
      <w:bookmarkStart w:id="157" w:name="_Toc89075878"/>
      <w:r>
        <w:rPr>
          <w:rFonts w:hint="eastAsia" w:ascii="仿宋" w:hAnsi="仿宋" w:eastAsia="仿宋" w:cs="仿宋"/>
          <w:color w:val="auto"/>
          <w:sz w:val="22"/>
          <w:szCs w:val="22"/>
          <w:highlight w:val="none"/>
        </w:rPr>
        <w:t>5.4.3 投标人撤回投标文件的，采购代理机构自收到投标人书面撤回通知之日起5个工作日内退还已收取的投标保证金。</w:t>
      </w:r>
    </w:p>
    <w:p w14:paraId="288086A3">
      <w:pPr>
        <w:pageBreakBefore w:val="0"/>
        <w:kinsoku/>
        <w:wordWrap/>
        <w:overflowPunct/>
        <w:topLinePunct w:val="0"/>
        <w:bidi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5.4.5 在投标截止时间之后，投标人不得对其递交的投标文件做任何修改或撤销投标。</w:t>
      </w:r>
    </w:p>
    <w:p w14:paraId="0F89F498">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58" w:name="_Toc6496"/>
      <w:r>
        <w:rPr>
          <w:rFonts w:hint="eastAsia" w:ascii="仿宋" w:hAnsi="仿宋" w:eastAsia="仿宋" w:cs="仿宋"/>
          <w:bCs/>
          <w:color w:val="auto"/>
          <w:sz w:val="28"/>
          <w:szCs w:val="28"/>
          <w:highlight w:val="none"/>
          <w:lang w:val="en-US" w:eastAsia="zh-CN"/>
        </w:rPr>
        <w:t>6.开标</w:t>
      </w:r>
      <w:bookmarkEnd w:id="153"/>
      <w:bookmarkEnd w:id="154"/>
      <w:bookmarkEnd w:id="155"/>
      <w:bookmarkEnd w:id="156"/>
      <w:bookmarkEnd w:id="157"/>
      <w:bookmarkEnd w:id="158"/>
    </w:p>
    <w:p w14:paraId="7A5D9C9C">
      <w:pPr>
        <w:pageBreakBefore w:val="0"/>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6.1开标时间和地点</w:t>
      </w:r>
    </w:p>
    <w:p w14:paraId="0B749543">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6.1.1 采购代理机构在投标人须知前附表中规定的投标截止时间（开标时间）和地点公开开标，并邀请采购人派代表准时参加并签到以证明其出席。</w:t>
      </w:r>
    </w:p>
    <w:p w14:paraId="519D7C99">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b/>
          <w:bCs/>
          <w:color w:val="auto"/>
          <w:sz w:val="22"/>
          <w:szCs w:val="22"/>
          <w:highlight w:val="none"/>
        </w:rPr>
      </w:pPr>
      <w:r>
        <w:rPr>
          <w:rFonts w:hint="eastAsia" w:ascii="仿宋" w:hAnsi="仿宋" w:eastAsia="仿宋" w:cs="仿宋"/>
          <w:color w:val="auto"/>
          <w:sz w:val="22"/>
          <w:szCs w:val="22"/>
          <w:highlight w:val="none"/>
        </w:rPr>
        <w:t>6.1.2 投标人未参加开标的，视同认可开标结果。</w:t>
      </w:r>
    </w:p>
    <w:p w14:paraId="2EE07FC8">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6.1.3 开标时，采购代理机构邀请有关监督管理机构对开标进行现场监督。</w:t>
      </w:r>
      <w:bookmarkStart w:id="159" w:name="_Toc217446058"/>
    </w:p>
    <w:p w14:paraId="772AADEB">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6.1.4 投标人不足3家的，不得开标。</w:t>
      </w:r>
    </w:p>
    <w:p w14:paraId="3420C83B">
      <w:pPr>
        <w:pageBreakBefore w:val="0"/>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6.2 开标程序</w:t>
      </w:r>
      <w:bookmarkEnd w:id="159"/>
    </w:p>
    <w:p w14:paraId="1CD6C644">
      <w:pPr>
        <w:pStyle w:val="18"/>
        <w:pageBreakBefore w:val="0"/>
        <w:kinsoku/>
        <w:wordWrap/>
        <w:overflowPunct/>
        <w:topLinePunct w:val="0"/>
        <w:bidi w:val="0"/>
        <w:spacing w:line="480" w:lineRule="exact"/>
        <w:ind w:left="0" w:leftChars="0" w:right="0" w:firstLine="42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6.2.1开标由采购代理机构主持。主持人按照招标文件规定的开标时间宣布开标，并按下列程序进行（但不限于）：</w:t>
      </w:r>
    </w:p>
    <w:p w14:paraId="27172546">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（1）宣布开标开始和开启录音录像设备并致辞；</w:t>
      </w:r>
    </w:p>
    <w:p w14:paraId="22384E4D">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（2）宣布开标纪律和有关注意事项；</w:t>
      </w:r>
    </w:p>
    <w:p w14:paraId="06CE54CA">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（3）公布在投标截止时间前递交投标文件的投标人名称；</w:t>
      </w:r>
    </w:p>
    <w:p w14:paraId="5D1E1FC2">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（4）宣布开标人、唱标人、监标人、记录人等有关工作人员和现场监督人员姓名；</w:t>
      </w:r>
    </w:p>
    <w:p w14:paraId="75639220">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）开标唱标：主持人宣布开标后，由唱标人对其中“开标一览表”的采购项目编号、投标人名称、投标总价、合同履行期限等内容进行宣读；</w:t>
      </w:r>
    </w:p>
    <w:p w14:paraId="5B09AB94">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资格性审查</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由</w:t>
      </w:r>
      <w:r>
        <w:rPr>
          <w:rFonts w:hint="eastAsia" w:ascii="仿宋" w:hAnsi="仿宋" w:eastAsia="仿宋" w:cs="仿宋"/>
          <w:color w:val="auto"/>
          <w:sz w:val="22"/>
          <w:szCs w:val="22"/>
          <w:highlight w:val="none"/>
        </w:rPr>
        <w:t>采购人</w:t>
      </w:r>
      <w:r>
        <w:rPr>
          <w:rFonts w:hint="eastAsia" w:ascii="仿宋" w:hAnsi="仿宋" w:eastAsia="仿宋" w:cs="仿宋"/>
          <w:color w:val="auto"/>
          <w:sz w:val="22"/>
          <w:szCs w:val="22"/>
          <w:highlight w:val="none"/>
          <w:lang w:val="en-US" w:eastAsia="zh-CN"/>
        </w:rPr>
        <w:t>对投标供应商资格性进行审查；</w:t>
      </w:r>
    </w:p>
    <w:p w14:paraId="0BED4FFF">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val="en-US" w:eastAsia="zh-CN"/>
        </w:rPr>
        <w:t>（7）符合性审查：由评审小组对投标供应商符合性审查</w:t>
      </w:r>
      <w:r>
        <w:rPr>
          <w:rFonts w:hint="eastAsia" w:ascii="仿宋" w:hAnsi="仿宋" w:eastAsia="仿宋" w:cs="仿宋"/>
          <w:color w:val="auto"/>
          <w:sz w:val="22"/>
          <w:szCs w:val="22"/>
          <w:highlight w:val="none"/>
          <w:lang w:eastAsia="zh-CN"/>
        </w:rPr>
        <w:t>；</w:t>
      </w:r>
    </w:p>
    <w:p w14:paraId="4C759C5C">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商务技术性评审：由评审小组对投标供应商递交的电子商务技术文件进行评审；</w:t>
      </w:r>
    </w:p>
    <w:p w14:paraId="102B5ED0">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（9）评审结束。</w:t>
      </w:r>
    </w:p>
    <w:p w14:paraId="74078BE4">
      <w:pPr>
        <w:pageBreakBefore w:val="0"/>
        <w:kinsoku/>
        <w:wordWrap/>
        <w:overflowPunct/>
        <w:topLinePunct w:val="0"/>
        <w:bidi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bookmarkStart w:id="160" w:name="_Toc217446059"/>
      <w:r>
        <w:rPr>
          <w:rFonts w:hint="eastAsia" w:ascii="仿宋" w:hAnsi="仿宋" w:eastAsia="仿宋" w:cs="仿宋"/>
          <w:color w:val="auto"/>
          <w:kern w:val="0"/>
          <w:sz w:val="22"/>
          <w:szCs w:val="22"/>
          <w:highlight w:val="none"/>
        </w:rPr>
        <w:t>6.2.</w:t>
      </w:r>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rPr>
        <w:t xml:space="preserve"> 投标人对开标过程和开标记录有疑义，以及认为采购人、采购代理机构相关工作人员有需要回避情形的，应当场提出询问或者回避申请。采购人、采购代理机构对投标人代表提出的询问或者回避申请应当及时处理，并制作记录。</w:t>
      </w:r>
    </w:p>
    <w:p w14:paraId="700A53D1">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61" w:name="_Toc916"/>
      <w:r>
        <w:rPr>
          <w:rFonts w:hint="eastAsia" w:ascii="仿宋" w:hAnsi="仿宋" w:eastAsia="仿宋" w:cs="仿宋"/>
          <w:bCs/>
          <w:color w:val="auto"/>
          <w:sz w:val="28"/>
          <w:szCs w:val="28"/>
          <w:highlight w:val="none"/>
          <w:lang w:val="en-US" w:eastAsia="zh-CN"/>
        </w:rPr>
        <w:t>7.投标人资格审查</w:t>
      </w:r>
      <w:bookmarkEnd w:id="161"/>
    </w:p>
    <w:p w14:paraId="6953A5CC">
      <w:pPr>
        <w:pageBreakBefore w:val="0"/>
        <w:kinsoku/>
        <w:wordWrap/>
        <w:overflowPunct/>
        <w:topLinePunct w:val="0"/>
        <w:bidi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7.1 资格审查小组</w:t>
      </w:r>
    </w:p>
    <w:p w14:paraId="5B7B21D2">
      <w:pPr>
        <w:pageBreakBefore w:val="0"/>
        <w:kinsoku/>
        <w:wordWrap/>
        <w:overflowPunct/>
        <w:topLinePunct w:val="0"/>
        <w:bidi w:val="0"/>
        <w:spacing w:line="480" w:lineRule="exact"/>
        <w:ind w:left="0" w:leftChars="0" w:right="0" w:firstLine="325" w:firstLineChars="147"/>
        <w:textAlignment w:val="auto"/>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 xml:space="preserve"> </w:t>
      </w:r>
      <w:r>
        <w:rPr>
          <w:rFonts w:hint="eastAsia" w:ascii="仿宋" w:hAnsi="仿宋" w:eastAsia="仿宋" w:cs="仿宋"/>
          <w:color w:val="auto"/>
          <w:sz w:val="22"/>
          <w:szCs w:val="22"/>
          <w:highlight w:val="none"/>
        </w:rPr>
        <w:t>7.1.1 采购人依法对投标人的资格进行审查。</w:t>
      </w:r>
    </w:p>
    <w:p w14:paraId="3033BC4F">
      <w:pPr>
        <w:pageBreakBefore w:val="0"/>
        <w:tabs>
          <w:tab w:val="left" w:pos="0"/>
        </w:tabs>
        <w:kinsoku/>
        <w:wordWrap/>
        <w:overflowPunct/>
        <w:topLinePunct w:val="0"/>
        <w:bidi w:val="0"/>
        <w:adjustRightInd w:val="0"/>
        <w:snapToGrid w:val="0"/>
        <w:spacing w:line="480" w:lineRule="exact"/>
        <w:ind w:left="0" w:leftChars="0" w:right="0"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7.1.2 资格审查小组，由采购人完成。</w:t>
      </w:r>
    </w:p>
    <w:p w14:paraId="76347016">
      <w:pPr>
        <w:pageBreakBefore w:val="0"/>
        <w:tabs>
          <w:tab w:val="left" w:pos="0"/>
        </w:tabs>
        <w:kinsoku/>
        <w:wordWrap/>
        <w:overflowPunct/>
        <w:topLinePunct w:val="0"/>
        <w:bidi w:val="0"/>
        <w:adjustRightInd w:val="0"/>
        <w:snapToGrid w:val="0"/>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7.2 资格审查办法</w:t>
      </w:r>
    </w:p>
    <w:p w14:paraId="2422C054">
      <w:pPr>
        <w:pageBreakBefore w:val="0"/>
        <w:tabs>
          <w:tab w:val="left" w:pos="0"/>
        </w:tabs>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7.2.1 资格审查在开标结束之后评标开始之前进行。</w:t>
      </w:r>
    </w:p>
    <w:p w14:paraId="46AED3A8">
      <w:pPr>
        <w:pageBreakBefore w:val="0"/>
        <w:tabs>
          <w:tab w:val="left" w:pos="0"/>
        </w:tabs>
        <w:kinsoku/>
        <w:wordWrap/>
        <w:overflowPunct/>
        <w:topLinePunct w:val="0"/>
        <w:bidi w:val="0"/>
        <w:adjustRightInd w:val="0"/>
        <w:snapToGrid w:val="0"/>
        <w:spacing w:line="480" w:lineRule="exact"/>
        <w:ind w:left="0" w:leftChars="0" w:right="0" w:firstLine="431" w:firstLineChars="196"/>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7.2.2 资格审查小组将依据投标人投标文件之资格审查部分文件，按照本章第3.1.1项所述资格要求对投标人进行资格审查，以确定其是否具备相应资格。</w:t>
      </w:r>
      <w:r>
        <w:rPr>
          <w:rFonts w:hint="eastAsia" w:ascii="仿宋" w:hAnsi="仿宋" w:eastAsia="仿宋" w:cs="仿宋"/>
          <w:color w:val="auto"/>
          <w:kern w:val="0"/>
          <w:sz w:val="22"/>
          <w:szCs w:val="22"/>
          <w:highlight w:val="none"/>
        </w:rPr>
        <w:t>如果投标人不具备资格、不满足招标文件所规定的资格条件,将被视为未实质性响应招标文件,按无效投标处理。</w:t>
      </w:r>
    </w:p>
    <w:p w14:paraId="2C551EB6">
      <w:pPr>
        <w:pageBreakBefore w:val="0"/>
        <w:tabs>
          <w:tab w:val="left" w:pos="0"/>
        </w:tabs>
        <w:kinsoku/>
        <w:wordWrap/>
        <w:overflowPunct/>
        <w:topLinePunct w:val="0"/>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7.2.3 信用信息查询时间</w:t>
      </w:r>
      <w:r>
        <w:rPr>
          <w:rFonts w:hint="eastAsia" w:ascii="仿宋" w:hAnsi="仿宋" w:eastAsia="仿宋" w:cs="仿宋"/>
          <w:color w:val="auto"/>
          <w:kern w:val="0"/>
          <w:sz w:val="22"/>
          <w:szCs w:val="22"/>
          <w:highlight w:val="none"/>
          <w:lang w:eastAsia="zh-CN"/>
        </w:rPr>
        <w:t>截止</w:t>
      </w:r>
      <w:r>
        <w:rPr>
          <w:rFonts w:hint="eastAsia" w:ascii="仿宋" w:hAnsi="仿宋" w:eastAsia="仿宋" w:cs="仿宋"/>
          <w:color w:val="auto"/>
          <w:kern w:val="0"/>
          <w:sz w:val="22"/>
          <w:szCs w:val="22"/>
          <w:highlight w:val="none"/>
        </w:rPr>
        <w:t>时点，见投标人须知前附表，其查询结果在投标人限制性资格条件审查时使用。</w:t>
      </w:r>
    </w:p>
    <w:p w14:paraId="1079CE91">
      <w:pPr>
        <w:pageBreakBefore w:val="0"/>
        <w:tabs>
          <w:tab w:val="left" w:pos="0"/>
        </w:tabs>
        <w:kinsoku/>
        <w:wordWrap/>
        <w:overflowPunct/>
        <w:topLinePunct w:val="0"/>
        <w:bidi w:val="0"/>
        <w:adjustRightInd w:val="0"/>
        <w:snapToGrid w:val="0"/>
        <w:spacing w:line="480" w:lineRule="exact"/>
        <w:ind w:left="0" w:leftChars="0" w:right="0" w:firstLine="431" w:firstLineChars="196"/>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7.2.4 资格审查小组按下列程序进行资格审查：</w:t>
      </w:r>
    </w:p>
    <w:p w14:paraId="1EBB0D1E">
      <w:pPr>
        <w:pageBreakBefore w:val="0"/>
        <w:tabs>
          <w:tab w:val="left" w:pos="0"/>
        </w:tabs>
        <w:kinsoku/>
        <w:wordWrap/>
        <w:overflowPunct/>
        <w:topLinePunct w:val="0"/>
        <w:bidi w:val="0"/>
        <w:adjustRightInd w:val="0"/>
        <w:snapToGrid w:val="0"/>
        <w:spacing w:line="480" w:lineRule="exact"/>
        <w:ind w:left="0" w:leftChars="0" w:right="0" w:firstLine="539" w:firstLineChars="245"/>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（1）投标人基本资格条件审查；</w:t>
      </w:r>
    </w:p>
    <w:p w14:paraId="69193155">
      <w:pPr>
        <w:pageBreakBefore w:val="0"/>
        <w:tabs>
          <w:tab w:val="left" w:pos="0"/>
        </w:tabs>
        <w:kinsoku/>
        <w:wordWrap/>
        <w:overflowPunct/>
        <w:topLinePunct w:val="0"/>
        <w:bidi w:val="0"/>
        <w:adjustRightInd w:val="0"/>
        <w:snapToGrid w:val="0"/>
        <w:spacing w:line="480" w:lineRule="exact"/>
        <w:ind w:left="0" w:leftChars="0" w:right="0" w:firstLine="539" w:firstLineChars="245"/>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（2）投标人限制性资格条件审查；</w:t>
      </w:r>
    </w:p>
    <w:p w14:paraId="3852D56E">
      <w:pPr>
        <w:pageBreakBefore w:val="0"/>
        <w:tabs>
          <w:tab w:val="left" w:pos="0"/>
        </w:tabs>
        <w:kinsoku/>
        <w:wordWrap/>
        <w:overflowPunct/>
        <w:topLinePunct w:val="0"/>
        <w:bidi w:val="0"/>
        <w:adjustRightInd w:val="0"/>
        <w:snapToGrid w:val="0"/>
        <w:spacing w:line="480" w:lineRule="exact"/>
        <w:ind w:left="0" w:leftChars="0" w:right="0" w:firstLine="539" w:firstLineChars="245"/>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（3）编写投标人资格审查报告。</w:t>
      </w:r>
    </w:p>
    <w:p w14:paraId="1A2475DB">
      <w:pPr>
        <w:pageBreakBefore w:val="0"/>
        <w:tabs>
          <w:tab w:val="left" w:pos="0"/>
        </w:tabs>
        <w:kinsoku/>
        <w:wordWrap/>
        <w:overflowPunct/>
        <w:topLinePunct w:val="0"/>
        <w:bidi w:val="0"/>
        <w:adjustRightInd w:val="0"/>
        <w:snapToGrid w:val="0"/>
        <w:spacing w:line="480" w:lineRule="exact"/>
        <w:ind w:left="0" w:leftChars="0" w:right="0" w:firstLine="446" w:firstLineChars="202"/>
        <w:textAlignment w:val="auto"/>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7.2.5 投标人基本资格条件的审查</w:t>
      </w:r>
    </w:p>
    <w:p w14:paraId="7440F49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7.2.5.1 审查方法：</w:t>
      </w:r>
    </w:p>
    <w:p w14:paraId="21877D8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单独审查</w:t>
      </w:r>
    </w:p>
    <w:p w14:paraId="3884D37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7.2.5.2 审查标准：</w:t>
      </w:r>
    </w:p>
    <w:p w14:paraId="3455CC81">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资格审查小组将按</w:t>
      </w:r>
      <w:r>
        <w:rPr>
          <w:rFonts w:hint="eastAsia" w:ascii="仿宋" w:hAnsi="仿宋" w:eastAsia="仿宋" w:cs="仿宋"/>
          <w:color w:val="auto"/>
          <w:kern w:val="0"/>
          <w:sz w:val="22"/>
          <w:szCs w:val="22"/>
          <w:highlight w:val="none"/>
          <w:lang w:val="en-US" w:eastAsia="zh-CN"/>
        </w:rPr>
        <w:t>投标人须知前附表资格要求中</w:t>
      </w:r>
      <w:r>
        <w:rPr>
          <w:rFonts w:hint="eastAsia" w:ascii="仿宋" w:hAnsi="仿宋" w:eastAsia="仿宋" w:cs="仿宋"/>
          <w:color w:val="auto"/>
          <w:kern w:val="0"/>
          <w:sz w:val="22"/>
          <w:szCs w:val="22"/>
          <w:highlight w:val="none"/>
        </w:rPr>
        <w:t>所列举的审查标准对投标人基本资格条件进行审查，投标人若有一项不合格，即判定其基本资格条件审查结果为不合格，将不具备投标资格，按无效投标处理。</w:t>
      </w:r>
    </w:p>
    <w:p w14:paraId="3A568F77">
      <w:pPr>
        <w:keepNext w:val="0"/>
        <w:keepLines w:val="0"/>
        <w:pageBreakBefore w:val="0"/>
        <w:tabs>
          <w:tab w:val="left" w:pos="0"/>
        </w:tabs>
        <w:kinsoku/>
        <w:wordWrap/>
        <w:overflowPunct/>
        <w:topLinePunct w:val="0"/>
        <w:bidi w:val="0"/>
        <w:adjustRightInd w:val="0"/>
        <w:snapToGrid w:val="0"/>
        <w:spacing w:line="480" w:lineRule="exact"/>
        <w:ind w:left="0" w:leftChars="0" w:right="0" w:firstLine="405"/>
        <w:rPr>
          <w:rFonts w:hint="eastAsia" w:ascii="仿宋" w:hAnsi="仿宋" w:eastAsia="仿宋" w:cs="仿宋"/>
          <w:b/>
          <w:color w:val="auto"/>
          <w:kern w:val="0"/>
          <w:sz w:val="22"/>
          <w:szCs w:val="22"/>
          <w:highlight w:val="none"/>
        </w:rPr>
      </w:pPr>
      <w:r>
        <w:rPr>
          <w:rFonts w:hint="eastAsia" w:ascii="仿宋" w:hAnsi="仿宋" w:eastAsia="仿宋" w:cs="仿宋"/>
          <w:b/>
          <w:color w:val="auto"/>
          <w:kern w:val="0"/>
          <w:sz w:val="22"/>
          <w:szCs w:val="22"/>
          <w:highlight w:val="none"/>
        </w:rPr>
        <w:t>7.2.6 投标人限制性资格条件审查</w:t>
      </w:r>
    </w:p>
    <w:p w14:paraId="01635536">
      <w:pPr>
        <w:keepNext w:val="0"/>
        <w:keepLines w:val="0"/>
        <w:pageBreakBefore w:val="0"/>
        <w:tabs>
          <w:tab w:val="left" w:pos="0"/>
        </w:tabs>
        <w:kinsoku/>
        <w:wordWrap/>
        <w:overflowPunct/>
        <w:topLinePunct w:val="0"/>
        <w:bidi w:val="0"/>
        <w:adjustRightInd w:val="0"/>
        <w:snapToGrid w:val="0"/>
        <w:spacing w:line="480" w:lineRule="exact"/>
        <w:ind w:left="0" w:leftChars="0" w:right="0" w:firstLine="405"/>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7.2.6.1 审查方法：</w:t>
      </w:r>
    </w:p>
    <w:p w14:paraId="6CA9D38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（1）资格审查小组将通过信用中国网（http://www.creditchina.gov.cn/）和中国政府采购网（网址：http://www.ccgp.gov.cn/cr/list）对投标人的信用信息进行查询核实。</w:t>
      </w:r>
    </w:p>
    <w:p w14:paraId="4A3D40D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（2）资格审查小组将通过投标人投标文件之资格审查部分文件和国家企业信用信息公示系统（http://www.gsxt.gov.cn/index.html）对投标人之间存在隶属关系或者其他利害关系进行相关信息的核实。</w:t>
      </w:r>
    </w:p>
    <w:p w14:paraId="3E0A9F6C">
      <w:pPr>
        <w:keepNext w:val="0"/>
        <w:keepLines w:val="0"/>
        <w:pageBreakBefore w:val="0"/>
        <w:tabs>
          <w:tab w:val="left" w:pos="0"/>
        </w:tabs>
        <w:kinsoku/>
        <w:wordWrap/>
        <w:overflowPunct/>
        <w:topLinePunct w:val="0"/>
        <w:bidi w:val="0"/>
        <w:adjustRightInd w:val="0"/>
        <w:snapToGrid w:val="0"/>
        <w:spacing w:line="480" w:lineRule="exact"/>
        <w:ind w:left="0" w:leftChars="0" w:right="0" w:firstLine="405"/>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7.2.6.2 审查标准：</w:t>
      </w:r>
    </w:p>
    <w:p w14:paraId="207E1E9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投标人存在下列情形之一的，审查不予通过，即判定其限制性资格条件审查结果为不合格，将不具备投标资格，按无效投标处理：</w:t>
      </w:r>
    </w:p>
    <w:p w14:paraId="75F13C8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（1）与采购人、采购代理机构存在隶属关系或者其他利害关系，且可能影响招标公正性；</w:t>
      </w:r>
    </w:p>
    <w:p w14:paraId="45D8909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（2）与本采购项目其他投标人的法定代表人（或者负责人）为同一人；</w:t>
      </w:r>
    </w:p>
    <w:p w14:paraId="49D88D5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（3）与本采购项目其他投标人存在控股、管理关系；</w:t>
      </w:r>
    </w:p>
    <w:p w14:paraId="600B2C75">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（4）为本项目采购代理机构；</w:t>
      </w:r>
    </w:p>
    <w:p w14:paraId="084A96B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（5）为本项目代理投标的为其采购代理机构；</w:t>
      </w:r>
    </w:p>
    <w:p w14:paraId="68CF0D6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（6）为本项目提供整体设计、规范编制或者项目管理、监理、检测、咨询服务；</w:t>
      </w:r>
    </w:p>
    <w:p w14:paraId="25A4B5B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（7）近3年受到刑事处罚；</w:t>
      </w:r>
    </w:p>
    <w:p w14:paraId="7E71437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（8）近3年内受到财政部门3万元以上罚款或其他行政部门较大数额罚款行政处罚（举行听证会的）；</w:t>
      </w:r>
    </w:p>
    <w:p w14:paraId="24F5253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（9）近3年被责令停产停业、暂扣或者吊销许可证、暂扣或者吊销执照的行政处罚；</w:t>
      </w:r>
    </w:p>
    <w:p w14:paraId="1AFE44E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（10）被列入严重失信被执行人名单；</w:t>
      </w:r>
    </w:p>
    <w:p w14:paraId="45E6079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（11）被列入</w:t>
      </w:r>
      <w:r>
        <w:rPr>
          <w:rFonts w:hint="eastAsia" w:ascii="仿宋" w:hAnsi="仿宋" w:eastAsia="仿宋" w:cs="仿宋"/>
          <w:color w:val="auto"/>
          <w:kern w:val="0"/>
          <w:sz w:val="22"/>
          <w:szCs w:val="22"/>
          <w:highlight w:val="none"/>
          <w:lang w:eastAsia="zh-CN"/>
        </w:rPr>
        <w:t>重大税收违法失信主体</w:t>
      </w:r>
      <w:r>
        <w:rPr>
          <w:rFonts w:hint="eastAsia" w:ascii="仿宋" w:hAnsi="仿宋" w:eastAsia="仿宋" w:cs="仿宋"/>
          <w:color w:val="auto"/>
          <w:kern w:val="0"/>
          <w:sz w:val="22"/>
          <w:szCs w:val="22"/>
          <w:highlight w:val="none"/>
        </w:rPr>
        <w:t>；</w:t>
      </w:r>
    </w:p>
    <w:p w14:paraId="7147F53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（12）被禁止在一至三年内参加政府采购活动或存在财政部门认定的其他重大违法记录；</w:t>
      </w:r>
    </w:p>
    <w:p w14:paraId="03AB4E50">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（13）法律法规规定的其他情形。</w:t>
      </w:r>
    </w:p>
    <w:p w14:paraId="3ABF13D5">
      <w:pPr>
        <w:keepNext w:val="0"/>
        <w:keepLines w:val="0"/>
        <w:pageBreakBefore w:val="0"/>
        <w:kinsoku/>
        <w:wordWrap/>
        <w:overflowPunct/>
        <w:topLinePunct w:val="0"/>
        <w:bidi w:val="0"/>
        <w:spacing w:line="480" w:lineRule="exact"/>
        <w:ind w:left="0" w:leftChars="0" w:right="0" w:firstLine="442" w:firstLineChars="20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7.2.</w:t>
      </w:r>
      <w:r>
        <w:rPr>
          <w:rFonts w:hint="eastAsia" w:ascii="仿宋" w:hAnsi="仿宋" w:eastAsia="仿宋" w:cs="仿宋"/>
          <w:b/>
          <w:color w:val="auto"/>
          <w:sz w:val="22"/>
          <w:szCs w:val="22"/>
          <w:highlight w:val="none"/>
          <w:lang w:val="en-US" w:eastAsia="zh-CN"/>
        </w:rPr>
        <w:t>7</w:t>
      </w:r>
      <w:r>
        <w:rPr>
          <w:rFonts w:hint="eastAsia" w:ascii="仿宋" w:hAnsi="仿宋" w:eastAsia="仿宋" w:cs="仿宋"/>
          <w:b/>
          <w:color w:val="auto"/>
          <w:sz w:val="22"/>
          <w:szCs w:val="22"/>
          <w:highlight w:val="none"/>
        </w:rPr>
        <w:t xml:space="preserve"> 合格投标人不足3家的，不得评标。</w:t>
      </w:r>
    </w:p>
    <w:p w14:paraId="3B73C558">
      <w:pPr>
        <w:keepNext w:val="0"/>
        <w:keepLines w:val="0"/>
        <w:pageBreakBefore w:val="0"/>
        <w:kinsoku/>
        <w:wordWrap/>
        <w:overflowPunct/>
        <w:topLinePunct w:val="0"/>
        <w:bidi w:val="0"/>
        <w:spacing w:line="480" w:lineRule="exact"/>
        <w:ind w:left="0" w:leftChars="0" w:right="0" w:firstLine="442" w:firstLineChars="20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7.2.</w:t>
      </w:r>
      <w:r>
        <w:rPr>
          <w:rFonts w:hint="eastAsia" w:ascii="仿宋" w:hAnsi="仿宋" w:eastAsia="仿宋" w:cs="仿宋"/>
          <w:b/>
          <w:color w:val="auto"/>
          <w:sz w:val="22"/>
          <w:szCs w:val="22"/>
          <w:highlight w:val="none"/>
          <w:lang w:val="en-US" w:eastAsia="zh-CN"/>
        </w:rPr>
        <w:t>8</w:t>
      </w:r>
      <w:r>
        <w:rPr>
          <w:rFonts w:hint="eastAsia" w:ascii="仿宋" w:hAnsi="仿宋" w:eastAsia="仿宋" w:cs="仿宋"/>
          <w:b/>
          <w:color w:val="auto"/>
          <w:sz w:val="22"/>
          <w:szCs w:val="22"/>
          <w:highlight w:val="none"/>
        </w:rPr>
        <w:t xml:space="preserve"> 不合格的投标人，不得进入评标环节。</w:t>
      </w:r>
    </w:p>
    <w:p w14:paraId="286E183A">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62" w:name="_Toc5151"/>
      <w:r>
        <w:rPr>
          <w:rFonts w:hint="eastAsia" w:ascii="仿宋" w:hAnsi="仿宋" w:eastAsia="仿宋" w:cs="仿宋"/>
          <w:bCs/>
          <w:color w:val="auto"/>
          <w:sz w:val="28"/>
          <w:szCs w:val="28"/>
          <w:highlight w:val="none"/>
          <w:lang w:val="en-US" w:eastAsia="zh-CN"/>
        </w:rPr>
        <w:t>8.评标</w:t>
      </w:r>
      <w:bookmarkEnd w:id="160"/>
      <w:bookmarkEnd w:id="162"/>
    </w:p>
    <w:p w14:paraId="178D50A5">
      <w:pPr>
        <w:keepNext w:val="0"/>
        <w:keepLines w:val="0"/>
        <w:pageBreakBefore w:val="0"/>
        <w:kinsoku/>
        <w:wordWrap/>
        <w:overflowPunct/>
        <w:topLinePunct w:val="0"/>
        <w:bidi w:val="0"/>
        <w:spacing w:line="480" w:lineRule="exact"/>
        <w:ind w:left="11" w:leftChars="0" w:right="0" w:hanging="11" w:hangingChars="5"/>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8.1 评标委员会</w:t>
      </w:r>
    </w:p>
    <w:p w14:paraId="57E91A9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8.1.1 评标由采购代理机构依法组建的评标委员会负责。评标委员会由采购人代表和评审专家组成，成员由5人以上单数组成。其中评审专家不得少于成员总数的三分之二。采购预算金额在1000万元以上、技术复杂的项目或者社会影响较大的项目，评标委员会成员应当为7人以上。评审专家人选在省级</w:t>
      </w:r>
      <w:r>
        <w:rPr>
          <w:rFonts w:hint="eastAsia" w:ascii="仿宋" w:hAnsi="仿宋" w:eastAsia="仿宋" w:cs="仿宋"/>
          <w:color w:val="auto"/>
          <w:kern w:val="0"/>
          <w:sz w:val="22"/>
          <w:szCs w:val="22"/>
          <w:highlight w:val="none"/>
          <w:lang w:val="en-US" w:eastAsia="zh-CN"/>
        </w:rPr>
        <w:t>主管</w:t>
      </w:r>
      <w:r>
        <w:rPr>
          <w:rFonts w:hint="eastAsia" w:ascii="仿宋" w:hAnsi="仿宋" w:eastAsia="仿宋" w:cs="仿宋"/>
          <w:color w:val="auto"/>
          <w:kern w:val="0"/>
          <w:sz w:val="22"/>
          <w:szCs w:val="22"/>
          <w:highlight w:val="none"/>
        </w:rPr>
        <w:t>部门设立的采购评审专家库中随机抽取。</w:t>
      </w:r>
    </w:p>
    <w:p w14:paraId="4998D3D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对技术复杂、专业性强的采购项目，通过随机方式难以确定合适评审专家的，经主管预算单位同意，采购人或采购代理机构可以自行选定相应专业领域的评审专家。</w:t>
      </w:r>
    </w:p>
    <w:p w14:paraId="229C98A5">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8.1.2 评标委员会成员到位后，推荐一名评审专家担任评标组长，并由评标组长牵头组织该项目评标工作，采购人代表，不得担任评标组长。</w:t>
      </w:r>
    </w:p>
    <w:p w14:paraId="1FB5687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8.1.3 评委会成员有下列情形之一的，应当回避：</w:t>
      </w:r>
    </w:p>
    <w:p w14:paraId="1E357B0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（1）采购人或投标人主要负责人的近亲属；</w:t>
      </w:r>
    </w:p>
    <w:p w14:paraId="4B37F42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（2）项目主管部门或者行政监督部门的人员；</w:t>
      </w:r>
    </w:p>
    <w:p w14:paraId="50195AB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（3）与投标人有经济利益关系，可能影响对投标公正评审的；</w:t>
      </w:r>
    </w:p>
    <w:p w14:paraId="312B640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w:t>
      </w:r>
      <w:r>
        <w:rPr>
          <w:rFonts w:hint="eastAsia" w:ascii="仿宋" w:hAnsi="仿宋" w:eastAsia="仿宋" w:cs="仿宋"/>
          <w:color w:val="auto"/>
          <w:kern w:val="0"/>
          <w:sz w:val="22"/>
          <w:szCs w:val="22"/>
          <w:highlight w:val="none"/>
          <w:lang w:val="en-US" w:eastAsia="zh-CN"/>
        </w:rPr>
        <w:t>4</w:t>
      </w:r>
      <w:r>
        <w:rPr>
          <w:rFonts w:hint="eastAsia" w:ascii="仿宋" w:hAnsi="仿宋" w:eastAsia="仿宋" w:cs="仿宋"/>
          <w:color w:val="auto"/>
          <w:kern w:val="0"/>
          <w:sz w:val="22"/>
          <w:szCs w:val="22"/>
          <w:highlight w:val="none"/>
        </w:rPr>
        <w:t>）曾因在招标、评标以及其他与招标投标有关活动中从事违法行为而受过行政处罚或刑事处罚的。</w:t>
      </w:r>
    </w:p>
    <w:p w14:paraId="572AD6C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lang w:val="zh-CN"/>
        </w:rPr>
      </w:pPr>
      <w:r>
        <w:rPr>
          <w:rFonts w:hint="eastAsia" w:ascii="仿宋" w:hAnsi="仿宋" w:eastAsia="仿宋" w:cs="仿宋"/>
          <w:color w:val="auto"/>
          <w:kern w:val="0"/>
          <w:sz w:val="22"/>
          <w:szCs w:val="22"/>
          <w:highlight w:val="none"/>
        </w:rPr>
        <w:t>8.1.4 评标过程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r>
        <w:rPr>
          <w:rFonts w:hint="eastAsia" w:ascii="仿宋" w:hAnsi="仿宋" w:eastAsia="仿宋" w:cs="仿宋"/>
          <w:color w:val="auto"/>
          <w:kern w:val="0"/>
          <w:sz w:val="22"/>
          <w:szCs w:val="22"/>
          <w:highlight w:val="none"/>
          <w:lang w:val="zh-CN"/>
        </w:rPr>
        <w:t>采购代理机构</w:t>
      </w:r>
      <w:r>
        <w:rPr>
          <w:rFonts w:hint="eastAsia" w:ascii="仿宋" w:hAnsi="仿宋" w:eastAsia="仿宋" w:cs="仿宋"/>
          <w:color w:val="auto"/>
          <w:kern w:val="0"/>
          <w:sz w:val="22"/>
          <w:szCs w:val="22"/>
          <w:highlight w:val="none"/>
        </w:rPr>
        <w:t>应当将变更、重新组建评标委员会的情况予以记录，并随采购文件一并存档。</w:t>
      </w:r>
    </w:p>
    <w:p w14:paraId="061E920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8.1.5 评委会成员名单在中标结果公告前，应当保密。</w:t>
      </w:r>
    </w:p>
    <w:p w14:paraId="30531C61">
      <w:pPr>
        <w:keepNext w:val="0"/>
        <w:keepLines w:val="0"/>
        <w:pageBreakBefore w:val="0"/>
        <w:widowControl/>
        <w:kinsoku/>
        <w:wordWrap/>
        <w:overflowPunct/>
        <w:topLinePunct w:val="0"/>
        <w:autoSpaceDE w:val="0"/>
        <w:autoSpaceDN w:val="0"/>
        <w:bidi w:val="0"/>
        <w:spacing w:line="480" w:lineRule="exact"/>
        <w:ind w:left="0" w:leftChars="0" w:right="0" w:firstLine="442" w:firstLineChars="200"/>
        <w:textAlignment w:val="bottom"/>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8.1.6  评标委员会及其成员不得有下列行为：</w:t>
      </w:r>
    </w:p>
    <w:p w14:paraId="2B8BED7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（1）确定参与评标至评标结束前私自接触投标人；</w:t>
      </w:r>
    </w:p>
    <w:p w14:paraId="54D83AC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（2）接受投标人提出的与投标文件不一致的澄清或者说明；</w:t>
      </w:r>
    </w:p>
    <w:p w14:paraId="71E9DC6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（3）违反评标纪律发表倾向性意见或者征询采购人的倾向性意见；</w:t>
      </w:r>
    </w:p>
    <w:p w14:paraId="73C99B5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（4）对需要专业判断的主观评审因素协商评分；</w:t>
      </w:r>
    </w:p>
    <w:p w14:paraId="4B6F59B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（5）在评标过程中擅离职守，影响评标程序正常进行的；</w:t>
      </w:r>
    </w:p>
    <w:p w14:paraId="4F9C4E4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（6）记录、复制或者带走任何评标资料；</w:t>
      </w:r>
    </w:p>
    <w:p w14:paraId="20672B2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（7）其他不遵守评标纪律的行为。</w:t>
      </w:r>
    </w:p>
    <w:p w14:paraId="0A89262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评标委员会成员有前款第一至五项行为之一的，其评审意见无效，并不得获取评审劳务报酬和报销异地评审差旅费。</w:t>
      </w:r>
    </w:p>
    <w:p w14:paraId="4CAFBB7F">
      <w:pPr>
        <w:keepNext w:val="0"/>
        <w:keepLines w:val="0"/>
        <w:pageBreakBefore w:val="0"/>
        <w:kinsoku/>
        <w:wordWrap/>
        <w:overflowPunct/>
        <w:topLinePunct w:val="0"/>
        <w:bidi w:val="0"/>
        <w:spacing w:line="480" w:lineRule="exact"/>
        <w:ind w:left="0" w:leftChars="0" w:right="0"/>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rPr>
        <w:t>8.2 评标原则</w:t>
      </w:r>
    </w:p>
    <w:p w14:paraId="57885FC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8.2.1“客观、公正、审慎”为本次评标的基本原则，评标委员会按照这一原则的要求，公正、平等地对待各投标人。同时，在评审中恪守以下原则：</w:t>
      </w:r>
    </w:p>
    <w:p w14:paraId="28F2C3F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（1）统一性原则：评标委员会将按照统一的评标原则和评审方法，用统一标准进行评审。</w:t>
      </w:r>
    </w:p>
    <w:p w14:paraId="2993655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（2）独立性原则：评标工作在评标委员会内部独立进行，不受外界任何因素的干扰和影响。评标委员会成员对其出具的意见承担个人责任。投标</w:t>
      </w:r>
      <w:r>
        <w:rPr>
          <w:rFonts w:hint="eastAsia" w:ascii="仿宋" w:hAnsi="仿宋" w:eastAsia="仿宋" w:cs="仿宋"/>
          <w:color w:val="auto"/>
          <w:kern w:val="0"/>
          <w:sz w:val="22"/>
          <w:szCs w:val="22"/>
          <w:highlight w:val="none"/>
        </w:rPr>
        <w:t>人试图影响或干预评审的任何行为，将导致其丧失投标的资格，并承担相应的法律责任。</w:t>
      </w:r>
    </w:p>
    <w:p w14:paraId="176CA62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（3）客观性原则：评标委员会将严格按照招标文件要求，对投标人的投标文件进行认真评审；评标委员会对投标文件的评审仅依据投标文件本身，而不依据投标文件以外的任何因素。</w:t>
      </w:r>
    </w:p>
    <w:p w14:paraId="6B69DC0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（4）保密性原则：采购代理机构应当采取必要的措施，保证评标在严格保密情况下进行。</w:t>
      </w:r>
    </w:p>
    <w:p w14:paraId="76C5948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）综合性原则：评标委员会将综合分析、评审投标人的各项指标，而不以单项指标的优劣评定出中标人。</w:t>
      </w:r>
    </w:p>
    <w:p w14:paraId="066157D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8.2.2 评标委员会有权对整个招标过程中出现的一切问题，根据《中华人民共和国政府采购法》及实施条例和《政府采购货物和服务招标投标管理办法》等相关规定进行处理。</w:t>
      </w:r>
    </w:p>
    <w:p w14:paraId="6BABEE5E">
      <w:pPr>
        <w:keepNext w:val="0"/>
        <w:keepLines w:val="0"/>
        <w:pageBreakBefore w:val="0"/>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8.3 评标</w:t>
      </w:r>
    </w:p>
    <w:p w14:paraId="080F48F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8.3.1 评标委员会按照招标文件第三章“评标办法”规定的方法、评审因素、标准和程序对投标文件进行评审。第三章“评标办法”没有规定的方法、评审因素和标准，不作为评标依据。</w:t>
      </w:r>
    </w:p>
    <w:p w14:paraId="321DB38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8.3.2 评标委员会负责具体评标事务，并独立履行下列职责：</w:t>
      </w:r>
    </w:p>
    <w:p w14:paraId="39F19C5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（1）审查、评价投标文件是否符合招标文件的商务、技术、服务等实质性要求；</w:t>
      </w:r>
    </w:p>
    <w:p w14:paraId="2204BFA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（2）要求投标人对投标文件有关事项作出澄清或者说明；</w:t>
      </w:r>
    </w:p>
    <w:p w14:paraId="5FD57FAE">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（3）对投标文件进行比较和评价；</w:t>
      </w:r>
    </w:p>
    <w:p w14:paraId="3B241D5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（4）确定中标候选人名单，以及根据采购人委托直接确定中标人；</w:t>
      </w:r>
    </w:p>
    <w:p w14:paraId="37102A8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（5）向采购人、采购代理机构或者有关部门报告评标中发现的违法行为。</w:t>
      </w:r>
    </w:p>
    <w:p w14:paraId="47F824B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8.3.3评标委员会成员应当履行下列义务：</w:t>
      </w:r>
    </w:p>
    <w:p w14:paraId="50FB9031">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（1）遵纪守法，客观、公正、廉洁地履行职责；</w:t>
      </w:r>
    </w:p>
    <w:p w14:paraId="55866EE5">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（2）根据采购文件的规定独立进行评审，对个人的评审意见承担法律责任；</w:t>
      </w:r>
    </w:p>
    <w:p w14:paraId="4894142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（3）参与评标报告的起草；</w:t>
      </w:r>
    </w:p>
    <w:p w14:paraId="4313E8F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（4）配合采购人、采购代理机构答复投标人提出的质疑；</w:t>
      </w:r>
    </w:p>
    <w:p w14:paraId="6296D69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（5）配合财政部门的投诉处理和监督检查工作。</w:t>
      </w:r>
    </w:p>
    <w:p w14:paraId="45F6DE4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8.3.4 采购代理机构负责组织评标工作并履行下列职责：</w:t>
      </w:r>
    </w:p>
    <w:p w14:paraId="45FDCFB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（1）核对评审专家身份和采购人代表授权函，对评审专家在采购活动中的职责履行情况予以记录，并及时将有关违法违规行为向财政部门报告；</w:t>
      </w:r>
    </w:p>
    <w:p w14:paraId="2D407860">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（2）宣布评标纪律和开启录音录像设备；</w:t>
      </w:r>
    </w:p>
    <w:p w14:paraId="67E98F3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（3）公布投标人名单，告知评标专家应当回避的情形；</w:t>
      </w:r>
    </w:p>
    <w:p w14:paraId="53C25E3F">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（4）组织评标委员会推选评标组长，采购人代表不得担任组长；</w:t>
      </w:r>
    </w:p>
    <w:p w14:paraId="0FDD0F1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（5）在评标期间采取必要的通讯管理措施，保证评标活动不受外界干扰；</w:t>
      </w:r>
    </w:p>
    <w:p w14:paraId="2DE9153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（6）根据评标委员会的要求介绍采购相关政策法规、招标文件；</w:t>
      </w:r>
    </w:p>
    <w:p w14:paraId="648154E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（7）维护评标秩序，监督评标委员会依照评标文件规定的评审程序、方法和标准进行独立评审，及时制止和纠正采购人代表、评审专家的倾向性言论或违法违规行为； </w:t>
      </w:r>
    </w:p>
    <w:p w14:paraId="79956A25">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（8）核对评标结果，有《政府采购货物和服务招标投标管理办法》第六十四条规定情形的，要求评标委员会复核或书面说明理由，评标委员会拒绝的，应予记录并向本级财政部门报告；</w:t>
      </w:r>
    </w:p>
    <w:p w14:paraId="4402C253">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（9）评审工作完成后，按照规定向评审专家支付劳务报酬和异地评审差旅费，不得向评审专家以外的其他人员支付评审劳务报酬；</w:t>
      </w:r>
    </w:p>
    <w:p w14:paraId="3661273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（10）处理与评标有关的其他事项。</w:t>
      </w:r>
    </w:p>
    <w:p w14:paraId="4941CA3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8.3.5 采购人可以在评标前介绍项目背景和采购需求，介绍内容不得含有歧视性、倾向性意见，不得超出招标文件所述范围。介绍应当提交书面介绍材料，并随采购文件一并存档。</w:t>
      </w:r>
    </w:p>
    <w:p w14:paraId="130B4E31">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8.3.6评标过程严格保密</w:t>
      </w:r>
    </w:p>
    <w:p w14:paraId="70FC019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8.3.6.1 采购人、采购代理机构应当采取必要措施，保证评标在严格保密的情况下进行。除采购人代表、评标现场组织人员外，采购人的其他工作人员以及与评标工作无关的人员不得进入评标现场。</w:t>
      </w:r>
    </w:p>
    <w:p w14:paraId="40F9783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8.3.6.2 有关人员对评标情况以及在评标过程中获悉的国家秘密、商业秘密负有保密责任。开标后，直至授予中标人合同为止，凡属于对投标文件的审查、澄清、评价和比较的有关资料以及中标候选人的推荐情况，与评标有关的其他任何情况均严格保密。</w:t>
      </w:r>
    </w:p>
    <w:p w14:paraId="477C8650">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8.3.7 投标人对评标委员会的评标过程或合同授予决定施加影响的任何行为都可能导致其投标被拒绝。</w:t>
      </w:r>
      <w:bookmarkStart w:id="163" w:name="_Toc217446060"/>
    </w:p>
    <w:p w14:paraId="28E4387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8.3.8 评标完成后，评标委员会应当向采购人提交书面评标报告，并由采购代理机构转送。</w:t>
      </w:r>
    </w:p>
    <w:p w14:paraId="2878B9FA">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64" w:name="_Toc25460"/>
      <w:r>
        <w:rPr>
          <w:rFonts w:hint="eastAsia" w:ascii="仿宋" w:hAnsi="仿宋" w:eastAsia="仿宋" w:cs="仿宋"/>
          <w:bCs/>
          <w:color w:val="auto"/>
          <w:sz w:val="28"/>
          <w:szCs w:val="28"/>
          <w:highlight w:val="none"/>
          <w:lang w:val="en-US" w:eastAsia="zh-CN"/>
        </w:rPr>
        <w:t>9.定标</w:t>
      </w:r>
      <w:bookmarkEnd w:id="163"/>
      <w:bookmarkEnd w:id="164"/>
      <w:bookmarkStart w:id="165" w:name="_Toc217446061"/>
    </w:p>
    <w:p w14:paraId="18BA3A16">
      <w:pPr>
        <w:keepNext w:val="0"/>
        <w:keepLines w:val="0"/>
        <w:pageBreakBefore w:val="0"/>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9.1 定标原则</w:t>
      </w:r>
      <w:bookmarkEnd w:id="165"/>
    </w:p>
    <w:p w14:paraId="71FB1B48">
      <w:pPr>
        <w:keepNext w:val="0"/>
        <w:keepLines w:val="0"/>
        <w:pageBreakBefore w:val="0"/>
        <w:kinsoku/>
        <w:wordWrap/>
        <w:overflowPunct/>
        <w:topLinePunct w:val="0"/>
        <w:bidi w:val="0"/>
        <w:spacing w:line="480" w:lineRule="exact"/>
        <w:ind w:left="0" w:leftChars="0" w:right="0" w:firstLine="431" w:firstLineChars="196"/>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采购人或其授权的评标委员会按照评标报告中推荐的中标候选人名单，按顺序确定中标人。</w:t>
      </w:r>
      <w:bookmarkStart w:id="166" w:name="_Toc217446062"/>
    </w:p>
    <w:p w14:paraId="1C8C8B53">
      <w:pPr>
        <w:keepNext w:val="0"/>
        <w:keepLines w:val="0"/>
        <w:pageBreakBefore w:val="0"/>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9.2 定标程序</w:t>
      </w:r>
      <w:bookmarkEnd w:id="166"/>
    </w:p>
    <w:p w14:paraId="6528E9F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9.2.1评标委员会将评标情况写出书面报告，推荐3个中标候选人，并按照综合得分高低标明排列顺序。得分相同的，按投标报价由低到高顺序排列。</w:t>
      </w:r>
    </w:p>
    <w:p w14:paraId="24947A8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9.2.2 采购代理机构在评标结束后2个工作日内将评标报告送采购人。</w:t>
      </w:r>
    </w:p>
    <w:p w14:paraId="6EDCFEC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9.2.3 采购人应当在收到评标报告后5个工作日内，按照评标报告中推荐的中标候选人顺序和有关规定确定中标人，第一名中标候选人并列的，由采购人根据</w:t>
      </w:r>
      <w:r>
        <w:rPr>
          <w:rFonts w:hint="eastAsia" w:ascii="仿宋" w:hAnsi="仿宋" w:eastAsia="仿宋" w:cs="仿宋"/>
          <w:color w:val="auto"/>
          <w:sz w:val="22"/>
          <w:szCs w:val="22"/>
          <w:highlight w:val="none"/>
          <w:u w:val="single"/>
        </w:rPr>
        <w:t>得分相同的，按投标报价由低到高顺序排列。得分且投标报价相同的，投标文件满足招标文件全部实质性要求且按评审因素的量化指标评审得分最高的投标人为排名第一的中标候选人</w:t>
      </w:r>
      <w:r>
        <w:rPr>
          <w:rFonts w:hint="eastAsia" w:ascii="仿宋" w:hAnsi="仿宋" w:eastAsia="仿宋" w:cs="仿宋"/>
          <w:color w:val="auto"/>
          <w:sz w:val="22"/>
          <w:szCs w:val="22"/>
          <w:highlight w:val="none"/>
        </w:rPr>
        <w:t>。同时，将中标结果复函至采购代理机构。</w:t>
      </w:r>
    </w:p>
    <w:p w14:paraId="64E4509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采购人在收到评标报告5个工作日内未按评标报告推荐的中标候选人顺序确定中标人，又不能说明合法理由的，视同按评标报告推荐的顺序确定排名第一的中标候选人为中标人。</w:t>
      </w:r>
    </w:p>
    <w:p w14:paraId="7F71F71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9.2.4 采购代理机构应当在接到采购人“定标”复函之日起2个工作日内，根据采购人确定的中标人，在省级以上财政部门指定的媒体上发布中标公告，同时向中标人发出《中标通知书》。</w:t>
      </w:r>
    </w:p>
    <w:p w14:paraId="18E598F9">
      <w:pPr>
        <w:keepNext w:val="0"/>
        <w:keepLines w:val="0"/>
        <w:pageBreakBefore w:val="0"/>
        <w:widowControl/>
        <w:kinsoku/>
        <w:wordWrap/>
        <w:overflowPunct/>
        <w:topLinePunct w:val="0"/>
        <w:autoSpaceDE/>
        <w:autoSpaceDN/>
        <w:bidi w:val="0"/>
        <w:adjustRightInd/>
        <w:snapToGrid/>
        <w:spacing w:line="480" w:lineRule="exact"/>
        <w:ind w:left="0" w:leftChars="0" w:right="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9.2.5 采购代理机构，应当</w:t>
      </w:r>
      <w:r>
        <w:rPr>
          <w:rFonts w:hint="eastAsia" w:ascii="仿宋" w:hAnsi="仿宋" w:eastAsia="仿宋" w:cs="仿宋"/>
          <w:color w:val="auto"/>
          <w:kern w:val="0"/>
          <w:sz w:val="22"/>
          <w:szCs w:val="22"/>
          <w:highlight w:val="none"/>
        </w:rPr>
        <w:t>对未通过资格审查或未通符合性审查的投标人，告知其未通过的原因；采用综合评分法评审的，还应当告知未中标人本身的评审得分与排序。</w:t>
      </w:r>
    </w:p>
    <w:p w14:paraId="7137E383">
      <w:pPr>
        <w:keepNext w:val="0"/>
        <w:keepLines w:val="0"/>
        <w:pageBreakBefore w:val="0"/>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bookmarkStart w:id="167" w:name="_Toc183682375"/>
      <w:bookmarkStart w:id="168" w:name="_Toc183582238"/>
      <w:bookmarkStart w:id="169" w:name="_Toc217446063"/>
      <w:r>
        <w:rPr>
          <w:rFonts w:hint="eastAsia" w:ascii="仿宋" w:hAnsi="仿宋" w:eastAsia="仿宋" w:cs="仿宋"/>
          <w:b/>
          <w:bCs/>
          <w:color w:val="auto"/>
          <w:sz w:val="22"/>
          <w:szCs w:val="22"/>
          <w:highlight w:val="none"/>
        </w:rPr>
        <w:t>9.3 中标通知</w:t>
      </w:r>
      <w:bookmarkEnd w:id="167"/>
      <w:bookmarkEnd w:id="168"/>
      <w:r>
        <w:rPr>
          <w:rFonts w:hint="eastAsia" w:ascii="仿宋" w:hAnsi="仿宋" w:eastAsia="仿宋" w:cs="仿宋"/>
          <w:b/>
          <w:bCs/>
          <w:color w:val="auto"/>
          <w:sz w:val="22"/>
          <w:szCs w:val="22"/>
          <w:highlight w:val="none"/>
        </w:rPr>
        <w:t>书</w:t>
      </w:r>
      <w:bookmarkEnd w:id="169"/>
    </w:p>
    <w:p w14:paraId="62F13FB8">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9.3.1 中标通知书为签订采购合同的依据之一，是合同的有效组成部分。</w:t>
      </w:r>
    </w:p>
    <w:p w14:paraId="685BDE12">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9.3.2 中标通知书对采购人和中标人均具有法律效力。中标通知书发出后，采购人不得违法改变中标结果，中标人无正当理由不得放弃中标。否则，应当承担相应的法律责任。</w:t>
      </w:r>
    </w:p>
    <w:p w14:paraId="305B233B">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9.3.3 中标人应当在接到采购代理机构通知之日起2个工作日内领取《中标通知书》。</w:t>
      </w:r>
    </w:p>
    <w:p w14:paraId="44808FA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9.3.4 在《中标通知书》发出后，发现中标人有</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采购法律法规规章制度规定的中标无效情形的，采购代理机构应当宣布发出的中标通知书无效，并收回发出的中标通知书（中标人也应当交回），依法重新确定中标人或者重新开展采购活动，同时向同级财政部门报告。</w:t>
      </w:r>
    </w:p>
    <w:p w14:paraId="65316B36">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70" w:name="_Toc217446064"/>
      <w:bookmarkStart w:id="171" w:name="_Toc26438"/>
      <w:bookmarkStart w:id="172" w:name="_Toc183682377"/>
      <w:bookmarkStart w:id="173" w:name="_Toc183582240"/>
      <w:r>
        <w:rPr>
          <w:rFonts w:hint="eastAsia" w:ascii="仿宋" w:hAnsi="仿宋" w:eastAsia="仿宋" w:cs="仿宋"/>
          <w:bCs/>
          <w:color w:val="auto"/>
          <w:sz w:val="28"/>
          <w:szCs w:val="28"/>
          <w:highlight w:val="none"/>
          <w:lang w:val="en-US" w:eastAsia="zh-CN"/>
        </w:rPr>
        <w:t>10.合同</w:t>
      </w:r>
      <w:bookmarkEnd w:id="170"/>
      <w:r>
        <w:rPr>
          <w:rFonts w:hint="eastAsia" w:ascii="仿宋" w:hAnsi="仿宋" w:eastAsia="仿宋" w:cs="仿宋"/>
          <w:bCs/>
          <w:color w:val="auto"/>
          <w:sz w:val="28"/>
          <w:szCs w:val="28"/>
          <w:highlight w:val="none"/>
          <w:lang w:val="en-US" w:eastAsia="zh-CN"/>
        </w:rPr>
        <w:t>授予</w:t>
      </w:r>
      <w:bookmarkEnd w:id="171"/>
      <w:bookmarkStart w:id="174" w:name="_Toc217446065"/>
    </w:p>
    <w:p w14:paraId="18629030">
      <w:pPr>
        <w:keepNext w:val="0"/>
        <w:keepLines w:val="0"/>
        <w:pageBreakBefore w:val="0"/>
        <w:tabs>
          <w:tab w:val="left" w:pos="7665"/>
        </w:tabs>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10.1 履约保证金</w:t>
      </w:r>
    </w:p>
    <w:p w14:paraId="537D8805">
      <w:pPr>
        <w:keepNext w:val="0"/>
        <w:keepLines w:val="0"/>
        <w:pageBreakBefore w:val="0"/>
        <w:tabs>
          <w:tab w:val="left" w:pos="7665"/>
        </w:tabs>
        <w:kinsoku/>
        <w:wordWrap/>
        <w:overflowPunct/>
        <w:topLinePunct w:val="0"/>
        <w:bidi w:val="0"/>
        <w:spacing w:line="480" w:lineRule="exact"/>
        <w:ind w:left="0" w:leftChars="0" w:right="0" w:firstLine="482"/>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10.1.1 本项目需要提交履约保证金的，适用本条。</w:t>
      </w:r>
    </w:p>
    <w:p w14:paraId="5B4889E8">
      <w:pPr>
        <w:keepNext w:val="0"/>
        <w:keepLines w:val="0"/>
        <w:pageBreakBefore w:val="0"/>
        <w:tabs>
          <w:tab w:val="left" w:pos="7665"/>
        </w:tabs>
        <w:kinsoku/>
        <w:wordWrap/>
        <w:overflowPunct/>
        <w:topLinePunct w:val="0"/>
        <w:bidi w:val="0"/>
        <w:spacing w:line="480" w:lineRule="exact"/>
        <w:ind w:left="0" w:leftChars="0" w:right="0" w:firstLine="482"/>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10.1.2</w:t>
      </w:r>
      <w:r>
        <w:rPr>
          <w:rFonts w:hint="eastAsia" w:ascii="仿宋" w:hAnsi="仿宋" w:eastAsia="仿宋" w:cs="仿宋"/>
          <w:color w:val="auto"/>
          <w:kern w:val="0"/>
          <w:sz w:val="22"/>
          <w:szCs w:val="22"/>
          <w:highlight w:val="none"/>
        </w:rPr>
        <w:t xml:space="preserve"> </w:t>
      </w:r>
      <w:r>
        <w:rPr>
          <w:rFonts w:hint="eastAsia" w:ascii="仿宋" w:hAnsi="仿宋" w:eastAsia="仿宋" w:cs="仿宋"/>
          <w:color w:val="auto"/>
          <w:sz w:val="22"/>
          <w:szCs w:val="22"/>
          <w:highlight w:val="none"/>
        </w:rPr>
        <w:t>中标人在收到采购代理机构的中标通知书后10日内，应按照</w:t>
      </w:r>
      <w:r>
        <w:rPr>
          <w:rFonts w:hint="eastAsia" w:ascii="仿宋" w:hAnsi="仿宋" w:eastAsia="仿宋" w:cs="仿宋"/>
          <w:b/>
          <w:color w:val="auto"/>
          <w:sz w:val="22"/>
          <w:szCs w:val="22"/>
          <w:highlight w:val="none"/>
        </w:rPr>
        <w:t>投标人须知前附表</w:t>
      </w:r>
      <w:r>
        <w:rPr>
          <w:rFonts w:hint="eastAsia" w:ascii="仿宋" w:hAnsi="仿宋" w:eastAsia="仿宋" w:cs="仿宋"/>
          <w:color w:val="auto"/>
          <w:sz w:val="22"/>
          <w:szCs w:val="22"/>
          <w:highlight w:val="none"/>
        </w:rPr>
        <w:t>规定的形式、金额，向采购人提交履约保证金或履约担保。联合体中标的，履约保证金或履约担保由联合体各方或者联合体中牵头人的名义提交。</w:t>
      </w:r>
    </w:p>
    <w:p w14:paraId="58585671">
      <w:pPr>
        <w:keepNext w:val="0"/>
        <w:keepLines w:val="0"/>
        <w:pageBreakBefore w:val="0"/>
        <w:tabs>
          <w:tab w:val="left" w:pos="7665"/>
        </w:tabs>
        <w:kinsoku/>
        <w:wordWrap/>
        <w:overflowPunct/>
        <w:topLinePunct w:val="0"/>
        <w:bidi w:val="0"/>
        <w:spacing w:line="480" w:lineRule="exact"/>
        <w:ind w:left="0" w:leftChars="0" w:right="0" w:firstLine="482"/>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10.1.3 中标人</w:t>
      </w:r>
      <w:r>
        <w:rPr>
          <w:rFonts w:hint="eastAsia" w:ascii="仿宋" w:hAnsi="仿宋" w:eastAsia="仿宋" w:cs="仿宋"/>
          <w:color w:val="auto"/>
          <w:spacing w:val="4"/>
          <w:sz w:val="22"/>
          <w:szCs w:val="22"/>
          <w:highlight w:val="none"/>
        </w:rPr>
        <w:t>不能按照本章第10.1.2项规定</w:t>
      </w:r>
      <w:r>
        <w:rPr>
          <w:rFonts w:hint="eastAsia" w:ascii="仿宋" w:hAnsi="仿宋" w:eastAsia="仿宋" w:cs="仿宋"/>
          <w:color w:val="auto"/>
          <w:sz w:val="22"/>
          <w:szCs w:val="22"/>
          <w:highlight w:val="none"/>
        </w:rPr>
        <w:t>提交履约保证金或履约担保的</w:t>
      </w:r>
      <w:r>
        <w:rPr>
          <w:rFonts w:hint="eastAsia" w:ascii="仿宋" w:hAnsi="仿宋" w:eastAsia="仿宋" w:cs="仿宋"/>
          <w:color w:val="auto"/>
          <w:spacing w:val="4"/>
          <w:sz w:val="22"/>
          <w:szCs w:val="22"/>
          <w:highlight w:val="none"/>
        </w:rPr>
        <w:t>，视为放弃</w:t>
      </w:r>
      <w:r>
        <w:rPr>
          <w:rFonts w:hint="eastAsia" w:ascii="仿宋" w:hAnsi="仿宋" w:eastAsia="仿宋" w:cs="仿宋"/>
          <w:color w:val="auto"/>
          <w:sz w:val="22"/>
          <w:szCs w:val="22"/>
          <w:highlight w:val="none"/>
        </w:rPr>
        <w:t>中标资格</w:t>
      </w:r>
      <w:r>
        <w:rPr>
          <w:rFonts w:hint="eastAsia" w:ascii="仿宋" w:hAnsi="仿宋" w:eastAsia="仿宋" w:cs="仿宋"/>
          <w:color w:val="auto"/>
          <w:spacing w:val="4"/>
          <w:sz w:val="22"/>
          <w:szCs w:val="22"/>
          <w:highlight w:val="none"/>
        </w:rPr>
        <w:t>，</w:t>
      </w:r>
      <w:r>
        <w:rPr>
          <w:rFonts w:hint="eastAsia" w:ascii="仿宋" w:hAnsi="仿宋" w:eastAsia="仿宋" w:cs="仿宋"/>
          <w:color w:val="auto"/>
          <w:spacing w:val="2"/>
          <w:sz w:val="22"/>
          <w:szCs w:val="22"/>
          <w:highlight w:val="none"/>
        </w:rPr>
        <w:t>其投标保证金不予退还，给采购人造成的损失超过投标保证金金额的，中标人应当对超过部分予以赔偿。</w:t>
      </w:r>
    </w:p>
    <w:p w14:paraId="348C78D6">
      <w:pPr>
        <w:keepNext w:val="0"/>
        <w:keepLines w:val="0"/>
        <w:pageBreakBefore w:val="0"/>
        <w:tabs>
          <w:tab w:val="left" w:pos="7665"/>
        </w:tabs>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10.2 签订合同</w:t>
      </w:r>
      <w:bookmarkEnd w:id="174"/>
    </w:p>
    <w:p w14:paraId="2DB27E25">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10.2.1 中标人应在《中标通知书》发出之日起30日内与采购人签订采购合同。中标人无正当理由拒签合同，或者在签订合同时向采购人提出附件条件，采购人有权取消其中标资格，其投标保证金不予退还，给采购人造成的损失超过投标保证金数额的，中标人应当对超过部分予以赔偿。采购人可以与排在中标人之后第一位的候选人签订采购合同，或者重新开展采购活动。拒绝签订采购合同的中标人不得参加对该项目重新开展的采购活动。</w:t>
      </w:r>
    </w:p>
    <w:p w14:paraId="6E49394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10.2.2 发出中标通知书后，采购人不得向中标人提出任何不合理要求，作为签订合的条件，不得与中标人私下订立背离合同实质性内容的任何协议，所签订的合同不得对招标文件确定的事项和中标人投标文件做实质性修改。</w:t>
      </w:r>
    </w:p>
    <w:p w14:paraId="5945F870">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10.2.3中标人因不可抗力原因不能履行采购合同或放弃中标的，采购人可以与排在中标人之后第一位的中标候选人签订采购合同，以此类推。</w:t>
      </w:r>
      <w:bookmarkStart w:id="175" w:name="_Toc217446066"/>
    </w:p>
    <w:p w14:paraId="2DBB792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10.2.4 联合体中标的，联合体各方应当与采购人签订采购合同，就中标项目向采购人承担连带责任。</w:t>
      </w:r>
    </w:p>
    <w:p w14:paraId="5C00A4FC">
      <w:pPr>
        <w:keepNext w:val="0"/>
        <w:keepLines w:val="0"/>
        <w:pageBreakBefore w:val="0"/>
        <w:kinsoku/>
        <w:wordWrap/>
        <w:overflowPunct/>
        <w:topLinePunct w:val="0"/>
        <w:bidi w:val="0"/>
        <w:snapToGrid w:val="0"/>
        <w:spacing w:line="480" w:lineRule="exact"/>
        <w:ind w:left="0" w:leftChars="0" w:right="0"/>
        <w:rPr>
          <w:rFonts w:hint="eastAsia" w:ascii="仿宋" w:hAnsi="仿宋" w:eastAsia="仿宋" w:cs="仿宋"/>
          <w:b/>
          <w:bCs/>
          <w:color w:val="auto"/>
          <w:sz w:val="22"/>
          <w:szCs w:val="22"/>
          <w:highlight w:val="none"/>
        </w:rPr>
      </w:pPr>
      <w:bookmarkStart w:id="176" w:name="_Toc322606648"/>
      <w:r>
        <w:rPr>
          <w:rFonts w:hint="eastAsia" w:ascii="仿宋" w:hAnsi="仿宋" w:eastAsia="仿宋" w:cs="仿宋"/>
          <w:b/>
          <w:bCs/>
          <w:color w:val="auto"/>
          <w:sz w:val="22"/>
          <w:szCs w:val="22"/>
          <w:highlight w:val="none"/>
        </w:rPr>
        <w:t>10.3 合同履行</w:t>
      </w:r>
      <w:bookmarkEnd w:id="176"/>
    </w:p>
    <w:p w14:paraId="2CD6F975">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10.3.1 采购合同的履行、违约责任和解决争议的方法等适用《</w:t>
      </w:r>
      <w:r>
        <w:rPr>
          <w:rFonts w:hint="eastAsia" w:ascii="仿宋" w:hAnsi="仿宋" w:eastAsia="仿宋" w:cs="仿宋"/>
          <w:color w:val="auto"/>
          <w:sz w:val="22"/>
          <w:szCs w:val="22"/>
          <w:highlight w:val="none"/>
          <w:lang w:eastAsia="zh-CN"/>
        </w:rPr>
        <w:t>中华人民共和国民法典</w:t>
      </w:r>
      <w:r>
        <w:rPr>
          <w:rFonts w:hint="eastAsia" w:ascii="仿宋" w:hAnsi="仿宋" w:eastAsia="仿宋" w:cs="仿宋"/>
          <w:color w:val="auto"/>
          <w:sz w:val="22"/>
          <w:szCs w:val="22"/>
          <w:highlight w:val="none"/>
        </w:rPr>
        <w:t>》。</w:t>
      </w:r>
    </w:p>
    <w:p w14:paraId="252606D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10.3.2 </w:t>
      </w:r>
      <w:r>
        <w:rPr>
          <w:rFonts w:hint="eastAsia" w:ascii="仿宋" w:hAnsi="仿宋" w:eastAsia="仿宋" w:cs="仿宋"/>
          <w:color w:val="auto"/>
          <w:sz w:val="22"/>
          <w:szCs w:val="22"/>
          <w:highlight w:val="none"/>
          <w:lang w:eastAsia="zh-TW"/>
        </w:rPr>
        <w:t>采购合同订立后，合同各方不得擅自变更</w:t>
      </w:r>
      <w:r>
        <w:rPr>
          <w:rFonts w:hint="eastAsia" w:ascii="仿宋" w:hAnsi="仿宋" w:eastAsia="仿宋" w:cs="仿宋"/>
          <w:color w:val="auto"/>
          <w:sz w:val="22"/>
          <w:szCs w:val="22"/>
          <w:highlight w:val="none"/>
        </w:rPr>
        <w:t>或者</w:t>
      </w:r>
      <w:r>
        <w:rPr>
          <w:rFonts w:hint="eastAsia" w:ascii="仿宋" w:hAnsi="仿宋" w:eastAsia="仿宋" w:cs="仿宋"/>
          <w:color w:val="auto"/>
          <w:sz w:val="22"/>
          <w:szCs w:val="22"/>
          <w:highlight w:val="none"/>
          <w:lang w:eastAsia="zh-TW"/>
        </w:rPr>
        <w:t>中止或者终止合同。采购合同需要变更的，采购人应将有关合同变更内容，以书面形式</w:t>
      </w:r>
      <w:r>
        <w:rPr>
          <w:rFonts w:hint="eastAsia" w:ascii="仿宋" w:hAnsi="仿宋" w:eastAsia="仿宋" w:cs="仿宋"/>
          <w:color w:val="auto"/>
          <w:sz w:val="22"/>
          <w:szCs w:val="22"/>
          <w:highlight w:val="none"/>
          <w:lang w:val="zh-CN" w:eastAsia="zh-TW"/>
        </w:rPr>
        <w:t>或政采云平台</w:t>
      </w:r>
      <w:r>
        <w:rPr>
          <w:rFonts w:hint="eastAsia" w:ascii="仿宋" w:hAnsi="仿宋" w:eastAsia="仿宋" w:cs="仿宋"/>
          <w:color w:val="auto"/>
          <w:sz w:val="22"/>
          <w:szCs w:val="22"/>
          <w:highlight w:val="none"/>
          <w:lang w:eastAsia="zh-TW"/>
        </w:rPr>
        <w:t>报采购监督管理</w:t>
      </w:r>
      <w:r>
        <w:rPr>
          <w:rFonts w:hint="eastAsia" w:ascii="仿宋" w:hAnsi="仿宋" w:eastAsia="仿宋" w:cs="仿宋"/>
          <w:color w:val="auto"/>
          <w:sz w:val="22"/>
          <w:szCs w:val="22"/>
          <w:highlight w:val="none"/>
        </w:rPr>
        <w:t>部门</w:t>
      </w:r>
      <w:r>
        <w:rPr>
          <w:rFonts w:hint="eastAsia" w:ascii="仿宋" w:hAnsi="仿宋" w:eastAsia="仿宋" w:cs="仿宋"/>
          <w:color w:val="auto"/>
          <w:sz w:val="22"/>
          <w:szCs w:val="22"/>
          <w:highlight w:val="none"/>
          <w:lang w:eastAsia="zh-TW"/>
        </w:rPr>
        <w:t>备案；因特殊情况需要中止或终止合同的，采购人应将中止或终止合同的理由以及相应措施，以书面形式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lang w:eastAsia="zh-TW"/>
        </w:rPr>
        <w:t>报监督管理</w:t>
      </w:r>
      <w:r>
        <w:rPr>
          <w:rFonts w:hint="eastAsia" w:ascii="仿宋" w:hAnsi="仿宋" w:eastAsia="仿宋" w:cs="仿宋"/>
          <w:color w:val="auto"/>
          <w:sz w:val="22"/>
          <w:szCs w:val="22"/>
          <w:highlight w:val="none"/>
        </w:rPr>
        <w:t>部门</w:t>
      </w:r>
      <w:r>
        <w:rPr>
          <w:rFonts w:hint="eastAsia" w:ascii="仿宋" w:hAnsi="仿宋" w:eastAsia="仿宋" w:cs="仿宋"/>
          <w:color w:val="auto"/>
          <w:sz w:val="22"/>
          <w:szCs w:val="22"/>
          <w:highlight w:val="none"/>
          <w:lang w:eastAsia="zh-TW"/>
        </w:rPr>
        <w:t>备案。</w:t>
      </w:r>
    </w:p>
    <w:p w14:paraId="3AC0936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10.3.3 </w:t>
      </w:r>
      <w:r>
        <w:rPr>
          <w:rFonts w:hint="eastAsia" w:ascii="仿宋" w:hAnsi="仿宋" w:eastAsia="仿宋" w:cs="仿宋"/>
          <w:color w:val="auto"/>
          <w:sz w:val="22"/>
          <w:szCs w:val="22"/>
          <w:highlight w:val="none"/>
          <w:lang w:eastAsia="zh-TW"/>
        </w:rPr>
        <w:t>采购合同履行中，采购人需追加与合同标的相同的货物的，在不改变合同其他条款的前提下，可以与</w:t>
      </w:r>
      <w:r>
        <w:rPr>
          <w:rFonts w:hint="eastAsia" w:ascii="仿宋" w:hAnsi="仿宋" w:eastAsia="仿宋" w:cs="仿宋"/>
          <w:color w:val="auto"/>
          <w:sz w:val="22"/>
          <w:szCs w:val="22"/>
          <w:highlight w:val="none"/>
        </w:rPr>
        <w:t>中标人</w:t>
      </w:r>
      <w:r>
        <w:rPr>
          <w:rFonts w:hint="eastAsia" w:ascii="仿宋" w:hAnsi="仿宋" w:eastAsia="仿宋" w:cs="仿宋"/>
          <w:color w:val="auto"/>
          <w:sz w:val="22"/>
          <w:szCs w:val="22"/>
          <w:highlight w:val="none"/>
          <w:lang w:eastAsia="zh-TW"/>
        </w:rPr>
        <w:t>签订补充合同，但所补充合同的采购金额不得超过原</w:t>
      </w:r>
      <w:r>
        <w:rPr>
          <w:rFonts w:hint="eastAsia" w:ascii="仿宋" w:hAnsi="仿宋" w:eastAsia="仿宋" w:cs="仿宋"/>
          <w:color w:val="auto"/>
          <w:sz w:val="22"/>
          <w:szCs w:val="22"/>
          <w:highlight w:val="none"/>
        </w:rPr>
        <w:t>合同</w:t>
      </w:r>
      <w:r>
        <w:rPr>
          <w:rFonts w:hint="eastAsia" w:ascii="仿宋" w:hAnsi="仿宋" w:eastAsia="仿宋" w:cs="仿宋"/>
          <w:color w:val="auto"/>
          <w:sz w:val="22"/>
          <w:szCs w:val="22"/>
          <w:highlight w:val="none"/>
          <w:lang w:eastAsia="zh-TW"/>
        </w:rPr>
        <w:t>采购金额的百分之十。签订补充合同的</w:t>
      </w:r>
      <w:r>
        <w:rPr>
          <w:rFonts w:hint="eastAsia" w:ascii="仿宋" w:hAnsi="仿宋" w:eastAsia="仿宋" w:cs="仿宋"/>
          <w:color w:val="auto"/>
          <w:sz w:val="22"/>
          <w:szCs w:val="22"/>
          <w:highlight w:val="none"/>
        </w:rPr>
        <w:t>应</w:t>
      </w:r>
      <w:r>
        <w:rPr>
          <w:rFonts w:hint="eastAsia" w:ascii="仿宋" w:hAnsi="仿宋" w:eastAsia="仿宋" w:cs="仿宋"/>
          <w:color w:val="auto"/>
          <w:sz w:val="22"/>
          <w:szCs w:val="22"/>
          <w:highlight w:val="none"/>
          <w:lang w:eastAsia="zh-TW"/>
        </w:rPr>
        <w:t>按规定备案。</w:t>
      </w:r>
    </w:p>
    <w:bookmarkEnd w:id="172"/>
    <w:bookmarkEnd w:id="173"/>
    <w:bookmarkEnd w:id="175"/>
    <w:p w14:paraId="0D158B09">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77" w:name="_Toc26703"/>
      <w:bookmarkStart w:id="178" w:name="_Toc217446081"/>
      <w:r>
        <w:rPr>
          <w:rFonts w:hint="eastAsia" w:ascii="仿宋" w:hAnsi="仿宋" w:eastAsia="仿宋" w:cs="仿宋"/>
          <w:bCs/>
          <w:color w:val="auto"/>
          <w:sz w:val="28"/>
          <w:szCs w:val="28"/>
          <w:highlight w:val="none"/>
          <w:lang w:val="en-US" w:eastAsia="zh-CN"/>
        </w:rPr>
        <w:t>11.废标或变更采购方式</w:t>
      </w:r>
      <w:bookmarkEnd w:id="177"/>
      <w:bookmarkStart w:id="179" w:name="_Toc217446072"/>
    </w:p>
    <w:p w14:paraId="7008C4AC">
      <w:pPr>
        <w:keepNext w:val="0"/>
        <w:keepLines w:val="0"/>
        <w:pageBreakBefore w:val="0"/>
        <w:kinsoku/>
        <w:wordWrap/>
        <w:overflowPunct/>
        <w:topLinePunct w:val="0"/>
        <w:bidi w:val="0"/>
        <w:spacing w:line="480" w:lineRule="exact"/>
        <w:ind w:left="0" w:leftChars="0" w:right="0"/>
        <w:rPr>
          <w:rFonts w:hint="eastAsia" w:ascii="仿宋" w:hAnsi="仿宋" w:eastAsia="仿宋" w:cs="仿宋"/>
          <w:b/>
          <w:color w:val="auto"/>
          <w:sz w:val="22"/>
          <w:szCs w:val="22"/>
          <w:highlight w:val="none"/>
        </w:rPr>
      </w:pPr>
      <w:r>
        <w:rPr>
          <w:rFonts w:hint="eastAsia" w:ascii="仿宋" w:hAnsi="仿宋" w:eastAsia="仿宋" w:cs="仿宋"/>
          <w:b/>
          <w:bCs/>
          <w:color w:val="auto"/>
          <w:sz w:val="22"/>
          <w:szCs w:val="22"/>
          <w:highlight w:val="none"/>
        </w:rPr>
        <w:t>11.1废标的情形</w:t>
      </w:r>
      <w:bookmarkEnd w:id="179"/>
    </w:p>
    <w:p w14:paraId="676BABA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1.1.1 招标采购中，出现下列情形之一的，应予以废标：</w:t>
      </w:r>
    </w:p>
    <w:p w14:paraId="5CEE70F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（1）符合专业条件的投标人或者对招标文件作实质响应的投标人不足3家的；</w:t>
      </w:r>
    </w:p>
    <w:p w14:paraId="702BC32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（2）出现影响采购公正的违法、违规行为的；</w:t>
      </w:r>
    </w:p>
    <w:p w14:paraId="69BE804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（3）投标人的报价均超过了采购预算或最高限价，采购人不能支付的；</w:t>
      </w:r>
    </w:p>
    <w:p w14:paraId="68A7A49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（4）因重大变故，采购任务取消的。</w:t>
      </w:r>
    </w:p>
    <w:p w14:paraId="5416D6EB">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11.1.2 废标后，采购代理机构应在财政部门指定采购网上公告，并公告废标的详细理由。</w:t>
      </w:r>
    </w:p>
    <w:p w14:paraId="5B872E7E">
      <w:pPr>
        <w:pStyle w:val="7"/>
        <w:keepNext w:val="0"/>
        <w:keepLines w:val="0"/>
        <w:pageBreakBefore w:val="0"/>
        <w:kinsoku/>
        <w:wordWrap/>
        <w:overflowPunct/>
        <w:topLinePunct w:val="0"/>
        <w:bidi w:val="0"/>
        <w:spacing w:line="480" w:lineRule="exact"/>
        <w:ind w:left="0" w:leftChars="0" w:right="0" w:firstLine="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11.2 变更采购方式</w:t>
      </w:r>
    </w:p>
    <w:p w14:paraId="76FBA85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11.2.1 存在下列情形之一的，除采购任务取消情形外，采购人经</w:t>
      </w:r>
      <w:r>
        <w:rPr>
          <w:rFonts w:hint="eastAsia" w:ascii="仿宋" w:hAnsi="仿宋" w:eastAsia="仿宋" w:cs="仿宋"/>
          <w:color w:val="auto"/>
          <w:sz w:val="22"/>
          <w:szCs w:val="22"/>
          <w:highlight w:val="none"/>
          <w:lang w:val="en-US" w:eastAsia="zh-CN"/>
        </w:rPr>
        <w:t>主管</w:t>
      </w:r>
      <w:r>
        <w:rPr>
          <w:rFonts w:hint="eastAsia" w:ascii="仿宋" w:hAnsi="仿宋" w:eastAsia="仿宋" w:cs="仿宋"/>
          <w:color w:val="auto"/>
          <w:sz w:val="22"/>
          <w:szCs w:val="22"/>
          <w:highlight w:val="none"/>
        </w:rPr>
        <w:t>部门同意后，可以</w:t>
      </w:r>
      <w:r>
        <w:rPr>
          <w:rFonts w:hint="eastAsia" w:ascii="仿宋" w:hAnsi="仿宋" w:eastAsia="仿宋" w:cs="仿宋"/>
          <w:color w:val="auto"/>
          <w:sz w:val="22"/>
          <w:szCs w:val="22"/>
          <w:highlight w:val="none"/>
          <w:lang w:val="en-US" w:eastAsia="zh-CN"/>
        </w:rPr>
        <w:t>按照</w:t>
      </w:r>
      <w:r>
        <w:rPr>
          <w:rFonts w:hint="eastAsia" w:ascii="仿宋" w:hAnsi="仿宋" w:eastAsia="仿宋" w:cs="仿宋"/>
          <w:color w:val="auto"/>
          <w:sz w:val="22"/>
          <w:szCs w:val="22"/>
          <w:highlight w:val="none"/>
        </w:rPr>
        <w:t>按《政府采购货物和服务招标投标管理办法》（财政部87号令）第四十三条规定的方式处理：</w:t>
      </w:r>
    </w:p>
    <w:p w14:paraId="01FFA190">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（1）投标截止后参加投标的人不足3家的；</w:t>
      </w:r>
    </w:p>
    <w:p w14:paraId="12B1CD3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（2）通过资格审查的投标人不足3家的；</w:t>
      </w:r>
    </w:p>
    <w:p w14:paraId="53990370">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（3）通过符合性审查的投标人不足3家的。</w:t>
      </w:r>
    </w:p>
    <w:p w14:paraId="3C76601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11.2.2 通过符合性审查的投标人只有2家时，采购人经</w:t>
      </w:r>
      <w:r>
        <w:rPr>
          <w:rFonts w:hint="eastAsia" w:ascii="仿宋" w:hAnsi="仿宋" w:eastAsia="仿宋" w:cs="仿宋"/>
          <w:color w:val="auto"/>
          <w:sz w:val="22"/>
          <w:szCs w:val="22"/>
          <w:highlight w:val="none"/>
          <w:lang w:val="en-US" w:eastAsia="zh-CN"/>
        </w:rPr>
        <w:t>主管</w:t>
      </w:r>
      <w:r>
        <w:rPr>
          <w:rFonts w:hint="eastAsia" w:ascii="仿宋" w:hAnsi="仿宋" w:eastAsia="仿宋" w:cs="仿宋"/>
          <w:color w:val="auto"/>
          <w:sz w:val="22"/>
          <w:szCs w:val="22"/>
          <w:highlight w:val="none"/>
        </w:rPr>
        <w:t>门同意后，可以</w:t>
      </w:r>
      <w:r>
        <w:rPr>
          <w:rFonts w:hint="eastAsia" w:ascii="仿宋" w:hAnsi="仿宋" w:eastAsia="仿宋" w:cs="仿宋"/>
          <w:color w:val="auto"/>
          <w:sz w:val="22"/>
          <w:szCs w:val="22"/>
          <w:highlight w:val="none"/>
          <w:lang w:val="en-US" w:eastAsia="zh-CN"/>
        </w:rPr>
        <w:t>按照</w:t>
      </w:r>
      <w:r>
        <w:rPr>
          <w:rFonts w:hint="eastAsia" w:ascii="仿宋" w:hAnsi="仿宋" w:eastAsia="仿宋" w:cs="仿宋"/>
          <w:color w:val="auto"/>
          <w:sz w:val="22"/>
          <w:szCs w:val="22"/>
          <w:highlight w:val="none"/>
        </w:rPr>
        <w:t>按《政府采购非招标采购方式管理办法》（财政部第74号令）的规定与该2家投标人进行竞争性谈判采购。</w:t>
      </w:r>
    </w:p>
    <w:p w14:paraId="37E9EDFB">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80" w:name="_Toc23011"/>
      <w:r>
        <w:rPr>
          <w:rFonts w:hint="eastAsia" w:ascii="仿宋" w:hAnsi="仿宋" w:eastAsia="仿宋" w:cs="仿宋"/>
          <w:bCs/>
          <w:color w:val="auto"/>
          <w:sz w:val="28"/>
          <w:szCs w:val="28"/>
          <w:highlight w:val="none"/>
          <w:lang w:val="en-US" w:eastAsia="zh-CN"/>
        </w:rPr>
        <w:t>12.招标代理服务费</w:t>
      </w:r>
      <w:bookmarkEnd w:id="180"/>
    </w:p>
    <w:p w14:paraId="32092C4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12.1 中标人在领取《中标通知书》之前，应向采购代理机构交纳招标代理服务费。</w:t>
      </w:r>
    </w:p>
    <w:p w14:paraId="2812D51A">
      <w:pPr>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12.2 采购人与采购代理机构约定，由</w:t>
      </w:r>
      <w:r>
        <w:rPr>
          <w:rFonts w:hint="eastAsia" w:ascii="仿宋" w:hAnsi="仿宋" w:eastAsia="仿宋" w:cs="仿宋"/>
          <w:color w:val="auto"/>
          <w:sz w:val="22"/>
          <w:szCs w:val="22"/>
          <w:highlight w:val="none"/>
          <w:lang w:val="en-US" w:eastAsia="zh-CN"/>
        </w:rPr>
        <w:t>中标</w:t>
      </w:r>
      <w:r>
        <w:rPr>
          <w:rFonts w:hint="eastAsia" w:ascii="仿宋" w:hAnsi="仿宋" w:eastAsia="仿宋" w:cs="仿宋"/>
          <w:color w:val="auto"/>
          <w:sz w:val="22"/>
          <w:szCs w:val="22"/>
          <w:highlight w:val="none"/>
        </w:rPr>
        <w:t>供应商支付采购代理服务费，</w:t>
      </w:r>
      <w:r>
        <w:rPr>
          <w:rFonts w:hint="eastAsia" w:ascii="仿宋" w:hAnsi="仿宋" w:eastAsia="仿宋" w:cs="仿宋"/>
          <w:color w:val="auto"/>
          <w:sz w:val="22"/>
          <w:szCs w:val="22"/>
          <w:highlight w:val="none"/>
          <w:lang w:val="en-US" w:eastAsia="zh-CN"/>
        </w:rPr>
        <w:t>中标</w:t>
      </w:r>
      <w:r>
        <w:rPr>
          <w:rFonts w:hint="eastAsia" w:ascii="仿宋" w:hAnsi="仿宋" w:eastAsia="仿宋" w:cs="仿宋"/>
          <w:color w:val="auto"/>
          <w:sz w:val="22"/>
          <w:szCs w:val="22"/>
          <w:highlight w:val="none"/>
        </w:rPr>
        <w:t>供应商在领取《成交通知书》之前，向采购代理机构交纳采购代理服务费。</w:t>
      </w:r>
    </w:p>
    <w:p w14:paraId="6D223D25">
      <w:pPr>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drawing>
          <wp:anchor distT="0" distB="0" distL="114300" distR="114300" simplePos="0" relativeHeight="251659264" behindDoc="0" locked="0" layoutInCell="1" allowOverlap="1">
            <wp:simplePos x="0" y="0"/>
            <wp:positionH relativeFrom="column">
              <wp:posOffset>349885</wp:posOffset>
            </wp:positionH>
            <wp:positionV relativeFrom="paragraph">
              <wp:posOffset>163830</wp:posOffset>
            </wp:positionV>
            <wp:extent cx="5231130" cy="2285365"/>
            <wp:effectExtent l="0" t="0" r="7620" b="635"/>
            <wp:wrapNone/>
            <wp:docPr id="2" name="图片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ULL"/>
                    <pic:cNvPicPr>
                      <a:picLocks noChangeAspect="1"/>
                    </pic:cNvPicPr>
                  </pic:nvPicPr>
                  <pic:blipFill>
                    <a:blip r:embed="rId16"/>
                    <a:stretch>
                      <a:fillRect/>
                    </a:stretch>
                  </pic:blipFill>
                  <pic:spPr>
                    <a:xfrm>
                      <a:off x="0" y="0"/>
                      <a:ext cx="5231130" cy="2285365"/>
                    </a:xfrm>
                    <a:prstGeom prst="rect">
                      <a:avLst/>
                    </a:prstGeom>
                    <a:noFill/>
                    <a:ln>
                      <a:noFill/>
                    </a:ln>
                  </pic:spPr>
                </pic:pic>
              </a:graphicData>
            </a:graphic>
          </wp:anchor>
        </w:drawing>
      </w:r>
    </w:p>
    <w:p w14:paraId="65EE73D1">
      <w:pPr>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p>
    <w:p w14:paraId="6605A0F7">
      <w:pPr>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p>
    <w:p w14:paraId="47E685B2">
      <w:pPr>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p>
    <w:p w14:paraId="1346A3E2">
      <w:pPr>
        <w:pageBreakBefore w:val="0"/>
        <w:kinsoku/>
        <w:wordWrap/>
        <w:overflowPunct/>
        <w:topLinePunct w:val="0"/>
        <w:bidi w:val="0"/>
        <w:spacing w:line="480" w:lineRule="exact"/>
        <w:ind w:left="0" w:leftChars="0" w:right="0" w:firstLine="573"/>
        <w:rPr>
          <w:rFonts w:hint="eastAsia" w:ascii="仿宋" w:hAnsi="仿宋" w:eastAsia="仿宋" w:cs="仿宋"/>
          <w:color w:val="auto"/>
          <w:sz w:val="22"/>
          <w:szCs w:val="22"/>
          <w:highlight w:val="none"/>
        </w:rPr>
      </w:pPr>
    </w:p>
    <w:p w14:paraId="24ED46ED">
      <w:pPr>
        <w:pageBreakBefore w:val="0"/>
        <w:kinsoku/>
        <w:wordWrap/>
        <w:overflowPunct/>
        <w:topLinePunct w:val="0"/>
        <w:bidi w:val="0"/>
        <w:spacing w:line="480" w:lineRule="exact"/>
        <w:ind w:left="0" w:leftChars="0" w:right="0" w:firstLine="573"/>
        <w:rPr>
          <w:rFonts w:hint="eastAsia" w:ascii="仿宋" w:hAnsi="仿宋" w:eastAsia="仿宋" w:cs="仿宋"/>
          <w:color w:val="auto"/>
          <w:sz w:val="22"/>
          <w:szCs w:val="22"/>
          <w:highlight w:val="none"/>
        </w:rPr>
      </w:pPr>
    </w:p>
    <w:p w14:paraId="2941D888">
      <w:pPr>
        <w:pageBreakBefore w:val="0"/>
        <w:kinsoku/>
        <w:wordWrap/>
        <w:overflowPunct/>
        <w:topLinePunct w:val="0"/>
        <w:bidi w:val="0"/>
        <w:spacing w:line="480" w:lineRule="exact"/>
        <w:ind w:left="0" w:leftChars="0" w:right="0" w:firstLine="573"/>
        <w:rPr>
          <w:rFonts w:hint="eastAsia" w:ascii="仿宋" w:hAnsi="仿宋" w:eastAsia="仿宋" w:cs="仿宋"/>
          <w:color w:val="auto"/>
          <w:sz w:val="22"/>
          <w:szCs w:val="22"/>
          <w:highlight w:val="none"/>
        </w:rPr>
      </w:pPr>
    </w:p>
    <w:p w14:paraId="1303E926">
      <w:pPr>
        <w:pageBreakBefore w:val="0"/>
        <w:kinsoku/>
        <w:wordWrap/>
        <w:overflowPunct/>
        <w:topLinePunct w:val="0"/>
        <w:bidi w:val="0"/>
        <w:spacing w:line="480" w:lineRule="exact"/>
        <w:ind w:left="0" w:leftChars="0" w:right="0"/>
        <w:rPr>
          <w:rFonts w:hint="eastAsia" w:ascii="仿宋" w:hAnsi="仿宋" w:eastAsia="仿宋" w:cs="仿宋"/>
          <w:color w:val="auto"/>
          <w:sz w:val="22"/>
          <w:szCs w:val="22"/>
          <w:highlight w:val="none"/>
        </w:rPr>
      </w:pPr>
    </w:p>
    <w:p w14:paraId="341C067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12.3 招标代理服务费不得用投标保证金冲抵。</w:t>
      </w:r>
    </w:p>
    <w:p w14:paraId="36FED65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12.4 中标人未按本章第12.1项规定交纳招标代理服务费的，其投标保证金将被采购代理机构全额没收。</w:t>
      </w:r>
    </w:p>
    <w:p w14:paraId="3FAD259C">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81" w:name="_Toc6287"/>
      <w:r>
        <w:rPr>
          <w:rFonts w:hint="eastAsia" w:ascii="仿宋" w:hAnsi="仿宋" w:eastAsia="仿宋" w:cs="仿宋"/>
          <w:bCs/>
          <w:color w:val="auto"/>
          <w:sz w:val="28"/>
          <w:szCs w:val="28"/>
          <w:highlight w:val="none"/>
          <w:lang w:val="en-US" w:eastAsia="zh-CN"/>
        </w:rPr>
        <w:t>13.质疑与投诉</w:t>
      </w:r>
      <w:bookmarkEnd w:id="181"/>
    </w:p>
    <w:p w14:paraId="3CB66126">
      <w:pPr>
        <w:keepNext w:val="0"/>
        <w:keepLines w:val="0"/>
        <w:pageBreakBefore w:val="0"/>
        <w:kinsoku/>
        <w:wordWrap/>
        <w:overflowPunct/>
        <w:topLinePunct w:val="0"/>
        <w:autoSpaceDE/>
        <w:autoSpaceDN/>
        <w:bidi w:val="0"/>
        <w:adjustRightInd/>
        <w:snapToGrid/>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13.1质疑</w:t>
      </w:r>
    </w:p>
    <w:p w14:paraId="0BA5322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3.1.1 投标人认</w:t>
      </w:r>
      <w:r>
        <w:rPr>
          <w:rFonts w:hint="eastAsia" w:ascii="仿宋" w:hAnsi="仿宋" w:eastAsia="仿宋" w:cs="仿宋"/>
          <w:color w:val="auto"/>
          <w:sz w:val="22"/>
          <w:szCs w:val="22"/>
          <w:highlight w:val="none"/>
        </w:rPr>
        <w:t>为招标文件、招标过程和中标结果使自己的权益受到损害的，当在知道或者应知其权益受到损害之日起七个工作日内根据《中华人民共和国政府采购法》、《中华人民共和国政府采购法实施条例》和《政府采购质疑和投诉办法》的有关规定，依法向采购人或其委托的采购代理机构一次性</w:t>
      </w:r>
      <w:r>
        <w:rPr>
          <w:rFonts w:hint="eastAsia" w:ascii="仿宋" w:hAnsi="仿宋" w:eastAsia="仿宋" w:cs="仿宋"/>
          <w:color w:val="auto"/>
          <w:sz w:val="22"/>
          <w:szCs w:val="22"/>
          <w:highlight w:val="none"/>
          <w:lang w:eastAsia="zh-CN"/>
        </w:rPr>
        <w:t>以书面形式提出质疑。</w:t>
      </w:r>
    </w:p>
    <w:p w14:paraId="14E556A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13.1.2 质疑投标人应按照财政部制定的《政府采购质疑函范本》格式（可从</w:t>
      </w:r>
      <w:r>
        <w:rPr>
          <w:rFonts w:hint="eastAsia" w:ascii="仿宋" w:hAnsi="仿宋" w:eastAsia="仿宋" w:cs="仿宋"/>
          <w:color w:val="auto"/>
          <w:sz w:val="22"/>
          <w:szCs w:val="22"/>
          <w:highlight w:val="none"/>
          <w:lang w:val="en-US" w:eastAsia="zh-CN"/>
        </w:rPr>
        <w:t>新疆政府采购网</w:t>
      </w:r>
      <w:r>
        <w:rPr>
          <w:rFonts w:hint="eastAsia" w:ascii="仿宋" w:hAnsi="仿宋" w:eastAsia="仿宋" w:cs="仿宋"/>
          <w:color w:val="auto"/>
          <w:sz w:val="22"/>
          <w:szCs w:val="22"/>
          <w:highlight w:val="none"/>
          <w:lang w:eastAsia="zh-CN"/>
        </w:rPr>
        <w:t>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采购人或其委托的采购代理机构</w:t>
      </w:r>
      <w:r>
        <w:rPr>
          <w:rFonts w:hint="eastAsia" w:ascii="仿宋" w:hAnsi="仿宋" w:eastAsia="仿宋" w:cs="仿宋"/>
          <w:color w:val="auto"/>
          <w:sz w:val="22"/>
          <w:szCs w:val="22"/>
          <w:highlight w:val="none"/>
          <w:lang w:val="en-US" w:eastAsia="zh-CN"/>
        </w:rPr>
        <w:t>将不予受理，</w:t>
      </w:r>
      <w:r>
        <w:rPr>
          <w:rFonts w:hint="eastAsia" w:ascii="仿宋" w:hAnsi="仿宋" w:eastAsia="仿宋" w:cs="仿宋"/>
          <w:color w:val="auto"/>
          <w:sz w:val="22"/>
          <w:szCs w:val="22"/>
          <w:highlight w:val="none"/>
          <w:lang w:eastAsia="zh-CN"/>
        </w:rPr>
        <w:t>质疑投标人将依法承担不利后果。</w:t>
      </w:r>
    </w:p>
    <w:p w14:paraId="764E85A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13.1.3 投标人提出质疑应当提交质疑函和必要的证明材料。质疑函应当包括下列内容：</w:t>
      </w:r>
    </w:p>
    <w:p w14:paraId="11C89CD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（1）投标人的姓名或者名称、地址、邮编、联系人及联系电话；</w:t>
      </w:r>
    </w:p>
    <w:p w14:paraId="239F773A">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（2）质疑项目的名称、编号；</w:t>
      </w:r>
    </w:p>
    <w:p w14:paraId="2BFCAAB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（3）具体、明确的质疑事项和与质疑事项相关的请求；</w:t>
      </w:r>
    </w:p>
    <w:p w14:paraId="20D53CF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（4）事实依据；</w:t>
      </w:r>
    </w:p>
    <w:p w14:paraId="6084264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（5）必要的法律依据；</w:t>
      </w:r>
    </w:p>
    <w:p w14:paraId="5561CF5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（6）提出质疑的日期。</w:t>
      </w:r>
    </w:p>
    <w:p w14:paraId="61CCEFBB">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13.1.4</w:t>
      </w:r>
      <w:r>
        <w:rPr>
          <w:rFonts w:hint="eastAsia" w:ascii="仿宋" w:hAnsi="仿宋" w:eastAsia="仿宋" w:cs="仿宋"/>
          <w:color w:val="auto"/>
          <w:sz w:val="22"/>
          <w:szCs w:val="22"/>
          <w:highlight w:val="none"/>
          <w:lang w:eastAsia="zh-CN"/>
        </w:rPr>
        <w:t>质疑投标人为自然人的，质疑函应由本人签字（并附自然人身份证正反面）；质疑投标人为法人或者其他组织的，质疑函应由法定代表人、主要负责人，或者其授权代表签字或者签章，并加盖公章（另附法人（或主要负责人）身份证正反面和其授权代表身份证正反面及营业执照）。</w:t>
      </w:r>
      <w:r>
        <w:rPr>
          <w:rFonts w:hint="eastAsia" w:ascii="仿宋" w:hAnsi="仿宋" w:eastAsia="仿宋" w:cs="仿宋"/>
          <w:color w:val="auto"/>
          <w:sz w:val="22"/>
          <w:szCs w:val="22"/>
          <w:highlight w:val="none"/>
          <w:lang w:val="en-US" w:eastAsia="zh-CN"/>
        </w:rPr>
        <w:t xml:space="preserve">  </w:t>
      </w:r>
    </w:p>
    <w:p w14:paraId="31DCC19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13.1.5 质疑函范本格式</w:t>
      </w:r>
      <w:r>
        <w:rPr>
          <w:rFonts w:hint="eastAsia" w:ascii="仿宋" w:hAnsi="仿宋" w:eastAsia="仿宋" w:cs="仿宋"/>
          <w:color w:val="auto"/>
          <w:sz w:val="22"/>
          <w:szCs w:val="22"/>
          <w:highlight w:val="none"/>
          <w:lang w:val="en-US" w:eastAsia="zh-CN"/>
        </w:rPr>
        <w:t>参照</w:t>
      </w:r>
      <w:r>
        <w:rPr>
          <w:rFonts w:hint="eastAsia" w:ascii="仿宋" w:hAnsi="仿宋" w:eastAsia="仿宋" w:cs="仿宋"/>
          <w:color w:val="auto"/>
          <w:sz w:val="22"/>
          <w:szCs w:val="22"/>
          <w:highlight w:val="none"/>
          <w:lang w:eastAsia="zh-CN"/>
        </w:rPr>
        <w:t>在中国政府采购网站（http://www.ccgp.gov.cn/）自行下载。</w:t>
      </w:r>
    </w:p>
    <w:p w14:paraId="365877B0">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13.1.6 采购代理机构质疑函接收部门、联系电话和通讯地址, 见投标人须知资料表。</w:t>
      </w:r>
      <w:r>
        <w:rPr>
          <w:rFonts w:hint="eastAsia" w:ascii="仿宋" w:hAnsi="仿宋" w:eastAsia="仿宋" w:cs="仿宋"/>
          <w:color w:val="auto"/>
          <w:sz w:val="22"/>
          <w:szCs w:val="22"/>
          <w:highlight w:val="none"/>
          <w:lang w:val="en-US" w:eastAsia="zh-CN"/>
        </w:rPr>
        <w:t xml:space="preserve"> </w:t>
      </w:r>
    </w:p>
    <w:p w14:paraId="2BD0544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13.1.7 有下列情形之一的，属于无效质疑，采购代理机构和采购人不予受理：</w:t>
      </w:r>
    </w:p>
    <w:p w14:paraId="4262B038">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（1）质疑人不是参与本次采购项目的投标人；</w:t>
      </w:r>
    </w:p>
    <w:p w14:paraId="7FD5AE1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（2）质疑人与质疑事项不存在利害关系的；</w:t>
      </w:r>
    </w:p>
    <w:p w14:paraId="2246386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（3）未在法定期限内提出质疑的；</w:t>
      </w:r>
    </w:p>
    <w:p w14:paraId="356EC76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（4）质疑未以书面形式提出，以传真、电子邮件、移动通信等形式即时收悉提交的质疑材料；</w:t>
      </w:r>
    </w:p>
    <w:p w14:paraId="59CED06A">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（5）质疑未按质疑函范本格式提出的；</w:t>
      </w:r>
    </w:p>
    <w:p w14:paraId="751C81EB">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（6）质疑书主要内容构成不完整的；</w:t>
      </w:r>
    </w:p>
    <w:p w14:paraId="0B91B8C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（7）质疑投标人是自然人，个体工商户未提交个体工商户营业执照和本人身份证明或非个体工商户未提供本人身份证明的；</w:t>
      </w:r>
    </w:p>
    <w:p w14:paraId="6B07213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（8）质疑投标人是法人，未提交法人营业执照或者事业法人证书和法定代表人身份证明的；</w:t>
      </w:r>
    </w:p>
    <w:p w14:paraId="055E8EA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（9）质疑投标人是其他组织，未提交其他组织有效证明文件和主要负责人身份证明的；</w:t>
      </w:r>
    </w:p>
    <w:p w14:paraId="277D013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（10）质疑投标人委托代理人进行质疑，未提交法定代表人授权委托书、授权代表身份证明的；</w:t>
      </w:r>
    </w:p>
    <w:p w14:paraId="2F75996F">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（11）质疑函未签字或未加盖公章的；</w:t>
      </w:r>
    </w:p>
    <w:p w14:paraId="0C428FA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（12）以非法手段取得证据、材料的；</w:t>
      </w:r>
    </w:p>
    <w:p w14:paraId="37BF011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（13）质疑答复后，同一质疑人就同一事项再次提出质疑的；</w:t>
      </w:r>
    </w:p>
    <w:p w14:paraId="3C4CFAC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（14）不符合法律、法规、规章和采购监管机构规定的其他条件的。</w:t>
      </w:r>
    </w:p>
    <w:p w14:paraId="246E5522">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13.1.8 采购代理机构或采购人将在收到书面质疑后7个工作日内做出答复，并以书面形式通知质疑人和其他有关投标人。</w:t>
      </w:r>
    </w:p>
    <w:p w14:paraId="4BC961C0">
      <w:pPr>
        <w:keepNext w:val="0"/>
        <w:keepLines w:val="0"/>
        <w:pageBreakBefore w:val="0"/>
        <w:kinsoku/>
        <w:wordWrap/>
        <w:overflowPunct/>
        <w:topLinePunct w:val="0"/>
        <w:autoSpaceDE/>
        <w:autoSpaceDN/>
        <w:bidi w:val="0"/>
        <w:adjustRightInd/>
        <w:snapToGrid/>
        <w:spacing w:line="480" w:lineRule="exact"/>
        <w:ind w:left="0" w:leftChars="0" w:right="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13.2 投诉</w:t>
      </w:r>
    </w:p>
    <w:p w14:paraId="62A70B0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13.2.1 质疑人对采购代理机构或采购人的答复不满意，或者采购人、采购代理机构未在规定时间内作出答复的，可以在答复期满后15个工作日内向</w:t>
      </w:r>
      <w:r>
        <w:rPr>
          <w:rFonts w:hint="eastAsia" w:ascii="仿宋" w:hAnsi="仿宋" w:eastAsia="仿宋" w:cs="仿宋"/>
          <w:color w:val="auto"/>
          <w:sz w:val="22"/>
          <w:szCs w:val="22"/>
          <w:highlight w:val="none"/>
          <w:u w:val="single"/>
          <w:lang w:val="en-US" w:eastAsia="zh-CN"/>
        </w:rPr>
        <w:t>当地</w:t>
      </w:r>
      <w:r>
        <w:rPr>
          <w:rFonts w:hint="eastAsia" w:ascii="仿宋" w:hAnsi="仿宋" w:eastAsia="仿宋" w:cs="仿宋"/>
          <w:color w:val="auto"/>
          <w:sz w:val="22"/>
          <w:szCs w:val="22"/>
          <w:highlight w:val="none"/>
          <w:u w:val="single"/>
          <w:lang w:eastAsia="zh-CN"/>
        </w:rPr>
        <w:t>财政局</w:t>
      </w:r>
      <w:r>
        <w:rPr>
          <w:rFonts w:hint="eastAsia" w:ascii="仿宋" w:hAnsi="仿宋" w:eastAsia="仿宋" w:cs="仿宋"/>
          <w:color w:val="auto"/>
          <w:sz w:val="22"/>
          <w:szCs w:val="22"/>
          <w:highlight w:val="none"/>
        </w:rPr>
        <w:t>提起投诉。</w:t>
      </w:r>
    </w:p>
    <w:p w14:paraId="769B94B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13.2.2 投诉人投诉时,应当提交投诉书和必要的证明材料，并按照被投诉采购人、采购代理机构（以下简称被投诉人）和与投诉事项有关的投标人数量提供投诉书的副本。投诉书应当包括下列内容：</w:t>
      </w:r>
    </w:p>
    <w:p w14:paraId="1596E3A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（1）投诉人和被投诉人的姓名或者名称、通讯地址、邮编、联系人及联系电话；</w:t>
      </w:r>
    </w:p>
    <w:p w14:paraId="398EE514">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（2）质疑和质疑答复情况说明及相关证明材料；</w:t>
      </w:r>
    </w:p>
    <w:p w14:paraId="5E9320A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（3）具体、明确的投诉事项和与投诉事项相关的投诉请求；</w:t>
      </w:r>
    </w:p>
    <w:p w14:paraId="1EF893F2">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（4）事实依据；</w:t>
      </w:r>
    </w:p>
    <w:p w14:paraId="335202C2">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（5）法律依据；</w:t>
      </w:r>
    </w:p>
    <w:p w14:paraId="3D8D06D5">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（6）提起投诉的日期。</w:t>
      </w:r>
    </w:p>
    <w:p w14:paraId="4CE6B55D">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投诉人为自然人的，应当由本人签字；投诉人为法人或者其他组织的，应当由法定代表人、主要负责人，或者其授权代表签字或者盖章，并加盖单位章。</w:t>
      </w:r>
    </w:p>
    <w:p w14:paraId="1C90B4A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13.2.3 投诉书范本格式在中国政府采购网站（http://www.ccgp.gov.cn/）自行下载。</w:t>
      </w:r>
    </w:p>
    <w:p w14:paraId="42CABB4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13.2.4 投诉人提起投诉应当符合下列条件：</w:t>
      </w:r>
    </w:p>
    <w:p w14:paraId="42B674B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（1）提起投诉前已依法进行质疑；</w:t>
      </w:r>
    </w:p>
    <w:p w14:paraId="2F9483F8">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（2）投诉书内容符合财政部94号令的规定；</w:t>
      </w:r>
    </w:p>
    <w:p w14:paraId="502F1AF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（3）在投诉有效期限内提起投诉；</w:t>
      </w:r>
    </w:p>
    <w:p w14:paraId="6EC84C1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（4）同一投诉事项未经财政部门投诉处理；</w:t>
      </w:r>
    </w:p>
    <w:p w14:paraId="06B744D8">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（5）财政部规定的其他条件。</w:t>
      </w:r>
    </w:p>
    <w:p w14:paraId="43770950">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13.2.5</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投诉人投诉的事项不得超出已质疑事项的范围，但基于质疑答复内容提出的投诉事项除外。</w:t>
      </w:r>
    </w:p>
    <w:p w14:paraId="3D3EE440">
      <w:pPr>
        <w:pStyle w:val="3"/>
        <w:pageBreakBefore w:val="0"/>
        <w:kinsoku/>
        <w:wordWrap/>
        <w:overflowPunct/>
        <w:topLinePunct w:val="0"/>
        <w:bidi w:val="0"/>
        <w:spacing w:before="0" w:after="0" w:line="480" w:lineRule="exact"/>
        <w:ind w:left="0" w:leftChars="0" w:right="0"/>
        <w:jc w:val="center"/>
        <w:textAlignment w:val="auto"/>
        <w:rPr>
          <w:rFonts w:hint="eastAsia" w:ascii="仿宋" w:hAnsi="仿宋" w:eastAsia="仿宋" w:cs="仿宋"/>
          <w:bCs/>
          <w:color w:val="auto"/>
          <w:sz w:val="28"/>
          <w:szCs w:val="28"/>
          <w:highlight w:val="none"/>
          <w:lang w:val="en-US" w:eastAsia="zh-CN"/>
        </w:rPr>
      </w:pPr>
      <w:bookmarkStart w:id="182" w:name="_Toc3588"/>
      <w:r>
        <w:rPr>
          <w:rFonts w:hint="eastAsia" w:ascii="仿宋" w:hAnsi="仿宋" w:eastAsia="仿宋" w:cs="仿宋"/>
          <w:bCs/>
          <w:color w:val="auto"/>
          <w:sz w:val="28"/>
          <w:szCs w:val="28"/>
          <w:highlight w:val="none"/>
          <w:lang w:val="en-US" w:eastAsia="zh-CN"/>
        </w:rPr>
        <w:t>14.其他</w:t>
      </w:r>
      <w:bookmarkEnd w:id="182"/>
    </w:p>
    <w:p w14:paraId="609FF1B0">
      <w:pPr>
        <w:keepNext w:val="0"/>
        <w:keepLines w:val="0"/>
        <w:pageBreakBefore w:val="0"/>
        <w:kinsoku/>
        <w:wordWrap/>
        <w:overflowPunct/>
        <w:topLinePunct w:val="0"/>
        <w:autoSpaceDE/>
        <w:autoSpaceDN/>
        <w:bidi w:val="0"/>
        <w:adjustRightInd/>
        <w:snapToGrid/>
        <w:spacing w:line="480" w:lineRule="exact"/>
        <w:ind w:left="0" w:leftChars="0" w:right="0"/>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14.</w:t>
      </w:r>
      <w:r>
        <w:rPr>
          <w:rFonts w:hint="eastAsia" w:ascii="仿宋" w:hAnsi="仿宋" w:eastAsia="仿宋" w:cs="仿宋"/>
          <w:b/>
          <w:color w:val="auto"/>
          <w:sz w:val="22"/>
          <w:szCs w:val="22"/>
          <w:highlight w:val="none"/>
          <w:lang w:val="en-US" w:eastAsia="zh-CN"/>
        </w:rPr>
        <w:t>1</w:t>
      </w:r>
      <w:r>
        <w:rPr>
          <w:rFonts w:hint="eastAsia" w:ascii="仿宋" w:hAnsi="仿宋" w:eastAsia="仿宋" w:cs="仿宋"/>
          <w:b/>
          <w:color w:val="auto"/>
          <w:sz w:val="22"/>
          <w:szCs w:val="22"/>
          <w:highlight w:val="none"/>
        </w:rPr>
        <w:t xml:space="preserve"> 录音录像</w:t>
      </w:r>
    </w:p>
    <w:p w14:paraId="319FEB92">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采购代理机构对开标、投标人资格审查和评标过程进行全程录音录像、文字记录，并存档备查。</w:t>
      </w:r>
      <w:bookmarkStart w:id="183" w:name="_Toc5672"/>
    </w:p>
    <w:p w14:paraId="0ADCAF3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019D821E">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6F00C0FC">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151F1AD8">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4693F365">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63FDA6C5">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53683F8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1ABCC4A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6FE35BB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5873171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2525CA31">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4F7DCA4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613CDE4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418F9A0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3EC1668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78ACC15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4CAE76F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5EB2AD37">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06D01A4A">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1E28F856">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4E1638C3">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6D5EAE9B">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132CE9E9">
      <w:pPr>
        <w:keepNext w:val="0"/>
        <w:keepLines w:val="0"/>
        <w:pageBreakBefore w:val="0"/>
        <w:kinsoku/>
        <w:wordWrap/>
        <w:overflowPunct/>
        <w:topLinePunct w:val="0"/>
        <w:autoSpaceDE/>
        <w:autoSpaceDN/>
        <w:bidi w:val="0"/>
        <w:adjustRightInd/>
        <w:snapToGrid/>
        <w:spacing w:line="480" w:lineRule="exact"/>
        <w:ind w:left="0" w:leftChars="0" w:right="0" w:firstLine="440" w:firstLineChars="200"/>
        <w:textAlignment w:val="auto"/>
        <w:rPr>
          <w:rFonts w:hint="eastAsia" w:ascii="仿宋" w:hAnsi="仿宋" w:eastAsia="仿宋" w:cs="仿宋"/>
          <w:color w:val="auto"/>
          <w:sz w:val="22"/>
          <w:szCs w:val="22"/>
          <w:highlight w:val="none"/>
        </w:rPr>
      </w:pPr>
    </w:p>
    <w:p w14:paraId="35BC83DC">
      <w:pPr>
        <w:pStyle w:val="7"/>
        <w:keepNext w:val="0"/>
        <w:keepLines w:val="0"/>
        <w:pageBreakBefore w:val="0"/>
        <w:widowControl w:val="0"/>
        <w:kinsoku/>
        <w:wordWrap/>
        <w:overflowPunct/>
        <w:topLinePunct w:val="0"/>
        <w:bidi w:val="0"/>
        <w:snapToGrid/>
        <w:spacing w:line="480" w:lineRule="exact"/>
        <w:ind w:firstLine="0"/>
        <w:jc w:val="center"/>
        <w:textAlignment w:val="auto"/>
        <w:outlineLvl w:val="0"/>
        <w:rPr>
          <w:rFonts w:hint="eastAsia" w:ascii="仿宋" w:hAnsi="仿宋" w:eastAsia="仿宋" w:cs="仿宋"/>
          <w:b/>
          <w:color w:val="auto"/>
          <w:kern w:val="44"/>
          <w:sz w:val="40"/>
          <w:szCs w:val="40"/>
          <w:highlight w:val="none"/>
        </w:rPr>
      </w:pPr>
      <w:r>
        <w:rPr>
          <w:rFonts w:hint="eastAsia" w:ascii="仿宋" w:hAnsi="仿宋" w:eastAsia="仿宋" w:cs="仿宋"/>
          <w:b/>
          <w:color w:val="auto"/>
          <w:kern w:val="44"/>
          <w:sz w:val="40"/>
          <w:szCs w:val="40"/>
          <w:highlight w:val="none"/>
        </w:rPr>
        <w:t>第三章</w:t>
      </w:r>
      <w:bookmarkStart w:id="184" w:name="_Toc217446093"/>
      <w:r>
        <w:rPr>
          <w:rFonts w:hint="eastAsia" w:ascii="仿宋" w:hAnsi="仿宋" w:eastAsia="仿宋" w:cs="仿宋"/>
          <w:b/>
          <w:color w:val="auto"/>
          <w:kern w:val="44"/>
          <w:sz w:val="40"/>
          <w:szCs w:val="40"/>
          <w:highlight w:val="none"/>
          <w:lang w:val="en-US" w:eastAsia="zh-CN"/>
        </w:rPr>
        <w:t xml:space="preserve"> </w:t>
      </w:r>
      <w:r>
        <w:rPr>
          <w:rFonts w:hint="eastAsia" w:ascii="仿宋" w:hAnsi="仿宋" w:eastAsia="仿宋" w:cs="仿宋"/>
          <w:b/>
          <w:color w:val="auto"/>
          <w:kern w:val="44"/>
          <w:sz w:val="40"/>
          <w:szCs w:val="40"/>
          <w:highlight w:val="none"/>
        </w:rPr>
        <w:t>评标办法</w:t>
      </w:r>
      <w:bookmarkEnd w:id="183"/>
    </w:p>
    <w:p w14:paraId="754D1C1A">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根据《中华人民共和国政府采购法》及其实施条例和《政府采购货物和服务招标投标管理办法》（财政部87号令）等法律法规规定，结合采购项目特点，制定本评标办法。</w:t>
      </w:r>
    </w:p>
    <w:p w14:paraId="471CF4BB">
      <w:pPr>
        <w:keepNext w:val="0"/>
        <w:keepLines w:val="0"/>
        <w:pageBreakBefore w:val="0"/>
        <w:kinsoku/>
        <w:wordWrap/>
        <w:overflowPunct/>
        <w:topLinePunct w:val="0"/>
        <w:autoSpaceDE/>
        <w:autoSpaceDN/>
        <w:bidi w:val="0"/>
        <w:adjustRightInd/>
        <w:snapToGrid/>
        <w:spacing w:line="480" w:lineRule="exact"/>
        <w:jc w:val="both"/>
        <w:textAlignment w:val="auto"/>
        <w:outlineLvl w:val="1"/>
        <w:rPr>
          <w:rFonts w:hint="eastAsia" w:ascii="仿宋" w:hAnsi="仿宋" w:eastAsia="仿宋" w:cs="仿宋"/>
          <w:b/>
          <w:color w:val="auto"/>
          <w:sz w:val="32"/>
          <w:szCs w:val="32"/>
          <w:highlight w:val="none"/>
        </w:rPr>
      </w:pPr>
      <w:bookmarkStart w:id="185" w:name="_Toc3434"/>
      <w:r>
        <w:rPr>
          <w:rFonts w:hint="eastAsia" w:ascii="仿宋" w:hAnsi="仿宋" w:eastAsia="仿宋" w:cs="仿宋"/>
          <w:b/>
          <w:color w:val="auto"/>
          <w:sz w:val="32"/>
          <w:szCs w:val="32"/>
          <w:highlight w:val="none"/>
        </w:rPr>
        <w:t>1.评标程序</w:t>
      </w:r>
      <w:bookmarkEnd w:id="185"/>
    </w:p>
    <w:p w14:paraId="4A8126D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1.1 评标按照下列程序进行：</w:t>
      </w:r>
    </w:p>
    <w:p w14:paraId="0666C494">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（1）投标文件符合性审查；</w:t>
      </w:r>
    </w:p>
    <w:p w14:paraId="0BE555C1">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（2）投标文件澄清或说明；</w:t>
      </w:r>
    </w:p>
    <w:p w14:paraId="148CD1BA">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（3）投标文件比较与评价；</w:t>
      </w:r>
    </w:p>
    <w:p w14:paraId="1BD88ACE">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（4）复核与核对评标结果；</w:t>
      </w:r>
    </w:p>
    <w:p w14:paraId="636C99D6">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（5）确定中标候选人名单；</w:t>
      </w:r>
    </w:p>
    <w:p w14:paraId="6590662A">
      <w:pPr>
        <w:keepNext w:val="0"/>
        <w:keepLines w:val="0"/>
        <w:pageBreakBefore w:val="0"/>
        <w:widowControl w:val="0"/>
        <w:kinsoku/>
        <w:wordWrap/>
        <w:overflowPunct/>
        <w:topLinePunct w:val="0"/>
        <w:autoSpaceDE/>
        <w:autoSpaceDN/>
        <w:bidi w:val="0"/>
        <w:adjustRightInd/>
        <w:snapToGrid/>
        <w:spacing w:line="480" w:lineRule="exact"/>
        <w:ind w:firstLine="495"/>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（6）编写评标报告。</w:t>
      </w:r>
    </w:p>
    <w:p w14:paraId="22934383">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1.2 投标文件符合性审查</w:t>
      </w:r>
    </w:p>
    <w:p w14:paraId="13FC2184">
      <w:pPr>
        <w:keepNext w:val="0"/>
        <w:keepLines w:val="0"/>
        <w:pageBreakBefore w:val="0"/>
        <w:widowControl w:val="0"/>
        <w:kinsoku/>
        <w:wordWrap/>
        <w:overflowPunct/>
        <w:topLinePunct w:val="0"/>
        <w:autoSpaceDE/>
        <w:autoSpaceDN/>
        <w:bidi w:val="0"/>
        <w:adjustRightInd/>
        <w:snapToGrid/>
        <w:spacing w:line="480" w:lineRule="exact"/>
        <w:ind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1.2.1 评标委员会依法对符合资格条件的投标人的投标文件进行符合性审查。评标委员会从投标文件的有效性、完整性和对招标文件的响应程度进行审查，以确定其是否对招标文件实质性内容作出响应</w:t>
      </w:r>
      <w:r>
        <w:rPr>
          <w:rFonts w:hint="eastAsia" w:ascii="仿宋" w:hAnsi="仿宋" w:eastAsia="仿宋" w:cs="仿宋"/>
          <w:color w:val="auto"/>
          <w:kern w:val="0"/>
          <w:sz w:val="22"/>
          <w:szCs w:val="22"/>
          <w:highlight w:val="none"/>
        </w:rPr>
        <w:t>（采购人可根据具体项目的情况对实质性要求作特别的具体规定）</w:t>
      </w:r>
      <w:r>
        <w:rPr>
          <w:rFonts w:hint="eastAsia" w:ascii="仿宋" w:hAnsi="仿宋" w:eastAsia="仿宋" w:cs="仿宋"/>
          <w:color w:val="auto"/>
          <w:sz w:val="22"/>
          <w:szCs w:val="22"/>
          <w:highlight w:val="none"/>
        </w:rPr>
        <w:t>。</w:t>
      </w:r>
    </w:p>
    <w:p w14:paraId="00239358">
      <w:pPr>
        <w:keepNext w:val="0"/>
        <w:keepLines w:val="0"/>
        <w:pageBreakBefore w:val="0"/>
        <w:widowControl w:val="0"/>
        <w:kinsoku/>
        <w:wordWrap/>
        <w:overflowPunct/>
        <w:topLinePunct w:val="0"/>
        <w:autoSpaceDE/>
        <w:autoSpaceDN/>
        <w:bidi w:val="0"/>
        <w:adjustRightInd/>
        <w:snapToGrid/>
        <w:spacing w:line="480" w:lineRule="exact"/>
        <w:ind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1.2.2评标委员会按下列评审标准进行符合性审查：</w:t>
      </w:r>
    </w:p>
    <w:tbl>
      <w:tblPr>
        <w:tblStyle w:val="23"/>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8341"/>
      </w:tblGrid>
      <w:tr w14:paraId="4C06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2" w:type="dxa"/>
            <w:noWrap w:val="0"/>
            <w:vAlign w:val="center"/>
          </w:tcPr>
          <w:p w14:paraId="28E7269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bCs w:val="0"/>
                <w:color w:val="auto"/>
                <w:kern w:val="2"/>
                <w:sz w:val="22"/>
                <w:szCs w:val="22"/>
                <w:highlight w:val="none"/>
                <w:lang w:val="en-US" w:eastAsia="zh-CN" w:bidi="ar-SA"/>
              </w:rPr>
            </w:pPr>
            <w:r>
              <w:rPr>
                <w:rFonts w:hint="eastAsia" w:ascii="仿宋" w:hAnsi="仿宋" w:eastAsia="仿宋" w:cs="仿宋"/>
                <w:b/>
                <w:bCs w:val="0"/>
                <w:color w:val="auto"/>
                <w:kern w:val="2"/>
                <w:sz w:val="22"/>
                <w:szCs w:val="22"/>
                <w:highlight w:val="none"/>
                <w:lang w:val="en-US" w:eastAsia="zh-CN" w:bidi="ar-SA"/>
              </w:rPr>
              <w:t>序号</w:t>
            </w:r>
          </w:p>
        </w:tc>
        <w:tc>
          <w:tcPr>
            <w:tcW w:w="8341" w:type="dxa"/>
            <w:noWrap w:val="0"/>
            <w:vAlign w:val="center"/>
          </w:tcPr>
          <w:p w14:paraId="670DA1A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bCs w:val="0"/>
                <w:color w:val="auto"/>
                <w:kern w:val="2"/>
                <w:sz w:val="22"/>
                <w:szCs w:val="22"/>
                <w:highlight w:val="none"/>
                <w:lang w:val="en-US" w:eastAsia="zh-CN" w:bidi="ar-SA"/>
              </w:rPr>
            </w:pPr>
            <w:r>
              <w:rPr>
                <w:rFonts w:hint="eastAsia" w:ascii="仿宋" w:hAnsi="仿宋" w:eastAsia="仿宋" w:cs="仿宋"/>
                <w:b/>
                <w:bCs w:val="0"/>
                <w:color w:val="auto"/>
                <w:kern w:val="2"/>
                <w:sz w:val="22"/>
                <w:szCs w:val="22"/>
                <w:highlight w:val="none"/>
                <w:lang w:val="en-US" w:eastAsia="zh-CN" w:bidi="ar-SA"/>
              </w:rPr>
              <w:t>符合性审查要求</w:t>
            </w:r>
          </w:p>
        </w:tc>
      </w:tr>
      <w:tr w14:paraId="00C3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692" w:type="dxa"/>
            <w:noWrap w:val="0"/>
            <w:vAlign w:val="center"/>
          </w:tcPr>
          <w:p w14:paraId="07CDAAE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1</w:t>
            </w:r>
          </w:p>
        </w:tc>
        <w:tc>
          <w:tcPr>
            <w:tcW w:w="8341" w:type="dxa"/>
            <w:noWrap w:val="0"/>
            <w:vAlign w:val="center"/>
          </w:tcPr>
          <w:p w14:paraId="163AB35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color w:val="auto"/>
                <w:sz w:val="22"/>
                <w:szCs w:val="22"/>
                <w:highlight w:val="none"/>
              </w:rPr>
              <w:t>是否按</w:t>
            </w:r>
            <w:r>
              <w:rPr>
                <w:rFonts w:hint="eastAsia" w:ascii="仿宋" w:hAnsi="仿宋" w:eastAsia="仿宋" w:cs="仿宋"/>
                <w:color w:val="auto"/>
                <w:sz w:val="22"/>
                <w:szCs w:val="22"/>
                <w:highlight w:val="none"/>
                <w:lang w:val="en-US" w:eastAsia="zh-CN"/>
              </w:rPr>
              <w:t>招标</w:t>
            </w:r>
            <w:r>
              <w:rPr>
                <w:rFonts w:hint="eastAsia" w:ascii="仿宋" w:hAnsi="仿宋" w:eastAsia="仿宋" w:cs="仿宋"/>
                <w:color w:val="auto"/>
                <w:sz w:val="22"/>
                <w:szCs w:val="22"/>
                <w:highlight w:val="none"/>
              </w:rPr>
              <w:t>文件格式要求提供单位盖章及法定代表人或委托代理人签字（或签章）。</w:t>
            </w:r>
          </w:p>
        </w:tc>
      </w:tr>
      <w:tr w14:paraId="7CA4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2" w:type="dxa"/>
            <w:noWrap w:val="0"/>
            <w:vAlign w:val="center"/>
          </w:tcPr>
          <w:p w14:paraId="0FE3174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2</w:t>
            </w:r>
          </w:p>
        </w:tc>
        <w:tc>
          <w:tcPr>
            <w:tcW w:w="8341" w:type="dxa"/>
            <w:noWrap w:val="0"/>
            <w:vAlign w:val="center"/>
          </w:tcPr>
          <w:p w14:paraId="23AEB36E">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color w:val="auto"/>
                <w:sz w:val="22"/>
                <w:szCs w:val="22"/>
                <w:highlight w:val="none"/>
              </w:rPr>
              <w:t>投标报价是否超过预算金</w:t>
            </w:r>
            <w:r>
              <w:rPr>
                <w:rFonts w:hint="eastAsia" w:ascii="仿宋" w:hAnsi="仿宋" w:eastAsia="仿宋" w:cs="仿宋"/>
                <w:color w:val="auto"/>
                <w:sz w:val="22"/>
                <w:szCs w:val="22"/>
                <w:highlight w:val="none"/>
                <w:lang w:val="en-US" w:eastAsia="zh-CN"/>
              </w:rPr>
              <w:t>额及最高限价。</w:t>
            </w:r>
          </w:p>
        </w:tc>
      </w:tr>
      <w:tr w14:paraId="7BF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92" w:type="dxa"/>
            <w:noWrap w:val="0"/>
            <w:vAlign w:val="center"/>
          </w:tcPr>
          <w:p w14:paraId="79B5002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3</w:t>
            </w:r>
          </w:p>
        </w:tc>
        <w:tc>
          <w:tcPr>
            <w:tcW w:w="8341" w:type="dxa"/>
            <w:noWrap w:val="0"/>
            <w:vAlign w:val="center"/>
          </w:tcPr>
          <w:p w14:paraId="684E3CA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b w:val="0"/>
                <w:bCs/>
                <w:color w:val="auto"/>
                <w:kern w:val="2"/>
                <w:sz w:val="22"/>
                <w:szCs w:val="22"/>
                <w:highlight w:val="none"/>
                <w:lang w:val="en-US" w:eastAsia="zh-CN" w:bidi="ar-SA"/>
              </w:rPr>
              <w:t>投标有效期（90日历日）是否满足</w:t>
            </w:r>
            <w:r>
              <w:rPr>
                <w:rFonts w:hint="eastAsia" w:ascii="仿宋" w:hAnsi="仿宋" w:eastAsia="仿宋" w:cs="仿宋"/>
                <w:color w:val="auto"/>
                <w:sz w:val="22"/>
                <w:szCs w:val="22"/>
                <w:highlight w:val="none"/>
                <w:lang w:val="en-US" w:eastAsia="zh-CN"/>
              </w:rPr>
              <w:t>招标</w:t>
            </w:r>
            <w:r>
              <w:rPr>
                <w:rFonts w:hint="eastAsia" w:ascii="仿宋" w:hAnsi="仿宋" w:eastAsia="仿宋" w:cs="仿宋"/>
                <w:b w:val="0"/>
                <w:bCs/>
                <w:color w:val="auto"/>
                <w:kern w:val="2"/>
                <w:sz w:val="22"/>
                <w:szCs w:val="22"/>
                <w:highlight w:val="none"/>
                <w:lang w:val="en-US" w:eastAsia="zh-CN" w:bidi="ar-SA"/>
              </w:rPr>
              <w:t>文件要求的。</w:t>
            </w:r>
          </w:p>
        </w:tc>
      </w:tr>
      <w:tr w14:paraId="2D0D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92" w:type="dxa"/>
            <w:noWrap w:val="0"/>
            <w:vAlign w:val="center"/>
          </w:tcPr>
          <w:p w14:paraId="3DA9C36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4</w:t>
            </w:r>
          </w:p>
        </w:tc>
        <w:tc>
          <w:tcPr>
            <w:tcW w:w="8341" w:type="dxa"/>
            <w:noWrap w:val="0"/>
            <w:vAlign w:val="center"/>
          </w:tcPr>
          <w:p w14:paraId="62A5D8C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投标人所报项目合同履行期限、质保期、付款方式是否满足招标文件规定期限的。</w:t>
            </w:r>
          </w:p>
        </w:tc>
      </w:tr>
      <w:tr w14:paraId="6645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92" w:type="dxa"/>
            <w:noWrap w:val="0"/>
            <w:vAlign w:val="center"/>
          </w:tcPr>
          <w:p w14:paraId="7E98CD5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b w:val="0"/>
                <w:bCs/>
                <w:color w:val="auto"/>
                <w:kern w:val="2"/>
                <w:sz w:val="22"/>
                <w:szCs w:val="22"/>
                <w:highlight w:val="none"/>
                <w:lang w:val="en-US" w:eastAsia="zh-CN" w:bidi="ar-SA"/>
              </w:rPr>
              <w:t>5</w:t>
            </w:r>
          </w:p>
        </w:tc>
        <w:tc>
          <w:tcPr>
            <w:tcW w:w="8341" w:type="dxa"/>
            <w:noWrap w:val="0"/>
            <w:vAlign w:val="center"/>
          </w:tcPr>
          <w:p w14:paraId="5FDC243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投标文件是否存在其它不符合法律法规或招标文件规定的其它投标无效条款或不满足招标文件规定的实质性要求的。</w:t>
            </w:r>
          </w:p>
        </w:tc>
      </w:tr>
      <w:tr w14:paraId="6F5E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9033" w:type="dxa"/>
            <w:gridSpan w:val="2"/>
            <w:noWrap w:val="0"/>
            <w:vAlign w:val="center"/>
          </w:tcPr>
          <w:p w14:paraId="5B56AC70">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b w:val="0"/>
                <w:bCs/>
                <w:color w:val="auto"/>
                <w:kern w:val="2"/>
                <w:sz w:val="22"/>
                <w:szCs w:val="22"/>
                <w:highlight w:val="none"/>
                <w:lang w:val="en-US" w:eastAsia="zh-CN" w:bidi="ar-SA"/>
              </w:rPr>
            </w:pPr>
            <w:r>
              <w:rPr>
                <w:rFonts w:hint="eastAsia" w:ascii="仿宋" w:hAnsi="仿宋" w:eastAsia="仿宋" w:cs="仿宋"/>
                <w:color w:val="auto"/>
                <w:sz w:val="22"/>
                <w:szCs w:val="22"/>
                <w:highlight w:val="none"/>
              </w:rPr>
              <w:t>说明：评标</w:t>
            </w:r>
            <w:r>
              <w:rPr>
                <w:rFonts w:hint="eastAsia" w:ascii="仿宋" w:hAnsi="仿宋" w:eastAsia="仿宋" w:cs="仿宋"/>
                <w:color w:val="auto"/>
                <w:sz w:val="22"/>
                <w:szCs w:val="22"/>
                <w:highlight w:val="none"/>
                <w:lang w:val="en-US" w:eastAsia="zh-CN"/>
              </w:rPr>
              <w:t>委员会</w:t>
            </w:r>
            <w:r>
              <w:rPr>
                <w:rFonts w:hint="eastAsia" w:ascii="仿宋" w:hAnsi="仿宋" w:eastAsia="仿宋" w:cs="仿宋"/>
                <w:color w:val="auto"/>
                <w:sz w:val="22"/>
                <w:szCs w:val="22"/>
                <w:highlight w:val="none"/>
              </w:rPr>
              <w:t>在开标时对供应商在商务技术部分上传的投标响应文件进行审查，以上各项有1项不合格，评审不予通过，作为</w:t>
            </w:r>
            <w:r>
              <w:rPr>
                <w:rFonts w:hint="eastAsia" w:ascii="仿宋" w:hAnsi="仿宋" w:eastAsia="仿宋" w:cs="仿宋"/>
                <w:b w:val="0"/>
                <w:bCs/>
                <w:color w:val="auto"/>
                <w:kern w:val="2"/>
                <w:sz w:val="22"/>
                <w:szCs w:val="22"/>
                <w:highlight w:val="none"/>
                <w:lang w:val="en-US" w:eastAsia="zh-CN" w:bidi="ar-SA"/>
              </w:rPr>
              <w:t>符合性审查</w:t>
            </w:r>
            <w:r>
              <w:rPr>
                <w:rFonts w:hint="eastAsia" w:ascii="仿宋" w:hAnsi="仿宋" w:eastAsia="仿宋" w:cs="仿宋"/>
                <w:color w:val="auto"/>
                <w:sz w:val="22"/>
                <w:szCs w:val="22"/>
                <w:highlight w:val="none"/>
              </w:rPr>
              <w:t>未</w:t>
            </w:r>
            <w:r>
              <w:rPr>
                <w:rFonts w:hint="eastAsia" w:ascii="仿宋" w:hAnsi="仿宋" w:eastAsia="仿宋" w:cs="仿宋"/>
                <w:color w:val="auto"/>
                <w:sz w:val="22"/>
                <w:szCs w:val="22"/>
                <w:highlight w:val="none"/>
                <w:lang w:val="en-US" w:eastAsia="zh-CN"/>
              </w:rPr>
              <w:t>通过</w:t>
            </w:r>
            <w:r>
              <w:rPr>
                <w:rFonts w:hint="eastAsia" w:ascii="仿宋" w:hAnsi="仿宋" w:eastAsia="仿宋" w:cs="仿宋"/>
                <w:color w:val="auto"/>
                <w:sz w:val="22"/>
                <w:szCs w:val="22"/>
                <w:highlight w:val="none"/>
              </w:rPr>
              <w:t>。未通过符合性检查的投标文件，不得进入后续评标环节。</w:t>
            </w:r>
          </w:p>
        </w:tc>
      </w:tr>
    </w:tbl>
    <w:p w14:paraId="3EB250ED">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1.3 投标文件的澄清</w:t>
      </w:r>
    </w:p>
    <w:p w14:paraId="49ED7B7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1.3.1为有助于投标文件的审查、比较和评价，评标委员会可以书面形式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要求投标人对其投标文件中含义不明确、同类问题表述不一致或者有明显文字和计算错误的内容作必要的澄清、说明或者补正。有关澄清、说明或者补正应以书面形式</w:t>
      </w:r>
      <w:r>
        <w:rPr>
          <w:rFonts w:hint="eastAsia" w:ascii="仿宋" w:hAnsi="仿宋" w:eastAsia="仿宋" w:cs="仿宋"/>
          <w:color w:val="auto"/>
          <w:sz w:val="22"/>
          <w:szCs w:val="22"/>
          <w:highlight w:val="none"/>
          <w:lang w:val="zh-CN"/>
        </w:rPr>
        <w:t>或政采云平台</w:t>
      </w:r>
      <w:r>
        <w:rPr>
          <w:rFonts w:hint="eastAsia" w:ascii="仿宋" w:hAnsi="仿宋" w:eastAsia="仿宋" w:cs="仿宋"/>
          <w:color w:val="auto"/>
          <w:sz w:val="22"/>
          <w:szCs w:val="22"/>
          <w:highlight w:val="none"/>
        </w:rPr>
        <w:t>提交，并由其法定代表人或委托代理人签字。评标委员会不接受投标人主动提出的澄清、说明或者补正。</w:t>
      </w:r>
    </w:p>
    <w:p w14:paraId="08A60E4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1.3.2 投标人的澄清、说明或者补正不得超出投标文件的范围或者改变投标文件的实质性内容，并构成为投标文件的组成部分。</w:t>
      </w:r>
    </w:p>
    <w:p w14:paraId="19C8948F">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1.3.3 评标委员会对投标人提交的澄清、说明或者补正有疑问的，可以要求投标人进一步澄清、说明或者补正，直至满足评标委员会的要求。</w:t>
      </w:r>
    </w:p>
    <w:p w14:paraId="61F1DB77">
      <w:pPr>
        <w:keepNext w:val="0"/>
        <w:keepLines w:val="0"/>
        <w:pageBreakBefore w:val="0"/>
        <w:kinsoku/>
        <w:wordWrap/>
        <w:overflowPunct/>
        <w:topLinePunct w:val="0"/>
        <w:autoSpaceDE/>
        <w:autoSpaceDN/>
        <w:bidi w:val="0"/>
        <w:spacing w:line="480" w:lineRule="exact"/>
        <w:jc w:val="lef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1.4 投标文件比较与评价</w:t>
      </w:r>
    </w:p>
    <w:p w14:paraId="46F718CC">
      <w:pPr>
        <w:keepNext w:val="0"/>
        <w:keepLines w:val="0"/>
        <w:pageBreakBefore w:val="0"/>
        <w:tabs>
          <w:tab w:val="left" w:pos="0"/>
        </w:tabs>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1.4.1 </w:t>
      </w:r>
      <w:r>
        <w:rPr>
          <w:rFonts w:hint="eastAsia" w:ascii="仿宋" w:hAnsi="仿宋" w:eastAsia="仿宋" w:cs="仿宋"/>
          <w:bCs/>
          <w:color w:val="auto"/>
          <w:sz w:val="22"/>
          <w:szCs w:val="22"/>
          <w:highlight w:val="none"/>
        </w:rPr>
        <w:t>评标委员会应按照招标文件中规定的评标方法</w:t>
      </w:r>
      <w:r>
        <w:rPr>
          <w:rFonts w:hint="eastAsia" w:ascii="仿宋" w:hAnsi="仿宋" w:eastAsia="仿宋" w:cs="仿宋"/>
          <w:color w:val="auto"/>
          <w:sz w:val="22"/>
          <w:szCs w:val="22"/>
          <w:highlight w:val="none"/>
        </w:rPr>
        <w:t>和标准，</w:t>
      </w:r>
      <w:r>
        <w:rPr>
          <w:rFonts w:hint="eastAsia" w:ascii="仿宋" w:hAnsi="仿宋" w:eastAsia="仿宋" w:cs="仿宋"/>
          <w:bCs/>
          <w:color w:val="auto"/>
          <w:sz w:val="22"/>
          <w:szCs w:val="22"/>
          <w:highlight w:val="none"/>
        </w:rPr>
        <w:t>对</w:t>
      </w:r>
      <w:r>
        <w:rPr>
          <w:rFonts w:hint="eastAsia" w:ascii="仿宋" w:hAnsi="仿宋" w:eastAsia="仿宋" w:cs="仿宋"/>
          <w:color w:val="auto"/>
          <w:sz w:val="22"/>
          <w:szCs w:val="22"/>
          <w:highlight w:val="none"/>
        </w:rPr>
        <w:t>符合性检查</w:t>
      </w:r>
      <w:r>
        <w:rPr>
          <w:rFonts w:hint="eastAsia" w:ascii="仿宋" w:hAnsi="仿宋" w:eastAsia="仿宋" w:cs="仿宋"/>
          <w:bCs/>
          <w:color w:val="auto"/>
          <w:sz w:val="22"/>
          <w:szCs w:val="22"/>
          <w:highlight w:val="none"/>
        </w:rPr>
        <w:t>通过的投标文件进行商务和技术评估，综合比较与评价。</w:t>
      </w:r>
    </w:p>
    <w:p w14:paraId="6718AAFA">
      <w:pPr>
        <w:keepNext w:val="0"/>
        <w:keepLines w:val="0"/>
        <w:pageBreakBefore w:val="0"/>
        <w:kinsoku/>
        <w:wordWrap/>
        <w:overflowPunct/>
        <w:topLinePunct w:val="0"/>
        <w:autoSpaceDE/>
        <w:autoSpaceDN/>
        <w:bidi w:val="0"/>
        <w:spacing w:line="480" w:lineRule="exact"/>
        <w:ind w:firstLine="431" w:firstLineChars="196"/>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1.4.2 如果投标文件没有实质性响应招标文件的要求，评标委员会将予以拒绝。投标人不得通过修正或撤销不合要求的偏离或保留，从而使其投标成为实质性响应的投标。</w:t>
      </w:r>
    </w:p>
    <w:p w14:paraId="02100C4B">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1.5 复核与核对评标结果</w:t>
      </w:r>
    </w:p>
    <w:p w14:paraId="071A5B24">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1.5.1 评分汇总结束后，评标委员会应当进行复核，特别要对拟推荐中标候选人的、报价最低的、投标文件被认定无效的进行重点复核。</w:t>
      </w:r>
    </w:p>
    <w:p w14:paraId="4AE21B05">
      <w:pPr>
        <w:pStyle w:val="39"/>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1.5.2 评标结果汇总完成后，评标报告签署前，采购代理机构应当</w:t>
      </w:r>
      <w:r>
        <w:rPr>
          <w:rFonts w:hint="eastAsia" w:ascii="仿宋" w:hAnsi="仿宋" w:eastAsia="仿宋" w:cs="仿宋"/>
          <w:bCs/>
          <w:color w:val="auto"/>
          <w:sz w:val="22"/>
          <w:szCs w:val="22"/>
          <w:highlight w:val="none"/>
        </w:rPr>
        <w:t>核对评标结果，</w:t>
      </w:r>
      <w:r>
        <w:rPr>
          <w:rFonts w:hint="eastAsia" w:ascii="仿宋" w:hAnsi="仿宋" w:eastAsia="仿宋" w:cs="仿宋"/>
          <w:color w:val="auto"/>
          <w:sz w:val="22"/>
          <w:szCs w:val="22"/>
          <w:highlight w:val="none"/>
        </w:rPr>
        <w:t>除下列情形外，任何人不得修改评标结果：</w:t>
      </w:r>
    </w:p>
    <w:p w14:paraId="531E900D">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（1）分值汇总计算错误的；</w:t>
      </w:r>
    </w:p>
    <w:p w14:paraId="0224E0A7">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（2）分项评分超出评分标准范围的；</w:t>
      </w:r>
    </w:p>
    <w:p w14:paraId="5FE1DC17">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（3）评标委员会对客观评审因素评分不一致的；</w:t>
      </w:r>
    </w:p>
    <w:p w14:paraId="02E5C808">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（4）经评标委员会认定评分畸高、畸低的。</w:t>
      </w:r>
    </w:p>
    <w:p w14:paraId="1E0F127A">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1.6 确定中标候选人名单</w:t>
      </w:r>
    </w:p>
    <w:p w14:paraId="4E872DDD">
      <w:pPr>
        <w:keepNext w:val="0"/>
        <w:keepLines w:val="0"/>
        <w:pageBreakBefore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定标及定标程序祥见第二章第9.1、9.2条款。</w:t>
      </w:r>
    </w:p>
    <w:p w14:paraId="10CE19AD">
      <w:pPr>
        <w:keepNext w:val="0"/>
        <w:keepLines w:val="0"/>
        <w:pageBreakBefore w:val="0"/>
        <w:kinsoku/>
        <w:wordWrap/>
        <w:overflowPunct/>
        <w:topLinePunct w:val="0"/>
        <w:autoSpaceDE/>
        <w:autoSpaceDN/>
        <w:bidi w:val="0"/>
        <w:spacing w:line="48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1.7 </w:t>
      </w:r>
      <w:r>
        <w:rPr>
          <w:rFonts w:hint="eastAsia" w:ascii="仿宋" w:hAnsi="仿宋" w:eastAsia="仿宋" w:cs="仿宋"/>
          <w:b/>
          <w:color w:val="auto"/>
          <w:sz w:val="28"/>
          <w:szCs w:val="28"/>
          <w:highlight w:val="none"/>
          <w:lang w:val="en-US" w:eastAsia="zh-CN"/>
        </w:rPr>
        <w:t>出具</w:t>
      </w:r>
      <w:r>
        <w:rPr>
          <w:rFonts w:hint="eastAsia" w:ascii="仿宋" w:hAnsi="仿宋" w:eastAsia="仿宋" w:cs="仿宋"/>
          <w:b/>
          <w:color w:val="auto"/>
          <w:sz w:val="28"/>
          <w:szCs w:val="28"/>
          <w:highlight w:val="none"/>
        </w:rPr>
        <w:t>评标报告</w:t>
      </w:r>
    </w:p>
    <w:p w14:paraId="47B40025">
      <w:pPr>
        <w:keepNext w:val="0"/>
        <w:keepLines w:val="0"/>
        <w:pageBreakBefore w:val="0"/>
        <w:widowControl/>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1.7.1 评标委员会在确定中标候选人名单后，</w:t>
      </w:r>
      <w:r>
        <w:rPr>
          <w:rFonts w:hint="eastAsia" w:ascii="仿宋" w:hAnsi="仿宋" w:eastAsia="仿宋" w:cs="仿宋"/>
          <w:color w:val="auto"/>
          <w:sz w:val="22"/>
          <w:szCs w:val="22"/>
          <w:highlight w:val="none"/>
          <w:lang w:val="en-US" w:eastAsia="zh-CN"/>
        </w:rPr>
        <w:t>在政采云平台打印</w:t>
      </w:r>
      <w:r>
        <w:rPr>
          <w:rFonts w:hint="eastAsia" w:ascii="仿宋" w:hAnsi="仿宋" w:eastAsia="仿宋" w:cs="仿宋"/>
          <w:color w:val="auto"/>
          <w:sz w:val="22"/>
          <w:szCs w:val="22"/>
          <w:highlight w:val="none"/>
        </w:rPr>
        <w:t>评标报告并向采购人出具。</w:t>
      </w:r>
    </w:p>
    <w:p w14:paraId="1025C9FC">
      <w:pPr>
        <w:keepNext w:val="0"/>
        <w:keepLines w:val="0"/>
        <w:pageBreakBefore w:val="0"/>
        <w:widowControl/>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1.7.2 评标委员会成员应当对评标报告予以签字确认，对评标过程有不同意见的，应当在评标报告中写明并说明理由。签字但未写明不同意见或者未说明理由的，视同无意见。拒不签字又未另行书面说明其不同意见和理由的，视同同意评标报告。</w:t>
      </w:r>
    </w:p>
    <w:p w14:paraId="65B7120E">
      <w:pPr>
        <w:keepNext w:val="0"/>
        <w:keepLines w:val="0"/>
        <w:pageBreakBefore w:val="0"/>
        <w:kinsoku/>
        <w:wordWrap/>
        <w:overflowPunct/>
        <w:topLinePunct w:val="0"/>
        <w:autoSpaceDE/>
        <w:autoSpaceDN/>
        <w:bidi w:val="0"/>
        <w:adjustRightInd/>
        <w:snapToGrid/>
        <w:spacing w:line="480" w:lineRule="exact"/>
        <w:ind w:left="0" w:leftChars="0" w:right="0"/>
        <w:jc w:val="both"/>
        <w:textAlignment w:val="auto"/>
        <w:outlineLvl w:val="1"/>
        <w:rPr>
          <w:rFonts w:hint="eastAsia" w:ascii="仿宋" w:hAnsi="仿宋" w:eastAsia="仿宋" w:cs="仿宋"/>
          <w:b/>
          <w:color w:val="auto"/>
          <w:sz w:val="32"/>
          <w:szCs w:val="32"/>
          <w:highlight w:val="none"/>
        </w:rPr>
      </w:pPr>
      <w:bookmarkStart w:id="186" w:name="_Toc23816"/>
      <w:r>
        <w:rPr>
          <w:rFonts w:hint="eastAsia" w:ascii="仿宋" w:hAnsi="仿宋" w:eastAsia="仿宋" w:cs="仿宋"/>
          <w:b/>
          <w:color w:val="auto"/>
          <w:sz w:val="32"/>
          <w:szCs w:val="32"/>
          <w:highlight w:val="none"/>
        </w:rPr>
        <w:t>2.评标方法</w:t>
      </w:r>
      <w:bookmarkEnd w:id="186"/>
    </w:p>
    <w:p w14:paraId="1443032C">
      <w:pPr>
        <w:pStyle w:val="7"/>
        <w:keepNext w:val="0"/>
        <w:keepLines w:val="0"/>
        <w:pageBreakBefore w:val="0"/>
        <w:kinsoku/>
        <w:wordWrap/>
        <w:overflowPunct/>
        <w:topLinePunct w:val="0"/>
        <w:bidi w:val="0"/>
        <w:spacing w:line="480" w:lineRule="exact"/>
        <w:ind w:left="0" w:leftChars="0" w:right="0" w:firstLine="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2.1综合评分法</w:t>
      </w:r>
    </w:p>
    <w:p w14:paraId="4C2168C4">
      <w:pPr>
        <w:keepNext w:val="0"/>
        <w:keepLines w:val="0"/>
        <w:pageBreakBefore w:val="0"/>
        <w:widowControl/>
        <w:kinsoku/>
        <w:wordWrap/>
        <w:overflowPunct/>
        <w:topLinePunct w:val="0"/>
        <w:bidi w:val="0"/>
        <w:spacing w:line="480" w:lineRule="exact"/>
        <w:ind w:left="0" w:leftChars="0" w:right="0" w:firstLine="440" w:firstLineChars="200"/>
        <w:jc w:val="left"/>
        <w:rPr>
          <w:rFonts w:hint="eastAsia" w:ascii="仿宋" w:hAnsi="仿宋" w:eastAsia="仿宋" w:cs="仿宋"/>
          <w:bCs/>
          <w:color w:val="auto"/>
          <w:kern w:val="2"/>
          <w:sz w:val="22"/>
          <w:szCs w:val="22"/>
          <w:highlight w:val="none"/>
          <w:lang w:val="en-US" w:eastAsia="zh-CN" w:bidi="ar-SA"/>
        </w:rPr>
      </w:pPr>
      <w:r>
        <w:rPr>
          <w:rFonts w:hint="eastAsia" w:ascii="仿宋" w:hAnsi="仿宋" w:eastAsia="仿宋" w:cs="仿宋"/>
          <w:bCs/>
          <w:color w:val="auto"/>
          <w:kern w:val="2"/>
          <w:sz w:val="22"/>
          <w:szCs w:val="22"/>
          <w:highlight w:val="none"/>
          <w:lang w:val="en-US" w:eastAsia="zh-CN" w:bidi="ar-SA"/>
        </w:rPr>
        <w:t>本采购项目评标方法采用综合评分法。即投标文件满足招标文件全部实质性要求，且按照评审因素的量化指标评审得分最高的投标人为中标候选人的评标方法。</w:t>
      </w:r>
    </w:p>
    <w:p w14:paraId="3AACDBB2">
      <w:pPr>
        <w:keepNext w:val="0"/>
        <w:keepLines w:val="0"/>
        <w:pageBreakBefore w:val="0"/>
        <w:widowControl/>
        <w:kinsoku/>
        <w:wordWrap/>
        <w:overflowPunct/>
        <w:topLinePunct w:val="0"/>
        <w:autoSpaceDE w:val="0"/>
        <w:autoSpaceDN w:val="0"/>
        <w:bidi w:val="0"/>
        <w:spacing w:line="480" w:lineRule="exact"/>
        <w:ind w:left="0" w:leftChars="0" w:right="0"/>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2.2 评标细则及标准</w:t>
      </w:r>
    </w:p>
    <w:p w14:paraId="675F3661">
      <w:pPr>
        <w:pStyle w:val="12"/>
        <w:keepNext w:val="0"/>
        <w:keepLines w:val="0"/>
        <w:pageBreakBefore w:val="0"/>
        <w:kinsoku/>
        <w:wordWrap/>
        <w:overflowPunct/>
        <w:topLinePunct w:val="0"/>
        <w:bidi w:val="0"/>
        <w:adjustRightInd w:val="0"/>
        <w:snapToGrid w:val="0"/>
        <w:spacing w:line="480" w:lineRule="exact"/>
        <w:ind w:left="0" w:leftChars="0" w:right="0" w:firstLine="440" w:firstLineChars="200"/>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 xml:space="preserve">2.2.1 </w:t>
      </w:r>
      <w:r>
        <w:rPr>
          <w:rFonts w:hint="eastAsia" w:ascii="仿宋" w:hAnsi="仿宋" w:eastAsia="仿宋" w:cs="仿宋"/>
          <w:bCs/>
          <w:color w:val="auto"/>
          <w:sz w:val="22"/>
          <w:szCs w:val="22"/>
          <w:highlight w:val="none"/>
        </w:rPr>
        <w:t>评标委员会将综合分析投标人的各项评审因素，而不以单项评审因素的优劣评选出中标人。对所有投标人的投标评估，都采用相同的程序和标准，严格按照招标文件的要求和条件进行。</w:t>
      </w:r>
    </w:p>
    <w:p w14:paraId="26117429">
      <w:pPr>
        <w:keepNext w:val="0"/>
        <w:keepLines w:val="0"/>
        <w:pageBreakBefore w:val="0"/>
        <w:tabs>
          <w:tab w:val="left" w:pos="0"/>
        </w:tabs>
        <w:kinsoku/>
        <w:wordWrap/>
        <w:overflowPunct/>
        <w:topLinePunct w:val="0"/>
        <w:bidi w:val="0"/>
        <w:adjustRightInd w:val="0"/>
        <w:snapToGrid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2.2.2 评审因素包括：</w:t>
      </w:r>
      <w:r>
        <w:rPr>
          <w:rFonts w:hint="eastAsia" w:ascii="仿宋" w:hAnsi="仿宋" w:eastAsia="仿宋" w:cs="仿宋"/>
          <w:b/>
          <w:bCs/>
          <w:color w:val="auto"/>
          <w:sz w:val="22"/>
          <w:szCs w:val="22"/>
          <w:highlight w:val="none"/>
        </w:rPr>
        <w:t>投标报价、技术要求、商务</w:t>
      </w:r>
      <w:r>
        <w:rPr>
          <w:rFonts w:hint="eastAsia" w:ascii="仿宋" w:hAnsi="仿宋" w:eastAsia="仿宋" w:cs="仿宋"/>
          <w:b/>
          <w:bCs/>
          <w:color w:val="auto"/>
          <w:sz w:val="22"/>
          <w:szCs w:val="22"/>
          <w:highlight w:val="none"/>
          <w:lang w:eastAsia="zh-CN"/>
        </w:rPr>
        <w:t>要求</w:t>
      </w:r>
      <w:r>
        <w:rPr>
          <w:rFonts w:hint="eastAsia" w:ascii="仿宋" w:hAnsi="仿宋" w:eastAsia="仿宋" w:cs="仿宋"/>
          <w:color w:val="auto"/>
          <w:kern w:val="0"/>
          <w:sz w:val="22"/>
          <w:szCs w:val="22"/>
          <w:highlight w:val="none"/>
        </w:rPr>
        <w:t>等</w:t>
      </w:r>
      <w:r>
        <w:rPr>
          <w:rFonts w:hint="eastAsia" w:ascii="仿宋" w:hAnsi="仿宋" w:eastAsia="仿宋" w:cs="仿宋"/>
          <w:color w:val="auto"/>
          <w:sz w:val="22"/>
          <w:szCs w:val="22"/>
          <w:highlight w:val="none"/>
        </w:rPr>
        <w:t>对招标文件的响应程度，以及相应的比重或者权值等，但不包括“投标人须知”第3.1条</w:t>
      </w:r>
      <w:r>
        <w:rPr>
          <w:rFonts w:hint="eastAsia" w:ascii="仿宋" w:hAnsi="仿宋" w:eastAsia="仿宋" w:cs="仿宋"/>
          <w:color w:val="auto"/>
          <w:kern w:val="0"/>
          <w:sz w:val="22"/>
          <w:szCs w:val="22"/>
          <w:highlight w:val="none"/>
          <w:lang w:val="zh-CN"/>
        </w:rPr>
        <w:t>款</w:t>
      </w:r>
      <w:r>
        <w:rPr>
          <w:rFonts w:hint="eastAsia" w:ascii="仿宋" w:hAnsi="仿宋" w:eastAsia="仿宋" w:cs="仿宋"/>
          <w:color w:val="auto"/>
          <w:sz w:val="22"/>
          <w:szCs w:val="22"/>
          <w:highlight w:val="none"/>
        </w:rPr>
        <w:t>规定的投标人资格条件。</w:t>
      </w:r>
    </w:p>
    <w:p w14:paraId="04B797FA">
      <w:pPr>
        <w:pStyle w:val="12"/>
        <w:keepNext w:val="0"/>
        <w:keepLines w:val="0"/>
        <w:pageBreakBefore w:val="0"/>
        <w:kinsoku/>
        <w:wordWrap/>
        <w:overflowPunct/>
        <w:topLinePunct w:val="0"/>
        <w:bidi w:val="0"/>
        <w:adjustRightInd w:val="0"/>
        <w:snapToGrid w:val="0"/>
        <w:spacing w:line="480" w:lineRule="exact"/>
        <w:ind w:left="402" w:leftChars="0" w:right="0" w:hanging="402" w:hangingChars="183"/>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2.2.3 评标委员会按以下操作程序对投标人的投标文件进行综合评分：</w:t>
      </w:r>
    </w:p>
    <w:p w14:paraId="5E01CF32">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2.2.3.1 根据招标文件和评标原则，按《综合评分明细表》所列评分因素和各评分因素的权重进行评标。</w:t>
      </w:r>
    </w:p>
    <w:p w14:paraId="482D6BAF">
      <w:pPr>
        <w:keepNext w:val="0"/>
        <w:keepLines w:val="0"/>
        <w:pageBreakBefore w:val="0"/>
        <w:kinsoku/>
        <w:wordWrap/>
        <w:overflowPunct/>
        <w:topLinePunct w:val="0"/>
        <w:bidi w:val="0"/>
        <w:spacing w:line="480" w:lineRule="exact"/>
        <w:ind w:left="0" w:leftChars="0" w:right="0" w:firstLine="660" w:firstLineChars="3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2.2.3.2 </w:t>
      </w:r>
      <w:r>
        <w:rPr>
          <w:rFonts w:hint="eastAsia" w:ascii="仿宋" w:hAnsi="仿宋" w:eastAsia="仿宋" w:cs="仿宋"/>
          <w:color w:val="auto"/>
          <w:sz w:val="22"/>
          <w:szCs w:val="22"/>
          <w:highlight w:val="none"/>
          <w:lang w:val="en-US" w:eastAsia="zh-CN"/>
        </w:rPr>
        <w:t>按</w:t>
      </w:r>
      <w:r>
        <w:rPr>
          <w:rFonts w:hint="eastAsia" w:ascii="仿宋" w:hAnsi="仿宋" w:eastAsia="仿宋" w:cs="仿宋"/>
          <w:color w:val="auto"/>
          <w:sz w:val="22"/>
          <w:szCs w:val="22"/>
          <w:highlight w:val="none"/>
        </w:rPr>
        <w:t>照财政部87号令第五十五条和财库【2020】46号文件的规定，以本次满足投标文件要求的</w:t>
      </w:r>
      <w:r>
        <w:rPr>
          <w:rFonts w:hint="eastAsia" w:ascii="仿宋" w:hAnsi="仿宋" w:eastAsia="仿宋" w:cs="仿宋"/>
          <w:b/>
          <w:bCs/>
          <w:color w:val="auto"/>
          <w:sz w:val="22"/>
          <w:szCs w:val="22"/>
          <w:highlight w:val="none"/>
        </w:rPr>
        <w:t>最低投标评审价</w:t>
      </w:r>
      <w:r>
        <w:rPr>
          <w:rFonts w:hint="eastAsia" w:ascii="仿宋" w:hAnsi="仿宋" w:eastAsia="仿宋" w:cs="仿宋"/>
          <w:color w:val="auto"/>
          <w:sz w:val="22"/>
          <w:szCs w:val="22"/>
          <w:highlight w:val="none"/>
        </w:rPr>
        <w:t>为评标基准价，其价格为满分。</w:t>
      </w:r>
    </w:p>
    <w:p w14:paraId="0B330083">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如果同一包为单一产品，或同一包为多种产品，全部符合中小企业政策优惠条件的（即小微企业自身生产或中小企业代理的小微企业生产的产品），对总报价进行调整，调整后的报价作为投标评审价。投标评审价按下列公示计算：</w:t>
      </w:r>
    </w:p>
    <w:p w14:paraId="3D8334B8">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投标评审价=投标报价×（1-投标报价折扣幅度）</w:t>
      </w:r>
    </w:p>
    <w:p w14:paraId="4DBD591A">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2.2.3.3 由评标委员会成员独立地根据各项因素的评分标准，结合每个投标人的实际情况，分别就投标报价以外的各项评审因素对每个投标人独立打分。</w:t>
      </w:r>
    </w:p>
    <w:p w14:paraId="5D20B493">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2.2.3.4 将所有评审因素所得实际评审分数相加，即为该投标人的评审总得分。评审总得分按下例公式计算：</w:t>
      </w:r>
    </w:p>
    <w:p w14:paraId="63C8B65C">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评审总得分＝F1＋F2＋……＋Fn</w:t>
      </w:r>
    </w:p>
    <w:p w14:paraId="35B2108D">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F1、F2……Fn分别为各项评审因素的汇总得分</w:t>
      </w:r>
    </w:p>
    <w:p w14:paraId="20CBF6BA">
      <w:pPr>
        <w:pStyle w:val="14"/>
        <w:keepNext w:val="0"/>
        <w:keepLines w:val="0"/>
        <w:pageBreakBefore w:val="0"/>
        <w:widowControl/>
        <w:tabs>
          <w:tab w:val="left" w:pos="1506"/>
        </w:tabs>
        <w:kinsoku/>
        <w:wordWrap/>
        <w:overflowPunct/>
        <w:topLinePunct w:val="0"/>
        <w:bidi w:val="0"/>
        <w:adjustRightInd w:val="0"/>
        <w:snapToGrid w:val="0"/>
        <w:spacing w:line="480" w:lineRule="exact"/>
        <w:ind w:left="0" w:leftChars="0" w:right="0" w:firstLineChars="300"/>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2.2.3.5 评审过程中，不得去掉报价中的最高报价和最低报价。</w:t>
      </w:r>
    </w:p>
    <w:p w14:paraId="4FC4846E">
      <w:pPr>
        <w:keepNext w:val="0"/>
        <w:keepLines w:val="0"/>
        <w:pageBreakBefore w:val="0"/>
        <w:kinsoku/>
        <w:wordWrap/>
        <w:overflowPunct/>
        <w:topLinePunct w:val="0"/>
        <w:bidi w:val="0"/>
        <w:spacing w:line="480" w:lineRule="exact"/>
        <w:ind w:left="0" w:leftChars="0" w:right="0" w:firstLine="442" w:firstLineChars="20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2.2.4 小型和微型企业货物（产品）的报价折扣幅度标准：</w:t>
      </w:r>
    </w:p>
    <w:p w14:paraId="0625CDF2">
      <w:pPr>
        <w:keepNext w:val="0"/>
        <w:keepLines w:val="0"/>
        <w:pageBreakBefore w:val="0"/>
        <w:kinsoku/>
        <w:wordWrap/>
        <w:overflowPunct/>
        <w:topLinePunct w:val="0"/>
        <w:bidi w:val="0"/>
        <w:spacing w:line="480" w:lineRule="exact"/>
        <w:ind w:left="0" w:leftChars="0" w:right="0" w:firstLine="660" w:firstLineChars="3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2.2.4.1 对小型、微型企业生产的货物（产品）投标价格给予</w:t>
      </w:r>
      <w:r>
        <w:rPr>
          <w:rFonts w:hint="eastAsia" w:ascii="仿宋" w:hAnsi="仿宋" w:eastAsia="仿宋" w:cs="仿宋"/>
          <w:color w:val="auto"/>
          <w:sz w:val="22"/>
          <w:szCs w:val="22"/>
          <w:highlight w:val="none"/>
          <w:u w:val="single"/>
          <w:lang w:val="en-US" w:eastAsia="zh-CN"/>
        </w:rPr>
        <w:t>10</w:t>
      </w:r>
      <w:r>
        <w:rPr>
          <w:rFonts w:hint="eastAsia" w:ascii="仿宋" w:hAnsi="仿宋" w:eastAsia="仿宋" w:cs="仿宋"/>
          <w:color w:val="auto"/>
          <w:sz w:val="22"/>
          <w:szCs w:val="22"/>
          <w:highlight w:val="none"/>
          <w:u w:val="single"/>
        </w:rPr>
        <w:t>%</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10</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0%）的折扣。</w:t>
      </w:r>
    </w:p>
    <w:p w14:paraId="5DF67636">
      <w:pPr>
        <w:keepNext w:val="0"/>
        <w:keepLines w:val="0"/>
        <w:pageBreakBefore w:val="0"/>
        <w:kinsoku/>
        <w:wordWrap/>
        <w:overflowPunct/>
        <w:topLinePunct w:val="0"/>
        <w:bidi w:val="0"/>
        <w:spacing w:line="480" w:lineRule="exact"/>
        <w:ind w:left="0" w:leftChars="0" w:right="0" w:firstLine="660" w:firstLineChars="300"/>
        <w:rPr>
          <w:rFonts w:hint="eastAsia" w:ascii="仿宋" w:hAnsi="仿宋" w:eastAsia="仿宋" w:cs="仿宋"/>
          <w:color w:val="auto"/>
          <w:sz w:val="22"/>
          <w:szCs w:val="22"/>
          <w:highlight w:val="none"/>
        </w:rPr>
      </w:pPr>
      <w:r>
        <w:rPr>
          <w:rFonts w:hint="eastAsia" w:ascii="仿宋" w:hAnsi="仿宋" w:eastAsia="仿宋" w:cs="仿宋"/>
          <w:color w:val="auto"/>
          <w:kern w:val="0"/>
          <w:sz w:val="22"/>
          <w:szCs w:val="22"/>
          <w:highlight w:val="none"/>
        </w:rPr>
        <w:t>2.2.4.2 参加联合体投标的</w:t>
      </w:r>
      <w:r>
        <w:rPr>
          <w:rFonts w:hint="eastAsia" w:ascii="仿宋" w:hAnsi="仿宋" w:eastAsia="仿宋" w:cs="仿宋"/>
          <w:color w:val="auto"/>
          <w:sz w:val="22"/>
          <w:szCs w:val="22"/>
          <w:highlight w:val="none"/>
        </w:rPr>
        <w:t>小型、微型企业，</w:t>
      </w:r>
      <w:r>
        <w:rPr>
          <w:rFonts w:hint="eastAsia" w:ascii="仿宋" w:hAnsi="仿宋" w:eastAsia="仿宋" w:cs="仿宋"/>
          <w:color w:val="auto"/>
          <w:kern w:val="0"/>
          <w:sz w:val="22"/>
          <w:szCs w:val="22"/>
          <w:highlight w:val="none"/>
        </w:rPr>
        <w:t>联合协议中约定，小型、微型企业的协议合同</w:t>
      </w:r>
      <w:r>
        <w:rPr>
          <w:rFonts w:hint="eastAsia" w:ascii="仿宋" w:hAnsi="仿宋" w:eastAsia="仿宋" w:cs="仿宋"/>
          <w:color w:val="auto"/>
          <w:sz w:val="22"/>
          <w:szCs w:val="22"/>
          <w:highlight w:val="none"/>
        </w:rPr>
        <w:t>金额占到联合体协议合同总金额30%以上的，可给予联合体2%（2%-3%）的价格折扣。</w:t>
      </w:r>
    </w:p>
    <w:p w14:paraId="4A35E058">
      <w:pPr>
        <w:keepNext w:val="0"/>
        <w:keepLines w:val="0"/>
        <w:pageBreakBefore w:val="0"/>
        <w:kinsoku/>
        <w:wordWrap/>
        <w:overflowPunct/>
        <w:topLinePunct w:val="0"/>
        <w:bidi w:val="0"/>
        <w:spacing w:line="480" w:lineRule="exact"/>
        <w:ind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2.2.4.3 小、微企业提供本企业生产的产品或中小型企业（代理商）代理的小、微企业生产的产品可享受报价折扣条件；中小型企业（代理商）代理的中型及以上企业生产的产品不享受报价折扣条件。</w:t>
      </w:r>
    </w:p>
    <w:p w14:paraId="57779F47">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2.2.</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 xml:space="preserve"> 非实质性偏离是指投标文件在实质上响应招标文件的要求，但在个别地方存在一些不规则、不一致、不完整的内容，并且澄清、说明或者补正这些内容不会改变投标文件的实质性内容。以下情况属于非实质性偏离：</w:t>
      </w:r>
    </w:p>
    <w:p w14:paraId="654C2232">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（1）文字表述的内容含义不明确；</w:t>
      </w:r>
    </w:p>
    <w:p w14:paraId="32218DC1">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（2）同类问题表述不一致；</w:t>
      </w:r>
    </w:p>
    <w:p w14:paraId="5B3414C8">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（3）有明显文字和计算错误；</w:t>
      </w:r>
    </w:p>
    <w:p w14:paraId="12B111F4">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）评标委员会认定的其他非实质性偏离。</w:t>
      </w:r>
    </w:p>
    <w:p w14:paraId="438C0A27">
      <w:pPr>
        <w:keepNext w:val="0"/>
        <w:keepLines w:val="0"/>
        <w:pageBreakBefore w:val="0"/>
        <w:kinsoku/>
        <w:wordWrap/>
        <w:overflowPunct/>
        <w:topLinePunct w:val="0"/>
        <w:bidi w:val="0"/>
        <w:spacing w:line="480" w:lineRule="exact"/>
        <w:ind w:left="0" w:leftChars="0" w:right="0" w:firstLine="440" w:firstLineChars="20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文件有上述（1）至（4）情形之一的，评标委员会应当书面要求投标人在规定的时间内予以澄清、说明或补正。投标人拒不或在规定的时间内没有进行澄清、说明或补正或澄清、说明、补正的内容也不能说明问题的，视为投标文件制作不规范，按每一项非实质性偏离进行扣分处理，直至该项分值扣完为止。</w:t>
      </w:r>
    </w:p>
    <w:p w14:paraId="4F292AAC">
      <w:pPr>
        <w:pStyle w:val="10"/>
        <w:keepNext w:val="0"/>
        <w:keepLines w:val="0"/>
        <w:pageBreakBefore w:val="0"/>
        <w:tabs>
          <w:tab w:val="left" w:pos="600"/>
        </w:tabs>
        <w:kinsoku/>
        <w:wordWrap/>
        <w:overflowPunct/>
        <w:topLinePunct w:val="0"/>
        <w:bidi w:val="0"/>
        <w:spacing w:line="480" w:lineRule="exact"/>
        <w:ind w:left="0" w:leftChars="0" w:right="0" w:firstLine="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综合评分明细表</w:t>
      </w:r>
    </w:p>
    <w:tbl>
      <w:tblPr>
        <w:tblStyle w:val="23"/>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58"/>
        <w:gridCol w:w="1926"/>
        <w:gridCol w:w="5992"/>
      </w:tblGrid>
      <w:tr w14:paraId="13B4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90" w:type="dxa"/>
            <w:noWrap w:val="0"/>
            <w:vAlign w:val="center"/>
          </w:tcPr>
          <w:p w14:paraId="68237319">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序号</w:t>
            </w:r>
          </w:p>
        </w:tc>
        <w:tc>
          <w:tcPr>
            <w:tcW w:w="1258" w:type="dxa"/>
            <w:noWrap w:val="0"/>
            <w:vAlign w:val="center"/>
          </w:tcPr>
          <w:p w14:paraId="575D3097">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评审因素</w:t>
            </w:r>
          </w:p>
        </w:tc>
        <w:tc>
          <w:tcPr>
            <w:tcW w:w="1926" w:type="dxa"/>
            <w:noWrap w:val="0"/>
            <w:vAlign w:val="center"/>
          </w:tcPr>
          <w:p w14:paraId="1E0CA9D0">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分值</w:t>
            </w:r>
          </w:p>
        </w:tc>
        <w:tc>
          <w:tcPr>
            <w:tcW w:w="5992" w:type="dxa"/>
            <w:noWrap w:val="0"/>
            <w:vAlign w:val="center"/>
          </w:tcPr>
          <w:p w14:paraId="2DDC7E81">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评审标准</w:t>
            </w:r>
          </w:p>
        </w:tc>
      </w:tr>
      <w:tr w14:paraId="7F5C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2" w:hRule="atLeast"/>
          <w:jc w:val="center"/>
        </w:trPr>
        <w:tc>
          <w:tcPr>
            <w:tcW w:w="490" w:type="dxa"/>
            <w:noWrap w:val="0"/>
            <w:vAlign w:val="center"/>
          </w:tcPr>
          <w:p w14:paraId="03F2BB88">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p>
        </w:tc>
        <w:tc>
          <w:tcPr>
            <w:tcW w:w="1258" w:type="dxa"/>
            <w:noWrap w:val="0"/>
            <w:vAlign w:val="center"/>
          </w:tcPr>
          <w:p w14:paraId="31DD3DAC">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p>
          <w:p w14:paraId="355227A7">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投标报价</w:t>
            </w:r>
          </w:p>
          <w:p w14:paraId="4EFEA776">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p>
        </w:tc>
        <w:tc>
          <w:tcPr>
            <w:tcW w:w="1926" w:type="dxa"/>
            <w:noWrap w:val="0"/>
            <w:vAlign w:val="center"/>
          </w:tcPr>
          <w:p w14:paraId="0431B395">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投标报</w:t>
            </w:r>
            <w:r>
              <w:rPr>
                <w:rFonts w:hint="eastAsia" w:ascii="仿宋" w:hAnsi="仿宋" w:eastAsia="仿宋" w:cs="仿宋"/>
                <w:color w:val="auto"/>
                <w:sz w:val="22"/>
                <w:szCs w:val="22"/>
                <w:highlight w:val="none"/>
                <w:lang w:val="en-US" w:eastAsia="zh-CN"/>
              </w:rPr>
              <w:t>价</w:t>
            </w:r>
            <w:r>
              <w:rPr>
                <w:rFonts w:hint="eastAsia" w:ascii="仿宋" w:hAnsi="仿宋" w:eastAsia="仿宋" w:cs="仿宋"/>
                <w:i w:val="0"/>
                <w:color w:val="auto"/>
                <w:kern w:val="2"/>
                <w:sz w:val="22"/>
                <w:szCs w:val="22"/>
                <w:highlight w:val="none"/>
                <w:lang w:val="en-US" w:eastAsia="zh-CN" w:bidi="ar-SA"/>
              </w:rPr>
              <w:t>（30分）</w:t>
            </w:r>
          </w:p>
        </w:tc>
        <w:tc>
          <w:tcPr>
            <w:tcW w:w="5992" w:type="dxa"/>
            <w:noWrap w:val="0"/>
            <w:vAlign w:val="center"/>
          </w:tcPr>
          <w:p w14:paraId="45A1860F">
            <w:pPr>
              <w:pStyle w:val="10"/>
              <w:keepNext w:val="0"/>
              <w:keepLines w:val="0"/>
              <w:pageBreakBefore w:val="0"/>
              <w:tabs>
                <w:tab w:val="left" w:pos="600"/>
              </w:tabs>
              <w:kinsoku/>
              <w:wordWrap/>
              <w:overflowPunct/>
              <w:topLinePunct w:val="0"/>
              <w:bidi w:val="0"/>
              <w:spacing w:line="360" w:lineRule="exact"/>
              <w:ind w:left="0" w:right="0" w:firstLine="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价格分采用低价优先法计算，即满足招标文件要求且投标价格最低的投标报价为评标基准价，其价格分为满分。其他供应商的价格分统一按照下列公式计算：投标报价得分=（评标基准价/投标报价）×价格权值（即30%）×100</w:t>
            </w:r>
            <w:r>
              <w:rPr>
                <w:rFonts w:hint="eastAsia" w:ascii="仿宋" w:hAnsi="仿宋" w:eastAsia="仿宋" w:cs="仿宋"/>
                <w:color w:val="auto"/>
                <w:sz w:val="22"/>
                <w:szCs w:val="22"/>
                <w:highlight w:val="none"/>
                <w:lang w:eastAsia="zh-CN"/>
              </w:rPr>
              <w:t>。</w:t>
            </w:r>
          </w:p>
        </w:tc>
      </w:tr>
      <w:tr w14:paraId="7EF9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Merge w:val="restart"/>
            <w:noWrap w:val="0"/>
            <w:vAlign w:val="center"/>
          </w:tcPr>
          <w:p w14:paraId="34939ADE">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258" w:type="dxa"/>
            <w:vMerge w:val="restart"/>
            <w:noWrap w:val="0"/>
            <w:vAlign w:val="center"/>
          </w:tcPr>
          <w:p w14:paraId="717A0FF7">
            <w:pPr>
              <w:keepNext w:val="0"/>
              <w:keepLines w:val="0"/>
              <w:pageBreakBefore w:val="0"/>
              <w:widowControl/>
              <w:suppressLineNumbers w:val="0"/>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技术评审</w:t>
            </w:r>
          </w:p>
        </w:tc>
        <w:tc>
          <w:tcPr>
            <w:tcW w:w="1926" w:type="dxa"/>
            <w:noWrap w:val="0"/>
            <w:vAlign w:val="center"/>
          </w:tcPr>
          <w:p w14:paraId="5D15E525">
            <w:pPr>
              <w:keepNext w:val="0"/>
              <w:keepLines w:val="0"/>
              <w:pageBreakBefore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采购需求响应程度 </w:t>
            </w:r>
            <w:r>
              <w:rPr>
                <w:rFonts w:hint="eastAsia" w:ascii="仿宋" w:hAnsi="仿宋" w:eastAsia="仿宋" w:cs="仿宋"/>
                <w:i w:val="0"/>
                <w:color w:val="auto"/>
                <w:kern w:val="2"/>
                <w:sz w:val="22"/>
                <w:szCs w:val="22"/>
                <w:highlight w:val="none"/>
                <w:lang w:val="en-US" w:eastAsia="zh-CN" w:bidi="ar-SA"/>
              </w:rPr>
              <w:t>（25分）</w:t>
            </w:r>
          </w:p>
        </w:tc>
        <w:tc>
          <w:tcPr>
            <w:tcW w:w="5992" w:type="dxa"/>
            <w:noWrap w:val="0"/>
            <w:vAlign w:val="top"/>
          </w:tcPr>
          <w:p w14:paraId="684CA2D7">
            <w:pPr>
              <w:keepNext w:val="0"/>
              <w:keepLines w:val="0"/>
              <w:pageBreakBefore w:val="0"/>
              <w:widowControl/>
              <w:suppressLineNumbers w:val="0"/>
              <w:kinsoku/>
              <w:wordWrap/>
              <w:overflowPunct/>
              <w:topLinePunct w:val="0"/>
              <w:bidi w:val="0"/>
              <w:spacing w:line="360" w:lineRule="exact"/>
              <w:ind w:left="0" w:right="0" w:firstLine="0"/>
              <w:jc w:val="lef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所投产品的技术指标评审：1.非标“▲”的技术参数或指标响应（无偏离）得8分，有一项负偏离扣0.2分，扣完为止。2.标“▲”的技术参数或指标响应（无偏离）得17分，有一项不满足负偏离扣0.5分，扣完为止。</w:t>
            </w:r>
          </w:p>
          <w:p w14:paraId="1D2D9D88">
            <w:pPr>
              <w:keepNext w:val="0"/>
              <w:keepLines w:val="0"/>
              <w:pageBreakBefore w:val="0"/>
              <w:widowControl/>
              <w:suppressLineNumbers w:val="0"/>
              <w:kinsoku/>
              <w:wordWrap/>
              <w:overflowPunct/>
              <w:topLinePunct w:val="0"/>
              <w:bidi w:val="0"/>
              <w:spacing w:line="360" w:lineRule="exact"/>
              <w:ind w:left="0" w:right="0" w:firstLine="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kern w:val="2"/>
                <w:sz w:val="22"/>
                <w:szCs w:val="22"/>
                <w:highlight w:val="none"/>
                <w:lang w:val="en-US" w:eastAsia="zh-CN" w:bidi="ar-SA"/>
              </w:rPr>
              <w:t>备注：1.标“▲</w:t>
            </w:r>
            <w:r>
              <w:rPr>
                <w:rFonts w:hint="eastAsia" w:ascii="仿宋" w:hAnsi="仿宋" w:eastAsia="仿宋" w:cs="仿宋"/>
                <w:color w:val="auto"/>
                <w:sz w:val="22"/>
                <w:szCs w:val="22"/>
                <w:highlight w:val="none"/>
                <w:lang w:val="en-US" w:eastAsia="zh-CN"/>
              </w:rPr>
              <w:t>”的技术参数或指标须提供真实有效的技术支持资料，技术支持资料指（包括但不限于产品质量检测报告或白皮书或宣传彩页等技术标准资料），未提供有效支持依据的可按负偏离处理。其他非</w:t>
            </w:r>
            <w:r>
              <w:rPr>
                <w:rFonts w:hint="eastAsia" w:ascii="仿宋" w:hAnsi="仿宋" w:eastAsia="仿宋" w:cs="仿宋"/>
                <w:color w:val="auto"/>
                <w:kern w:val="2"/>
                <w:sz w:val="22"/>
                <w:szCs w:val="22"/>
                <w:highlight w:val="none"/>
                <w:lang w:val="en-US" w:eastAsia="zh-CN" w:bidi="ar-SA"/>
              </w:rPr>
              <w:t>标</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kern w:val="2"/>
                <w:sz w:val="22"/>
                <w:szCs w:val="22"/>
                <w:highlight w:val="none"/>
                <w:lang w:val="en-US" w:eastAsia="zh-CN" w:bidi="ar-SA"/>
              </w:rPr>
              <w:t>▲</w:t>
            </w:r>
            <w:r>
              <w:rPr>
                <w:rFonts w:hint="eastAsia" w:ascii="仿宋" w:hAnsi="仿宋" w:eastAsia="仿宋" w:cs="仿宋"/>
                <w:color w:val="auto"/>
                <w:sz w:val="22"/>
                <w:szCs w:val="22"/>
                <w:highlight w:val="none"/>
                <w:lang w:val="en-US" w:eastAsia="zh-CN"/>
              </w:rPr>
              <w:t>”的技术参数或指标无特定要求的在偏离表中承诺满足参数即可。2.采购人保留核查真实性的权利。如供货时的技术参数与投标人投标文件内提供的技术参数不符，视为投标人虚假响应，招标人有权追究其违约责任。</w:t>
            </w:r>
          </w:p>
        </w:tc>
      </w:tr>
      <w:tr w14:paraId="0D02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90" w:type="dxa"/>
            <w:vMerge w:val="continue"/>
            <w:noWrap w:val="0"/>
            <w:vAlign w:val="center"/>
          </w:tcPr>
          <w:p w14:paraId="0139CC7D">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p>
        </w:tc>
        <w:tc>
          <w:tcPr>
            <w:tcW w:w="1258" w:type="dxa"/>
            <w:vMerge w:val="continue"/>
            <w:noWrap w:val="0"/>
            <w:vAlign w:val="center"/>
          </w:tcPr>
          <w:p w14:paraId="218357F8">
            <w:pPr>
              <w:keepNext w:val="0"/>
              <w:keepLines w:val="0"/>
              <w:pageBreakBefore w:val="0"/>
              <w:widowControl/>
              <w:suppressLineNumbers w:val="0"/>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p>
        </w:tc>
        <w:tc>
          <w:tcPr>
            <w:tcW w:w="1926" w:type="dxa"/>
            <w:noWrap w:val="0"/>
            <w:vAlign w:val="center"/>
          </w:tcPr>
          <w:p w14:paraId="46B88B1F">
            <w:pPr>
              <w:keepNext w:val="0"/>
              <w:keepLines w:val="0"/>
              <w:pageBreakBefore w:val="0"/>
              <w:kinsoku/>
              <w:wordWrap/>
              <w:overflowPunct/>
              <w:topLinePunct w:val="0"/>
              <w:autoSpaceDE/>
              <w:autoSpaceDN/>
              <w:bidi w:val="0"/>
              <w:adjustRightInd/>
              <w:snapToGrid/>
              <w:spacing w:line="360" w:lineRule="exact"/>
              <w:ind w:left="0" w:right="0" w:firstLine="0" w:firstLine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实施方案</w:t>
            </w:r>
            <w:r>
              <w:rPr>
                <w:rFonts w:hint="eastAsia" w:ascii="仿宋" w:hAnsi="仿宋" w:eastAsia="仿宋" w:cs="仿宋"/>
                <w:i w:val="0"/>
                <w:color w:val="auto"/>
                <w:kern w:val="2"/>
                <w:sz w:val="22"/>
                <w:szCs w:val="22"/>
                <w:highlight w:val="none"/>
                <w:lang w:val="en-US" w:eastAsia="zh-CN" w:bidi="ar-SA"/>
              </w:rPr>
              <w:t>（16分）</w:t>
            </w:r>
          </w:p>
        </w:tc>
        <w:tc>
          <w:tcPr>
            <w:tcW w:w="5992" w:type="dxa"/>
            <w:noWrap w:val="0"/>
            <w:vAlign w:val="top"/>
          </w:tcPr>
          <w:p w14:paraId="2C7A46ED">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评标</w:t>
            </w:r>
            <w:r>
              <w:rPr>
                <w:rFonts w:hint="eastAsia" w:ascii="仿宋" w:hAnsi="仿宋" w:eastAsia="仿宋" w:cs="仿宋"/>
                <w:color w:val="auto"/>
                <w:sz w:val="22"/>
                <w:szCs w:val="22"/>
                <w:highlight w:val="none"/>
                <w:lang w:val="en-US" w:eastAsia="zh-CN"/>
              </w:rPr>
              <w:t>委员会</w:t>
            </w:r>
            <w:r>
              <w:rPr>
                <w:rFonts w:hint="eastAsia" w:ascii="仿宋" w:hAnsi="仿宋" w:eastAsia="仿宋" w:cs="仿宋"/>
                <w:i w:val="0"/>
                <w:iCs w:val="0"/>
                <w:color w:val="auto"/>
                <w:sz w:val="22"/>
                <w:szCs w:val="22"/>
                <w:highlight w:val="none"/>
                <w:lang w:val="en-US" w:eastAsia="zh-CN"/>
              </w:rPr>
              <w:t>根</w:t>
            </w:r>
            <w:r>
              <w:rPr>
                <w:rFonts w:hint="eastAsia" w:ascii="仿宋" w:hAnsi="仿宋" w:eastAsia="仿宋" w:cs="仿宋"/>
                <w:color w:val="auto"/>
                <w:kern w:val="2"/>
                <w:sz w:val="22"/>
                <w:szCs w:val="22"/>
                <w:highlight w:val="none"/>
                <w:lang w:val="en-US" w:eastAsia="zh-CN" w:bidi="ar-SA"/>
              </w:rPr>
              <w:t>据各投标</w:t>
            </w:r>
            <w:r>
              <w:rPr>
                <w:rFonts w:hint="eastAsia" w:ascii="仿宋" w:hAnsi="仿宋" w:eastAsia="仿宋" w:cs="仿宋"/>
                <w:color w:val="auto"/>
                <w:sz w:val="22"/>
                <w:szCs w:val="22"/>
                <w:highlight w:val="none"/>
                <w:lang w:val="en-US" w:eastAsia="zh-CN"/>
              </w:rPr>
              <w:t>供应商提供的针对本项目制定的实施方案进行综合打分，包含但不限于：</w:t>
            </w:r>
          </w:p>
          <w:p w14:paraId="2A2D0451">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软硬件设备生产/采购方案；</w:t>
            </w:r>
          </w:p>
          <w:p w14:paraId="454D6F4A">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项目进度计划安排及项目实施全过程管理体系架构；</w:t>
            </w:r>
          </w:p>
          <w:p w14:paraId="46DFBD7F">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实施人员配置；</w:t>
            </w:r>
          </w:p>
          <w:p w14:paraId="74D04BE3">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运输配送方案；</w:t>
            </w:r>
          </w:p>
          <w:p w14:paraId="5FAA2C7E">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系统测试及维护方案；</w:t>
            </w:r>
          </w:p>
          <w:p w14:paraId="058417A7">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设备装卸及安装方案；</w:t>
            </w:r>
          </w:p>
          <w:p w14:paraId="5FAA5D68">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安全文明施工保障措施；</w:t>
            </w:r>
          </w:p>
          <w:p w14:paraId="6623B2E2">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验收方案等。</w:t>
            </w:r>
          </w:p>
          <w:p w14:paraId="68748E2B">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方案包含以上全部内容且有具体详细的阐述，阐述逻辑严谨，符合项目实际的得16分，每缺少一项内容的扣2分，方案中每有一处内容不符合本项目特点和实际需求的扣0.5分，扣完为止。</w:t>
            </w:r>
          </w:p>
          <w:p w14:paraId="79B2F6D6">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kern w:val="2"/>
                <w:sz w:val="22"/>
                <w:szCs w:val="22"/>
                <w:highlight w:val="none"/>
                <w:lang w:val="zh-CN" w:eastAsia="zh-CN" w:bidi="ar-SA"/>
              </w:rPr>
            </w:pPr>
            <w:r>
              <w:rPr>
                <w:rFonts w:hint="eastAsia" w:ascii="仿宋" w:hAnsi="仿宋" w:eastAsia="仿宋" w:cs="仿宋"/>
                <w:color w:val="auto"/>
                <w:sz w:val="22"/>
                <w:szCs w:val="22"/>
                <w:highlight w:val="none"/>
                <w:lang w:val="en-US" w:eastAsia="zh-CN"/>
              </w:rPr>
              <w:t>注：（1）内容不符合本项目特点和实际需求是指内容不满足项目要求或与项目无关的或与项目不匹配或项目名称、实施地点、涉及的规范、技术服务标准要求等与本项目不一致等情形。（2）以评标委员会结合招标文件要求及投标响应文件内容独立评审为准</w:t>
            </w:r>
          </w:p>
        </w:tc>
      </w:tr>
      <w:tr w14:paraId="7F2A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90" w:type="dxa"/>
            <w:vMerge w:val="continue"/>
            <w:noWrap w:val="0"/>
            <w:vAlign w:val="center"/>
          </w:tcPr>
          <w:p w14:paraId="752E9765">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p>
        </w:tc>
        <w:tc>
          <w:tcPr>
            <w:tcW w:w="1258" w:type="dxa"/>
            <w:vMerge w:val="continue"/>
            <w:noWrap w:val="0"/>
            <w:vAlign w:val="center"/>
          </w:tcPr>
          <w:p w14:paraId="4AE686A5">
            <w:pPr>
              <w:keepNext w:val="0"/>
              <w:keepLines w:val="0"/>
              <w:pageBreakBefore w:val="0"/>
              <w:widowControl/>
              <w:suppressLineNumbers w:val="0"/>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p>
        </w:tc>
        <w:tc>
          <w:tcPr>
            <w:tcW w:w="1926" w:type="dxa"/>
            <w:noWrap w:val="0"/>
            <w:vAlign w:val="center"/>
          </w:tcPr>
          <w:p w14:paraId="4C2150E7">
            <w:pPr>
              <w:keepNext w:val="0"/>
              <w:keepLines w:val="0"/>
              <w:pageBreakBefore w:val="0"/>
              <w:widowControl/>
              <w:suppressLineNumbers w:val="0"/>
              <w:kinsoku/>
              <w:wordWrap/>
              <w:overflowPunct/>
              <w:topLinePunct w:val="0"/>
              <w:bidi w:val="0"/>
              <w:spacing w:line="360" w:lineRule="exact"/>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质量保证措施</w:t>
            </w:r>
            <w:r>
              <w:rPr>
                <w:rFonts w:hint="eastAsia" w:ascii="仿宋" w:hAnsi="仿宋" w:eastAsia="仿宋" w:cs="仿宋"/>
                <w:color w:val="auto"/>
                <w:sz w:val="22"/>
                <w:szCs w:val="22"/>
                <w:highlight w:val="none"/>
                <w:lang w:val="en-US" w:eastAsia="zh-CN"/>
              </w:rPr>
              <w:t>（6分）</w:t>
            </w:r>
          </w:p>
        </w:tc>
        <w:tc>
          <w:tcPr>
            <w:tcW w:w="5992" w:type="dxa"/>
            <w:noWrap w:val="0"/>
            <w:vAlign w:val="center"/>
          </w:tcPr>
          <w:p w14:paraId="0CC6B111">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评标</w:t>
            </w:r>
            <w:r>
              <w:rPr>
                <w:rFonts w:hint="eastAsia" w:ascii="仿宋" w:hAnsi="仿宋" w:eastAsia="仿宋" w:cs="仿宋"/>
                <w:color w:val="auto"/>
                <w:sz w:val="22"/>
                <w:szCs w:val="22"/>
                <w:highlight w:val="none"/>
                <w:lang w:val="en-US" w:eastAsia="zh-CN"/>
              </w:rPr>
              <w:t>委员会根据各投标供应商提供的针对本项目制定的产品质量保障措施方案进行综合打分，包含但不限于：（1）质量保障目标；（2）质量保障措施；（3）质量保障制度等。</w:t>
            </w:r>
          </w:p>
          <w:p w14:paraId="4BFB5A1C">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方案包含以上全部内容且有具体详细的阐述，阐述逻辑严谨，符合项目实际的得6分，每缺少一项内容的扣2分，方案中每有一处内容不符合本项目特点和实际需求的扣0.5分，扣完为止。</w:t>
            </w:r>
          </w:p>
          <w:p w14:paraId="354C6CE6">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注：（1）内容不符合本项目特点和实际需求是指内容不满足项目要求或与项目无关的或与项目不匹配或项目名称、实施地点、涉及的规范、技术服务标准要求等与本项目不一致等情形。（2）以评标委员会结合招标文件要求及投标响应文件内容独立评审为准</w:t>
            </w:r>
          </w:p>
        </w:tc>
      </w:tr>
      <w:tr w14:paraId="6918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Merge w:val="continue"/>
            <w:noWrap w:val="0"/>
            <w:vAlign w:val="center"/>
          </w:tcPr>
          <w:p w14:paraId="776100B1">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p>
        </w:tc>
        <w:tc>
          <w:tcPr>
            <w:tcW w:w="1258" w:type="dxa"/>
            <w:vMerge w:val="continue"/>
            <w:noWrap w:val="0"/>
            <w:vAlign w:val="center"/>
          </w:tcPr>
          <w:p w14:paraId="6F80A24C">
            <w:pPr>
              <w:keepNext w:val="0"/>
              <w:keepLines w:val="0"/>
              <w:pageBreakBefore w:val="0"/>
              <w:widowControl/>
              <w:suppressLineNumbers w:val="0"/>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p>
        </w:tc>
        <w:tc>
          <w:tcPr>
            <w:tcW w:w="1926" w:type="dxa"/>
            <w:noWrap w:val="0"/>
            <w:vAlign w:val="center"/>
          </w:tcPr>
          <w:p w14:paraId="75495E06">
            <w:pPr>
              <w:keepNext w:val="0"/>
              <w:keepLines w:val="0"/>
              <w:pageBreakBefore w:val="0"/>
              <w:widowControl/>
              <w:suppressLineNumbers w:val="0"/>
              <w:kinsoku/>
              <w:wordWrap/>
              <w:overflowPunct/>
              <w:topLinePunct w:val="0"/>
              <w:bidi w:val="0"/>
              <w:spacing w:line="360" w:lineRule="exact"/>
              <w:jc w:val="center"/>
              <w:textAlignment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培训方案（7分）</w:t>
            </w:r>
          </w:p>
        </w:tc>
        <w:tc>
          <w:tcPr>
            <w:tcW w:w="5992" w:type="dxa"/>
            <w:noWrap w:val="0"/>
            <w:vAlign w:val="center"/>
          </w:tcPr>
          <w:p w14:paraId="777FECBF">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一、培训方案（3分）</w:t>
            </w:r>
          </w:p>
          <w:p w14:paraId="611B28ED">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评标委员会根据各投标供应商提供的项目培训方案进行打分：包含但不限于：①培训内容、②培训方式、③培训体系。</w:t>
            </w:r>
          </w:p>
          <w:p w14:paraId="44462C8F">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方案包含以上全部内容且有具体详细的阐述，阐述逻辑严谨，符合项目实际的得3分，每缺少一项内容的扣1分，方案中每有一处内容不符合本项目特点和实际需求的扣0.5分，扣完为止。</w:t>
            </w:r>
          </w:p>
          <w:p w14:paraId="0E0C94C7">
            <w:pPr>
              <w:keepNext w:val="0"/>
              <w:keepLines w:val="0"/>
              <w:pageBreakBefore w:val="0"/>
              <w:widowControl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注：（1）内容不符合本项目特点和实际需求是指内容不满足项目要求或与项目无关的或与项目不匹配或项目名称、实施地点、涉及的规范、技术服务标准要求等与本项目不一致等情形。（2）以评标委员会结合招标文件要求及投标响应文件内容独立评审为准</w:t>
            </w:r>
          </w:p>
          <w:p w14:paraId="68A34BA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color w:val="auto"/>
                <w:sz w:val="22"/>
                <w:szCs w:val="22"/>
                <w:highlight w:val="none"/>
                <w:lang w:val="en-US" w:eastAsia="zh-CN"/>
              </w:rPr>
            </w:pPr>
            <w:r>
              <w:rPr>
                <w:rFonts w:hint="default" w:ascii="仿宋" w:hAnsi="仿宋" w:eastAsia="仿宋" w:cs="仿宋"/>
                <w:color w:val="auto"/>
                <w:sz w:val="22"/>
                <w:szCs w:val="22"/>
                <w:highlight w:val="none"/>
                <w:lang w:val="en-US" w:eastAsia="zh-CN"/>
              </w:rPr>
              <w:t>二、培训实施展示（分值</w:t>
            </w:r>
            <w:r>
              <w:rPr>
                <w:rFonts w:hint="eastAsia" w:ascii="仿宋" w:hAnsi="仿宋" w:eastAsia="仿宋" w:cs="仿宋"/>
                <w:color w:val="auto"/>
                <w:sz w:val="22"/>
                <w:szCs w:val="22"/>
                <w:highlight w:val="none"/>
                <w:lang w:val="en-US" w:eastAsia="zh-CN"/>
              </w:rPr>
              <w:t>4</w:t>
            </w:r>
            <w:r>
              <w:rPr>
                <w:rFonts w:hint="default" w:ascii="仿宋" w:hAnsi="仿宋" w:eastAsia="仿宋" w:cs="仿宋"/>
                <w:color w:val="auto"/>
                <w:sz w:val="22"/>
                <w:szCs w:val="22"/>
                <w:highlight w:val="none"/>
                <w:lang w:val="en-US" w:eastAsia="zh-CN"/>
              </w:rPr>
              <w:t>分）</w:t>
            </w:r>
          </w:p>
          <w:p w14:paraId="3A2EB6C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color w:val="auto"/>
                <w:sz w:val="22"/>
                <w:szCs w:val="22"/>
                <w:highlight w:val="none"/>
                <w:lang w:val="en-US" w:eastAsia="zh-CN"/>
              </w:rPr>
            </w:pPr>
            <w:r>
              <w:rPr>
                <w:rFonts w:hint="default" w:ascii="仿宋" w:hAnsi="仿宋" w:eastAsia="仿宋" w:cs="仿宋"/>
                <w:color w:val="auto"/>
                <w:sz w:val="22"/>
                <w:szCs w:val="22"/>
                <w:highlight w:val="none"/>
                <w:lang w:val="en-US" w:eastAsia="zh-CN"/>
              </w:rPr>
              <w:t>供应商</w:t>
            </w:r>
            <w:r>
              <w:rPr>
                <w:rFonts w:hint="eastAsia" w:ascii="仿宋" w:hAnsi="仿宋" w:eastAsia="仿宋" w:cs="仿宋"/>
                <w:color w:val="auto"/>
                <w:sz w:val="22"/>
                <w:szCs w:val="22"/>
                <w:highlight w:val="none"/>
                <w:lang w:val="en-US" w:eastAsia="zh-CN"/>
              </w:rPr>
              <w:t>可根据</w:t>
            </w:r>
            <w:r>
              <w:rPr>
                <w:rFonts w:hint="default" w:ascii="仿宋" w:hAnsi="仿宋" w:eastAsia="仿宋" w:cs="仿宋"/>
                <w:color w:val="auto"/>
                <w:sz w:val="22"/>
                <w:szCs w:val="22"/>
                <w:highlight w:val="none"/>
                <w:lang w:val="en-US" w:eastAsia="zh-CN"/>
              </w:rPr>
              <w:t>本项目</w:t>
            </w:r>
            <w:r>
              <w:rPr>
                <w:rFonts w:hint="eastAsia" w:ascii="仿宋" w:hAnsi="仿宋" w:eastAsia="仿宋" w:cs="仿宋"/>
                <w:color w:val="auto"/>
                <w:sz w:val="22"/>
                <w:szCs w:val="22"/>
                <w:highlight w:val="none"/>
                <w:lang w:val="en-US" w:eastAsia="zh-CN"/>
              </w:rPr>
              <w:t>需求结合</w:t>
            </w:r>
            <w:r>
              <w:rPr>
                <w:rFonts w:hint="default" w:ascii="仿宋" w:hAnsi="仿宋" w:eastAsia="仿宋" w:cs="仿宋"/>
                <w:color w:val="auto"/>
                <w:sz w:val="22"/>
                <w:szCs w:val="22"/>
                <w:highlight w:val="none"/>
                <w:lang w:val="en-US" w:eastAsia="zh-CN"/>
              </w:rPr>
              <w:t>教学、培训实际业务</w:t>
            </w:r>
            <w:r>
              <w:rPr>
                <w:rFonts w:hint="eastAsia" w:ascii="仿宋" w:hAnsi="仿宋" w:eastAsia="仿宋" w:cs="仿宋"/>
                <w:color w:val="auto"/>
                <w:sz w:val="22"/>
                <w:szCs w:val="22"/>
                <w:highlight w:val="none"/>
                <w:lang w:val="en-US" w:eastAsia="zh-CN"/>
              </w:rPr>
              <w:t>开展</w:t>
            </w:r>
            <w:r>
              <w:rPr>
                <w:rFonts w:hint="default" w:ascii="仿宋" w:hAnsi="仿宋" w:eastAsia="仿宋" w:cs="仿宋"/>
                <w:color w:val="auto"/>
                <w:sz w:val="22"/>
                <w:szCs w:val="22"/>
                <w:highlight w:val="none"/>
                <w:lang w:val="en-US" w:eastAsia="zh-CN"/>
              </w:rPr>
              <w:t>配备一体化智慧教育平台，平台集成完整教学运营管理功能体系，可支撑日常教学实施、线上培训流程，平台搭载六大核心管理模块，包含</w:t>
            </w:r>
            <w:r>
              <w:rPr>
                <w:rFonts w:hint="eastAsia" w:ascii="仿宋" w:hAnsi="仿宋" w:eastAsia="仿宋" w:cs="仿宋"/>
                <w:color w:val="auto"/>
                <w:sz w:val="22"/>
                <w:szCs w:val="22"/>
                <w:highlight w:val="none"/>
                <w:lang w:val="en-US" w:eastAsia="zh-CN"/>
              </w:rPr>
              <w:t>但不限于</w:t>
            </w:r>
            <w:r>
              <w:rPr>
                <w:rFonts w:hint="default" w:ascii="仿宋" w:hAnsi="仿宋" w:eastAsia="仿宋" w:cs="仿宋"/>
                <w:color w:val="auto"/>
                <w:sz w:val="22"/>
                <w:szCs w:val="22"/>
                <w:highlight w:val="none"/>
                <w:lang w:val="en-US" w:eastAsia="zh-CN"/>
              </w:rPr>
              <w:t>：①课程资源管理系统、②名师资源管理系统、③课件制作与分享管理模块、④学习进度管控系统、⑤线上赛事管理系统、⑥家校协同管理系统。</w:t>
            </w:r>
          </w:p>
          <w:p w14:paraId="100F262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1.</w:t>
            </w:r>
            <w:r>
              <w:rPr>
                <w:rFonts w:hint="default" w:ascii="仿宋" w:hAnsi="仿宋" w:eastAsia="仿宋" w:cs="仿宋"/>
                <w:b w:val="0"/>
                <w:bCs w:val="0"/>
                <w:color w:val="auto"/>
                <w:sz w:val="22"/>
                <w:szCs w:val="22"/>
                <w:highlight w:val="none"/>
                <w:lang w:val="en-US" w:eastAsia="zh-CN"/>
              </w:rPr>
              <w:t>供应商完整提供六大模块详细功能阐述、全套合规界面截图、加盖厂家鲜章的平台官网链接材料，内容贴合本项目教学培训实际需求，材料齐全且全部符合提交规范，得 4 分；</w:t>
            </w:r>
          </w:p>
          <w:p w14:paraId="34ABE3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w:t>
            </w:r>
            <w:r>
              <w:rPr>
                <w:rFonts w:hint="default" w:ascii="仿宋" w:hAnsi="仿宋" w:eastAsia="仿宋" w:cs="仿宋"/>
                <w:b w:val="0"/>
                <w:bCs w:val="0"/>
                <w:color w:val="auto"/>
                <w:sz w:val="22"/>
                <w:szCs w:val="22"/>
                <w:highlight w:val="none"/>
                <w:lang w:val="en-US" w:eastAsia="zh-CN"/>
              </w:rPr>
              <w:t>仅缺失少量辅助材料、模块功能阐述不完善或部分截图不清晰，但核心六大模块截图、官网链接、厂家鲜章均齐全，得 2 分；</w:t>
            </w:r>
          </w:p>
          <w:p w14:paraId="5C2ACA0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3.</w:t>
            </w:r>
            <w:r>
              <w:rPr>
                <w:rFonts w:hint="default" w:ascii="仿宋" w:hAnsi="仿宋" w:eastAsia="仿宋" w:cs="仿宋"/>
                <w:b w:val="0"/>
                <w:bCs w:val="0"/>
                <w:color w:val="auto"/>
                <w:sz w:val="22"/>
                <w:szCs w:val="22"/>
                <w:highlight w:val="none"/>
                <w:lang w:val="en-US" w:eastAsia="zh-CN"/>
              </w:rPr>
              <w:t>六大模块佐证截图、平台官网链接、厂家鲜章任意一项核心内容缺失，本项不得分。</w:t>
            </w:r>
          </w:p>
          <w:p w14:paraId="6EA298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eastAsia" w:ascii="仿宋" w:hAnsi="仿宋" w:eastAsia="仿宋" w:cs="仿宋"/>
                <w:b/>
                <w:bCs/>
                <w:color w:val="auto"/>
                <w:sz w:val="22"/>
                <w:szCs w:val="22"/>
                <w:highlight w:val="none"/>
                <w:lang w:val="en-US" w:eastAsia="zh-CN"/>
              </w:rPr>
            </w:pPr>
            <w:r>
              <w:rPr>
                <w:rFonts w:hint="default" w:ascii="仿宋" w:hAnsi="仿宋" w:eastAsia="仿宋" w:cs="仿宋"/>
                <w:b/>
                <w:bCs/>
                <w:color w:val="auto"/>
                <w:sz w:val="22"/>
                <w:szCs w:val="22"/>
                <w:highlight w:val="none"/>
                <w:lang w:val="en-US" w:eastAsia="zh-CN"/>
              </w:rPr>
              <w:t>佐证材料提交规范要求</w:t>
            </w:r>
            <w:r>
              <w:rPr>
                <w:rFonts w:hint="eastAsia" w:ascii="仿宋" w:hAnsi="仿宋" w:eastAsia="仿宋" w:cs="仿宋"/>
                <w:b/>
                <w:bCs/>
                <w:color w:val="auto"/>
                <w:sz w:val="22"/>
                <w:szCs w:val="22"/>
                <w:highlight w:val="none"/>
                <w:lang w:val="en-US" w:eastAsia="zh-CN"/>
              </w:rPr>
              <w:t>：</w:t>
            </w:r>
          </w:p>
          <w:p w14:paraId="76C0942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r>
              <w:rPr>
                <w:rFonts w:hint="default" w:ascii="仿宋" w:hAnsi="仿宋" w:eastAsia="仿宋" w:cs="仿宋"/>
                <w:color w:val="auto"/>
                <w:sz w:val="22"/>
                <w:szCs w:val="22"/>
                <w:highlight w:val="none"/>
                <w:lang w:val="en-US" w:eastAsia="zh-CN"/>
              </w:rPr>
              <w:t>六大系统模块需逐项单独提供对应功能真实操作界面完整截图，截图画面清晰可见对应模块名称、实操功能页面；严禁使用示意效果图、模拟界面、网络通用模板图片，截图无法辨识、素材造假均视为该项材料缺失。</w:t>
            </w:r>
          </w:p>
          <w:p w14:paraId="071B4AF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r>
              <w:rPr>
                <w:rFonts w:hint="default" w:ascii="仿宋" w:hAnsi="仿宋" w:eastAsia="仿宋" w:cs="仿宋"/>
                <w:color w:val="auto"/>
                <w:sz w:val="22"/>
                <w:szCs w:val="22"/>
                <w:highlight w:val="none"/>
                <w:lang w:val="en-US" w:eastAsia="zh-CN"/>
              </w:rPr>
              <w:t>提供供应商智慧教育平台官方有效网址链接，链接可正常打开访问，网页主体信息可佐证平台归属为本供应商。</w:t>
            </w:r>
          </w:p>
          <w:p w14:paraId="6088E2A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r>
              <w:rPr>
                <w:rFonts w:hint="default" w:ascii="仿宋" w:hAnsi="仿宋" w:eastAsia="仿宋" w:cs="仿宋"/>
                <w:color w:val="auto"/>
                <w:sz w:val="22"/>
                <w:szCs w:val="22"/>
                <w:highlight w:val="none"/>
                <w:lang w:val="en-US" w:eastAsia="zh-CN"/>
              </w:rPr>
              <w:t>全部系统界面截图纸质打印件、平台官网链接纸质说明材料，均须加盖生产厂家红鲜章；仅复印件盖章、无厂家鲜章、盖章模糊无法辨认的，均认定材料无效。</w:t>
            </w:r>
          </w:p>
        </w:tc>
      </w:tr>
      <w:tr w14:paraId="3232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4" w:hRule="atLeast"/>
          <w:jc w:val="center"/>
        </w:trPr>
        <w:tc>
          <w:tcPr>
            <w:tcW w:w="490" w:type="dxa"/>
            <w:vMerge w:val="restart"/>
            <w:noWrap w:val="0"/>
            <w:vAlign w:val="center"/>
          </w:tcPr>
          <w:p w14:paraId="6798579D">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258" w:type="dxa"/>
            <w:vMerge w:val="restart"/>
            <w:shd w:val="clear" w:color="auto" w:fill="auto"/>
            <w:noWrap w:val="0"/>
            <w:vAlign w:val="center"/>
          </w:tcPr>
          <w:p w14:paraId="407D953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商务评审</w:t>
            </w:r>
          </w:p>
        </w:tc>
        <w:tc>
          <w:tcPr>
            <w:tcW w:w="1926" w:type="dxa"/>
            <w:noWrap w:val="0"/>
            <w:vAlign w:val="center"/>
          </w:tcPr>
          <w:p w14:paraId="3754291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 w:hAnsi="仿宋" w:eastAsia="仿宋" w:cs="仿宋"/>
                <w:color w:val="auto"/>
                <w:spacing w:val="-9"/>
                <w:sz w:val="22"/>
                <w:szCs w:val="22"/>
                <w:highlight w:val="none"/>
              </w:rPr>
            </w:pPr>
            <w:r>
              <w:rPr>
                <w:rFonts w:hint="eastAsia" w:ascii="仿宋" w:hAnsi="仿宋" w:eastAsia="仿宋" w:cs="仿宋"/>
                <w:color w:val="auto"/>
                <w:sz w:val="22"/>
                <w:szCs w:val="22"/>
                <w:highlight w:val="none"/>
                <w:lang w:val="en-US" w:eastAsia="zh-CN"/>
              </w:rPr>
              <w:t>企业综合实力（4分）</w:t>
            </w:r>
          </w:p>
        </w:tc>
        <w:tc>
          <w:tcPr>
            <w:tcW w:w="5992" w:type="dxa"/>
            <w:noWrap w:val="0"/>
            <w:vAlign w:val="top"/>
          </w:tcPr>
          <w:p w14:paraId="2FD074FB">
            <w:pPr>
              <w:keepNext w:val="0"/>
              <w:keepLines w:val="0"/>
              <w:pageBreakBefore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评标委员会结合各投标供应商提交的资质、平台、资源库等证明材料，对企业研发、产品生产、平台开发综合实力进行逐项评审打分：</w:t>
            </w:r>
          </w:p>
          <w:p w14:paraId="5384D8E1">
            <w:pPr>
              <w:keepNext w:val="0"/>
              <w:keepLines w:val="0"/>
              <w:pageBreakBefore w:val="0"/>
              <w:numPr>
                <w:ilvl w:val="0"/>
                <w:numId w:val="2"/>
              </w:numPr>
              <w:kinsoku/>
              <w:wordWrap/>
              <w:overflowPunct/>
              <w:topLinePunct w:val="0"/>
              <w:autoSpaceDE w:val="0"/>
              <w:autoSpaceDN w:val="0"/>
              <w:bidi w:val="0"/>
              <w:adjustRightInd w:val="0"/>
              <w:snapToGrid w:val="0"/>
              <w:spacing w:line="360" w:lineRule="exact"/>
              <w:ind w:leftChars="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研发与产品储备实力证明：供应商具备自主研发校园功能教室配套产品资源库，资源模型总数不少于 800 种，满足要求得2分，不满足不得分。</w:t>
            </w:r>
          </w:p>
          <w:p w14:paraId="5C185BE3">
            <w:pPr>
              <w:keepNext w:val="0"/>
              <w:keepLines w:val="0"/>
              <w:pageBreakBefore w:val="0"/>
              <w:numPr>
                <w:ilvl w:val="0"/>
                <w:numId w:val="0"/>
              </w:numPr>
              <w:kinsoku/>
              <w:wordWrap/>
              <w:overflowPunct/>
              <w:topLinePunct w:val="0"/>
              <w:autoSpaceDE w:val="0"/>
              <w:autoSpaceDN w:val="0"/>
              <w:bidi w:val="0"/>
              <w:adjustRightInd w:val="0"/>
              <w:snapToGrid w:val="0"/>
              <w:spacing w:line="360" w:lineRule="exact"/>
              <w:ind w:right="0" w:rightChars="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注：须提供完整资源库后台资源数量展示界面截图，同时附可正常访问的企业官方网站有效链接，未提供截图、资源数量不足 800 种、缺失官网链接均不予计分。</w:t>
            </w:r>
          </w:p>
          <w:p w14:paraId="39647B7F">
            <w:pPr>
              <w:keepNext w:val="0"/>
              <w:keepLines w:val="0"/>
              <w:pageBreakBefore w:val="0"/>
              <w:numPr>
                <w:ilvl w:val="0"/>
                <w:numId w:val="2"/>
              </w:numPr>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教学平台开发运营实力证明：供应商具备自主研发、可稳定支撑教师线上排课、交互式课件制作、日常教学统筹等核心功能的一体化教学管理平台得2分；不提供不得分。</w:t>
            </w:r>
          </w:p>
          <w:p w14:paraId="649D996A">
            <w:pPr>
              <w:keepNext w:val="0"/>
              <w:keepLines w:val="0"/>
              <w:pageBreakBefore w:val="0"/>
              <w:numPr>
                <w:ilvl w:val="0"/>
                <w:numId w:val="0"/>
              </w:numPr>
              <w:kinsoku/>
              <w:wordWrap/>
              <w:overflowPunct/>
              <w:topLinePunct w:val="0"/>
              <w:autoSpaceDE w:val="0"/>
              <w:autoSpaceDN w:val="0"/>
              <w:bidi w:val="0"/>
              <w:adjustRightInd w:val="0"/>
              <w:snapToGrid w:val="0"/>
              <w:spacing w:line="360" w:lineRule="exact"/>
              <w:ind w:leftChars="0" w:right="0" w:right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注：须提供平台完整UI操作界面截图、企业官方网站页面截图，所有纸质佐证材料须加盖供应商企业鲜章；截图模糊无法辨识、缺少官网截图、未加盖企业公章均视为该项材料无效，不予计分。</w:t>
            </w:r>
          </w:p>
        </w:tc>
      </w:tr>
      <w:tr w14:paraId="0D0C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90" w:type="dxa"/>
            <w:vMerge w:val="continue"/>
            <w:noWrap w:val="0"/>
            <w:vAlign w:val="center"/>
          </w:tcPr>
          <w:p w14:paraId="4CC51011">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p>
        </w:tc>
        <w:tc>
          <w:tcPr>
            <w:tcW w:w="1258" w:type="dxa"/>
            <w:vMerge w:val="continue"/>
            <w:shd w:val="clear" w:color="auto" w:fill="auto"/>
            <w:noWrap w:val="0"/>
            <w:vAlign w:val="center"/>
          </w:tcPr>
          <w:p w14:paraId="63DF651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 w:hAnsi="仿宋" w:eastAsia="仿宋" w:cs="仿宋"/>
                <w:color w:val="auto"/>
                <w:kern w:val="2"/>
                <w:sz w:val="22"/>
                <w:szCs w:val="22"/>
                <w:highlight w:val="none"/>
                <w:lang w:val="en-US" w:eastAsia="zh-CN" w:bidi="ar-SA"/>
              </w:rPr>
            </w:pPr>
          </w:p>
        </w:tc>
        <w:tc>
          <w:tcPr>
            <w:tcW w:w="1926" w:type="dxa"/>
            <w:shd w:val="clear" w:color="auto" w:fill="auto"/>
            <w:noWrap w:val="0"/>
            <w:vAlign w:val="center"/>
          </w:tcPr>
          <w:p w14:paraId="03E9E2D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仿宋" w:hAnsi="仿宋" w:eastAsia="仿宋" w:cs="仿宋"/>
                <w:color w:val="auto"/>
                <w:spacing w:val="-9"/>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售后服务方案（10分）</w:t>
            </w:r>
          </w:p>
        </w:tc>
        <w:tc>
          <w:tcPr>
            <w:tcW w:w="5992" w:type="dxa"/>
            <w:shd w:val="clear" w:color="auto" w:fill="auto"/>
            <w:noWrap w:val="0"/>
            <w:vAlign w:val="top"/>
          </w:tcPr>
          <w:p w14:paraId="3AC2F4EA">
            <w:pPr>
              <w:keepNext w:val="0"/>
              <w:keepLines w:val="0"/>
              <w:pageBreakBefore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评标委员会根据各投标供应商提供的售后服务方案进行综合评分，包含但不限于：（1）售后服务质量保障措施；（2）售后服务人员配置；（3）售后维修方案及定期维护保养、巡检方案；（4）产品调换货方案；（5）应急预案等。</w:t>
            </w:r>
          </w:p>
          <w:p w14:paraId="512DB9C3">
            <w:pPr>
              <w:keepNext w:val="0"/>
              <w:keepLines w:val="0"/>
              <w:pageBreakBefore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kern w:val="0"/>
                <w:sz w:val="22"/>
                <w:szCs w:val="22"/>
                <w:highlight w:val="none"/>
                <w:lang w:val="en-US" w:eastAsia="zh-CN" w:bidi="ar"/>
              </w:rPr>
            </w:pPr>
            <w:r>
              <w:rPr>
                <w:rFonts w:hint="eastAsia" w:ascii="仿宋" w:hAnsi="仿宋" w:eastAsia="仿宋" w:cs="仿宋"/>
                <w:color w:val="auto"/>
                <w:kern w:val="0"/>
                <w:sz w:val="22"/>
                <w:szCs w:val="22"/>
                <w:highlight w:val="none"/>
                <w:lang w:val="en-US" w:eastAsia="zh-CN" w:bidi="ar"/>
              </w:rPr>
              <w:t>方案包含以上全部内容且有具体详细的阐述，阐述逻辑严谨，符合项目实际的得10分，每缺少一项内容的扣2分，方案中每有一处内容不符合本项目特点和实际需求的扣0.5分，扣完为止。</w:t>
            </w:r>
          </w:p>
          <w:p w14:paraId="65F399BF">
            <w:pPr>
              <w:keepNext w:val="0"/>
              <w:keepLines w:val="0"/>
              <w:pageBreakBefore w:val="0"/>
              <w:kinsoku/>
              <w:wordWrap/>
              <w:overflowPunct/>
              <w:topLinePunct w:val="0"/>
              <w:autoSpaceDE w:val="0"/>
              <w:autoSpaceDN w:val="0"/>
              <w:bidi w:val="0"/>
              <w:adjustRightInd w:val="0"/>
              <w:snapToGrid w:val="0"/>
              <w:spacing w:line="360" w:lineRule="exact"/>
              <w:ind w:left="0" w:leftChars="0" w:right="0" w:rightChars="0" w:firstLine="0" w:firstLineChars="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0"/>
                <w:sz w:val="22"/>
                <w:szCs w:val="22"/>
                <w:highlight w:val="none"/>
                <w:lang w:val="en-US" w:eastAsia="zh-CN" w:bidi="ar"/>
              </w:rPr>
              <w:t>注：（1）内容不符合本项目特点和实际需求是指内容不满足项目要求或与项目无关的或与项目不匹配或项目名称、实施地点、涉及的规范、技术服务标准要求等与本项目不一致等情形。（2）以评标委员会结合招标文件要求及投标响应文件内容独立评审为准。</w:t>
            </w:r>
          </w:p>
        </w:tc>
      </w:tr>
      <w:tr w14:paraId="521C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490" w:type="dxa"/>
            <w:vMerge w:val="continue"/>
            <w:noWrap w:val="0"/>
            <w:vAlign w:val="center"/>
          </w:tcPr>
          <w:p w14:paraId="02999610">
            <w:pPr>
              <w:pStyle w:val="10"/>
              <w:keepNext w:val="0"/>
              <w:keepLines w:val="0"/>
              <w:pageBreakBefore w:val="0"/>
              <w:tabs>
                <w:tab w:val="left" w:pos="600"/>
              </w:tabs>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lang w:val="en-US" w:eastAsia="zh-CN"/>
              </w:rPr>
            </w:pPr>
          </w:p>
        </w:tc>
        <w:tc>
          <w:tcPr>
            <w:tcW w:w="1258" w:type="dxa"/>
            <w:vMerge w:val="continue"/>
            <w:noWrap w:val="0"/>
            <w:vAlign w:val="center"/>
          </w:tcPr>
          <w:p w14:paraId="68F2F0A1">
            <w:pPr>
              <w:pStyle w:val="10"/>
              <w:keepNext w:val="0"/>
              <w:keepLines w:val="0"/>
              <w:pageBreakBefore w:val="0"/>
              <w:tabs>
                <w:tab w:val="left" w:pos="600"/>
              </w:tabs>
              <w:kinsoku/>
              <w:wordWrap/>
              <w:overflowPunct/>
              <w:topLinePunct w:val="0"/>
              <w:bidi w:val="0"/>
              <w:spacing w:line="360" w:lineRule="exact"/>
              <w:ind w:left="0" w:right="0" w:firstLine="0" w:firstLineChars="0"/>
              <w:jc w:val="center"/>
              <w:textAlignment w:val="auto"/>
              <w:rPr>
                <w:rFonts w:hint="eastAsia" w:ascii="仿宋" w:hAnsi="仿宋" w:eastAsia="仿宋" w:cs="仿宋"/>
                <w:color w:val="auto"/>
                <w:kern w:val="2"/>
                <w:sz w:val="22"/>
                <w:szCs w:val="22"/>
                <w:highlight w:val="none"/>
                <w:lang w:val="en-US" w:eastAsia="zh-CN" w:bidi="ar-SA"/>
              </w:rPr>
            </w:pPr>
          </w:p>
        </w:tc>
        <w:tc>
          <w:tcPr>
            <w:tcW w:w="1926" w:type="dxa"/>
            <w:noWrap w:val="0"/>
            <w:vAlign w:val="center"/>
          </w:tcPr>
          <w:p w14:paraId="47E9E446">
            <w:pPr>
              <w:pStyle w:val="55"/>
              <w:keepNext w:val="0"/>
              <w:keepLines w:val="0"/>
              <w:pageBreakBefore w:val="0"/>
              <w:kinsoku/>
              <w:wordWrap/>
              <w:overflowPunct/>
              <w:topLinePunct w:val="0"/>
              <w:bidi w:val="0"/>
              <w:spacing w:line="360" w:lineRule="exact"/>
              <w:ind w:left="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pacing w:val="-9"/>
                <w:sz w:val="22"/>
                <w:szCs w:val="22"/>
                <w:highlight w:val="none"/>
                <w:lang w:val="en-US" w:eastAsia="zh-CN"/>
              </w:rPr>
              <w:t>类似</w:t>
            </w:r>
            <w:r>
              <w:rPr>
                <w:rFonts w:hint="eastAsia" w:ascii="仿宋" w:hAnsi="仿宋" w:eastAsia="仿宋" w:cs="仿宋"/>
                <w:color w:val="auto"/>
                <w:spacing w:val="-9"/>
                <w:sz w:val="22"/>
                <w:szCs w:val="22"/>
                <w:highlight w:val="none"/>
              </w:rPr>
              <w:t>项目</w:t>
            </w:r>
            <w:r>
              <w:rPr>
                <w:rFonts w:hint="eastAsia" w:ascii="仿宋" w:hAnsi="仿宋" w:eastAsia="仿宋" w:cs="仿宋"/>
                <w:color w:val="auto"/>
                <w:spacing w:val="-6"/>
                <w:sz w:val="22"/>
                <w:szCs w:val="22"/>
                <w:highlight w:val="none"/>
              </w:rPr>
              <w:t>经验</w:t>
            </w:r>
          </w:p>
          <w:p w14:paraId="681C9982">
            <w:pPr>
              <w:pStyle w:val="55"/>
              <w:keepNext w:val="0"/>
              <w:keepLines w:val="0"/>
              <w:pageBreakBefore w:val="0"/>
              <w:kinsoku/>
              <w:wordWrap/>
              <w:overflowPunct/>
              <w:topLinePunct w:val="0"/>
              <w:bidi w:val="0"/>
              <w:spacing w:line="360" w:lineRule="exact"/>
              <w:ind w:left="0" w:leftChars="0" w:right="0" w:firstLine="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pacing w:val="-9"/>
                <w:sz w:val="22"/>
                <w:szCs w:val="22"/>
                <w:highlight w:val="none"/>
              </w:rPr>
              <w:t>（</w:t>
            </w:r>
            <w:r>
              <w:rPr>
                <w:rFonts w:hint="eastAsia" w:ascii="仿宋" w:hAnsi="仿宋" w:eastAsia="仿宋" w:cs="仿宋"/>
                <w:color w:val="auto"/>
                <w:spacing w:val="-9"/>
                <w:sz w:val="22"/>
                <w:szCs w:val="22"/>
                <w:highlight w:val="none"/>
                <w:lang w:val="en-US" w:eastAsia="zh-CN"/>
              </w:rPr>
              <w:t>2</w:t>
            </w:r>
            <w:r>
              <w:rPr>
                <w:rFonts w:hint="eastAsia" w:ascii="仿宋" w:hAnsi="仿宋" w:eastAsia="仿宋" w:cs="仿宋"/>
                <w:color w:val="auto"/>
                <w:spacing w:val="-9"/>
                <w:sz w:val="22"/>
                <w:szCs w:val="22"/>
                <w:highlight w:val="none"/>
              </w:rPr>
              <w:t>分）</w:t>
            </w:r>
          </w:p>
        </w:tc>
        <w:tc>
          <w:tcPr>
            <w:tcW w:w="5992" w:type="dxa"/>
            <w:noWrap w:val="0"/>
            <w:vAlign w:val="top"/>
          </w:tcPr>
          <w:p w14:paraId="5E266070">
            <w:pPr>
              <w:keepNext w:val="0"/>
              <w:keepLines w:val="0"/>
              <w:pageBreakBefore w:val="0"/>
              <w:kinsoku/>
              <w:wordWrap/>
              <w:overflowPunct/>
              <w:topLinePunct w:val="0"/>
              <w:autoSpaceDE w:val="0"/>
              <w:autoSpaceDN w:val="0"/>
              <w:bidi w:val="0"/>
              <w:adjustRightInd w:val="0"/>
              <w:snapToGrid w:val="0"/>
              <w:spacing w:line="360" w:lineRule="exact"/>
              <w:ind w:left="0" w:right="0" w:firstLine="0"/>
              <w:textAlignment w:val="auto"/>
              <w:rPr>
                <w:rFonts w:hint="eastAsia" w:ascii="仿宋" w:hAnsi="仿宋" w:eastAsia="仿宋" w:cs="仿宋"/>
                <w:color w:val="auto"/>
                <w:kern w:val="2"/>
                <w:sz w:val="22"/>
                <w:szCs w:val="22"/>
                <w:highlight w:val="none"/>
                <w:lang w:val="zh-CN" w:eastAsia="zh-CN" w:bidi="ar-SA"/>
              </w:rPr>
            </w:pPr>
            <w:r>
              <w:rPr>
                <w:rFonts w:hint="eastAsia" w:ascii="仿宋" w:hAnsi="仿宋" w:eastAsia="仿宋" w:cs="仿宋"/>
                <w:color w:val="auto"/>
                <w:sz w:val="22"/>
                <w:szCs w:val="22"/>
                <w:highlight w:val="none"/>
              </w:rPr>
              <w:t>评标</w:t>
            </w:r>
            <w:r>
              <w:rPr>
                <w:rFonts w:hint="eastAsia" w:ascii="仿宋" w:hAnsi="仿宋" w:eastAsia="仿宋" w:cs="仿宋"/>
                <w:color w:val="auto"/>
                <w:sz w:val="22"/>
                <w:szCs w:val="22"/>
                <w:highlight w:val="none"/>
                <w:lang w:val="en-US" w:eastAsia="zh-CN"/>
              </w:rPr>
              <w:t>委员会</w:t>
            </w:r>
            <w:r>
              <w:rPr>
                <w:rFonts w:hint="eastAsia" w:ascii="仿宋" w:hAnsi="仿宋" w:eastAsia="仿宋" w:cs="仿宋"/>
                <w:color w:val="auto"/>
                <w:kern w:val="0"/>
                <w:sz w:val="22"/>
                <w:szCs w:val="22"/>
                <w:highlight w:val="none"/>
                <w:lang w:val="en-US" w:eastAsia="zh-CN" w:bidi="ar"/>
              </w:rPr>
              <w:t>根据各投标供应商提供的2023年01月01日至今类似业绩进行打分，每提供1份得1分，总分不超过2分（附合同或中标（或成交）通知书复印件加盖企业公章）。</w:t>
            </w:r>
          </w:p>
        </w:tc>
      </w:tr>
    </w:tbl>
    <w:p w14:paraId="6D520CD7">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注：</w:t>
      </w:r>
      <w:r>
        <w:rPr>
          <w:rFonts w:hint="eastAsia" w:ascii="仿宋" w:hAnsi="仿宋" w:eastAsia="仿宋" w:cs="仿宋"/>
          <w:color w:val="auto"/>
          <w:sz w:val="22"/>
          <w:szCs w:val="28"/>
          <w:highlight w:val="none"/>
          <w:lang w:val="en-US" w:eastAsia="zh-CN"/>
        </w:rPr>
        <w:t>1</w:t>
      </w:r>
      <w:r>
        <w:rPr>
          <w:rFonts w:hint="eastAsia" w:ascii="仿宋" w:hAnsi="仿宋" w:eastAsia="仿宋" w:cs="仿宋"/>
          <w:color w:val="auto"/>
          <w:sz w:val="22"/>
          <w:szCs w:val="28"/>
          <w:highlight w:val="none"/>
        </w:rPr>
        <w:t>.评委需要严格按照以上方法赋分，不得超过分数界限赋分。</w:t>
      </w:r>
      <w:r>
        <w:rPr>
          <w:rFonts w:hint="eastAsia" w:ascii="仿宋" w:hAnsi="仿宋" w:eastAsia="仿宋" w:cs="仿宋"/>
          <w:color w:val="auto"/>
          <w:sz w:val="22"/>
          <w:szCs w:val="28"/>
          <w:highlight w:val="none"/>
          <w:lang w:val="en-US" w:eastAsia="zh-CN"/>
        </w:rPr>
        <w:t>2</w:t>
      </w:r>
      <w:r>
        <w:rPr>
          <w:rFonts w:hint="eastAsia" w:ascii="仿宋" w:hAnsi="仿宋" w:eastAsia="仿宋" w:cs="仿宋"/>
          <w:color w:val="auto"/>
          <w:sz w:val="22"/>
          <w:szCs w:val="28"/>
          <w:highlight w:val="none"/>
        </w:rPr>
        <w:t>.最低报价不是中标的唯一依据。</w:t>
      </w:r>
    </w:p>
    <w:p w14:paraId="5FF9AABB">
      <w:pPr>
        <w:pStyle w:val="10"/>
        <w:keepNext w:val="0"/>
        <w:keepLines w:val="0"/>
        <w:pageBreakBefore w:val="0"/>
        <w:tabs>
          <w:tab w:val="left" w:pos="600"/>
        </w:tabs>
        <w:kinsoku/>
        <w:wordWrap/>
        <w:overflowPunct/>
        <w:topLinePunct w:val="0"/>
        <w:bidi w:val="0"/>
        <w:adjustRightInd/>
        <w:snapToGrid/>
        <w:spacing w:line="480" w:lineRule="exact"/>
        <w:ind w:right="0" w:firstLine="0"/>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2.3无效投标的认定</w:t>
      </w:r>
    </w:p>
    <w:p w14:paraId="28A93EF7">
      <w:pPr>
        <w:keepNext w:val="0"/>
        <w:keepLines w:val="0"/>
        <w:pageBreakBefore w:val="0"/>
        <w:widowControl w:val="0"/>
        <w:kinsoku/>
        <w:wordWrap/>
        <w:overflowPunct/>
        <w:topLinePunct w:val="0"/>
        <w:autoSpaceDE/>
        <w:autoSpaceDN/>
        <w:bidi w:val="0"/>
        <w:adjustRightInd/>
        <w:snapToGrid/>
        <w:spacing w:line="480" w:lineRule="exact"/>
        <w:ind w:right="0" w:firstLine="442" w:firstLineChars="200"/>
        <w:textAlignment w:val="auto"/>
        <w:rPr>
          <w:rFonts w:hint="eastAsia" w:ascii="仿宋" w:hAnsi="仿宋" w:eastAsia="仿宋" w:cs="仿宋"/>
          <w:b/>
          <w:bCs/>
          <w:color w:val="auto"/>
          <w:sz w:val="22"/>
          <w:szCs w:val="28"/>
          <w:highlight w:val="none"/>
        </w:rPr>
      </w:pPr>
      <w:r>
        <w:rPr>
          <w:rFonts w:hint="eastAsia" w:ascii="仿宋" w:hAnsi="仿宋" w:eastAsia="仿宋" w:cs="仿宋"/>
          <w:b/>
          <w:bCs/>
          <w:color w:val="auto"/>
          <w:sz w:val="22"/>
          <w:szCs w:val="28"/>
          <w:highlight w:val="none"/>
        </w:rPr>
        <w:t>在评标过程中，出现下列情形之一的，投标无效：</w:t>
      </w:r>
    </w:p>
    <w:p w14:paraId="2FA27B21">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w:t>
      </w:r>
      <w:r>
        <w:rPr>
          <w:rFonts w:hint="eastAsia" w:ascii="仿宋" w:hAnsi="仿宋" w:eastAsia="仿宋" w:cs="仿宋"/>
          <w:color w:val="auto"/>
          <w:sz w:val="22"/>
          <w:szCs w:val="28"/>
          <w:highlight w:val="none"/>
          <w:lang w:val="en-US" w:eastAsia="zh-CN"/>
        </w:rPr>
        <w:t>投标</w:t>
      </w:r>
      <w:r>
        <w:rPr>
          <w:rFonts w:hint="eastAsia" w:ascii="仿宋" w:hAnsi="仿宋" w:eastAsia="仿宋" w:cs="仿宋"/>
          <w:color w:val="auto"/>
          <w:sz w:val="22"/>
          <w:szCs w:val="28"/>
          <w:highlight w:val="none"/>
        </w:rPr>
        <w:t>截止时间过后递交的</w:t>
      </w:r>
      <w:r>
        <w:rPr>
          <w:rFonts w:hint="eastAsia" w:ascii="仿宋" w:hAnsi="仿宋" w:eastAsia="仿宋" w:cs="仿宋"/>
          <w:color w:val="auto"/>
          <w:sz w:val="22"/>
          <w:szCs w:val="28"/>
          <w:highlight w:val="none"/>
          <w:lang w:val="en-US" w:eastAsia="zh-CN"/>
        </w:rPr>
        <w:t>电子响应</w:t>
      </w:r>
      <w:r>
        <w:rPr>
          <w:rFonts w:hint="eastAsia" w:ascii="仿宋" w:hAnsi="仿宋" w:eastAsia="仿宋" w:cs="仿宋"/>
          <w:color w:val="auto"/>
          <w:sz w:val="22"/>
          <w:szCs w:val="28"/>
          <w:highlight w:val="none"/>
        </w:rPr>
        <w:t>文件；</w:t>
      </w:r>
    </w:p>
    <w:p w14:paraId="5F004F96">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（2）应交未交投标保证金</w:t>
      </w:r>
      <w:r>
        <w:rPr>
          <w:rFonts w:hint="eastAsia" w:ascii="仿宋" w:hAnsi="仿宋" w:eastAsia="仿宋" w:cs="仿宋"/>
          <w:color w:val="auto"/>
          <w:sz w:val="22"/>
          <w:szCs w:val="28"/>
          <w:highlight w:val="none"/>
          <w:lang w:eastAsia="zh-CN"/>
        </w:rPr>
        <w:t>的</w:t>
      </w:r>
      <w:r>
        <w:rPr>
          <w:rFonts w:hint="eastAsia" w:ascii="仿宋" w:hAnsi="仿宋" w:eastAsia="仿宋" w:cs="仿宋"/>
          <w:color w:val="auto"/>
          <w:sz w:val="22"/>
          <w:szCs w:val="28"/>
          <w:highlight w:val="none"/>
        </w:rPr>
        <w:t>；</w:t>
      </w:r>
    </w:p>
    <w:p w14:paraId="16B96CF1">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（3）不具备</w:t>
      </w:r>
      <w:r>
        <w:rPr>
          <w:rFonts w:hint="eastAsia" w:ascii="仿宋" w:hAnsi="仿宋" w:eastAsia="仿宋" w:cs="仿宋"/>
          <w:color w:val="auto"/>
          <w:sz w:val="22"/>
          <w:szCs w:val="28"/>
          <w:highlight w:val="none"/>
          <w:lang w:val="en-US" w:eastAsia="zh-CN"/>
        </w:rPr>
        <w:t>招标</w:t>
      </w:r>
      <w:r>
        <w:rPr>
          <w:rFonts w:hint="eastAsia" w:ascii="仿宋" w:hAnsi="仿宋" w:eastAsia="仿宋" w:cs="仿宋"/>
          <w:color w:val="auto"/>
          <w:sz w:val="22"/>
          <w:szCs w:val="28"/>
          <w:highlight w:val="none"/>
        </w:rPr>
        <w:t>文件中规定资格要求</w:t>
      </w:r>
      <w:r>
        <w:rPr>
          <w:rFonts w:hint="eastAsia" w:ascii="仿宋" w:hAnsi="仿宋" w:eastAsia="仿宋" w:cs="仿宋"/>
          <w:color w:val="auto"/>
          <w:sz w:val="22"/>
          <w:szCs w:val="28"/>
          <w:highlight w:val="none"/>
          <w:lang w:val="en-US" w:eastAsia="zh-CN"/>
        </w:rPr>
        <w:t>或</w:t>
      </w:r>
      <w:r>
        <w:rPr>
          <w:rFonts w:hint="eastAsia" w:ascii="仿宋" w:hAnsi="仿宋" w:eastAsia="仿宋" w:cs="仿宋"/>
          <w:color w:val="auto"/>
          <w:sz w:val="22"/>
          <w:szCs w:val="28"/>
          <w:highlight w:val="none"/>
        </w:rPr>
        <w:t>资格要求</w:t>
      </w:r>
      <w:r>
        <w:rPr>
          <w:rFonts w:hint="eastAsia" w:ascii="仿宋" w:hAnsi="仿宋" w:eastAsia="仿宋" w:cs="仿宋"/>
          <w:color w:val="auto"/>
          <w:sz w:val="22"/>
          <w:szCs w:val="28"/>
          <w:highlight w:val="none"/>
          <w:lang w:val="en-US" w:eastAsia="zh-CN"/>
        </w:rPr>
        <w:t>资料提供不全</w:t>
      </w:r>
      <w:r>
        <w:rPr>
          <w:rFonts w:hint="eastAsia" w:ascii="仿宋" w:hAnsi="仿宋" w:eastAsia="仿宋" w:cs="仿宋"/>
          <w:color w:val="auto"/>
          <w:sz w:val="22"/>
          <w:szCs w:val="28"/>
          <w:highlight w:val="none"/>
        </w:rPr>
        <w:t>的；</w:t>
      </w:r>
    </w:p>
    <w:p w14:paraId="7DB392E5">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（4）未提供《开标一览表》的</w:t>
      </w:r>
      <w:r>
        <w:rPr>
          <w:rFonts w:hint="eastAsia" w:ascii="仿宋" w:hAnsi="仿宋" w:eastAsia="仿宋" w:cs="仿宋"/>
          <w:color w:val="auto"/>
          <w:sz w:val="22"/>
          <w:szCs w:val="28"/>
          <w:highlight w:val="none"/>
          <w:lang w:val="en-US" w:eastAsia="zh-CN"/>
        </w:rPr>
        <w:t>，投标报价不符合报价要求的</w:t>
      </w:r>
      <w:r>
        <w:rPr>
          <w:rFonts w:hint="eastAsia" w:ascii="仿宋" w:hAnsi="仿宋" w:eastAsia="仿宋" w:cs="仿宋"/>
          <w:color w:val="auto"/>
          <w:sz w:val="22"/>
          <w:szCs w:val="28"/>
          <w:highlight w:val="none"/>
        </w:rPr>
        <w:t>；</w:t>
      </w:r>
    </w:p>
    <w:p w14:paraId="7656969C">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（5）</w:t>
      </w:r>
      <w:r>
        <w:rPr>
          <w:rFonts w:hint="eastAsia" w:ascii="仿宋" w:hAnsi="仿宋" w:eastAsia="仿宋" w:cs="仿宋"/>
          <w:color w:val="auto"/>
          <w:sz w:val="22"/>
          <w:szCs w:val="28"/>
          <w:highlight w:val="none"/>
          <w:lang w:val="en-US" w:eastAsia="zh-CN"/>
        </w:rPr>
        <w:t>响应</w:t>
      </w:r>
      <w:r>
        <w:rPr>
          <w:rFonts w:hint="eastAsia" w:ascii="仿宋" w:hAnsi="仿宋" w:eastAsia="仿宋" w:cs="仿宋"/>
          <w:color w:val="auto"/>
          <w:sz w:val="22"/>
          <w:szCs w:val="28"/>
          <w:highlight w:val="none"/>
        </w:rPr>
        <w:t>文件未按照</w:t>
      </w:r>
      <w:r>
        <w:rPr>
          <w:rFonts w:hint="eastAsia" w:ascii="仿宋" w:hAnsi="仿宋" w:eastAsia="仿宋" w:cs="仿宋"/>
          <w:color w:val="auto"/>
          <w:sz w:val="22"/>
          <w:szCs w:val="28"/>
          <w:highlight w:val="none"/>
          <w:lang w:val="en-US" w:eastAsia="zh-CN"/>
        </w:rPr>
        <w:t>招标</w:t>
      </w:r>
      <w:r>
        <w:rPr>
          <w:rFonts w:hint="eastAsia" w:ascii="仿宋" w:hAnsi="仿宋" w:eastAsia="仿宋" w:cs="仿宋"/>
          <w:color w:val="auto"/>
          <w:sz w:val="22"/>
          <w:szCs w:val="28"/>
          <w:highlight w:val="none"/>
        </w:rPr>
        <w:t>文件规定要求签署、盖章的；</w:t>
      </w:r>
    </w:p>
    <w:p w14:paraId="0E3C5E01">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eastAsia="zh-CN"/>
        </w:rPr>
      </w:pPr>
      <w:r>
        <w:rPr>
          <w:rFonts w:hint="eastAsia" w:ascii="仿宋" w:hAnsi="仿宋" w:eastAsia="仿宋" w:cs="仿宋"/>
          <w:color w:val="auto"/>
          <w:sz w:val="22"/>
          <w:szCs w:val="28"/>
          <w:highlight w:val="none"/>
        </w:rPr>
        <w:t>（6）投标报价超过</w:t>
      </w:r>
      <w:r>
        <w:rPr>
          <w:rFonts w:hint="eastAsia" w:ascii="仿宋" w:hAnsi="仿宋" w:eastAsia="仿宋" w:cs="仿宋"/>
          <w:color w:val="auto"/>
          <w:sz w:val="22"/>
          <w:szCs w:val="28"/>
          <w:highlight w:val="none"/>
          <w:lang w:val="en-US" w:eastAsia="zh-CN"/>
        </w:rPr>
        <w:t>招标</w:t>
      </w:r>
      <w:r>
        <w:rPr>
          <w:rFonts w:hint="eastAsia" w:ascii="仿宋" w:hAnsi="仿宋" w:eastAsia="仿宋" w:cs="仿宋"/>
          <w:color w:val="auto"/>
          <w:sz w:val="22"/>
          <w:szCs w:val="28"/>
          <w:highlight w:val="none"/>
        </w:rPr>
        <w:t>文件中规定的</w:t>
      </w:r>
      <w:r>
        <w:rPr>
          <w:rFonts w:hint="eastAsia" w:ascii="仿宋" w:hAnsi="仿宋" w:eastAsia="仿宋" w:cs="仿宋"/>
          <w:color w:val="auto"/>
          <w:sz w:val="22"/>
          <w:szCs w:val="28"/>
          <w:highlight w:val="none"/>
          <w:lang w:val="en-US" w:eastAsia="zh-CN"/>
        </w:rPr>
        <w:t>预算金额或最高限价</w:t>
      </w:r>
      <w:r>
        <w:rPr>
          <w:rFonts w:hint="eastAsia" w:ascii="仿宋" w:hAnsi="仿宋" w:eastAsia="仿宋" w:cs="仿宋"/>
          <w:color w:val="auto"/>
          <w:sz w:val="22"/>
          <w:szCs w:val="28"/>
          <w:highlight w:val="none"/>
        </w:rPr>
        <w:t>的</w:t>
      </w:r>
      <w:r>
        <w:rPr>
          <w:rFonts w:hint="eastAsia" w:ascii="仿宋" w:hAnsi="仿宋" w:eastAsia="仿宋" w:cs="仿宋"/>
          <w:color w:val="auto"/>
          <w:sz w:val="22"/>
          <w:szCs w:val="28"/>
          <w:highlight w:val="none"/>
          <w:lang w:eastAsia="zh-CN"/>
        </w:rPr>
        <w:t>；</w:t>
      </w:r>
    </w:p>
    <w:p w14:paraId="49D22698">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（7）投标文件载明的采购项目合同履行期限</w:t>
      </w: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lang w:val="en-US" w:eastAsia="zh-CN"/>
        </w:rPr>
        <w:t>质保期限、付款方式不符合采购</w:t>
      </w:r>
      <w:r>
        <w:rPr>
          <w:rFonts w:hint="eastAsia" w:ascii="仿宋" w:hAnsi="仿宋" w:eastAsia="仿宋" w:cs="仿宋"/>
          <w:color w:val="auto"/>
          <w:sz w:val="22"/>
          <w:szCs w:val="28"/>
          <w:highlight w:val="none"/>
        </w:rPr>
        <w:t>文件规定的；</w:t>
      </w:r>
    </w:p>
    <w:p w14:paraId="416D170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（8）评标过程中拒绝澄清相关事宜和问题的；</w:t>
      </w:r>
    </w:p>
    <w:p w14:paraId="6581740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（9）</w:t>
      </w:r>
      <w:r>
        <w:rPr>
          <w:rFonts w:hint="eastAsia" w:ascii="仿宋" w:hAnsi="仿宋" w:eastAsia="仿宋" w:cs="仿宋"/>
          <w:color w:val="auto"/>
          <w:sz w:val="22"/>
          <w:szCs w:val="28"/>
          <w:highlight w:val="none"/>
          <w:lang w:val="en-US" w:eastAsia="zh-CN"/>
        </w:rPr>
        <w:t>响应</w:t>
      </w:r>
      <w:r>
        <w:rPr>
          <w:rFonts w:hint="eastAsia" w:ascii="仿宋" w:hAnsi="仿宋" w:eastAsia="仿宋" w:cs="仿宋"/>
          <w:color w:val="auto"/>
          <w:sz w:val="22"/>
          <w:szCs w:val="28"/>
          <w:highlight w:val="none"/>
        </w:rPr>
        <w:t>文件不真实，有欺骗行为的；</w:t>
      </w:r>
    </w:p>
    <w:p w14:paraId="5E8EF3FB">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（10）</w:t>
      </w:r>
      <w:r>
        <w:rPr>
          <w:rFonts w:hint="eastAsia" w:ascii="仿宋" w:hAnsi="仿宋" w:eastAsia="仿宋" w:cs="仿宋"/>
          <w:color w:val="auto"/>
          <w:sz w:val="22"/>
          <w:szCs w:val="28"/>
          <w:highlight w:val="none"/>
          <w:lang w:val="en-US" w:eastAsia="zh-CN"/>
        </w:rPr>
        <w:t>响应</w:t>
      </w:r>
      <w:r>
        <w:rPr>
          <w:rFonts w:hint="eastAsia" w:ascii="仿宋" w:hAnsi="仿宋" w:eastAsia="仿宋" w:cs="仿宋"/>
          <w:color w:val="auto"/>
          <w:sz w:val="22"/>
          <w:szCs w:val="28"/>
          <w:highlight w:val="none"/>
        </w:rPr>
        <w:t>文件含有</w:t>
      </w:r>
      <w:r>
        <w:rPr>
          <w:rFonts w:hint="eastAsia" w:ascii="仿宋" w:hAnsi="仿宋" w:eastAsia="仿宋" w:cs="仿宋"/>
          <w:color w:val="auto"/>
          <w:sz w:val="22"/>
          <w:szCs w:val="28"/>
          <w:highlight w:val="none"/>
          <w:lang w:val="en-US" w:eastAsia="zh-CN"/>
        </w:rPr>
        <w:t>采购</w:t>
      </w:r>
      <w:r>
        <w:rPr>
          <w:rFonts w:hint="eastAsia" w:ascii="仿宋" w:hAnsi="仿宋" w:eastAsia="仿宋" w:cs="仿宋"/>
          <w:color w:val="auto"/>
          <w:sz w:val="22"/>
          <w:szCs w:val="28"/>
          <w:highlight w:val="none"/>
        </w:rPr>
        <w:t>人和采购代理机构不能接受的条件的；</w:t>
      </w:r>
    </w:p>
    <w:p w14:paraId="71A7038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w:t>
      </w:r>
      <w:r>
        <w:rPr>
          <w:rFonts w:hint="eastAsia" w:ascii="仿宋" w:hAnsi="仿宋" w:eastAsia="仿宋" w:cs="仿宋"/>
          <w:color w:val="auto"/>
          <w:sz w:val="22"/>
          <w:szCs w:val="28"/>
          <w:highlight w:val="none"/>
          <w:lang w:val="en-US" w:eastAsia="zh-CN"/>
        </w:rPr>
        <w:t>1</w:t>
      </w:r>
      <w:r>
        <w:rPr>
          <w:rFonts w:hint="eastAsia" w:ascii="仿宋" w:hAnsi="仿宋" w:eastAsia="仿宋" w:cs="仿宋"/>
          <w:color w:val="auto"/>
          <w:sz w:val="22"/>
          <w:szCs w:val="28"/>
          <w:highlight w:val="none"/>
        </w:rPr>
        <w:t>）不符合</w:t>
      </w:r>
      <w:r>
        <w:rPr>
          <w:rFonts w:hint="eastAsia" w:ascii="仿宋" w:hAnsi="仿宋" w:eastAsia="仿宋" w:cs="仿宋"/>
          <w:color w:val="auto"/>
          <w:sz w:val="22"/>
          <w:szCs w:val="28"/>
          <w:highlight w:val="none"/>
          <w:lang w:val="en-US" w:eastAsia="zh-CN"/>
        </w:rPr>
        <w:t>招标</w:t>
      </w:r>
      <w:r>
        <w:rPr>
          <w:rFonts w:hint="eastAsia" w:ascii="仿宋" w:hAnsi="仿宋" w:eastAsia="仿宋" w:cs="仿宋"/>
          <w:color w:val="auto"/>
          <w:sz w:val="22"/>
          <w:szCs w:val="28"/>
          <w:highlight w:val="none"/>
        </w:rPr>
        <w:t>文件规定的实质性要求的；</w:t>
      </w:r>
    </w:p>
    <w:p w14:paraId="53A4FD4A">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lang w:val="en-US" w:eastAsia="zh-CN"/>
        </w:rPr>
        <w:t>12</w:t>
      </w: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lang w:val="en-US" w:eastAsia="zh-CN"/>
        </w:rPr>
        <w:t>符合性审查未通过的；</w:t>
      </w:r>
    </w:p>
    <w:p w14:paraId="1FC36978">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eastAsia="zh-CN"/>
        </w:rPr>
      </w:pPr>
      <w:r>
        <w:rPr>
          <w:rFonts w:hint="eastAsia" w:ascii="仿宋" w:hAnsi="仿宋" w:eastAsia="仿宋" w:cs="仿宋"/>
          <w:color w:val="auto"/>
          <w:sz w:val="22"/>
          <w:szCs w:val="28"/>
          <w:highlight w:val="none"/>
          <w:lang w:val="en-US" w:eastAsia="zh-CN"/>
        </w:rPr>
        <w:t>（13）</w:t>
      </w:r>
      <w:r>
        <w:rPr>
          <w:rFonts w:hint="eastAsia" w:ascii="仿宋" w:hAnsi="仿宋" w:eastAsia="仿宋" w:cs="仿宋"/>
          <w:color w:val="auto"/>
          <w:sz w:val="22"/>
          <w:szCs w:val="28"/>
          <w:highlight w:val="none"/>
        </w:rPr>
        <w:t>投标货物（产品）不符合强制执行的国家标准、行业标准的</w:t>
      </w:r>
      <w:r>
        <w:rPr>
          <w:rFonts w:hint="eastAsia" w:ascii="仿宋" w:hAnsi="仿宋" w:eastAsia="仿宋" w:cs="仿宋"/>
          <w:color w:val="auto"/>
          <w:sz w:val="22"/>
          <w:szCs w:val="28"/>
          <w:highlight w:val="none"/>
          <w:lang w:eastAsia="zh-CN"/>
        </w:rPr>
        <w:t>；</w:t>
      </w:r>
    </w:p>
    <w:p w14:paraId="70895580">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lang w:val="en-US" w:eastAsia="zh-CN"/>
        </w:rPr>
        <w:t>14）投标文件的关键内容字迹模糊和无法辨认的；</w:t>
      </w:r>
    </w:p>
    <w:p w14:paraId="70B81C9C">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lang w:val="en-US" w:eastAsia="zh-CN"/>
        </w:rPr>
        <w:t>15</w:t>
      </w:r>
      <w:r>
        <w:rPr>
          <w:rFonts w:hint="eastAsia" w:ascii="仿宋" w:hAnsi="仿宋" w:eastAsia="仿宋" w:cs="仿宋"/>
          <w:color w:val="auto"/>
          <w:sz w:val="22"/>
          <w:szCs w:val="28"/>
          <w:highlight w:val="none"/>
          <w:lang w:eastAsia="zh-CN"/>
        </w:rPr>
        <w:t>）</w:t>
      </w:r>
      <w:r>
        <w:rPr>
          <w:rFonts w:hint="eastAsia" w:ascii="仿宋" w:hAnsi="仿宋" w:eastAsia="仿宋" w:cs="仿宋"/>
          <w:color w:val="auto"/>
          <w:sz w:val="22"/>
          <w:szCs w:val="28"/>
          <w:highlight w:val="none"/>
        </w:rPr>
        <w:t>投标内容出现漏项或数量与要求不符的；</w:t>
      </w:r>
    </w:p>
    <w:p w14:paraId="6C222991">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val="en-US" w:eastAsia="zh-CN"/>
        </w:rPr>
      </w:pPr>
      <w:r>
        <w:rPr>
          <w:rFonts w:hint="eastAsia" w:ascii="仿宋" w:hAnsi="仿宋" w:eastAsia="仿宋" w:cs="仿宋"/>
          <w:color w:val="auto"/>
          <w:sz w:val="22"/>
          <w:szCs w:val="28"/>
          <w:highlight w:val="none"/>
          <w:lang w:val="en-US" w:eastAsia="zh-CN"/>
        </w:rPr>
        <w:t>（16）法律法规和招标文件规定的其他情形的；</w:t>
      </w:r>
    </w:p>
    <w:p w14:paraId="76F6057C">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lang w:eastAsia="zh-CN"/>
        </w:rPr>
      </w:pPr>
      <w:r>
        <w:rPr>
          <w:rFonts w:hint="eastAsia" w:ascii="仿宋" w:hAnsi="仿宋" w:eastAsia="仿宋" w:cs="仿宋"/>
          <w:color w:val="auto"/>
          <w:sz w:val="22"/>
          <w:szCs w:val="28"/>
          <w:highlight w:val="none"/>
        </w:rPr>
        <w:t>（1</w:t>
      </w:r>
      <w:r>
        <w:rPr>
          <w:rFonts w:hint="eastAsia" w:ascii="仿宋" w:hAnsi="仿宋" w:eastAsia="仿宋" w:cs="仿宋"/>
          <w:color w:val="auto"/>
          <w:sz w:val="22"/>
          <w:szCs w:val="28"/>
          <w:highlight w:val="none"/>
          <w:lang w:val="en-US" w:eastAsia="zh-CN"/>
        </w:rPr>
        <w:t>7</w:t>
      </w:r>
      <w:r>
        <w:rPr>
          <w:rFonts w:hint="eastAsia" w:ascii="仿宋" w:hAnsi="仿宋" w:eastAsia="仿宋" w:cs="仿宋"/>
          <w:color w:val="auto"/>
          <w:sz w:val="22"/>
          <w:szCs w:val="28"/>
          <w:highlight w:val="none"/>
        </w:rPr>
        <w:t>）投标货物（产品）不是国家强制节能产品品目清单中的产品（如有）</w:t>
      </w:r>
      <w:r>
        <w:rPr>
          <w:rFonts w:hint="eastAsia" w:ascii="仿宋" w:hAnsi="仿宋" w:eastAsia="仿宋" w:cs="仿宋"/>
          <w:color w:val="auto"/>
          <w:sz w:val="22"/>
          <w:szCs w:val="28"/>
          <w:highlight w:val="none"/>
          <w:lang w:eastAsia="zh-CN"/>
        </w:rPr>
        <w:t>。</w:t>
      </w:r>
    </w:p>
    <w:p w14:paraId="384824AB">
      <w:pPr>
        <w:keepNext w:val="0"/>
        <w:keepLines w:val="0"/>
        <w:pageBreakBefore w:val="0"/>
        <w:widowControl/>
        <w:kinsoku/>
        <w:wordWrap/>
        <w:overflowPunct/>
        <w:topLinePunct w:val="0"/>
        <w:autoSpaceDE w:val="0"/>
        <w:autoSpaceDN w:val="0"/>
        <w:bidi w:val="0"/>
        <w:adjustRightInd/>
        <w:snapToGrid/>
        <w:spacing w:line="480" w:lineRule="exact"/>
        <w:ind w:right="0"/>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2.4 特殊情况的处理</w:t>
      </w:r>
    </w:p>
    <w:p w14:paraId="43D6F638">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2.4.1 投标文件中如果出现计算错误，可按以下原则进行修正：</w:t>
      </w:r>
    </w:p>
    <w:p w14:paraId="07B3815E">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（1）投标文件中的大写金额与小写金额不一致的，以大写金额为准；</w:t>
      </w:r>
    </w:p>
    <w:p w14:paraId="1D32B9E6">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（2）投标文件中的总价金额与按单价计算的汇总金额不一致的，以单价计算的汇总金额为准；</w:t>
      </w:r>
    </w:p>
    <w:p w14:paraId="4DF30CC1">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（3）投标文件中的单价金额有明显小数点错误的，以总价为准，并修改单价；</w:t>
      </w:r>
    </w:p>
    <w:p w14:paraId="304692F4">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（4）投标文件中有关分项表内容与“开标一览表”不一致的，以“开标一览表”为准；</w:t>
      </w:r>
    </w:p>
    <w:p w14:paraId="6B91457E">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（5）投标文件中图表与文字表述不一致的，以文字表述为准；</w:t>
      </w:r>
    </w:p>
    <w:p w14:paraId="61106215">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w:t>
      </w:r>
      <w:r>
        <w:rPr>
          <w:rFonts w:hint="eastAsia" w:ascii="仿宋" w:hAnsi="仿宋" w:eastAsia="仿宋" w:cs="仿宋"/>
          <w:color w:val="auto"/>
          <w:sz w:val="22"/>
          <w:szCs w:val="28"/>
          <w:highlight w:val="none"/>
          <w:lang w:val="en-US" w:eastAsia="zh-CN"/>
        </w:rPr>
        <w:t>6</w:t>
      </w:r>
      <w:r>
        <w:rPr>
          <w:rFonts w:hint="eastAsia" w:ascii="仿宋" w:hAnsi="仿宋" w:eastAsia="仿宋" w:cs="仿宋"/>
          <w:color w:val="auto"/>
          <w:sz w:val="22"/>
          <w:szCs w:val="28"/>
          <w:highlight w:val="none"/>
        </w:rPr>
        <w:t>）对不同文字文本投标文件的解释发生异议的，以中文文本为准。</w:t>
      </w:r>
    </w:p>
    <w:p w14:paraId="0E2379C1">
      <w:pPr>
        <w:keepNext w:val="0"/>
        <w:keepLines w:val="0"/>
        <w:pageBreakBefore w:val="0"/>
        <w:widowControl/>
        <w:kinsoku/>
        <w:wordWrap/>
        <w:overflowPunct/>
        <w:topLinePunct w:val="0"/>
        <w:autoSpaceDE w:val="0"/>
        <w:autoSpaceDN w:val="0"/>
        <w:bidi w:val="0"/>
        <w:adjustRightInd/>
        <w:snapToGrid/>
        <w:spacing w:line="480" w:lineRule="exact"/>
        <w:ind w:right="0" w:firstLine="442" w:firstLineChars="200"/>
        <w:textAlignment w:val="bottom"/>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按上述修正错误的方法调整的投标报价应对投标人具有约束力。如果投标人不接受修正后的价格，其投标将被拒绝。</w:t>
      </w:r>
    </w:p>
    <w:p w14:paraId="42CBD901">
      <w:pPr>
        <w:keepNext w:val="0"/>
        <w:keepLines w:val="0"/>
        <w:pageBreakBefore w:val="0"/>
        <w:widowControl/>
        <w:kinsoku/>
        <w:wordWrap/>
        <w:overflowPunct/>
        <w:topLinePunct w:val="0"/>
        <w:autoSpaceDE w:val="0"/>
        <w:autoSpaceDN w:val="0"/>
        <w:bidi w:val="0"/>
        <w:adjustRightInd/>
        <w:snapToGrid/>
        <w:spacing w:line="480" w:lineRule="exact"/>
        <w:ind w:right="0" w:firstLine="440" w:firstLineChars="200"/>
        <w:textAlignment w:val="bottom"/>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2.4.2 投标文件中，若某项有不合理报价（或零报价、漏报价）的，经评标委员会评审后，此项得分为零，不参与投标报价分值的计算。</w:t>
      </w:r>
    </w:p>
    <w:p w14:paraId="54AA7E65">
      <w:pPr>
        <w:keepNext w:val="0"/>
        <w:keepLines w:val="0"/>
        <w:pageBreakBefore w:val="0"/>
        <w:widowControl/>
        <w:kinsoku/>
        <w:wordWrap/>
        <w:overflowPunct/>
        <w:topLinePunct w:val="0"/>
        <w:autoSpaceDE w:val="0"/>
        <w:autoSpaceDN w:val="0"/>
        <w:bidi w:val="0"/>
        <w:adjustRightInd/>
        <w:snapToGrid/>
        <w:spacing w:line="480" w:lineRule="exact"/>
        <w:ind w:right="0" w:firstLine="440" w:firstLineChars="200"/>
        <w:textAlignment w:val="bottom"/>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2.4.3 评标委员会成员打分超过得分界限或未按本办法赋分时，该评标委员会成员的打分，按废票处理。</w:t>
      </w:r>
    </w:p>
    <w:p w14:paraId="76BB694C">
      <w:pPr>
        <w:keepNext w:val="0"/>
        <w:keepLines w:val="0"/>
        <w:pageBreakBefore w:val="0"/>
        <w:widowControl/>
        <w:kinsoku/>
        <w:wordWrap/>
        <w:overflowPunct/>
        <w:topLinePunct w:val="0"/>
        <w:autoSpaceDE w:val="0"/>
        <w:autoSpaceDN w:val="0"/>
        <w:bidi w:val="0"/>
        <w:adjustRightInd/>
        <w:snapToGrid/>
        <w:spacing w:line="480" w:lineRule="exact"/>
        <w:ind w:right="0" w:firstLine="440" w:firstLineChars="200"/>
        <w:textAlignment w:val="bottom"/>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2.4.4 评标过程中，各种数字的计算结果，均保留两位小数，第三位“四舍五入”，但计算百分数时应精确到千分位，万分位“四舍五入”。</w:t>
      </w:r>
    </w:p>
    <w:p w14:paraId="637512CD">
      <w:pPr>
        <w:keepNext w:val="0"/>
        <w:keepLines w:val="0"/>
        <w:pageBreakBefore w:val="0"/>
        <w:widowControl/>
        <w:kinsoku/>
        <w:wordWrap/>
        <w:overflowPunct/>
        <w:topLinePunct w:val="0"/>
        <w:bidi w:val="0"/>
        <w:adjustRightInd/>
        <w:snapToGrid/>
        <w:spacing w:line="480" w:lineRule="exact"/>
        <w:ind w:right="0" w:firstLine="442" w:firstLineChars="200"/>
        <w:jc w:val="left"/>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2.4.5 相同品牌的处理</w:t>
      </w:r>
    </w:p>
    <w:p w14:paraId="20D09C8B">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2.4.5.1 核心产品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B50B495">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2.4.5.2 非单一产品采购项目中，多家投标人提供的核心产品品牌相同的，视为提供相同品牌产品。采购人根据采购项目技术构成、产品价格比重等合理确定核心产品。核心产品的名称见第四章第2.2条款。</w:t>
      </w:r>
    </w:p>
    <w:p w14:paraId="4CC0677F">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2.4.6 评标过程中，若出现本评标办法以外的特殊情况时，将暂停评标，待评委会商榷后，再进行评定。</w:t>
      </w:r>
    </w:p>
    <w:p w14:paraId="33BA1C0A">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2.4.7 评标报告签署后，采购人或者采购代理机构发现存在本章第1.5.2条款情形之一的，应当组织原评标委员会进行重新评审，重新评审改变中标结果的，书面报告本级财政部门。</w:t>
      </w:r>
    </w:p>
    <w:p w14:paraId="5261DBE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投标人对本章第1.5.2条（1）情形提出质疑的，采购代理机构应当组织原评标委员会进行重新评审，重新评审改变中标结果的，应当书面报告本级财政部门。</w:t>
      </w:r>
    </w:p>
    <w:p w14:paraId="35EAAF78">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2.4.8 评标过程中，若出现合格投标人只有2家时，采购人可以选择以下其中一种方式：</w:t>
      </w:r>
    </w:p>
    <w:p w14:paraId="0EC5380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（1）本次招标按废标处理；</w:t>
      </w:r>
    </w:p>
    <w:p w14:paraId="43B38A7C">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（2）按照财政部《货物和服务招标投标管理办法》（87号令）第43条规定，改作竞争性谈判采购方式，继续采购活动。</w:t>
      </w:r>
    </w:p>
    <w:p w14:paraId="6BB01499">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2.4.9 采购人若选择竞争性谈判采购方式继续采购活动时，应当按下列程序进行：</w:t>
      </w:r>
    </w:p>
    <w:p w14:paraId="5AF2F4CD">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（1）由评标委员会出具招标文件没有不合理条款、招标程序符合规定的书面意见并签署；</w:t>
      </w:r>
    </w:p>
    <w:p w14:paraId="0614C37C">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（2）由采购人按规定向财政部门提出申请变更采购方式；</w:t>
      </w:r>
    </w:p>
    <w:p w14:paraId="7113A450">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（3）采购代理机构根据财政部门批准的竞争性谈判采购方式，编制竞争性谈判文件，并直接向这2家合格投标人提供竞争性谈判文件；</w:t>
      </w:r>
    </w:p>
    <w:p w14:paraId="17A5B804">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（4）采购代理机构将根据竞争性谈判文件规定的时间、地点组织竞争性谈判小组直接与这2家合格投标人进行竞争性谈判。</w:t>
      </w:r>
    </w:p>
    <w:p w14:paraId="0ECE5A68">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2.4.10 评标争议处理原则</w:t>
      </w:r>
    </w:p>
    <w:p w14:paraId="2FAA1B9B">
      <w:pPr>
        <w:keepNext w:val="0"/>
        <w:keepLines w:val="0"/>
        <w:pageBreakBefore w:val="0"/>
        <w:widowControl w:val="0"/>
        <w:kinsoku/>
        <w:wordWrap/>
        <w:overflowPunct/>
        <w:topLinePunct w:val="0"/>
        <w:autoSpaceDE/>
        <w:autoSpaceDN/>
        <w:bidi w:val="0"/>
        <w:adjustRightInd/>
        <w:snapToGrid/>
        <w:spacing w:line="480" w:lineRule="exact"/>
        <w:ind w:right="0" w:firstLine="440" w:firstLineChars="200"/>
        <w:textAlignment w:val="auto"/>
        <w:rPr>
          <w:rFonts w:hint="eastAsia" w:ascii="仿宋" w:hAnsi="仿宋" w:eastAsia="仿宋" w:cs="仿宋"/>
          <w:color w:val="auto"/>
          <w:sz w:val="22"/>
          <w:szCs w:val="28"/>
          <w:highlight w:val="none"/>
        </w:rPr>
      </w:pPr>
      <w:r>
        <w:rPr>
          <w:rFonts w:hint="eastAsia" w:ascii="仿宋" w:hAnsi="仿宋" w:eastAsia="仿宋" w:cs="仿宋"/>
          <w:color w:val="auto"/>
          <w:sz w:val="22"/>
          <w:szCs w:val="28"/>
          <w:highlight w:val="none"/>
        </w:rPr>
        <w:t>评标委员会在评审过程中，对投标文件符合性审查、对投标人投标文件做无效投标处理及其他需要共同认定的事项存在争议的，应当以少数服从多数的原则做出结论，但不得违反法律法规和招标文件的规定。有不同意见的评标委员会成员认为认定过程和结果不符合法律法规或者招标文件规定的，应当及时向采购人书面反映，采购人收到书面反映后，应当及时向同级财政部门报告依法处理。</w:t>
      </w:r>
    </w:p>
    <w:p w14:paraId="42AC3E7C">
      <w:pPr>
        <w:pStyle w:val="7"/>
        <w:keepNext w:val="0"/>
        <w:keepLines w:val="0"/>
        <w:pageBreakBefore w:val="0"/>
        <w:widowControl w:val="0"/>
        <w:kinsoku/>
        <w:wordWrap/>
        <w:overflowPunct/>
        <w:topLinePunct w:val="0"/>
        <w:bidi w:val="0"/>
        <w:snapToGrid/>
        <w:spacing w:line="480" w:lineRule="exact"/>
        <w:ind w:firstLine="0"/>
        <w:jc w:val="center"/>
        <w:textAlignment w:val="auto"/>
        <w:outlineLvl w:val="0"/>
        <w:rPr>
          <w:rFonts w:hint="eastAsia" w:ascii="仿宋" w:hAnsi="仿宋" w:eastAsia="仿宋" w:cs="仿宋"/>
          <w:b/>
          <w:color w:val="auto"/>
          <w:kern w:val="44"/>
          <w:sz w:val="44"/>
          <w:szCs w:val="44"/>
          <w:highlight w:val="none"/>
          <w:lang w:val="en-US" w:eastAsia="zh-CN"/>
        </w:rPr>
      </w:pPr>
      <w:r>
        <w:rPr>
          <w:rFonts w:hint="eastAsia" w:ascii="仿宋" w:hAnsi="仿宋" w:eastAsia="仿宋" w:cs="仿宋"/>
          <w:color w:val="auto"/>
          <w:sz w:val="44"/>
          <w:szCs w:val="44"/>
          <w:highlight w:val="none"/>
        </w:rPr>
        <w:br w:type="page"/>
      </w:r>
      <w:bookmarkStart w:id="187" w:name="_Toc24751"/>
      <w:r>
        <w:rPr>
          <w:rFonts w:hint="eastAsia" w:ascii="仿宋" w:hAnsi="仿宋" w:eastAsia="仿宋" w:cs="仿宋"/>
          <w:b/>
          <w:color w:val="auto"/>
          <w:kern w:val="44"/>
          <w:sz w:val="40"/>
          <w:szCs w:val="40"/>
          <w:highlight w:val="none"/>
          <w:lang w:val="en-US" w:eastAsia="zh-CN"/>
        </w:rPr>
        <w:t>第四章 采购内容及要求</w:t>
      </w:r>
      <w:bookmarkEnd w:id="184"/>
      <w:bookmarkEnd w:id="187"/>
    </w:p>
    <w:p w14:paraId="2C3B9F49">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outlineLvl w:val="1"/>
        <w:rPr>
          <w:rFonts w:hint="eastAsia" w:ascii="仿宋" w:hAnsi="仿宋" w:eastAsia="仿宋" w:cs="仿宋"/>
          <w:b/>
          <w:color w:val="auto"/>
          <w:kern w:val="44"/>
          <w:sz w:val="32"/>
          <w:szCs w:val="32"/>
          <w:highlight w:val="none"/>
        </w:rPr>
      </w:pPr>
      <w:bookmarkStart w:id="188" w:name="_Toc1573"/>
      <w:bookmarkStart w:id="189" w:name="_Toc217446094"/>
      <w:r>
        <w:rPr>
          <w:rFonts w:hint="eastAsia" w:ascii="仿宋" w:hAnsi="仿宋" w:eastAsia="仿宋" w:cs="仿宋"/>
          <w:b/>
          <w:color w:val="auto"/>
          <w:kern w:val="44"/>
          <w:sz w:val="32"/>
          <w:szCs w:val="32"/>
          <w:highlight w:val="none"/>
          <w:lang w:val="en-US" w:eastAsia="zh-CN"/>
        </w:rPr>
        <w:t xml:space="preserve">第一部分 </w:t>
      </w:r>
      <w:r>
        <w:rPr>
          <w:rFonts w:hint="eastAsia" w:ascii="仿宋" w:hAnsi="仿宋" w:eastAsia="仿宋" w:cs="仿宋"/>
          <w:b/>
          <w:color w:val="auto"/>
          <w:kern w:val="44"/>
          <w:sz w:val="32"/>
          <w:szCs w:val="32"/>
          <w:highlight w:val="none"/>
        </w:rPr>
        <w:t>采购货物清单及技术参数</w:t>
      </w:r>
      <w:bookmarkEnd w:id="188"/>
    </w:p>
    <w:p w14:paraId="0CDFC9A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一、项目说明：</w:t>
      </w:r>
    </w:p>
    <w:p w14:paraId="4DABBD4B">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供应商应保证货物是全新、未使用过的</w:t>
      </w:r>
      <w:r>
        <w:rPr>
          <w:rFonts w:hint="eastAsia" w:ascii="仿宋" w:hAnsi="仿宋" w:eastAsia="仿宋" w:cs="仿宋"/>
          <w:color w:val="auto"/>
          <w:sz w:val="22"/>
          <w:szCs w:val="22"/>
          <w:highlight w:val="none"/>
          <w:lang w:val="en-US" w:eastAsia="zh-CN"/>
        </w:rPr>
        <w:t>原装合格正品</w:t>
      </w:r>
      <w:r>
        <w:rPr>
          <w:rFonts w:hint="eastAsia" w:ascii="仿宋" w:hAnsi="仿宋" w:eastAsia="仿宋" w:cs="仿宋"/>
          <w:color w:val="auto"/>
          <w:sz w:val="22"/>
          <w:szCs w:val="22"/>
          <w:highlight w:val="none"/>
        </w:rPr>
        <w:t>。并完全符合</w:t>
      </w:r>
      <w:r>
        <w:rPr>
          <w:rFonts w:hint="eastAsia" w:ascii="仿宋" w:hAnsi="仿宋" w:eastAsia="仿宋" w:cs="仿宋"/>
          <w:color w:val="auto"/>
          <w:sz w:val="22"/>
          <w:szCs w:val="22"/>
          <w:highlight w:val="none"/>
          <w:lang w:val="en-US" w:eastAsia="zh-CN"/>
        </w:rPr>
        <w:t>招标文件</w:t>
      </w:r>
      <w:r>
        <w:rPr>
          <w:rFonts w:hint="eastAsia" w:ascii="仿宋" w:hAnsi="仿宋" w:eastAsia="仿宋" w:cs="仿宋"/>
          <w:color w:val="auto"/>
          <w:sz w:val="22"/>
          <w:szCs w:val="22"/>
          <w:highlight w:val="none"/>
        </w:rPr>
        <w:t>规定的质量、规格和性能的要求。在货物质量保证期内供应商应对由于材料的缺陷而发生的任何不足或者故障负责。</w:t>
      </w:r>
    </w:p>
    <w:p w14:paraId="702BA54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货物必须为合格产品，质量达到国家有关标准等。</w:t>
      </w:r>
    </w:p>
    <w:p w14:paraId="39C6939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b/>
          <w:bCs/>
          <w:color w:val="auto"/>
          <w:sz w:val="22"/>
          <w:szCs w:val="22"/>
          <w:highlight w:val="none"/>
          <w:lang w:val="en-US" w:eastAsia="zh-CN"/>
        </w:rPr>
        <w:t>二、采购技术参数要求：</w:t>
      </w:r>
    </w:p>
    <w:p w14:paraId="45A17079">
      <w:pPr>
        <w:pStyle w:val="10"/>
        <w:keepNext w:val="0"/>
        <w:keepLines w:val="0"/>
        <w:pageBreakBefore w:val="0"/>
        <w:tabs>
          <w:tab w:val="left" w:pos="600"/>
        </w:tabs>
        <w:kinsoku/>
        <w:wordWrap/>
        <w:overflowPunct/>
        <w:topLinePunct w:val="0"/>
        <w:autoSpaceDE/>
        <w:autoSpaceDN/>
        <w:bidi w:val="0"/>
        <w:adjustRightInd/>
        <w:snapToGrid/>
        <w:spacing w:line="480" w:lineRule="exact"/>
        <w:ind w:left="0" w:leftChars="0" w:firstLine="0" w:firstLineChars="0"/>
        <w:textAlignment w:val="auto"/>
        <w:rPr>
          <w:rFonts w:hint="default"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本项目采购技术参数详见附件。</w:t>
      </w:r>
    </w:p>
    <w:p w14:paraId="7ED17AAB">
      <w:pPr>
        <w:pStyle w:val="10"/>
        <w:keepNext w:val="0"/>
        <w:keepLines w:val="0"/>
        <w:pageBreakBefore w:val="0"/>
        <w:tabs>
          <w:tab w:val="left" w:pos="600"/>
        </w:tabs>
        <w:kinsoku/>
        <w:wordWrap/>
        <w:overflowPunct/>
        <w:topLinePunct w:val="0"/>
        <w:autoSpaceDE/>
        <w:autoSpaceDN/>
        <w:bidi w:val="0"/>
        <w:adjustRightInd/>
        <w:snapToGrid/>
        <w:spacing w:line="480" w:lineRule="exact"/>
        <w:ind w:left="0" w:leftChars="0" w:firstLine="0" w:firstLineChars="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eastAsia="zh-CN"/>
        </w:rPr>
        <w:t>备注：</w:t>
      </w:r>
      <w:r>
        <w:rPr>
          <w:rFonts w:hint="eastAsia" w:ascii="仿宋" w:hAnsi="仿宋" w:eastAsia="仿宋" w:cs="仿宋"/>
          <w:b/>
          <w:bCs/>
          <w:color w:val="auto"/>
          <w:sz w:val="22"/>
          <w:szCs w:val="22"/>
          <w:highlight w:val="none"/>
          <w:lang w:val="en-US" w:eastAsia="zh-CN"/>
        </w:rPr>
        <w:t>1、本项目标“</w:t>
      </w:r>
      <w:r>
        <w:rPr>
          <w:rFonts w:hint="eastAsia" w:ascii="宋体" w:hAnsi="宋体" w:eastAsia="宋体" w:cs="宋体"/>
          <w:b/>
          <w:bCs/>
          <w:color w:val="auto"/>
          <w:sz w:val="22"/>
          <w:szCs w:val="22"/>
          <w:highlight w:val="none"/>
          <w:lang w:val="en-US" w:eastAsia="zh-CN"/>
        </w:rPr>
        <w:t>★</w:t>
      </w:r>
      <w:r>
        <w:rPr>
          <w:rFonts w:hint="eastAsia" w:ascii="仿宋" w:hAnsi="仿宋" w:eastAsia="仿宋" w:cs="仿宋"/>
          <w:b/>
          <w:bCs/>
          <w:color w:val="auto"/>
          <w:sz w:val="22"/>
          <w:szCs w:val="22"/>
          <w:highlight w:val="none"/>
          <w:lang w:val="en-US" w:eastAsia="zh-CN"/>
        </w:rPr>
        <w:t>”技术参数或指标为实质性要求，不得负偏离。</w:t>
      </w:r>
    </w:p>
    <w:p w14:paraId="3E50DB01">
      <w:pPr>
        <w:pStyle w:val="10"/>
        <w:keepNext w:val="0"/>
        <w:keepLines w:val="0"/>
        <w:pageBreakBefore w:val="0"/>
        <w:tabs>
          <w:tab w:val="left" w:pos="600"/>
        </w:tabs>
        <w:kinsoku/>
        <w:wordWrap/>
        <w:overflowPunct/>
        <w:topLinePunct w:val="0"/>
        <w:autoSpaceDE/>
        <w:autoSpaceDN/>
        <w:bidi w:val="0"/>
        <w:adjustRightInd/>
        <w:snapToGrid/>
        <w:spacing w:line="480" w:lineRule="exact"/>
        <w:ind w:left="0" w:leftChars="0" w:firstLine="663" w:firstLineChars="30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2、</w:t>
      </w:r>
      <w:r>
        <w:rPr>
          <w:rFonts w:hint="eastAsia" w:ascii="仿宋" w:hAnsi="仿宋" w:eastAsia="仿宋" w:cs="仿宋"/>
          <w:b/>
          <w:bCs/>
          <w:color w:val="auto"/>
          <w:sz w:val="22"/>
          <w:szCs w:val="22"/>
          <w:highlight w:val="none"/>
        </w:rPr>
        <w:t>通过篡改数据响应的按照无效标处理并追究法律责任。在交货后，发现部分不能实现，</w:t>
      </w:r>
      <w:r>
        <w:rPr>
          <w:rFonts w:hint="eastAsia" w:ascii="仿宋" w:hAnsi="仿宋" w:eastAsia="仿宋" w:cs="仿宋"/>
          <w:b/>
          <w:bCs/>
          <w:color w:val="auto"/>
          <w:sz w:val="22"/>
          <w:szCs w:val="22"/>
          <w:highlight w:val="none"/>
          <w:lang w:val="en-US" w:eastAsia="zh-CN"/>
        </w:rPr>
        <w:t>采购人</w:t>
      </w:r>
      <w:r>
        <w:rPr>
          <w:rFonts w:hint="eastAsia" w:ascii="仿宋" w:hAnsi="仿宋" w:eastAsia="仿宋" w:cs="仿宋"/>
          <w:b/>
          <w:bCs/>
          <w:color w:val="auto"/>
          <w:sz w:val="22"/>
          <w:szCs w:val="22"/>
          <w:highlight w:val="none"/>
        </w:rPr>
        <w:t>有权退货并索取赔偿。2、产品中标后验收过程中如果发现有不满足招标要求的、篡改参数，投标产品与交货产品不一致的，用户可以拒绝付款。</w:t>
      </w:r>
    </w:p>
    <w:p w14:paraId="46B55B0D">
      <w:pPr>
        <w:pStyle w:val="10"/>
        <w:keepNext w:val="0"/>
        <w:keepLines w:val="0"/>
        <w:pageBreakBefore w:val="0"/>
        <w:tabs>
          <w:tab w:val="left" w:pos="600"/>
        </w:tabs>
        <w:kinsoku/>
        <w:wordWrap/>
        <w:overflowPunct/>
        <w:topLinePunct w:val="0"/>
        <w:autoSpaceDE/>
        <w:autoSpaceDN/>
        <w:bidi w:val="0"/>
        <w:adjustRightInd/>
        <w:snapToGrid/>
        <w:spacing w:line="480" w:lineRule="exact"/>
        <w:ind w:firstLine="422" w:firstLineChars="200"/>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rPr>
        <w:br w:type="page"/>
      </w:r>
    </w:p>
    <w:bookmarkEnd w:id="189"/>
    <w:p w14:paraId="1E515D24">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outlineLvl w:val="1"/>
        <w:rPr>
          <w:rFonts w:hint="eastAsia" w:ascii="仿宋" w:hAnsi="仿宋" w:eastAsia="仿宋" w:cs="仿宋"/>
          <w:b/>
          <w:color w:val="auto"/>
          <w:kern w:val="44"/>
          <w:sz w:val="32"/>
          <w:szCs w:val="32"/>
          <w:highlight w:val="none"/>
          <w:lang w:val="en-US" w:eastAsia="zh-CN"/>
        </w:rPr>
      </w:pPr>
      <w:bookmarkStart w:id="190" w:name="_Toc11440"/>
      <w:r>
        <w:rPr>
          <w:rFonts w:hint="eastAsia" w:ascii="仿宋" w:hAnsi="仿宋" w:eastAsia="仿宋" w:cs="仿宋"/>
          <w:b/>
          <w:color w:val="auto"/>
          <w:kern w:val="44"/>
          <w:sz w:val="32"/>
          <w:szCs w:val="32"/>
          <w:highlight w:val="none"/>
          <w:lang w:val="en-US" w:eastAsia="zh-CN"/>
        </w:rPr>
        <w:t>第二部分 商务条款</w:t>
      </w:r>
      <w:bookmarkEnd w:id="190"/>
    </w:p>
    <w:p w14:paraId="1DB97094">
      <w:pPr>
        <w:pStyle w:val="10"/>
        <w:keepNext w:val="0"/>
        <w:keepLines w:val="0"/>
        <w:pageBreakBefore w:val="0"/>
        <w:widowControl w:val="0"/>
        <w:tabs>
          <w:tab w:val="left" w:pos="600"/>
        </w:tabs>
        <w:kinsoku/>
        <w:wordWrap/>
        <w:overflowPunct/>
        <w:topLinePunct w:val="0"/>
        <w:autoSpaceDE/>
        <w:autoSpaceDN/>
        <w:bidi w:val="0"/>
        <w:adjustRightInd/>
        <w:snapToGrid/>
        <w:spacing w:line="480" w:lineRule="exact"/>
        <w:ind w:firstLine="442" w:firstLineChars="200"/>
        <w:textAlignment w:val="auto"/>
        <w:rPr>
          <w:rFonts w:hint="eastAsia" w:ascii="仿宋" w:hAnsi="仿宋" w:eastAsia="仿宋" w:cs="仿宋"/>
          <w:b/>
          <w:bCs/>
          <w:color w:val="auto"/>
          <w:kern w:val="2"/>
          <w:sz w:val="22"/>
          <w:szCs w:val="28"/>
          <w:highlight w:val="none"/>
          <w:lang w:val="en-US" w:eastAsia="zh-CN" w:bidi="ar-SA"/>
        </w:rPr>
      </w:pPr>
      <w:r>
        <w:rPr>
          <w:rFonts w:hint="eastAsia" w:ascii="仿宋" w:hAnsi="仿宋" w:eastAsia="仿宋" w:cs="仿宋"/>
          <w:b/>
          <w:bCs/>
          <w:color w:val="auto"/>
          <w:kern w:val="2"/>
          <w:sz w:val="22"/>
          <w:szCs w:val="28"/>
          <w:highlight w:val="none"/>
          <w:lang w:val="en-US" w:eastAsia="zh-CN" w:bidi="ar-SA"/>
        </w:rPr>
        <w:t>1.付款方式</w:t>
      </w:r>
    </w:p>
    <w:p w14:paraId="77142044">
      <w:pPr>
        <w:pStyle w:val="10"/>
        <w:keepNext w:val="0"/>
        <w:keepLines w:val="0"/>
        <w:pageBreakBefore w:val="0"/>
        <w:widowControl w:val="0"/>
        <w:tabs>
          <w:tab w:val="left" w:pos="600"/>
        </w:tabs>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b w:val="0"/>
          <w:bCs w:val="0"/>
          <w:color w:val="auto"/>
          <w:kern w:val="2"/>
          <w:sz w:val="22"/>
          <w:szCs w:val="28"/>
          <w:highlight w:val="none"/>
          <w:lang w:val="en-US" w:eastAsia="zh-CN" w:bidi="ar-SA"/>
        </w:rPr>
      </w:pPr>
      <w:r>
        <w:rPr>
          <w:rFonts w:hint="eastAsia" w:ascii="仿宋" w:hAnsi="仿宋" w:eastAsia="仿宋" w:cs="仿宋"/>
          <w:b w:val="0"/>
          <w:bCs w:val="0"/>
          <w:color w:val="auto"/>
          <w:kern w:val="2"/>
          <w:sz w:val="22"/>
          <w:szCs w:val="28"/>
          <w:highlight w:val="none"/>
          <w:lang w:val="en-US" w:eastAsia="zh-CN" w:bidi="ar-SA"/>
        </w:rPr>
        <w:t>1.1设备到货并安装完成后付70%，验收完成后付到97%，运行一年后设备正常付到100%。（具体与甲方签订为准）。</w:t>
      </w:r>
    </w:p>
    <w:p w14:paraId="2C68898B">
      <w:pPr>
        <w:pStyle w:val="10"/>
        <w:keepNext w:val="0"/>
        <w:keepLines w:val="0"/>
        <w:pageBreakBefore w:val="0"/>
        <w:widowControl w:val="0"/>
        <w:numPr>
          <w:ilvl w:val="0"/>
          <w:numId w:val="0"/>
        </w:numPr>
        <w:tabs>
          <w:tab w:val="left" w:pos="600"/>
        </w:tabs>
        <w:kinsoku/>
        <w:wordWrap/>
        <w:overflowPunct/>
        <w:topLinePunct w:val="0"/>
        <w:autoSpaceDE/>
        <w:autoSpaceDN/>
        <w:bidi w:val="0"/>
        <w:adjustRightInd/>
        <w:snapToGrid/>
        <w:spacing w:line="480" w:lineRule="exact"/>
        <w:ind w:firstLine="442" w:firstLineChars="200"/>
        <w:textAlignment w:val="auto"/>
        <w:rPr>
          <w:rFonts w:hint="eastAsia" w:ascii="仿宋" w:hAnsi="仿宋" w:eastAsia="仿宋" w:cs="仿宋"/>
          <w:b/>
          <w:bCs/>
          <w:color w:val="auto"/>
          <w:kern w:val="2"/>
          <w:sz w:val="22"/>
          <w:szCs w:val="28"/>
          <w:highlight w:val="none"/>
          <w:lang w:val="en-US" w:eastAsia="zh-CN" w:bidi="ar-SA"/>
        </w:rPr>
      </w:pPr>
      <w:r>
        <w:rPr>
          <w:rFonts w:hint="eastAsia" w:ascii="仿宋" w:hAnsi="仿宋" w:eastAsia="仿宋" w:cs="仿宋"/>
          <w:b/>
          <w:bCs/>
          <w:color w:val="auto"/>
          <w:kern w:val="2"/>
          <w:sz w:val="22"/>
          <w:szCs w:val="28"/>
          <w:highlight w:val="none"/>
          <w:lang w:val="en-US" w:eastAsia="zh-CN" w:bidi="ar-SA"/>
        </w:rPr>
        <w:t>2.付款程序</w:t>
      </w:r>
    </w:p>
    <w:p w14:paraId="696A1C8D">
      <w:pPr>
        <w:pStyle w:val="10"/>
        <w:keepNext w:val="0"/>
        <w:keepLines w:val="0"/>
        <w:pageBreakBefore w:val="0"/>
        <w:widowControl w:val="0"/>
        <w:numPr>
          <w:ilvl w:val="0"/>
          <w:numId w:val="0"/>
        </w:numPr>
        <w:tabs>
          <w:tab w:val="left" w:pos="600"/>
        </w:tabs>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b w:val="0"/>
          <w:bCs w:val="0"/>
          <w:color w:val="auto"/>
          <w:kern w:val="2"/>
          <w:sz w:val="22"/>
          <w:szCs w:val="28"/>
          <w:highlight w:val="none"/>
          <w:lang w:val="en-US" w:eastAsia="zh-CN" w:bidi="ar-SA"/>
        </w:rPr>
      </w:pPr>
      <w:r>
        <w:rPr>
          <w:rFonts w:hint="eastAsia" w:ascii="仿宋" w:hAnsi="仿宋" w:eastAsia="仿宋" w:cs="仿宋"/>
          <w:b w:val="0"/>
          <w:bCs w:val="0"/>
          <w:color w:val="auto"/>
          <w:kern w:val="2"/>
          <w:sz w:val="22"/>
          <w:szCs w:val="28"/>
          <w:highlight w:val="none"/>
          <w:lang w:val="en-US" w:eastAsia="zh-CN" w:bidi="ar-SA"/>
        </w:rPr>
        <w:t>2.1所有货款均以人民币支付，由采购人办理具体付款手续。</w:t>
      </w:r>
    </w:p>
    <w:p w14:paraId="0EA203A3">
      <w:pPr>
        <w:pStyle w:val="10"/>
        <w:keepNext w:val="0"/>
        <w:keepLines w:val="0"/>
        <w:pageBreakBefore w:val="0"/>
        <w:widowControl w:val="0"/>
        <w:numPr>
          <w:ilvl w:val="0"/>
          <w:numId w:val="0"/>
        </w:numPr>
        <w:tabs>
          <w:tab w:val="left" w:pos="600"/>
        </w:tabs>
        <w:kinsoku/>
        <w:wordWrap/>
        <w:overflowPunct/>
        <w:topLinePunct w:val="0"/>
        <w:autoSpaceDE/>
        <w:autoSpaceDN/>
        <w:bidi w:val="0"/>
        <w:adjustRightInd/>
        <w:snapToGrid/>
        <w:spacing w:line="480" w:lineRule="exact"/>
        <w:ind w:firstLine="442" w:firstLineChars="200"/>
        <w:textAlignment w:val="auto"/>
        <w:rPr>
          <w:rFonts w:hint="eastAsia" w:ascii="仿宋" w:hAnsi="仿宋" w:eastAsia="仿宋" w:cs="仿宋"/>
          <w:b/>
          <w:bCs/>
          <w:color w:val="auto"/>
          <w:kern w:val="2"/>
          <w:sz w:val="22"/>
          <w:szCs w:val="28"/>
          <w:highlight w:val="none"/>
          <w:lang w:val="en-US" w:eastAsia="zh-CN" w:bidi="ar-SA"/>
        </w:rPr>
      </w:pPr>
      <w:r>
        <w:rPr>
          <w:rFonts w:hint="eastAsia" w:ascii="仿宋" w:hAnsi="仿宋" w:eastAsia="仿宋" w:cs="仿宋"/>
          <w:b/>
          <w:bCs/>
          <w:color w:val="auto"/>
          <w:kern w:val="2"/>
          <w:sz w:val="22"/>
          <w:szCs w:val="28"/>
          <w:highlight w:val="none"/>
          <w:lang w:val="en-US" w:eastAsia="zh-CN" w:bidi="ar-SA"/>
        </w:rPr>
        <w:t>3.报价要求</w:t>
      </w:r>
    </w:p>
    <w:p w14:paraId="7E2BDEEA">
      <w:pPr>
        <w:pStyle w:val="10"/>
        <w:keepNext w:val="0"/>
        <w:keepLines w:val="0"/>
        <w:pageBreakBefore w:val="0"/>
        <w:widowControl w:val="0"/>
        <w:numPr>
          <w:ilvl w:val="0"/>
          <w:numId w:val="0"/>
        </w:numPr>
        <w:tabs>
          <w:tab w:val="left" w:pos="600"/>
        </w:tabs>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3.1报价应是完成招标内容所需货物的全部费用，包括但不限于产品的报价及所发生的：包括采购代理服务费、货物价格、备品备件、包装、运输、仓储、保管、保险、装卸（卸货至甲方指定地点）、利润、相关税费及市场价格风险在内等全部费用。</w:t>
      </w:r>
    </w:p>
    <w:p w14:paraId="547CC698">
      <w:pPr>
        <w:keepNext w:val="0"/>
        <w:keepLines w:val="0"/>
        <w:pageBreakBefore w:val="0"/>
        <w:widowControl w:val="0"/>
        <w:kinsoku/>
        <w:wordWrap/>
        <w:overflowPunct/>
        <w:topLinePunct w:val="0"/>
        <w:autoSpaceDE/>
        <w:autoSpaceDN/>
        <w:bidi w:val="0"/>
        <w:adjustRightInd/>
        <w:snapToGrid/>
        <w:spacing w:line="480" w:lineRule="exact"/>
        <w:ind w:firstLine="442" w:firstLineChars="200"/>
        <w:textAlignment w:val="auto"/>
        <w:outlineLvl w:val="2"/>
        <w:rPr>
          <w:rFonts w:hint="eastAsia" w:ascii="仿宋" w:hAnsi="仿宋" w:eastAsia="仿宋" w:cs="仿宋"/>
          <w:b/>
          <w:bCs/>
          <w:color w:val="auto"/>
          <w:kern w:val="2"/>
          <w:sz w:val="22"/>
          <w:szCs w:val="28"/>
          <w:highlight w:val="none"/>
          <w:lang w:val="en-US" w:eastAsia="zh-CN" w:bidi="ar-SA"/>
        </w:rPr>
      </w:pPr>
      <w:bookmarkStart w:id="191" w:name="_Toc21189"/>
      <w:r>
        <w:rPr>
          <w:rFonts w:hint="eastAsia" w:ascii="仿宋" w:hAnsi="仿宋" w:eastAsia="仿宋" w:cs="仿宋"/>
          <w:b/>
          <w:bCs/>
          <w:color w:val="auto"/>
          <w:kern w:val="2"/>
          <w:sz w:val="22"/>
          <w:szCs w:val="28"/>
          <w:highlight w:val="none"/>
          <w:lang w:val="en-US" w:eastAsia="zh-CN" w:bidi="ar-SA"/>
        </w:rPr>
        <w:t>4.质量保证期</w:t>
      </w:r>
      <w:bookmarkEnd w:id="191"/>
    </w:p>
    <w:p w14:paraId="1EE70BD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4.1技术参数中具有单独售后服务要求、质量保证要求、质保要求、提供认证证书、提供检测报告、附白皮书证明、附图、提供认证文件等的按照技术参数中的要求提供并单独承诺说明。</w:t>
      </w:r>
    </w:p>
    <w:p w14:paraId="779BD0E5">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4.2技术参数中未单独提出要求的按以下要求做承诺说明：</w:t>
      </w:r>
    </w:p>
    <w:p w14:paraId="1234EC4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4.2.1质保期：本项目中标人应至少提供所有设备3年免费质保期（质保期起始日期为货物验收合格后第二天起开始）。国家主管部门或者行业标准对货物本身有更高要求的，从其规定并在合同中约定，供应商亦可提报更长的质保期。</w:t>
      </w:r>
    </w:p>
    <w:p w14:paraId="3643B4B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4.2.2质量保证期内，如果证实货物是有缺陷的，包括潜在的缺陷或者使用不符合要求的材料等，中标供应商应立即免费维修或者更换有缺陷的货物或者部件，保证达到合同规定的技术以及性能要求。如果中标供应商在收到通知后5天内没有弥补缺陷，采购人可自行采取必要的补救措施，但风险和费用由中标供应商承担，采购人同时保留通过法律途径进行索赔的权利。</w:t>
      </w:r>
    </w:p>
    <w:p w14:paraId="5B8493CD">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4.2.3产品验收合格，在质量保证（修）期前三个月内，凡属产品本身引起的故障，供应商需更换新的且与原产品型号规格都一样的产品；在质量保证（修）期的第四个月至质量保证（修）期结束期间，凡属产品本身引起的故障，供应商负责免费维修，所有费用由供应商承担；产品质量保证（修）期按生产厂家标准执行，均有原厂维修保养，但不得少于3年，产品质量保证（修）期自全面验收合格之日起计算。</w:t>
      </w:r>
    </w:p>
    <w:p w14:paraId="4A136466">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4.2.4设备出现故障要在1小时内响应，2小时内到场进行维修维护，故障排除时间不超过24小时，24小时电话服务支持。同时保证提供设备所需的备品、备件和易损件为原厂全新件。</w:t>
      </w:r>
    </w:p>
    <w:p w14:paraId="269D9744">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default"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4.2.5安装调试：供应商必须在合同签订后将所有的安装调试条件、需采购方配合的事项以书面方式通知用户，提供必备的技术资料，产品用户手册、特殊件及配套件的清单。并负责项目内所有软硬件设备的免费安装、调试。</w:t>
      </w:r>
    </w:p>
    <w:p w14:paraId="12F7B4EE">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eastAsia" w:ascii="仿宋" w:hAnsi="仿宋" w:eastAsia="仿宋" w:cs="仿宋"/>
          <w:b/>
          <w:bCs/>
          <w:color w:val="auto"/>
          <w:kern w:val="2"/>
          <w:sz w:val="22"/>
          <w:szCs w:val="28"/>
          <w:highlight w:val="none"/>
          <w:lang w:val="en-US" w:eastAsia="zh-CN" w:bidi="ar-SA"/>
        </w:rPr>
      </w:pPr>
      <w:bookmarkStart w:id="192" w:name="_Toc23094"/>
      <w:r>
        <w:rPr>
          <w:rFonts w:hint="eastAsia" w:ascii="仿宋" w:hAnsi="仿宋" w:eastAsia="仿宋" w:cs="仿宋"/>
          <w:b/>
          <w:bCs/>
          <w:color w:val="auto"/>
          <w:kern w:val="2"/>
          <w:sz w:val="22"/>
          <w:szCs w:val="28"/>
          <w:highlight w:val="none"/>
          <w:lang w:val="en-US" w:eastAsia="zh-CN" w:bidi="ar-SA"/>
        </w:rPr>
        <w:t>4.其他要求</w:t>
      </w:r>
      <w:bookmarkEnd w:id="192"/>
    </w:p>
    <w:p w14:paraId="513B035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5.1在交付使用后，供应商应对保修期及其以后的服务做出承诺，并具有切实可行的服务措施；</w:t>
      </w:r>
    </w:p>
    <w:p w14:paraId="555BB4A8">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5.2不能及时兑现服务承诺内容而影响采购方使用时，供应商应给予补偿的承诺，在投标文件中均应明确说明。</w:t>
      </w:r>
    </w:p>
    <w:p w14:paraId="73205A50">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5.3卖方负责设备安装和调试以及操作人员培训，并制定详细的培训计划，现场培训操作。使操作人员能独立进行管理、操作、维护和故障处理等工作，做好相关记录及技术文档收集整理，待验收合格后移交给采购方。</w:t>
      </w:r>
    </w:p>
    <w:p w14:paraId="32F5AC6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5.4若因中标单位原因未能在工期内完成合同规定的义务，由此对采购人造成的延误和一切损失，由中标单位人承担和赔偿。</w:t>
      </w:r>
    </w:p>
    <w:p w14:paraId="4E3897AF">
      <w:pPr>
        <w:keepNext w:val="0"/>
        <w:keepLines w:val="0"/>
        <w:pageBreakBefore w:val="0"/>
        <w:widowControl w:val="0"/>
        <w:kinsoku/>
        <w:wordWrap/>
        <w:overflowPunct/>
        <w:topLinePunct w:val="0"/>
        <w:autoSpaceDE/>
        <w:autoSpaceDN/>
        <w:bidi w:val="0"/>
        <w:adjustRightInd/>
        <w:snapToGrid/>
        <w:spacing w:line="480" w:lineRule="exact"/>
        <w:textAlignment w:val="auto"/>
        <w:outlineLvl w:val="2"/>
        <w:rPr>
          <w:rFonts w:hint="eastAsia" w:ascii="仿宋" w:hAnsi="仿宋" w:eastAsia="仿宋" w:cs="仿宋"/>
          <w:b/>
          <w:bCs/>
          <w:color w:val="auto"/>
          <w:kern w:val="2"/>
          <w:sz w:val="22"/>
          <w:szCs w:val="28"/>
          <w:highlight w:val="none"/>
          <w:lang w:val="en-US" w:eastAsia="zh-CN" w:bidi="ar-SA"/>
        </w:rPr>
      </w:pPr>
      <w:bookmarkStart w:id="193" w:name="_Toc2344"/>
      <w:r>
        <w:rPr>
          <w:rFonts w:hint="eastAsia" w:ascii="仿宋" w:hAnsi="仿宋" w:eastAsia="仿宋" w:cs="仿宋"/>
          <w:b/>
          <w:bCs/>
          <w:color w:val="auto"/>
          <w:kern w:val="2"/>
          <w:sz w:val="22"/>
          <w:szCs w:val="28"/>
          <w:highlight w:val="none"/>
          <w:lang w:val="en-US" w:eastAsia="zh-CN" w:bidi="ar-SA"/>
        </w:rPr>
        <w:t>6.违约责任：</w:t>
      </w:r>
      <w:bookmarkEnd w:id="193"/>
    </w:p>
    <w:p w14:paraId="1853413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6.1按《中华人民共和国民法典》中的相关条款执行。</w:t>
      </w:r>
    </w:p>
    <w:p w14:paraId="7336554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kern w:val="2"/>
          <w:sz w:val="22"/>
          <w:szCs w:val="28"/>
          <w:highlight w:val="none"/>
          <w:lang w:val="en-US" w:eastAsia="zh-CN" w:bidi="ar-SA"/>
        </w:rPr>
      </w:pPr>
      <w:r>
        <w:rPr>
          <w:rFonts w:hint="eastAsia" w:ascii="仿宋" w:hAnsi="仿宋" w:eastAsia="仿宋" w:cs="仿宋"/>
          <w:color w:val="auto"/>
          <w:kern w:val="2"/>
          <w:sz w:val="22"/>
          <w:szCs w:val="28"/>
          <w:highlight w:val="none"/>
          <w:lang w:val="en-US" w:eastAsia="zh-CN" w:bidi="ar-SA"/>
        </w:rPr>
        <w:t>6.2未按合同要求提供产品或产品质量不能满足技术要求，采购人有权终止合同，并对供方违约行为进行追究，同时按《政府采购法》的有关规定进行处罚。</w:t>
      </w:r>
    </w:p>
    <w:p w14:paraId="473C19B7">
      <w:pPr>
        <w:pStyle w:val="10"/>
        <w:keepNext w:val="0"/>
        <w:keepLines w:val="0"/>
        <w:pageBreakBefore w:val="0"/>
        <w:tabs>
          <w:tab w:val="left" w:pos="600"/>
        </w:tabs>
        <w:kinsoku/>
        <w:wordWrap/>
        <w:overflowPunct/>
        <w:topLinePunct w:val="0"/>
        <w:autoSpaceDE/>
        <w:autoSpaceDN/>
        <w:bidi w:val="0"/>
        <w:adjustRightInd/>
        <w:snapToGrid/>
        <w:spacing w:line="480" w:lineRule="exact"/>
        <w:ind w:firstLine="442" w:firstLineChars="200"/>
        <w:textAlignment w:val="auto"/>
        <w:rPr>
          <w:rFonts w:hint="eastAsia" w:ascii="仿宋" w:hAnsi="仿宋" w:eastAsia="仿宋" w:cs="仿宋"/>
          <w:b/>
          <w:bCs/>
          <w:color w:val="auto"/>
          <w:kern w:val="2"/>
          <w:sz w:val="22"/>
          <w:szCs w:val="28"/>
          <w:highlight w:val="none"/>
          <w:lang w:val="en-US" w:eastAsia="zh-CN" w:bidi="ar-SA"/>
        </w:rPr>
      </w:pPr>
      <w:r>
        <w:rPr>
          <w:rFonts w:hint="eastAsia" w:ascii="仿宋" w:hAnsi="仿宋" w:eastAsia="仿宋" w:cs="仿宋"/>
          <w:b/>
          <w:bCs/>
          <w:color w:val="auto"/>
          <w:kern w:val="2"/>
          <w:sz w:val="22"/>
          <w:szCs w:val="28"/>
          <w:highlight w:val="none"/>
          <w:lang w:val="en-US" w:eastAsia="zh-CN" w:bidi="ar-SA"/>
        </w:rPr>
        <w:t>注：1.本项目商务条款全部为重要指标（实质性要求），不得负偏离，供应商在响应文件中必须对商务条款进行一一正面响应，并列明具体响应数值或内容，只注明符合、满足等无具体内容表述的，将按照不“符合招标文件规定的实质性要求的”投标无效处理。在交货后，发现部分不能实现，甲方有权退货并索取赔偿。2.产品中标后签订合同、验收过程中如果发现有不满足招标要求的、篡改商务条款的，用户可以拒绝付款。</w:t>
      </w:r>
    </w:p>
    <w:p w14:paraId="2EC8280C">
      <w:pPr>
        <w:rPr>
          <w:rFonts w:hint="eastAsia" w:ascii="仿宋" w:hAnsi="仿宋" w:eastAsia="仿宋" w:cs="仿宋"/>
          <w:color w:val="auto"/>
          <w:highlight w:val="none"/>
        </w:rPr>
      </w:pPr>
    </w:p>
    <w:p w14:paraId="3957BDEA">
      <w:pPr>
        <w:pStyle w:val="35"/>
        <w:rPr>
          <w:rFonts w:hint="eastAsia" w:ascii="仿宋" w:hAnsi="仿宋" w:eastAsia="仿宋" w:cs="仿宋"/>
          <w:color w:val="auto"/>
          <w:highlight w:val="none"/>
        </w:rPr>
      </w:pPr>
    </w:p>
    <w:p w14:paraId="52B71F11">
      <w:pPr>
        <w:keepNext w:val="0"/>
        <w:keepLines w:val="0"/>
        <w:pageBreakBefore w:val="0"/>
        <w:widowControl/>
        <w:kinsoku/>
        <w:wordWrap/>
        <w:overflowPunct/>
        <w:topLinePunct w:val="0"/>
        <w:autoSpaceDE/>
        <w:autoSpaceDN/>
        <w:bidi w:val="0"/>
        <w:adjustRightInd/>
        <w:snapToGrid/>
        <w:spacing w:line="480" w:lineRule="exact"/>
        <w:ind w:left="0" w:leftChars="0"/>
        <w:jc w:val="center"/>
        <w:textAlignment w:val="auto"/>
        <w:outlineLvl w:val="0"/>
        <w:rPr>
          <w:rFonts w:hint="eastAsia" w:ascii="仿宋" w:hAnsi="仿宋" w:eastAsia="仿宋" w:cs="仿宋"/>
          <w:b/>
          <w:color w:val="auto"/>
          <w:kern w:val="44"/>
          <w:sz w:val="40"/>
          <w:szCs w:val="40"/>
          <w:highlight w:val="none"/>
          <w:lang w:val="en-US" w:eastAsia="zh-CN" w:bidi="ar-SA"/>
        </w:rPr>
      </w:pPr>
      <w:r>
        <w:rPr>
          <w:rFonts w:hint="eastAsia" w:ascii="仿宋" w:hAnsi="仿宋" w:eastAsia="仿宋" w:cs="仿宋"/>
          <w:b/>
          <w:color w:val="auto"/>
          <w:sz w:val="44"/>
          <w:szCs w:val="44"/>
          <w:highlight w:val="none"/>
        </w:rPr>
        <w:br w:type="page"/>
      </w:r>
      <w:bookmarkStart w:id="194" w:name="_Toc15292"/>
      <w:r>
        <w:rPr>
          <w:rFonts w:hint="eastAsia" w:ascii="仿宋" w:hAnsi="仿宋" w:eastAsia="仿宋" w:cs="仿宋"/>
          <w:b/>
          <w:color w:val="auto"/>
          <w:kern w:val="44"/>
          <w:sz w:val="40"/>
          <w:szCs w:val="40"/>
          <w:highlight w:val="none"/>
          <w:lang w:val="en-US" w:eastAsia="zh-CN" w:bidi="ar-SA"/>
        </w:rPr>
        <w:t>第五章 采购合同格式（仅供参考）</w:t>
      </w:r>
      <w:bookmarkEnd w:id="194"/>
    </w:p>
    <w:p w14:paraId="4148D45B">
      <w:pPr>
        <w:keepNext w:val="0"/>
        <w:keepLines w:val="0"/>
        <w:pageBreakBefore w:val="0"/>
        <w:kinsoku w:val="0"/>
        <w:wordWrap/>
        <w:overflowPunct/>
        <w:topLinePunct w:val="0"/>
        <w:autoSpaceDE w:val="0"/>
        <w:autoSpaceDN w:val="0"/>
        <w:bidi w:val="0"/>
        <w:adjustRightInd w:val="0"/>
        <w:snapToGrid w:val="0"/>
        <w:spacing w:line="480" w:lineRule="exact"/>
        <w:ind w:left="0" w:leftChars="0"/>
        <w:jc w:val="center"/>
        <w:textAlignment w:val="baseline"/>
        <w:rPr>
          <w:rFonts w:hint="eastAsia" w:ascii="仿宋" w:hAnsi="仿宋" w:eastAsia="仿宋" w:cs="仿宋"/>
          <w:snapToGrid w:val="0"/>
          <w:color w:val="auto"/>
          <w:kern w:val="0"/>
          <w:sz w:val="28"/>
          <w:szCs w:val="28"/>
          <w:highlight w:val="none"/>
          <w:lang w:val="en-US" w:eastAsia="en-US" w:bidi="ar-SA"/>
        </w:rPr>
      </w:pPr>
      <w:bookmarkStart w:id="195" w:name="_Toc18821"/>
      <w:r>
        <w:rPr>
          <w:rFonts w:hint="eastAsia" w:ascii="仿宋" w:hAnsi="仿宋" w:eastAsia="仿宋" w:cs="仿宋"/>
          <w:snapToGrid w:val="0"/>
          <w:color w:val="auto"/>
          <w:spacing w:val="-2"/>
          <w:kern w:val="0"/>
          <w:sz w:val="28"/>
          <w:szCs w:val="28"/>
          <w:highlight w:val="none"/>
          <w:lang w:val="en-US" w:eastAsia="en-US" w:bidi="ar-SA"/>
        </w:rPr>
        <w:t>(此合同样本仅供参考,合同具体细则以成交双方</w:t>
      </w:r>
      <w:r>
        <w:rPr>
          <w:rFonts w:hint="eastAsia" w:ascii="仿宋" w:hAnsi="仿宋" w:eastAsia="仿宋" w:cs="仿宋"/>
          <w:snapToGrid w:val="0"/>
          <w:color w:val="auto"/>
          <w:spacing w:val="-3"/>
          <w:kern w:val="0"/>
          <w:sz w:val="28"/>
          <w:szCs w:val="28"/>
          <w:highlight w:val="none"/>
          <w:lang w:val="en-US" w:eastAsia="en-US" w:bidi="ar-SA"/>
        </w:rPr>
        <w:t>协定为准)</w:t>
      </w:r>
    </w:p>
    <w:p w14:paraId="1EC3FDC8">
      <w:pPr>
        <w:keepNext w:val="0"/>
        <w:keepLines w:val="0"/>
        <w:pageBreakBefore w:val="0"/>
        <w:widowControl w:val="0"/>
        <w:wordWrap/>
        <w:overflowPunct/>
        <w:topLinePunct w:val="0"/>
        <w:bidi w:val="0"/>
        <w:spacing w:after="0" w:line="480" w:lineRule="exact"/>
        <w:ind w:left="0" w:leftChars="0"/>
        <w:jc w:val="both"/>
        <w:rPr>
          <w:rFonts w:hint="eastAsia" w:ascii="仿宋" w:hAnsi="仿宋" w:eastAsia="仿宋" w:cs="仿宋"/>
          <w:b/>
          <w:bCs/>
          <w:color w:val="auto"/>
          <w:spacing w:val="-20"/>
          <w:kern w:val="44"/>
          <w:sz w:val="48"/>
          <w:szCs w:val="48"/>
          <w:highlight w:val="none"/>
          <w:lang w:val="en-US" w:eastAsia="zh-CN" w:bidi="ar-SA"/>
        </w:rPr>
      </w:pPr>
    </w:p>
    <w:p w14:paraId="0F68234A">
      <w:pPr>
        <w:keepNext w:val="0"/>
        <w:keepLines w:val="0"/>
        <w:pageBreakBefore w:val="0"/>
        <w:widowControl w:val="0"/>
        <w:wordWrap/>
        <w:overflowPunct/>
        <w:topLinePunct w:val="0"/>
        <w:bidi w:val="0"/>
        <w:spacing w:after="0" w:line="480" w:lineRule="exact"/>
        <w:ind w:left="0" w:leftChars="0"/>
        <w:jc w:val="both"/>
        <w:rPr>
          <w:rFonts w:hint="eastAsia" w:ascii="仿宋" w:hAnsi="仿宋" w:eastAsia="仿宋" w:cs="仿宋"/>
          <w:b/>
          <w:bCs/>
          <w:color w:val="auto"/>
          <w:spacing w:val="-20"/>
          <w:kern w:val="44"/>
          <w:sz w:val="48"/>
          <w:szCs w:val="48"/>
          <w:highlight w:val="none"/>
          <w:lang w:val="en-US" w:eastAsia="zh-CN" w:bidi="ar-SA"/>
        </w:rPr>
      </w:pPr>
    </w:p>
    <w:p w14:paraId="6F3DFDD4">
      <w:pPr>
        <w:keepNext w:val="0"/>
        <w:keepLines w:val="0"/>
        <w:pageBreakBefore w:val="0"/>
        <w:widowControl w:val="0"/>
        <w:wordWrap/>
        <w:overflowPunct/>
        <w:topLinePunct w:val="0"/>
        <w:bidi w:val="0"/>
        <w:spacing w:after="0" w:line="480" w:lineRule="exact"/>
        <w:ind w:left="0" w:leftChars="0"/>
        <w:jc w:val="both"/>
        <w:rPr>
          <w:rFonts w:hint="eastAsia" w:ascii="仿宋" w:hAnsi="仿宋" w:eastAsia="仿宋" w:cs="仿宋"/>
          <w:b/>
          <w:bCs/>
          <w:color w:val="auto"/>
          <w:spacing w:val="-20"/>
          <w:kern w:val="44"/>
          <w:sz w:val="48"/>
          <w:szCs w:val="48"/>
          <w:highlight w:val="none"/>
          <w:lang w:val="en-US" w:eastAsia="zh-CN" w:bidi="ar-SA"/>
        </w:rPr>
      </w:pPr>
    </w:p>
    <w:p w14:paraId="42890398">
      <w:pPr>
        <w:keepNext w:val="0"/>
        <w:keepLines w:val="0"/>
        <w:pageBreakBefore w:val="0"/>
        <w:widowControl w:val="0"/>
        <w:wordWrap/>
        <w:overflowPunct/>
        <w:topLinePunct w:val="0"/>
        <w:bidi w:val="0"/>
        <w:spacing w:after="0" w:line="480" w:lineRule="exact"/>
        <w:ind w:left="0" w:leftChars="0"/>
        <w:jc w:val="center"/>
        <w:rPr>
          <w:rFonts w:hint="eastAsia" w:ascii="仿宋" w:hAnsi="仿宋" w:eastAsia="仿宋" w:cs="仿宋"/>
          <w:b/>
          <w:bCs/>
          <w:color w:val="auto"/>
          <w:spacing w:val="-20"/>
          <w:kern w:val="44"/>
          <w:sz w:val="48"/>
          <w:szCs w:val="48"/>
          <w:highlight w:val="none"/>
          <w:lang w:val="en-US" w:eastAsia="zh-CN" w:bidi="ar-SA"/>
        </w:rPr>
      </w:pPr>
      <w:r>
        <w:rPr>
          <w:rFonts w:hint="eastAsia" w:ascii="仿宋" w:hAnsi="仿宋" w:eastAsia="仿宋" w:cs="仿宋"/>
          <w:b/>
          <w:bCs/>
          <w:color w:val="auto"/>
          <w:spacing w:val="-20"/>
          <w:kern w:val="44"/>
          <w:sz w:val="48"/>
          <w:szCs w:val="48"/>
          <w:highlight w:val="none"/>
          <w:lang w:val="en-US" w:eastAsia="zh-CN" w:bidi="ar-SA"/>
        </w:rPr>
        <w:t>政府采购货物买卖合同</w:t>
      </w:r>
    </w:p>
    <w:p w14:paraId="46DA1E02">
      <w:pPr>
        <w:keepNext w:val="0"/>
        <w:keepLines w:val="0"/>
        <w:pageBreakBefore w:val="0"/>
        <w:widowControl w:val="0"/>
        <w:wordWrap/>
        <w:overflowPunct/>
        <w:topLinePunct w:val="0"/>
        <w:bidi w:val="0"/>
        <w:spacing w:after="0" w:line="480" w:lineRule="exact"/>
        <w:ind w:left="0" w:leftChars="0"/>
        <w:jc w:val="center"/>
        <w:rPr>
          <w:rFonts w:hint="eastAsia" w:ascii="仿宋" w:hAnsi="仿宋" w:eastAsia="仿宋" w:cs="仿宋"/>
          <w:b/>
          <w:bCs/>
          <w:color w:val="auto"/>
          <w:spacing w:val="-20"/>
          <w:kern w:val="44"/>
          <w:sz w:val="48"/>
          <w:szCs w:val="48"/>
          <w:highlight w:val="none"/>
          <w:lang w:val="en-US" w:eastAsia="zh-CN" w:bidi="ar-SA"/>
        </w:rPr>
      </w:pPr>
      <w:r>
        <w:rPr>
          <w:rFonts w:hint="eastAsia" w:ascii="仿宋" w:hAnsi="仿宋" w:eastAsia="仿宋" w:cs="仿宋"/>
          <w:b/>
          <w:bCs/>
          <w:color w:val="auto"/>
          <w:spacing w:val="-20"/>
          <w:kern w:val="44"/>
          <w:sz w:val="48"/>
          <w:szCs w:val="48"/>
          <w:highlight w:val="none"/>
          <w:lang w:val="en-US" w:eastAsia="zh-CN" w:bidi="ar-SA"/>
        </w:rPr>
        <w:t>（试行）</w:t>
      </w:r>
    </w:p>
    <w:p w14:paraId="465B4699">
      <w:pPr>
        <w:keepNext w:val="0"/>
        <w:keepLines w:val="0"/>
        <w:pageBreakBefore w:val="0"/>
        <w:wordWrap/>
        <w:overflowPunct/>
        <w:topLinePunct w:val="0"/>
        <w:bidi w:val="0"/>
        <w:spacing w:line="480" w:lineRule="exact"/>
        <w:ind w:left="0" w:leftChars="0"/>
        <w:rPr>
          <w:rFonts w:hint="eastAsia" w:ascii="仿宋" w:hAnsi="仿宋" w:eastAsia="仿宋" w:cs="仿宋"/>
          <w:b/>
          <w:bCs/>
          <w:color w:val="auto"/>
          <w:spacing w:val="-20"/>
          <w:kern w:val="44"/>
          <w:sz w:val="40"/>
          <w:szCs w:val="40"/>
          <w:highlight w:val="none"/>
        </w:rPr>
      </w:pPr>
    </w:p>
    <w:p w14:paraId="156EAFE7">
      <w:pPr>
        <w:keepNext w:val="0"/>
        <w:keepLines w:val="0"/>
        <w:pageBreakBefore w:val="0"/>
        <w:wordWrap/>
        <w:overflowPunct/>
        <w:topLinePunct w:val="0"/>
        <w:bidi w:val="0"/>
        <w:spacing w:line="480" w:lineRule="exact"/>
        <w:ind w:left="0" w:leftChars="0"/>
        <w:rPr>
          <w:rFonts w:hint="eastAsia" w:ascii="仿宋" w:hAnsi="仿宋" w:eastAsia="仿宋" w:cs="仿宋"/>
          <w:b/>
          <w:bCs/>
          <w:color w:val="auto"/>
          <w:spacing w:val="-20"/>
          <w:kern w:val="44"/>
          <w:sz w:val="40"/>
          <w:szCs w:val="40"/>
          <w:highlight w:val="none"/>
        </w:rPr>
      </w:pPr>
    </w:p>
    <w:p w14:paraId="7C6FD9A7">
      <w:pPr>
        <w:keepNext w:val="0"/>
        <w:keepLines w:val="0"/>
        <w:pageBreakBefore w:val="0"/>
        <w:wordWrap/>
        <w:overflowPunct/>
        <w:topLinePunct w:val="0"/>
        <w:bidi w:val="0"/>
        <w:spacing w:line="480" w:lineRule="exact"/>
        <w:ind w:left="0" w:leftChars="0"/>
        <w:rPr>
          <w:rFonts w:hint="eastAsia" w:ascii="仿宋" w:hAnsi="仿宋" w:eastAsia="仿宋" w:cs="仿宋"/>
          <w:b/>
          <w:bCs/>
          <w:color w:val="auto"/>
          <w:spacing w:val="-20"/>
          <w:kern w:val="44"/>
          <w:sz w:val="40"/>
          <w:szCs w:val="40"/>
          <w:highlight w:val="none"/>
        </w:rPr>
      </w:pPr>
    </w:p>
    <w:p w14:paraId="1C6FD697">
      <w:pPr>
        <w:keepNext w:val="0"/>
        <w:keepLines w:val="0"/>
        <w:pageBreakBefore w:val="0"/>
        <w:tabs>
          <w:tab w:val="left" w:pos="6709"/>
        </w:tabs>
        <w:wordWrap/>
        <w:overflowPunct/>
        <w:topLinePunct w:val="0"/>
        <w:bidi w:val="0"/>
        <w:spacing w:line="480" w:lineRule="exact"/>
        <w:ind w:left="0" w:leftChars="0"/>
        <w:rPr>
          <w:rFonts w:hint="eastAsia" w:ascii="仿宋" w:hAnsi="仿宋" w:eastAsia="仿宋" w:cs="仿宋"/>
          <w:b/>
          <w:bCs/>
          <w:color w:val="auto"/>
          <w:spacing w:val="-20"/>
          <w:kern w:val="44"/>
          <w:sz w:val="40"/>
          <w:szCs w:val="40"/>
          <w:highlight w:val="none"/>
          <w:lang w:eastAsia="zh-CN"/>
        </w:rPr>
      </w:pPr>
      <w:r>
        <w:rPr>
          <w:rFonts w:hint="eastAsia" w:ascii="仿宋" w:hAnsi="仿宋" w:eastAsia="仿宋" w:cs="仿宋"/>
          <w:b/>
          <w:bCs/>
          <w:color w:val="auto"/>
          <w:spacing w:val="-20"/>
          <w:kern w:val="44"/>
          <w:sz w:val="40"/>
          <w:szCs w:val="40"/>
          <w:highlight w:val="none"/>
          <w:lang w:eastAsia="zh-CN"/>
        </w:rPr>
        <w:tab/>
      </w:r>
    </w:p>
    <w:p w14:paraId="53D7A169">
      <w:pPr>
        <w:keepNext w:val="0"/>
        <w:keepLines w:val="0"/>
        <w:pageBreakBefore w:val="0"/>
        <w:wordWrap/>
        <w:overflowPunct/>
        <w:topLinePunct w:val="0"/>
        <w:bidi w:val="0"/>
        <w:spacing w:line="480" w:lineRule="exact"/>
        <w:ind w:left="0" w:leftChars="0"/>
        <w:rPr>
          <w:rFonts w:hint="eastAsia" w:ascii="仿宋" w:hAnsi="仿宋" w:eastAsia="仿宋" w:cs="仿宋"/>
          <w:b/>
          <w:bCs/>
          <w:color w:val="auto"/>
          <w:spacing w:val="-20"/>
          <w:kern w:val="44"/>
          <w:sz w:val="40"/>
          <w:szCs w:val="40"/>
          <w:highlight w:val="none"/>
        </w:rPr>
      </w:pPr>
    </w:p>
    <w:p w14:paraId="246040F2">
      <w:pPr>
        <w:keepNext w:val="0"/>
        <w:keepLines w:val="0"/>
        <w:pageBreakBefore w:val="0"/>
        <w:wordWrap/>
        <w:overflowPunct/>
        <w:topLinePunct w:val="0"/>
        <w:bidi w:val="0"/>
        <w:spacing w:line="480" w:lineRule="exact"/>
        <w:ind w:left="0" w:leftChars="0"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6BDC0268">
      <w:pPr>
        <w:keepNext w:val="0"/>
        <w:keepLines w:val="0"/>
        <w:pageBreakBefore w:val="0"/>
        <w:wordWrap/>
        <w:overflowPunct/>
        <w:topLinePunct w:val="0"/>
        <w:bidi w:val="0"/>
        <w:spacing w:line="480" w:lineRule="exact"/>
        <w:ind w:left="0" w:leftChars="0" w:firstLine="640" w:firstLine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3A094230">
      <w:pPr>
        <w:keepNext w:val="0"/>
        <w:keepLines w:val="0"/>
        <w:pageBreakBefore w:val="0"/>
        <w:wordWrap/>
        <w:overflowPunct/>
        <w:topLinePunct w:val="0"/>
        <w:bidi w:val="0"/>
        <w:spacing w:line="480" w:lineRule="exact"/>
        <w:ind w:left="0" w:leftChars="0"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5C0D0149">
      <w:pPr>
        <w:keepNext w:val="0"/>
        <w:keepLines w:val="0"/>
        <w:pageBreakBefore w:val="0"/>
        <w:wordWrap/>
        <w:overflowPunct/>
        <w:topLinePunct w:val="0"/>
        <w:bidi w:val="0"/>
        <w:spacing w:line="480" w:lineRule="exact"/>
        <w:ind w:left="0" w:leftChars="0" w:firstLine="640" w:firstLine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7FC44FEB">
      <w:pPr>
        <w:keepNext w:val="0"/>
        <w:keepLines w:val="0"/>
        <w:pageBreakBefore w:val="0"/>
        <w:wordWrap/>
        <w:overflowPunct/>
        <w:topLinePunct w:val="0"/>
        <w:bidi w:val="0"/>
        <w:spacing w:line="480" w:lineRule="exact"/>
        <w:ind w:left="0" w:leftChars="0"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3ED65EED">
      <w:pPr>
        <w:rPr>
          <w:rFonts w:hint="eastAsia" w:ascii="仿宋" w:hAnsi="仿宋" w:eastAsia="仿宋" w:cs="仿宋"/>
          <w:color w:val="auto"/>
          <w:szCs w:val="24"/>
          <w:highlight w:val="none"/>
        </w:rPr>
      </w:pPr>
    </w:p>
    <w:p w14:paraId="343E51CA">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1A6C8704">
      <w:pPr>
        <w:keepNext/>
        <w:keepLines/>
        <w:pageBreakBefore w:val="0"/>
        <w:widowControl w:val="0"/>
        <w:kinsoku/>
        <w:wordWrap/>
        <w:overflowPunct/>
        <w:topLinePunct w:val="0"/>
        <w:bidi w:val="0"/>
        <w:adjustRightInd w:val="0"/>
        <w:snapToGrid w:val="0"/>
        <w:spacing w:beforeLines="0" w:line="480" w:lineRule="exact"/>
        <w:jc w:val="center"/>
        <w:textAlignment w:val="auto"/>
        <w:outlineLvl w:val="1"/>
        <w:rPr>
          <w:rFonts w:hint="eastAsia" w:ascii="仿宋" w:hAnsi="仿宋" w:eastAsia="仿宋" w:cs="仿宋"/>
          <w:b w:val="0"/>
          <w:bCs w:val="0"/>
          <w:color w:val="auto"/>
          <w:kern w:val="2"/>
          <w:sz w:val="22"/>
          <w:szCs w:val="22"/>
          <w:highlight w:val="none"/>
          <w:lang w:val="en-US" w:eastAsia="zh-CN" w:bidi="ar-SA"/>
        </w:rPr>
      </w:pPr>
      <w:bookmarkStart w:id="196" w:name="_Toc22209"/>
      <w:bookmarkStart w:id="197" w:name="_Toc13124"/>
      <w:r>
        <w:rPr>
          <w:rFonts w:hint="eastAsia" w:ascii="仿宋" w:hAnsi="仿宋" w:eastAsia="仿宋" w:cs="仿宋"/>
          <w:b w:val="0"/>
          <w:bCs w:val="0"/>
          <w:color w:val="auto"/>
          <w:kern w:val="2"/>
          <w:sz w:val="22"/>
          <w:szCs w:val="22"/>
          <w:highlight w:val="none"/>
          <w:lang w:val="en-US" w:eastAsia="zh-CN" w:bidi="ar-SA"/>
        </w:rPr>
        <w:t>第一节 政府采购合同协议书</w:t>
      </w:r>
      <w:bookmarkEnd w:id="196"/>
      <w:bookmarkEnd w:id="197"/>
    </w:p>
    <w:p w14:paraId="387B5D9D">
      <w:pPr>
        <w:pageBreakBefore w:val="0"/>
        <w:widowControl w:val="0"/>
        <w:kinsoku/>
        <w:wordWrap/>
        <w:overflowPunct/>
        <w:topLinePunct w:val="0"/>
        <w:bidi w:val="0"/>
        <w:adjustRightInd w:val="0"/>
        <w:snapToGrid w:val="0"/>
        <w:spacing w:before="0" w:beforeLines="0"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甲方（全称）：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（采购人</w:t>
      </w:r>
      <w:r>
        <w:rPr>
          <w:rFonts w:hint="eastAsia" w:ascii="仿宋" w:hAnsi="仿宋" w:eastAsia="仿宋" w:cs="仿宋"/>
          <w:color w:val="auto"/>
          <w:sz w:val="22"/>
          <w:szCs w:val="22"/>
          <w:highlight w:val="none"/>
          <w:lang w:eastAsia="zh-CN"/>
        </w:rPr>
        <w:t>、受采购人委托签订合同的单位</w:t>
      </w:r>
      <w:r>
        <w:rPr>
          <w:rFonts w:hint="eastAsia" w:ascii="仿宋" w:hAnsi="仿宋" w:eastAsia="仿宋" w:cs="仿宋"/>
          <w:color w:val="auto"/>
          <w:sz w:val="22"/>
          <w:szCs w:val="22"/>
          <w:highlight w:val="none"/>
        </w:rPr>
        <w:t>或采购文件约定的合同甲方）</w:t>
      </w:r>
    </w:p>
    <w:p w14:paraId="51F03F52">
      <w:pPr>
        <w:pageBreakBefore w:val="0"/>
        <w:widowControl w:val="0"/>
        <w:kinsoku/>
        <w:wordWrap/>
        <w:overflowPunct/>
        <w:topLinePunct w:val="0"/>
        <w:bidi w:val="0"/>
        <w:adjustRightInd w:val="0"/>
        <w:snapToGrid w:val="0"/>
        <w:spacing w:before="0" w:beforeLines="0"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乙方</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（全称）：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（供应商）</w:t>
      </w:r>
    </w:p>
    <w:p w14:paraId="754BC818">
      <w:pPr>
        <w:pageBreakBefore w:val="0"/>
        <w:widowControl w:val="0"/>
        <w:kinsoku/>
        <w:wordWrap/>
        <w:overflowPunct/>
        <w:topLinePunct w:val="0"/>
        <w:bidi w:val="0"/>
        <w:adjustRightInd w:val="0"/>
        <w:snapToGrid w:val="0"/>
        <w:spacing w:before="0" w:beforeLines="0"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乙方2（全称）：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（联合体成员供应商或其他合同主体）（如有）</w:t>
      </w:r>
    </w:p>
    <w:p w14:paraId="76BD6743">
      <w:pPr>
        <w:pageBreakBefore w:val="0"/>
        <w:widowControl w:val="0"/>
        <w:kinsoku/>
        <w:wordWrap/>
        <w:overflowPunct/>
        <w:topLinePunct w:val="0"/>
        <w:bidi w:val="0"/>
        <w:adjustRightInd w:val="0"/>
        <w:snapToGrid w:val="0"/>
        <w:spacing w:before="0" w:beforeLines="0" w:line="48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乙方</w:t>
      </w:r>
      <w:r>
        <w:rPr>
          <w:rFonts w:hint="eastAsia" w:ascii="仿宋" w:hAnsi="仿宋" w:eastAsia="仿宋" w:cs="仿宋"/>
          <w:color w:val="auto"/>
          <w:sz w:val="22"/>
          <w:szCs w:val="22"/>
          <w:highlight w:val="none"/>
          <w:lang w:val="en-US" w:eastAsia="zh-CN"/>
        </w:rPr>
        <w:t>3（全称）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（联合体成员供应商或其他合同主体）（如有）</w:t>
      </w:r>
    </w:p>
    <w:p w14:paraId="664583FF">
      <w:pPr>
        <w:pageBreakBefore w:val="0"/>
        <w:widowControl w:val="0"/>
        <w:kinsoku/>
        <w:wordWrap/>
        <w:overflowPunct/>
        <w:topLinePunct w:val="0"/>
        <w:bidi w:val="0"/>
        <w:adjustRightInd w:val="0"/>
        <w:snapToGrid w:val="0"/>
        <w:spacing w:before="0" w:beforeLines="0" w:after="0" w:line="480" w:lineRule="exact"/>
        <w:ind w:firstLine="440" w:firstLineChars="200"/>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依据《中华人民共和国民法典》、《中华人民共和国政府采购法》等有关的法律法规，以及</w:t>
      </w:r>
      <w:r>
        <w:rPr>
          <w:rFonts w:hint="eastAsia" w:ascii="仿宋" w:hAnsi="仿宋" w:eastAsia="仿宋" w:cs="仿宋"/>
          <w:i w:val="0"/>
          <w:iCs w:val="0"/>
          <w:color w:val="auto"/>
          <w:kern w:val="2"/>
          <w:sz w:val="22"/>
          <w:szCs w:val="22"/>
          <w:highlight w:val="none"/>
          <w:u w:val="none"/>
          <w:lang w:val="en-US" w:eastAsia="zh-CN" w:bidi="ar-SA"/>
        </w:rPr>
        <w:t>本采购项目</w:t>
      </w:r>
      <w:r>
        <w:rPr>
          <w:rFonts w:hint="eastAsia" w:ascii="仿宋" w:hAnsi="仿宋" w:eastAsia="仿宋" w:cs="仿宋"/>
          <w:color w:val="auto"/>
          <w:kern w:val="2"/>
          <w:sz w:val="22"/>
          <w:szCs w:val="22"/>
          <w:highlight w:val="none"/>
          <w:lang w:val="en-US" w:eastAsia="zh-CN" w:bidi="ar-SA"/>
        </w:rPr>
        <w:t xml:space="preserve">的招标文件等采购文件、乙方的《投标文件》及《中标通知书》，甲乙双方同意签订本合同。具体情况及要求如下：     </w:t>
      </w:r>
    </w:p>
    <w:p w14:paraId="17B18582">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项目信息</w:t>
      </w:r>
    </w:p>
    <w:p w14:paraId="763112E3">
      <w:pPr>
        <w:pageBreakBefore w:val="0"/>
        <w:widowControl w:val="0"/>
        <w:numPr>
          <w:ilvl w:val="0"/>
          <w:numId w:val="4"/>
        </w:numPr>
        <w:kinsoku/>
        <w:wordWrap/>
        <w:overflowPunct/>
        <w:topLinePunct w:val="0"/>
        <w:bidi w:val="0"/>
        <w:adjustRightInd w:val="0"/>
        <w:snapToGrid w:val="0"/>
        <w:spacing w:before="0" w:beforeLines="0" w:after="0" w:line="480" w:lineRule="exact"/>
        <w:ind w:left="0" w:leftChars="0" w:firstLine="440" w:firstLineChars="200"/>
        <w:jc w:val="both"/>
        <w:textAlignment w:val="auto"/>
        <w:rPr>
          <w:rFonts w:hint="eastAsia" w:ascii="仿宋" w:hAnsi="仿宋" w:eastAsia="仿宋" w:cs="仿宋"/>
          <w:color w:val="auto"/>
          <w:kern w:val="2"/>
          <w:sz w:val="22"/>
          <w:szCs w:val="22"/>
          <w:highlight w:val="none"/>
          <w:u w:val="single"/>
          <w:lang w:val="en-US" w:eastAsia="zh-CN" w:bidi="ar-SA"/>
        </w:rPr>
      </w:pPr>
      <w:r>
        <w:rPr>
          <w:rFonts w:hint="eastAsia" w:ascii="仿宋" w:hAnsi="仿宋" w:eastAsia="仿宋" w:cs="仿宋"/>
          <w:color w:val="auto"/>
          <w:kern w:val="2"/>
          <w:sz w:val="22"/>
          <w:szCs w:val="22"/>
          <w:highlight w:val="none"/>
          <w:lang w:val="en-US" w:eastAsia="zh-CN" w:bidi="ar-SA"/>
        </w:rPr>
        <w:t>采购项目名称：</w:t>
      </w:r>
      <w:r>
        <w:rPr>
          <w:rFonts w:hint="eastAsia" w:ascii="仿宋" w:hAnsi="仿宋" w:eastAsia="仿宋" w:cs="仿宋"/>
          <w:color w:val="auto"/>
          <w:kern w:val="2"/>
          <w:sz w:val="22"/>
          <w:szCs w:val="22"/>
          <w:highlight w:val="none"/>
          <w:u w:val="single"/>
          <w:lang w:val="en-US" w:eastAsia="zh-CN" w:bidi="ar-SA"/>
        </w:rPr>
        <w:t xml:space="preserve">                                          </w:t>
      </w:r>
    </w:p>
    <w:p w14:paraId="7902350A">
      <w:pPr>
        <w:pageBreakBefore w:val="0"/>
        <w:widowControl w:val="0"/>
        <w:numPr>
          <w:ilvl w:val="0"/>
          <w:numId w:val="0"/>
        </w:numPr>
        <w:tabs>
          <w:tab w:val="left" w:pos="999"/>
        </w:tabs>
        <w:kinsoku/>
        <w:wordWrap/>
        <w:overflowPunct/>
        <w:topLinePunct w:val="0"/>
        <w:bidi w:val="0"/>
        <w:adjustRightInd w:val="0"/>
        <w:snapToGrid w:val="0"/>
        <w:spacing w:before="0" w:beforeLines="0" w:after="0" w:line="480" w:lineRule="exact"/>
        <w:ind w:left="0" w:leftChars="0" w:firstLine="0" w:firstLineChars="0"/>
        <w:jc w:val="both"/>
        <w:textAlignment w:val="auto"/>
        <w:rPr>
          <w:rFonts w:hint="eastAsia" w:ascii="仿宋" w:hAnsi="仿宋" w:eastAsia="仿宋" w:cs="仿宋"/>
          <w:color w:val="auto"/>
          <w:kern w:val="2"/>
          <w:sz w:val="22"/>
          <w:szCs w:val="22"/>
          <w:highlight w:val="none"/>
          <w:u w:val="none"/>
          <w:lang w:val="en-US" w:eastAsia="zh-CN" w:bidi="ar-SA"/>
        </w:rPr>
      </w:pPr>
      <w:r>
        <w:rPr>
          <w:rFonts w:hint="eastAsia" w:ascii="仿宋" w:hAnsi="仿宋" w:eastAsia="仿宋" w:cs="仿宋"/>
          <w:color w:val="auto"/>
          <w:kern w:val="2"/>
          <w:sz w:val="22"/>
          <w:szCs w:val="22"/>
          <w:highlight w:val="none"/>
          <w:u w:val="none"/>
          <w:lang w:val="en-US" w:eastAsia="zh-CN" w:bidi="ar-SA"/>
        </w:rPr>
        <w:t xml:space="preserve">         采购项目编号：</w:t>
      </w:r>
      <w:r>
        <w:rPr>
          <w:rFonts w:hint="eastAsia" w:ascii="仿宋" w:hAnsi="仿宋" w:eastAsia="仿宋" w:cs="仿宋"/>
          <w:color w:val="auto"/>
          <w:kern w:val="2"/>
          <w:sz w:val="22"/>
          <w:szCs w:val="22"/>
          <w:highlight w:val="none"/>
          <w:u w:val="single"/>
          <w:lang w:val="en-US" w:eastAsia="zh-CN" w:bidi="ar-SA"/>
        </w:rPr>
        <w:t xml:space="preserve">                                          </w:t>
      </w:r>
    </w:p>
    <w:p w14:paraId="4A8AFFB2">
      <w:pPr>
        <w:pageBreakBefore w:val="0"/>
        <w:widowControl w:val="0"/>
        <w:kinsoku/>
        <w:wordWrap/>
        <w:overflowPunct/>
        <w:topLinePunct w:val="0"/>
        <w:bidi w:val="0"/>
        <w:adjustRightInd w:val="0"/>
        <w:snapToGrid w:val="0"/>
        <w:spacing w:before="0" w:beforeLines="0" w:after="0" w:line="480" w:lineRule="exact"/>
        <w:ind w:left="0" w:leftChars="0" w:firstLine="440" w:firstLineChars="200"/>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（2）采购计划编号：</w:t>
      </w:r>
      <w:r>
        <w:rPr>
          <w:rFonts w:hint="eastAsia" w:ascii="仿宋" w:hAnsi="仿宋" w:eastAsia="仿宋" w:cs="仿宋"/>
          <w:color w:val="auto"/>
          <w:kern w:val="2"/>
          <w:sz w:val="22"/>
          <w:szCs w:val="22"/>
          <w:highlight w:val="none"/>
          <w:u w:val="single"/>
          <w:lang w:val="en-US" w:eastAsia="zh-CN" w:bidi="ar-SA"/>
        </w:rPr>
        <w:t xml:space="preserve">                                          </w:t>
      </w:r>
      <w:r>
        <w:rPr>
          <w:rFonts w:hint="eastAsia" w:ascii="仿宋" w:hAnsi="仿宋" w:eastAsia="仿宋" w:cs="仿宋"/>
          <w:color w:val="auto"/>
          <w:kern w:val="2"/>
          <w:sz w:val="22"/>
          <w:szCs w:val="22"/>
          <w:highlight w:val="none"/>
          <w:lang w:val="en-US" w:eastAsia="zh-CN" w:bidi="ar-SA"/>
        </w:rPr>
        <w:t xml:space="preserve"> </w:t>
      </w:r>
    </w:p>
    <w:p w14:paraId="23CD91D9">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（3）项目内容：</w:t>
      </w:r>
    </w:p>
    <w:p w14:paraId="769562D8">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lang w:eastAsia="zh-CN"/>
        </w:rPr>
        <w:t>采购标的及数量</w:t>
      </w:r>
      <w:r>
        <w:rPr>
          <w:rFonts w:hint="eastAsia" w:ascii="仿宋" w:hAnsi="仿宋" w:eastAsia="仿宋" w:cs="仿宋"/>
          <w:color w:val="auto"/>
          <w:sz w:val="22"/>
          <w:szCs w:val="22"/>
          <w:highlight w:val="none"/>
          <w:lang w:val="en-US" w:eastAsia="zh-CN"/>
        </w:rPr>
        <w:t>（台/套</w:t>
      </w:r>
      <w:r>
        <w:rPr>
          <w:rFonts w:hint="eastAsia" w:ascii="仿宋" w:hAnsi="仿宋" w:eastAsia="仿宋" w:cs="仿宋"/>
          <w:color w:val="auto"/>
          <w:sz w:val="22"/>
          <w:szCs w:val="22"/>
          <w:highlight w:val="none"/>
          <w:lang w:val="en" w:eastAsia="zh-CN"/>
        </w:rPr>
        <w:t>/个/架/组等</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 xml:space="preserve"> </w:t>
      </w:r>
    </w:p>
    <w:p w14:paraId="0270EBBF">
      <w:pPr>
        <w:pageBreakBefore w:val="0"/>
        <w:widowControl w:val="0"/>
        <w:numPr>
          <w:ilvl w:val="0"/>
          <w:numId w:val="0"/>
        </w:numPr>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val="en" w:eastAsia="zh-CN"/>
        </w:rPr>
      </w:pPr>
      <w:r>
        <w:rPr>
          <w:rFonts w:hint="eastAsia" w:ascii="仿宋" w:hAnsi="仿宋" w:eastAsia="仿宋" w:cs="仿宋"/>
          <w:color w:val="auto"/>
          <w:sz w:val="22"/>
          <w:szCs w:val="22"/>
          <w:highlight w:val="none"/>
          <w:u w:val="none"/>
          <w:lang w:val="en-US" w:eastAsia="zh-CN"/>
        </w:rPr>
        <w:t xml:space="preserve">     </w:t>
      </w:r>
      <w:r>
        <w:rPr>
          <w:rFonts w:hint="eastAsia" w:ascii="仿宋" w:hAnsi="仿宋" w:eastAsia="仿宋" w:cs="仿宋"/>
          <w:color w:val="auto"/>
          <w:sz w:val="22"/>
          <w:szCs w:val="22"/>
          <w:highlight w:val="none"/>
          <w:lang w:val="en-US" w:eastAsia="zh-CN"/>
        </w:rPr>
        <w:t>品牌：</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lang w:val="en" w:eastAsia="zh-CN"/>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lang w:val="en" w:eastAsia="zh-CN"/>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 w:eastAsia="zh-CN"/>
        </w:rPr>
        <w:t xml:space="preserve">     </w:t>
      </w:r>
      <w:r>
        <w:rPr>
          <w:rFonts w:hint="eastAsia" w:ascii="仿宋" w:hAnsi="仿宋" w:eastAsia="仿宋" w:cs="仿宋"/>
          <w:color w:val="auto"/>
          <w:sz w:val="22"/>
          <w:szCs w:val="22"/>
          <w:highlight w:val="none"/>
          <w:lang w:val="en-US" w:eastAsia="zh-CN"/>
        </w:rPr>
        <w:t>规格型号：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lang w:val="en" w:eastAsia="zh-CN"/>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lang w:val="en" w:eastAsia="zh-CN"/>
        </w:rPr>
        <w:t xml:space="preserve">   </w:t>
      </w:r>
    </w:p>
    <w:p w14:paraId="34B2D18A">
      <w:pPr>
        <w:pageBreakBefore w:val="0"/>
        <w:widowControl w:val="0"/>
        <w:kinsoku/>
        <w:wordWrap/>
        <w:overflowPunct/>
        <w:topLinePunct w:val="0"/>
        <w:bidi w:val="0"/>
        <w:adjustRightInd w:val="0"/>
        <w:snapToGrid w:val="0"/>
        <w:spacing w:before="0" w:beforeLines="0" w:line="480" w:lineRule="exact"/>
        <w:ind w:firstLine="990" w:firstLineChars="45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none"/>
          <w:lang w:val="en-US" w:eastAsia="zh-CN"/>
        </w:rPr>
        <w:t>采购标的的技术要求、商务要求具体见附件。</w:t>
      </w:r>
    </w:p>
    <w:p w14:paraId="7ED5AEE6">
      <w:pPr>
        <w:pageBreakBefore w:val="0"/>
        <w:widowControl w:val="0"/>
        <w:numPr>
          <w:ilvl w:val="0"/>
          <w:numId w:val="0"/>
        </w:numPr>
        <w:kinsoku/>
        <w:wordWrap/>
        <w:overflowPunct/>
        <w:topLinePunct w:val="0"/>
        <w:bidi w:val="0"/>
        <w:adjustRightInd w:val="0"/>
        <w:snapToGrid w:val="0"/>
        <w:spacing w:before="0" w:beforeLines="0" w:line="480" w:lineRule="exact"/>
        <w:ind w:firstLine="990" w:firstLineChars="45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①涉及信息类产品，请填写该产品关键部件的品牌、型号：</w:t>
      </w:r>
    </w:p>
    <w:p w14:paraId="4146C6E8">
      <w:pPr>
        <w:pageBreakBefore w:val="0"/>
        <w:widowControl w:val="0"/>
        <w:numPr>
          <w:ilvl w:val="0"/>
          <w:numId w:val="0"/>
        </w:numPr>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kern w:val="0"/>
          <w:sz w:val="22"/>
          <w:szCs w:val="22"/>
          <w:highlight w:val="none"/>
          <w:u w:val="single"/>
          <w:lang w:val="en-US" w:eastAsia="zh-CN"/>
        </w:rPr>
      </w:pPr>
      <w:r>
        <w:rPr>
          <w:rFonts w:hint="eastAsia" w:ascii="仿宋" w:hAnsi="仿宋" w:eastAsia="仿宋" w:cs="仿宋"/>
          <w:color w:val="auto"/>
          <w:sz w:val="22"/>
          <w:szCs w:val="22"/>
          <w:highlight w:val="none"/>
          <w:lang w:val="en-US" w:eastAsia="zh-CN"/>
        </w:rPr>
        <w:t xml:space="preserve">     标的名称：</w:t>
      </w:r>
      <w:r>
        <w:rPr>
          <w:rFonts w:hint="eastAsia" w:ascii="仿宋" w:hAnsi="仿宋" w:eastAsia="仿宋" w:cs="仿宋"/>
          <w:color w:val="auto"/>
          <w:kern w:val="0"/>
          <w:sz w:val="22"/>
          <w:szCs w:val="22"/>
          <w:highlight w:val="none"/>
          <w:u w:val="single"/>
          <w:lang w:val="en-US" w:eastAsia="zh-CN"/>
        </w:rPr>
        <w:t xml:space="preserve">      </w:t>
      </w:r>
      <w:r>
        <w:rPr>
          <w:rFonts w:hint="eastAsia" w:ascii="仿宋" w:hAnsi="仿宋" w:eastAsia="仿宋" w:cs="仿宋"/>
          <w:color w:val="auto"/>
          <w:kern w:val="0"/>
          <w:sz w:val="22"/>
          <w:szCs w:val="22"/>
          <w:highlight w:val="none"/>
          <w:u w:val="single"/>
          <w:lang w:val="en" w:eastAsia="zh-CN"/>
        </w:rPr>
        <w:t xml:space="preserve">               </w:t>
      </w:r>
      <w:r>
        <w:rPr>
          <w:rFonts w:hint="eastAsia" w:ascii="仿宋" w:hAnsi="仿宋" w:eastAsia="仿宋" w:cs="仿宋"/>
          <w:color w:val="auto"/>
          <w:kern w:val="0"/>
          <w:sz w:val="22"/>
          <w:szCs w:val="22"/>
          <w:highlight w:val="none"/>
          <w:u w:val="single"/>
          <w:lang w:val="en-US" w:eastAsia="zh-CN"/>
        </w:rPr>
        <w:t xml:space="preserve">    </w:t>
      </w:r>
    </w:p>
    <w:p w14:paraId="4CA1C7A9">
      <w:pPr>
        <w:pageBreakBefore w:val="0"/>
        <w:widowControl w:val="0"/>
        <w:numPr>
          <w:ilvl w:val="0"/>
          <w:numId w:val="0"/>
        </w:numPr>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关键部件：</w:t>
      </w:r>
      <w:r>
        <w:rPr>
          <w:rFonts w:hint="eastAsia" w:ascii="仿宋" w:hAnsi="仿宋" w:eastAsia="仿宋" w:cs="仿宋"/>
          <w:color w:val="auto"/>
          <w:kern w:val="0"/>
          <w:sz w:val="22"/>
          <w:szCs w:val="22"/>
          <w:highlight w:val="none"/>
          <w:u w:val="single"/>
          <w:lang w:val="en-US" w:eastAsia="zh-CN"/>
        </w:rPr>
        <w:t xml:space="preserve">          </w:t>
      </w:r>
      <w:r>
        <w:rPr>
          <w:rFonts w:hint="eastAsia" w:ascii="仿宋" w:hAnsi="仿宋" w:eastAsia="仿宋" w:cs="仿宋"/>
          <w:color w:val="auto"/>
          <w:kern w:val="0"/>
          <w:sz w:val="22"/>
          <w:szCs w:val="22"/>
          <w:highlight w:val="none"/>
          <w:u w:val="none"/>
          <w:lang w:val="en-US" w:eastAsia="zh-CN"/>
        </w:rPr>
        <w:t xml:space="preserve"> </w:t>
      </w:r>
      <w:r>
        <w:rPr>
          <w:rFonts w:hint="eastAsia" w:ascii="仿宋" w:hAnsi="仿宋" w:eastAsia="仿宋" w:cs="仿宋"/>
          <w:color w:val="auto"/>
          <w:sz w:val="22"/>
          <w:szCs w:val="22"/>
          <w:highlight w:val="none"/>
          <w:lang w:val="en-US" w:eastAsia="zh-CN"/>
        </w:rPr>
        <w:t>品牌：</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 xml:space="preserve"> </w:t>
      </w:r>
      <w:r>
        <w:rPr>
          <w:rFonts w:hint="eastAsia" w:ascii="仿宋" w:hAnsi="仿宋" w:eastAsia="仿宋" w:cs="仿宋"/>
          <w:color w:val="auto"/>
          <w:sz w:val="22"/>
          <w:szCs w:val="22"/>
          <w:highlight w:val="none"/>
          <w:lang w:val="en-US" w:eastAsia="zh-CN"/>
        </w:rPr>
        <w:t>型号：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 xml:space="preserve"> </w:t>
      </w:r>
    </w:p>
    <w:p w14:paraId="4AB561E3">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w:t>
      </w:r>
      <w:r>
        <w:rPr>
          <w:rFonts w:hint="eastAsia" w:ascii="仿宋" w:hAnsi="仿宋" w:eastAsia="仿宋" w:cs="仿宋"/>
          <w:color w:val="auto"/>
          <w:kern w:val="2"/>
          <w:sz w:val="22"/>
          <w:szCs w:val="22"/>
          <w:highlight w:val="none"/>
          <w:lang w:val="en-US" w:eastAsia="zh-CN" w:bidi="ar-SA"/>
        </w:rPr>
        <w:t>关键部件</w:t>
      </w:r>
      <w:r>
        <w:rPr>
          <w:rFonts w:hint="eastAsia" w:ascii="仿宋" w:hAnsi="仿宋" w:eastAsia="仿宋" w:cs="仿宋"/>
          <w:color w:val="auto"/>
          <w:sz w:val="22"/>
          <w:szCs w:val="22"/>
          <w:highlight w:val="none"/>
          <w:lang w:val="en-US" w:eastAsia="zh-CN" w:bidi="ar-SA"/>
        </w:rPr>
        <w:t>：</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u w:val="none"/>
          <w:lang w:val="en-US" w:eastAsia="zh-CN" w:bidi="ar-SA"/>
        </w:rPr>
        <w:t xml:space="preserve"> </w:t>
      </w:r>
      <w:r>
        <w:rPr>
          <w:rFonts w:hint="eastAsia" w:ascii="仿宋" w:hAnsi="仿宋" w:eastAsia="仿宋" w:cs="仿宋"/>
          <w:color w:val="auto"/>
          <w:sz w:val="22"/>
          <w:szCs w:val="22"/>
          <w:highlight w:val="none"/>
          <w:lang w:val="en-US" w:eastAsia="zh-CN" w:bidi="ar-SA"/>
        </w:rPr>
        <w:t>品牌：</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u w:val="none"/>
          <w:lang w:val="en-US" w:eastAsia="zh-CN" w:bidi="ar-SA"/>
        </w:rPr>
        <w:t xml:space="preserve"> </w:t>
      </w:r>
      <w:r>
        <w:rPr>
          <w:rFonts w:hint="eastAsia" w:ascii="仿宋" w:hAnsi="仿宋" w:eastAsia="仿宋" w:cs="仿宋"/>
          <w:color w:val="auto"/>
          <w:sz w:val="22"/>
          <w:szCs w:val="22"/>
          <w:highlight w:val="none"/>
          <w:lang w:val="en-US" w:eastAsia="zh-CN" w:bidi="ar-SA"/>
        </w:rPr>
        <w:t>型号：</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lang w:val="en-US" w:eastAsia="zh-CN" w:bidi="ar-SA"/>
        </w:rPr>
        <w:t xml:space="preserve"> </w:t>
      </w:r>
    </w:p>
    <w:p w14:paraId="0D4DC705">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关键部件：</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u w:val="none"/>
          <w:lang w:val="en-US" w:eastAsia="zh-CN" w:bidi="ar-SA"/>
        </w:rPr>
        <w:t xml:space="preserve"> </w:t>
      </w:r>
      <w:r>
        <w:rPr>
          <w:rFonts w:hint="eastAsia" w:ascii="仿宋" w:hAnsi="仿宋" w:eastAsia="仿宋" w:cs="仿宋"/>
          <w:color w:val="auto"/>
          <w:sz w:val="22"/>
          <w:szCs w:val="22"/>
          <w:highlight w:val="none"/>
          <w:lang w:val="en-US" w:eastAsia="zh-CN" w:bidi="ar-SA"/>
        </w:rPr>
        <w:t>品牌：</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u w:val="none"/>
          <w:lang w:val="en-US" w:eastAsia="zh-CN" w:bidi="ar-SA"/>
        </w:rPr>
        <w:t xml:space="preserve"> </w:t>
      </w:r>
      <w:r>
        <w:rPr>
          <w:rFonts w:hint="eastAsia" w:ascii="仿宋" w:hAnsi="仿宋" w:eastAsia="仿宋" w:cs="仿宋"/>
          <w:color w:val="auto"/>
          <w:sz w:val="22"/>
          <w:szCs w:val="22"/>
          <w:highlight w:val="none"/>
          <w:lang w:val="en-US" w:eastAsia="zh-CN" w:bidi="ar-SA"/>
        </w:rPr>
        <w:t>型号：</w:t>
      </w:r>
      <w:r>
        <w:rPr>
          <w:rFonts w:hint="eastAsia" w:ascii="仿宋" w:hAnsi="仿宋" w:eastAsia="仿宋" w:cs="仿宋"/>
          <w:color w:val="auto"/>
          <w:sz w:val="22"/>
          <w:szCs w:val="22"/>
          <w:highlight w:val="none"/>
          <w:u w:val="single"/>
          <w:lang w:val="en-US" w:eastAsia="zh-CN" w:bidi="ar-SA"/>
        </w:rPr>
        <w:t xml:space="preserve">       </w:t>
      </w:r>
    </w:p>
    <w:p w14:paraId="61960537">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0B7E49E0">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②涉及车辆采购，请填写是否属于新能源汽车：</w:t>
      </w:r>
    </w:p>
    <w:p w14:paraId="2EFC57BB">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0" w:firstLineChars="0"/>
        <w:textAlignment w:val="auto"/>
        <w:rPr>
          <w:rFonts w:hint="eastAsia" w:ascii="仿宋" w:hAnsi="仿宋" w:eastAsia="仿宋" w:cs="仿宋"/>
          <w:iCs w:val="0"/>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是，《政府采购品目分类目录》底级品目名称</w:t>
      </w:r>
      <w:r>
        <w:rPr>
          <w:rFonts w:hint="eastAsia" w:ascii="仿宋" w:hAnsi="仿宋" w:eastAsia="仿宋" w:cs="仿宋"/>
          <w:color w:val="auto"/>
          <w:sz w:val="22"/>
          <w:szCs w:val="22"/>
          <w:highlight w:val="none"/>
          <w:lang w:val="en-US" w:eastAsia="zh-CN" w:bidi="ar-SA"/>
        </w:rPr>
        <w:t>：</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lang w:val="en-US" w:eastAsia="zh-CN" w:bidi="ar-SA"/>
        </w:rPr>
        <w:t xml:space="preserve"> 数量：</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color w:val="auto"/>
          <w:sz w:val="22"/>
          <w:szCs w:val="22"/>
          <w:highlight w:val="none"/>
          <w:lang w:val="en-US" w:eastAsia="zh-CN" w:bidi="ar-SA"/>
        </w:rPr>
        <w:t xml:space="preserve"> 金额：</w:t>
      </w:r>
      <w:r>
        <w:rPr>
          <w:rFonts w:hint="eastAsia" w:ascii="仿宋" w:hAnsi="仿宋" w:eastAsia="仿宋" w:cs="仿宋"/>
          <w:color w:val="auto"/>
          <w:sz w:val="22"/>
          <w:szCs w:val="22"/>
          <w:highlight w:val="none"/>
          <w:u w:val="single"/>
          <w:lang w:val="en-US" w:eastAsia="zh-CN" w:bidi="ar-SA"/>
        </w:rPr>
        <w:t xml:space="preserve">     </w:t>
      </w:r>
      <w:r>
        <w:rPr>
          <w:rFonts w:hint="eastAsia" w:ascii="仿宋" w:hAnsi="仿宋" w:eastAsia="仿宋" w:cs="仿宋"/>
          <w:iCs w:val="0"/>
          <w:color w:val="auto"/>
          <w:sz w:val="22"/>
          <w:szCs w:val="22"/>
          <w:highlight w:val="none"/>
          <w:lang w:val="en-US" w:eastAsia="zh-CN" w:bidi="ar-SA"/>
        </w:rPr>
        <w:t xml:space="preserve"> </w:t>
      </w:r>
    </w:p>
    <w:p w14:paraId="314DA62F">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0" w:firstLineChars="0"/>
        <w:textAlignment w:val="auto"/>
        <w:rPr>
          <w:rFonts w:hint="eastAsia" w:ascii="仿宋" w:hAnsi="仿宋" w:eastAsia="仿宋" w:cs="仿宋"/>
          <w:iCs w:val="0"/>
          <w:color w:val="auto"/>
          <w:sz w:val="22"/>
          <w:szCs w:val="22"/>
          <w:highlight w:val="none"/>
          <w:lang w:val="en-US" w:eastAsia="zh-CN" w:bidi="ar-SA"/>
        </w:rPr>
      </w:pPr>
      <w:r>
        <w:rPr>
          <w:rFonts w:hint="eastAsia" w:ascii="仿宋" w:hAnsi="仿宋" w:eastAsia="仿宋" w:cs="仿宋"/>
          <w:iCs w:val="0"/>
          <w:color w:val="auto"/>
          <w:sz w:val="22"/>
          <w:szCs w:val="22"/>
          <w:highlight w:val="none"/>
          <w:lang w:val="en-US" w:eastAsia="zh-CN" w:bidi="ar-SA"/>
        </w:rPr>
        <w:t xml:space="preserve">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否</w:t>
      </w:r>
    </w:p>
    <w:p w14:paraId="4FDB2CBF">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left="0" w:firstLine="0" w:firstLineChars="0"/>
        <w:textAlignment w:val="auto"/>
        <w:rPr>
          <w:rFonts w:hint="eastAsia" w:ascii="仿宋" w:hAnsi="仿宋" w:eastAsia="仿宋" w:cs="仿宋"/>
          <w:iCs w:val="0"/>
          <w:color w:val="auto"/>
          <w:sz w:val="22"/>
          <w:szCs w:val="22"/>
          <w:highlight w:val="none"/>
          <w:lang w:val="en-US" w:eastAsia="zh-CN" w:bidi="ar-SA"/>
        </w:rPr>
      </w:pPr>
      <w:r>
        <w:rPr>
          <w:rFonts w:hint="eastAsia" w:ascii="仿宋" w:hAnsi="仿宋" w:eastAsia="仿宋" w:cs="仿宋"/>
          <w:iCs w:val="0"/>
          <w:color w:val="auto"/>
          <w:sz w:val="22"/>
          <w:szCs w:val="22"/>
          <w:highlight w:val="none"/>
          <w:lang w:val="en-US" w:eastAsia="zh-CN" w:bidi="ar-SA"/>
        </w:rPr>
        <w:t xml:space="preserve">    （</w:t>
      </w:r>
      <w:r>
        <w:rPr>
          <w:rFonts w:hint="eastAsia" w:ascii="仿宋" w:hAnsi="仿宋" w:eastAsia="仿宋" w:cs="仿宋"/>
          <w:iCs w:val="0"/>
          <w:color w:val="auto"/>
          <w:sz w:val="22"/>
          <w:szCs w:val="22"/>
          <w:highlight w:val="none"/>
          <w:lang w:val="en" w:eastAsia="zh-CN" w:bidi="ar-SA"/>
        </w:rPr>
        <w:t>4</w:t>
      </w:r>
      <w:r>
        <w:rPr>
          <w:rFonts w:hint="eastAsia" w:ascii="仿宋" w:hAnsi="仿宋" w:eastAsia="仿宋" w:cs="仿宋"/>
          <w:iCs w:val="0"/>
          <w:color w:val="auto"/>
          <w:sz w:val="22"/>
          <w:szCs w:val="22"/>
          <w:highlight w:val="none"/>
          <w:lang w:val="en-US" w:eastAsia="zh-CN" w:bidi="ar-SA"/>
        </w:rPr>
        <w:t>）政府采购组织形式：</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政府集中采购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部门集中采购  </w:t>
      </w:r>
      <w:r>
        <w:rPr>
          <w:rFonts w:hint="eastAsia" w:ascii="仿宋" w:hAnsi="仿宋" w:eastAsia="仿宋" w:cs="仿宋"/>
          <w:iCs w:val="0"/>
          <w:color w:val="auto"/>
          <w:sz w:val="22"/>
          <w:szCs w:val="22"/>
          <w:highlight w:val="none"/>
          <w:lang w:val="en-US" w:eastAsia="zh-CN" w:bidi="ar-SA"/>
        </w:rPr>
        <w:sym w:font="Wingdings" w:char="00FE"/>
      </w:r>
      <w:r>
        <w:rPr>
          <w:rFonts w:hint="eastAsia" w:ascii="仿宋" w:hAnsi="仿宋" w:eastAsia="仿宋" w:cs="仿宋"/>
          <w:iCs w:val="0"/>
          <w:color w:val="auto"/>
          <w:sz w:val="22"/>
          <w:szCs w:val="22"/>
          <w:highlight w:val="none"/>
          <w:lang w:val="en-US" w:eastAsia="zh-CN" w:bidi="ar-SA"/>
        </w:rPr>
        <w:t>分散采购</w:t>
      </w:r>
    </w:p>
    <w:p w14:paraId="709C4EEB">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left="0" w:firstLine="420" w:firstLineChars="0"/>
        <w:textAlignment w:val="auto"/>
        <w:rPr>
          <w:rFonts w:hint="eastAsia" w:ascii="仿宋" w:hAnsi="仿宋" w:eastAsia="仿宋" w:cs="仿宋"/>
          <w:iCs w:val="0"/>
          <w:color w:val="auto"/>
          <w:sz w:val="22"/>
          <w:szCs w:val="22"/>
          <w:highlight w:val="none"/>
          <w:lang w:val="en-US" w:eastAsia="zh-CN" w:bidi="ar-SA"/>
        </w:rPr>
      </w:pPr>
      <w:r>
        <w:rPr>
          <w:rFonts w:hint="eastAsia" w:ascii="仿宋" w:hAnsi="仿宋" w:eastAsia="仿宋" w:cs="仿宋"/>
          <w:iCs w:val="0"/>
          <w:color w:val="auto"/>
          <w:sz w:val="22"/>
          <w:szCs w:val="22"/>
          <w:highlight w:val="none"/>
          <w:lang w:val="en-US" w:eastAsia="zh-CN" w:bidi="ar-SA"/>
        </w:rPr>
        <w:t>（</w:t>
      </w:r>
      <w:r>
        <w:rPr>
          <w:rFonts w:hint="eastAsia" w:ascii="仿宋" w:hAnsi="仿宋" w:eastAsia="仿宋" w:cs="仿宋"/>
          <w:iCs w:val="0"/>
          <w:color w:val="auto"/>
          <w:sz w:val="22"/>
          <w:szCs w:val="22"/>
          <w:highlight w:val="none"/>
          <w:lang w:val="en" w:eastAsia="zh-CN" w:bidi="ar-SA"/>
        </w:rPr>
        <w:t>5</w:t>
      </w:r>
      <w:r>
        <w:rPr>
          <w:rFonts w:hint="eastAsia" w:ascii="仿宋" w:hAnsi="仿宋" w:eastAsia="仿宋" w:cs="仿宋"/>
          <w:iCs w:val="0"/>
          <w:color w:val="auto"/>
          <w:sz w:val="22"/>
          <w:szCs w:val="22"/>
          <w:highlight w:val="none"/>
          <w:lang w:val="en-US" w:eastAsia="zh-CN" w:bidi="ar-SA"/>
        </w:rPr>
        <w:t>）政府采购方式：</w:t>
      </w:r>
      <w:r>
        <w:rPr>
          <w:rFonts w:hint="eastAsia" w:ascii="仿宋" w:hAnsi="仿宋" w:eastAsia="仿宋" w:cs="仿宋"/>
          <w:iCs w:val="0"/>
          <w:color w:val="auto"/>
          <w:sz w:val="22"/>
          <w:szCs w:val="22"/>
          <w:highlight w:val="none"/>
          <w:lang w:val="en-US" w:eastAsia="zh-CN" w:bidi="ar-SA"/>
        </w:rPr>
        <w:sym w:font="Wingdings" w:char="00FE"/>
      </w:r>
      <w:r>
        <w:rPr>
          <w:rFonts w:hint="eastAsia" w:ascii="仿宋" w:hAnsi="仿宋" w:eastAsia="仿宋" w:cs="仿宋"/>
          <w:iCs w:val="0"/>
          <w:color w:val="auto"/>
          <w:sz w:val="22"/>
          <w:szCs w:val="22"/>
          <w:highlight w:val="none"/>
          <w:lang w:val="en-US" w:eastAsia="zh-CN" w:bidi="ar-SA"/>
        </w:rPr>
        <w:t xml:space="preserve">公开招标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邀请招标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竞争性谈判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竞争性磋商</w:t>
      </w:r>
    </w:p>
    <w:p w14:paraId="1117DBB2">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left="0" w:firstLine="420" w:firstLineChars="0"/>
        <w:textAlignment w:val="auto"/>
        <w:rPr>
          <w:rFonts w:hint="eastAsia" w:ascii="仿宋" w:hAnsi="仿宋" w:eastAsia="仿宋" w:cs="仿宋"/>
          <w:iCs w:val="0"/>
          <w:color w:val="auto"/>
          <w:sz w:val="22"/>
          <w:szCs w:val="22"/>
          <w:highlight w:val="none"/>
          <w:u w:val="single"/>
          <w:lang w:val="en-US" w:eastAsia="zh-CN" w:bidi="ar-SA"/>
        </w:rPr>
      </w:pPr>
      <w:r>
        <w:rPr>
          <w:rFonts w:hint="eastAsia" w:ascii="仿宋" w:hAnsi="仿宋" w:eastAsia="仿宋" w:cs="仿宋"/>
          <w:color w:val="auto"/>
          <w:sz w:val="22"/>
          <w:szCs w:val="22"/>
          <w:highlight w:val="none"/>
          <w:u w:val="none"/>
          <w:lang w:val="en-US" w:eastAsia="zh-CN" w:bidi="ar-SA"/>
        </w:rPr>
        <w:t xml:space="preserve">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询价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单一来源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 xml:space="preserve">框架协议 </w:t>
      </w:r>
      <w:r>
        <w:rPr>
          <w:rFonts w:hint="eastAsia" w:ascii="仿宋" w:hAnsi="仿宋" w:eastAsia="仿宋" w:cs="仿宋"/>
          <w:iCs w:val="0"/>
          <w:color w:val="auto"/>
          <w:sz w:val="22"/>
          <w:szCs w:val="22"/>
          <w:highlight w:val="none"/>
          <w:lang w:val="en-US" w:eastAsia="zh-CN" w:bidi="ar-SA"/>
        </w:rPr>
        <w:sym w:font="Wingdings" w:char="00A8"/>
      </w:r>
      <w:r>
        <w:rPr>
          <w:rFonts w:hint="eastAsia" w:ascii="仿宋" w:hAnsi="仿宋" w:eastAsia="仿宋" w:cs="仿宋"/>
          <w:iCs w:val="0"/>
          <w:color w:val="auto"/>
          <w:sz w:val="22"/>
          <w:szCs w:val="22"/>
          <w:highlight w:val="none"/>
          <w:lang w:val="en-US" w:eastAsia="zh-CN" w:bidi="ar-SA"/>
        </w:rPr>
        <w:t>其他：</w:t>
      </w:r>
      <w:r>
        <w:rPr>
          <w:rFonts w:hint="eastAsia" w:ascii="仿宋" w:hAnsi="仿宋" w:eastAsia="仿宋" w:cs="仿宋"/>
          <w:iCs w:val="0"/>
          <w:color w:val="auto"/>
          <w:sz w:val="22"/>
          <w:szCs w:val="22"/>
          <w:highlight w:val="none"/>
          <w:u w:val="single"/>
          <w:lang w:val="en-US" w:eastAsia="zh-CN" w:bidi="ar-SA"/>
        </w:rPr>
        <w:t xml:space="preserve">          </w:t>
      </w:r>
    </w:p>
    <w:p w14:paraId="6EA7286E">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left="0" w:firstLine="420" w:firstLineChars="0"/>
        <w:textAlignment w:val="auto"/>
        <w:rPr>
          <w:rFonts w:hint="eastAsia" w:ascii="仿宋" w:hAnsi="仿宋" w:eastAsia="仿宋" w:cs="仿宋"/>
          <w:iCs w:val="0"/>
          <w:color w:val="auto"/>
          <w:sz w:val="22"/>
          <w:szCs w:val="22"/>
          <w:highlight w:val="none"/>
          <w:u w:val="none"/>
          <w:lang w:val="en-US" w:eastAsia="zh-CN" w:bidi="ar-SA"/>
        </w:rPr>
      </w:pPr>
      <w:r>
        <w:rPr>
          <w:rFonts w:hint="eastAsia" w:ascii="仿宋" w:hAnsi="仿宋" w:eastAsia="仿宋" w:cs="仿宋"/>
          <w:iCs w:val="0"/>
          <w:color w:val="auto"/>
          <w:sz w:val="22"/>
          <w:szCs w:val="22"/>
          <w:highlight w:val="none"/>
          <w:u w:val="none"/>
          <w:lang w:val="en-US" w:eastAsia="zh-CN" w:bidi="ar-SA"/>
        </w:rPr>
        <w:t>（注：在框架协议采购的第二阶段，可选择使用该合同文本）</w:t>
      </w:r>
    </w:p>
    <w:p w14:paraId="4F46BE13">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220" w:firstLineChars="100"/>
        <w:textAlignment w:val="auto"/>
        <w:rPr>
          <w:rFonts w:hint="eastAsia" w:ascii="仿宋" w:hAnsi="仿宋" w:eastAsia="仿宋" w:cs="仿宋"/>
          <w:color w:val="auto"/>
          <w:w w:val="100"/>
          <w:kern w:val="2"/>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w:t>
      </w:r>
      <w:r>
        <w:rPr>
          <w:rFonts w:hint="eastAsia" w:ascii="仿宋" w:hAnsi="仿宋" w:eastAsia="仿宋" w:cs="仿宋"/>
          <w:color w:val="auto"/>
          <w:sz w:val="22"/>
          <w:szCs w:val="22"/>
          <w:highlight w:val="none"/>
          <w:lang w:val="en" w:eastAsia="zh-CN" w:bidi="ar-SA"/>
        </w:rPr>
        <w:t>6</w:t>
      </w:r>
      <w:r>
        <w:rPr>
          <w:rFonts w:hint="eastAsia" w:ascii="仿宋" w:hAnsi="仿宋" w:eastAsia="仿宋" w:cs="仿宋"/>
          <w:color w:val="auto"/>
          <w:sz w:val="22"/>
          <w:szCs w:val="22"/>
          <w:highlight w:val="none"/>
          <w:lang w:val="en-US" w:eastAsia="zh-CN" w:bidi="ar-SA"/>
        </w:rPr>
        <w:t>）</w:t>
      </w:r>
      <w:r>
        <w:rPr>
          <w:rFonts w:hint="eastAsia" w:ascii="仿宋" w:hAnsi="仿宋" w:eastAsia="仿宋" w:cs="仿宋"/>
          <w:color w:val="auto"/>
          <w:w w:val="100"/>
          <w:kern w:val="2"/>
          <w:sz w:val="22"/>
          <w:szCs w:val="22"/>
          <w:highlight w:val="none"/>
          <w:lang w:val="en-US" w:eastAsia="zh-CN" w:bidi="ar-SA"/>
        </w:rPr>
        <w:t>中标（成交）采购标的制造商是否为中小企业：</w:t>
      </w:r>
      <w:r>
        <w:rPr>
          <w:rFonts w:hint="eastAsia" w:ascii="仿宋" w:hAnsi="仿宋" w:eastAsia="仿宋" w:cs="仿宋"/>
          <w:color w:val="auto"/>
          <w:w w:val="100"/>
          <w:kern w:val="2"/>
          <w:sz w:val="22"/>
          <w:szCs w:val="22"/>
          <w:highlight w:val="none"/>
          <w:lang w:val="en-US" w:eastAsia="zh-CN" w:bidi="ar-SA"/>
        </w:rPr>
        <w:sym w:font="Wingdings" w:char="00A8"/>
      </w:r>
      <w:r>
        <w:rPr>
          <w:rFonts w:hint="eastAsia" w:ascii="仿宋" w:hAnsi="仿宋" w:eastAsia="仿宋" w:cs="仿宋"/>
          <w:color w:val="auto"/>
          <w:w w:val="100"/>
          <w:kern w:val="2"/>
          <w:sz w:val="22"/>
          <w:szCs w:val="22"/>
          <w:highlight w:val="none"/>
          <w:lang w:val="en-US" w:eastAsia="zh-CN" w:bidi="ar-SA"/>
        </w:rPr>
        <w:t xml:space="preserve">是      </w:t>
      </w:r>
      <w:r>
        <w:rPr>
          <w:rFonts w:hint="eastAsia" w:ascii="仿宋" w:hAnsi="仿宋" w:eastAsia="仿宋" w:cs="仿宋"/>
          <w:color w:val="auto"/>
          <w:w w:val="100"/>
          <w:kern w:val="2"/>
          <w:sz w:val="22"/>
          <w:szCs w:val="22"/>
          <w:highlight w:val="none"/>
          <w:lang w:val="en-US" w:eastAsia="zh-CN" w:bidi="ar-SA"/>
        </w:rPr>
        <w:sym w:font="Wingdings" w:char="00A8"/>
      </w:r>
      <w:r>
        <w:rPr>
          <w:rFonts w:hint="eastAsia" w:ascii="仿宋" w:hAnsi="仿宋" w:eastAsia="仿宋" w:cs="仿宋"/>
          <w:color w:val="auto"/>
          <w:w w:val="100"/>
          <w:kern w:val="2"/>
          <w:sz w:val="22"/>
          <w:szCs w:val="22"/>
          <w:highlight w:val="none"/>
          <w:lang w:val="en-US" w:eastAsia="zh-CN" w:bidi="ar-SA"/>
        </w:rPr>
        <w:t>否</w:t>
      </w:r>
    </w:p>
    <w:p w14:paraId="0BA435A9">
      <w:pPr>
        <w:pageBreakBefore w:val="0"/>
        <w:widowControl w:val="0"/>
        <w:numPr>
          <w:ilvl w:val="0"/>
          <w:numId w:val="0"/>
        </w:numPr>
        <w:kinsoku/>
        <w:wordWrap/>
        <w:overflowPunct/>
        <w:topLinePunct w:val="0"/>
        <w:bidi w:val="0"/>
        <w:adjustRightInd w:val="0"/>
        <w:snapToGrid w:val="0"/>
        <w:spacing w:before="0" w:beforeLines="0" w:line="480" w:lineRule="exact"/>
        <w:ind w:left="0" w:leftChars="0" w:firstLine="0" w:firstLineChars="0"/>
        <w:textAlignment w:val="auto"/>
        <w:rPr>
          <w:rFonts w:hint="eastAsia" w:ascii="仿宋" w:hAnsi="仿宋" w:eastAsia="仿宋" w:cs="仿宋"/>
          <w:iCs/>
          <w:color w:val="auto"/>
          <w:sz w:val="22"/>
          <w:szCs w:val="22"/>
          <w:highlight w:val="none"/>
        </w:rPr>
      </w:pPr>
      <w:r>
        <w:rPr>
          <w:rFonts w:hint="eastAsia" w:ascii="仿宋" w:hAnsi="仿宋" w:eastAsia="仿宋" w:cs="仿宋"/>
          <w:color w:val="auto"/>
          <w:w w:val="100"/>
          <w:sz w:val="22"/>
          <w:szCs w:val="22"/>
          <w:highlight w:val="none"/>
          <w:lang w:val="en-US" w:eastAsia="zh-CN"/>
        </w:rPr>
        <w:t xml:space="preserve">         本合同</w:t>
      </w:r>
      <w:r>
        <w:rPr>
          <w:rFonts w:hint="eastAsia" w:ascii="仿宋" w:hAnsi="仿宋" w:eastAsia="仿宋" w:cs="仿宋"/>
          <w:color w:val="auto"/>
          <w:w w:val="100"/>
          <w:sz w:val="22"/>
          <w:szCs w:val="22"/>
          <w:highlight w:val="none"/>
        </w:rPr>
        <w:t>是否</w:t>
      </w:r>
      <w:r>
        <w:rPr>
          <w:rFonts w:hint="eastAsia" w:ascii="仿宋" w:hAnsi="仿宋" w:eastAsia="仿宋" w:cs="仿宋"/>
          <w:color w:val="auto"/>
          <w:w w:val="100"/>
          <w:sz w:val="22"/>
          <w:szCs w:val="22"/>
          <w:highlight w:val="none"/>
          <w:lang w:eastAsia="zh-CN"/>
        </w:rPr>
        <w:t>为专门面向</w:t>
      </w:r>
      <w:r>
        <w:rPr>
          <w:rFonts w:hint="eastAsia" w:ascii="仿宋" w:hAnsi="仿宋" w:eastAsia="仿宋" w:cs="仿宋"/>
          <w:color w:val="auto"/>
          <w:w w:val="100"/>
          <w:sz w:val="22"/>
          <w:szCs w:val="22"/>
          <w:highlight w:val="none"/>
        </w:rPr>
        <w:t>中小企业</w:t>
      </w:r>
      <w:r>
        <w:rPr>
          <w:rFonts w:hint="eastAsia" w:ascii="仿宋" w:hAnsi="仿宋" w:eastAsia="仿宋" w:cs="仿宋"/>
          <w:color w:val="auto"/>
          <w:w w:val="100"/>
          <w:sz w:val="22"/>
          <w:szCs w:val="22"/>
          <w:highlight w:val="none"/>
          <w:lang w:eastAsia="zh-CN"/>
        </w:rPr>
        <w:t>的采</w:t>
      </w:r>
      <w:r>
        <w:rPr>
          <w:rFonts w:hint="eastAsia" w:ascii="仿宋" w:hAnsi="仿宋" w:eastAsia="仿宋" w:cs="仿宋"/>
          <w:color w:val="auto"/>
          <w:w w:val="100"/>
          <w:sz w:val="22"/>
          <w:szCs w:val="22"/>
          <w:highlight w:val="none"/>
          <w:shd w:val="clear" w:color="auto" w:fill="auto"/>
          <w:lang w:eastAsia="zh-CN"/>
        </w:rPr>
        <w:t>购</w:t>
      </w:r>
      <w:r>
        <w:rPr>
          <w:rFonts w:hint="eastAsia" w:ascii="仿宋" w:hAnsi="仿宋" w:eastAsia="仿宋" w:cs="仿宋"/>
          <w:color w:val="auto"/>
          <w:w w:val="100"/>
          <w:sz w:val="22"/>
          <w:szCs w:val="22"/>
          <w:highlight w:val="none"/>
          <w:shd w:val="clear" w:color="auto" w:fill="auto"/>
        </w:rPr>
        <w:t>合同</w:t>
      </w:r>
      <w:r>
        <w:rPr>
          <w:rFonts w:hint="eastAsia" w:ascii="仿宋" w:hAnsi="仿宋" w:eastAsia="仿宋" w:cs="仿宋"/>
          <w:color w:val="auto"/>
          <w:w w:val="100"/>
          <w:sz w:val="22"/>
          <w:szCs w:val="22"/>
          <w:highlight w:val="none"/>
          <w:shd w:val="clear" w:color="auto" w:fill="auto"/>
          <w:lang w:eastAsia="zh-CN"/>
        </w:rPr>
        <w:t>（中小企业预留合同）</w:t>
      </w:r>
      <w:r>
        <w:rPr>
          <w:rFonts w:hint="eastAsia" w:ascii="仿宋" w:hAnsi="仿宋" w:eastAsia="仿宋" w:cs="仿宋"/>
          <w:color w:val="auto"/>
          <w:sz w:val="22"/>
          <w:szCs w:val="22"/>
          <w:highlight w:val="none"/>
          <w:shd w:val="clear" w:color="auto" w:fill="auto"/>
        </w:rPr>
        <w:t>：</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73898B49">
      <w:pPr>
        <w:pageBreakBefore w:val="0"/>
        <w:widowControl w:val="0"/>
        <w:numPr>
          <w:ilvl w:val="0"/>
          <w:numId w:val="0"/>
        </w:numPr>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rPr>
      </w:pPr>
      <w:r>
        <w:rPr>
          <w:rFonts w:hint="eastAsia" w:ascii="仿宋" w:hAnsi="仿宋" w:eastAsia="仿宋" w:cs="仿宋"/>
          <w:color w:val="auto"/>
          <w:sz w:val="22"/>
          <w:szCs w:val="22"/>
          <w:highlight w:val="none"/>
          <w:lang w:val="en-US" w:eastAsia="zh-CN"/>
        </w:rPr>
        <w:t xml:space="preserve">         若本项目不专门面向中小企业采购，是否给予小微企业评审优惠：</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688E0104">
      <w:pPr>
        <w:pageBreakBefore w:val="0"/>
        <w:widowControl w:val="0"/>
        <w:numPr>
          <w:ilvl w:val="0"/>
          <w:numId w:val="0"/>
        </w:numPr>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rPr>
      </w:pPr>
      <w:r>
        <w:rPr>
          <w:rFonts w:hint="eastAsia" w:ascii="仿宋" w:hAnsi="仿宋" w:eastAsia="仿宋" w:cs="仿宋"/>
          <w:color w:val="auto"/>
          <w:sz w:val="22"/>
          <w:szCs w:val="22"/>
          <w:highlight w:val="none"/>
          <w:lang w:val="en-US" w:eastAsia="zh-CN"/>
        </w:rPr>
        <w:t xml:space="preserve">         中标（成交）采购标的制造商是否为残疾人福利性单位：</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0835B56B">
      <w:pPr>
        <w:pageBreakBefore w:val="0"/>
        <w:widowControl w:val="0"/>
        <w:numPr>
          <w:ilvl w:val="0"/>
          <w:numId w:val="0"/>
        </w:numPr>
        <w:kinsoku/>
        <w:wordWrap/>
        <w:overflowPunct/>
        <w:topLinePunct w:val="0"/>
        <w:bidi w:val="0"/>
        <w:snapToGrid w:val="0"/>
        <w:spacing w:beforeLines="0" w:line="480" w:lineRule="exact"/>
        <w:ind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中标（成交）采购标的制造商是否为监狱企业：</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74CDF142">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 w:eastAsia="zh-CN"/>
        </w:rPr>
        <w:t>7</w:t>
      </w:r>
      <w:r>
        <w:rPr>
          <w:rFonts w:hint="eastAsia" w:ascii="仿宋" w:hAnsi="仿宋" w:eastAsia="仿宋" w:cs="仿宋"/>
          <w:color w:val="auto"/>
          <w:sz w:val="22"/>
          <w:szCs w:val="22"/>
          <w:highlight w:val="none"/>
        </w:rPr>
        <w:t>）合同是否分包：</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06153408">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分包主要内容：</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4C1A5E73">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u w:val="none"/>
          <w:lang w:val="en-US" w:eastAsia="zh-CN"/>
        </w:rPr>
        <w:t xml:space="preserve"> </w:t>
      </w:r>
      <w:r>
        <w:rPr>
          <w:rFonts w:hint="eastAsia" w:ascii="仿宋" w:hAnsi="仿宋" w:eastAsia="仿宋" w:cs="仿宋"/>
          <w:color w:val="auto"/>
          <w:sz w:val="22"/>
          <w:szCs w:val="22"/>
          <w:highlight w:val="none"/>
        </w:rPr>
        <w:t>分包供应商</w:t>
      </w:r>
      <w:r>
        <w:rPr>
          <w:rFonts w:hint="eastAsia" w:ascii="仿宋" w:hAnsi="仿宋" w:eastAsia="仿宋" w:cs="仿宋"/>
          <w:color w:val="auto"/>
          <w:sz w:val="22"/>
          <w:szCs w:val="22"/>
          <w:highlight w:val="none"/>
          <w:lang w:eastAsia="zh-CN"/>
        </w:rPr>
        <w:t>/制造商</w:t>
      </w:r>
      <w:r>
        <w:rPr>
          <w:rFonts w:hint="eastAsia" w:ascii="仿宋" w:hAnsi="仿宋" w:eastAsia="仿宋" w:cs="仿宋"/>
          <w:color w:val="auto"/>
          <w:sz w:val="22"/>
          <w:szCs w:val="22"/>
          <w:highlight w:val="none"/>
        </w:rPr>
        <w:t>名称</w:t>
      </w:r>
      <w:r>
        <w:rPr>
          <w:rFonts w:hint="eastAsia" w:ascii="仿宋" w:hAnsi="仿宋" w:eastAsia="仿宋" w:cs="仿宋"/>
          <w:color w:val="auto"/>
          <w:sz w:val="22"/>
          <w:szCs w:val="22"/>
          <w:highlight w:val="none"/>
          <w:lang w:eastAsia="zh-CN"/>
        </w:rPr>
        <w:t>（如供应商和制造商不同，请分别填写）</w:t>
      </w:r>
      <w:r>
        <w:rPr>
          <w:rFonts w:hint="eastAsia" w:ascii="仿宋" w:hAnsi="仿宋" w:eastAsia="仿宋" w:cs="仿宋"/>
          <w:color w:val="auto"/>
          <w:sz w:val="22"/>
          <w:szCs w:val="22"/>
          <w:highlight w:val="none"/>
        </w:rPr>
        <w:t>：</w:t>
      </w:r>
    </w:p>
    <w:p w14:paraId="39E867BD">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non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p>
    <w:p w14:paraId="111AF472">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分包供应商</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2"/>
          <w:szCs w:val="22"/>
          <w:highlight w:val="none"/>
          <w:lang w:eastAsia="zh-CN"/>
        </w:rPr>
        <w:t>制造商</w:t>
      </w:r>
      <w:r>
        <w:rPr>
          <w:rFonts w:hint="eastAsia" w:ascii="仿宋" w:hAnsi="仿宋" w:eastAsia="仿宋" w:cs="仿宋"/>
          <w:color w:val="auto"/>
          <w:sz w:val="22"/>
          <w:szCs w:val="22"/>
          <w:highlight w:val="none"/>
        </w:rPr>
        <w:t>类型</w:t>
      </w:r>
      <w:r>
        <w:rPr>
          <w:rFonts w:hint="eastAsia" w:ascii="仿宋" w:hAnsi="仿宋" w:eastAsia="仿宋" w:cs="仿宋"/>
          <w:color w:val="auto"/>
          <w:sz w:val="22"/>
          <w:szCs w:val="22"/>
          <w:highlight w:val="none"/>
          <w:lang w:eastAsia="zh-CN"/>
        </w:rPr>
        <w:t>（如果供应商和制造商不同，只填写制造商类型）</w:t>
      </w:r>
      <w:r>
        <w:rPr>
          <w:rFonts w:hint="eastAsia" w:ascii="仿宋" w:hAnsi="仿宋" w:eastAsia="仿宋" w:cs="仿宋"/>
          <w:color w:val="auto"/>
          <w:sz w:val="22"/>
          <w:szCs w:val="22"/>
          <w:highlight w:val="none"/>
        </w:rPr>
        <w:t>：</w:t>
      </w:r>
    </w:p>
    <w:p w14:paraId="0BD3DB29">
      <w:pPr>
        <w:pageBreakBefore w:val="0"/>
        <w:widowControl w:val="0"/>
        <w:kinsoku/>
        <w:wordWrap/>
        <w:overflowPunct/>
        <w:topLinePunct w:val="0"/>
        <w:bidi w:val="0"/>
        <w:adjustRightInd w:val="0"/>
        <w:snapToGrid w:val="0"/>
        <w:spacing w:beforeLines="0" w:line="480" w:lineRule="exact"/>
        <w:ind w:firstLine="880" w:firstLineChars="400"/>
        <w:textAlignment w:val="auto"/>
        <w:rPr>
          <w:rFonts w:hint="eastAsia" w:ascii="仿宋" w:hAnsi="仿宋" w:eastAsia="仿宋" w:cs="仿宋"/>
          <w:iCs/>
          <w:color w:val="auto"/>
          <w:sz w:val="22"/>
          <w:szCs w:val="22"/>
          <w:highlight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大型企业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中型企业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小微型企业</w:t>
      </w:r>
      <w:r>
        <w:rPr>
          <w:rFonts w:hint="eastAsia" w:ascii="仿宋" w:hAnsi="仿宋" w:eastAsia="仿宋" w:cs="仿宋"/>
          <w:iCs/>
          <w:color w:val="auto"/>
          <w:sz w:val="22"/>
          <w:szCs w:val="22"/>
          <w:highlight w:val="none"/>
          <w:lang w:val="en-US" w:eastAsia="zh-CN"/>
        </w:rPr>
        <w:t xml:space="preserve">  </w:t>
      </w:r>
    </w:p>
    <w:p w14:paraId="2BEAAD77">
      <w:pPr>
        <w:pageBreakBefore w:val="0"/>
        <w:widowControl w:val="0"/>
        <w:kinsoku/>
        <w:wordWrap/>
        <w:overflowPunct/>
        <w:topLinePunct w:val="0"/>
        <w:bidi w:val="0"/>
        <w:adjustRightInd w:val="0"/>
        <w:snapToGrid w:val="0"/>
        <w:spacing w:beforeLines="0" w:line="480" w:lineRule="exact"/>
        <w:ind w:firstLine="880" w:firstLineChars="400"/>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残疾人福利性单位</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监狱</w:t>
      </w:r>
      <w:r>
        <w:rPr>
          <w:rFonts w:hint="eastAsia" w:ascii="仿宋" w:hAnsi="仿宋" w:eastAsia="仿宋" w:cs="仿宋"/>
          <w:iCs/>
          <w:color w:val="auto"/>
          <w:sz w:val="22"/>
          <w:szCs w:val="22"/>
          <w:highlight w:val="none"/>
        </w:rPr>
        <w:t>企业</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其他</w:t>
      </w:r>
    </w:p>
    <w:p w14:paraId="41C2535F">
      <w:pPr>
        <w:pageBreakBefore w:val="0"/>
        <w:widowControl w:val="0"/>
        <w:numPr>
          <w:ilvl w:val="0"/>
          <w:numId w:val="0"/>
        </w:numPr>
        <w:kinsoku/>
        <w:wordWrap/>
        <w:overflowPunct/>
        <w:topLinePunct w:val="0"/>
        <w:bidi w:val="0"/>
        <w:adjustRightInd w:val="0"/>
        <w:snapToGrid w:val="0"/>
        <w:spacing w:before="0" w:beforeLines="0" w:line="480" w:lineRule="exact"/>
        <w:ind w:left="0" w:leftChars="0" w:firstLine="0" w:firstLineChars="0"/>
        <w:textAlignment w:val="auto"/>
        <w:rPr>
          <w:rFonts w:hint="eastAsia" w:ascii="仿宋" w:hAnsi="仿宋" w:eastAsia="仿宋" w:cs="仿宋"/>
          <w:iCs/>
          <w:color w:val="auto"/>
          <w:sz w:val="22"/>
          <w:szCs w:val="22"/>
          <w:highlight w:val="none"/>
        </w:rPr>
      </w:pPr>
      <w:r>
        <w:rPr>
          <w:rFonts w:hint="eastAsia" w:ascii="仿宋" w:hAnsi="仿宋" w:eastAsia="仿宋" w:cs="仿宋"/>
          <w:color w:val="auto"/>
          <w:sz w:val="22"/>
          <w:szCs w:val="22"/>
          <w:highlight w:val="none"/>
          <w:u w:val="none"/>
          <w:lang w:val="en-US" w:eastAsia="zh-CN"/>
        </w:rPr>
        <w:t xml:space="preserve">    （</w:t>
      </w:r>
      <w:r>
        <w:rPr>
          <w:rFonts w:hint="eastAsia" w:ascii="仿宋" w:hAnsi="仿宋" w:eastAsia="仿宋" w:cs="仿宋"/>
          <w:color w:val="auto"/>
          <w:sz w:val="22"/>
          <w:szCs w:val="22"/>
          <w:highlight w:val="none"/>
          <w:u w:val="none"/>
          <w:lang w:val="en" w:eastAsia="zh-CN"/>
        </w:rPr>
        <w:t>8</w:t>
      </w:r>
      <w:r>
        <w:rPr>
          <w:rFonts w:hint="eastAsia" w:ascii="仿宋" w:hAnsi="仿宋" w:eastAsia="仿宋" w:cs="仿宋"/>
          <w:color w:val="auto"/>
          <w:sz w:val="22"/>
          <w:szCs w:val="22"/>
          <w:highlight w:val="none"/>
          <w:u w:val="none"/>
          <w:lang w:val="en-US" w:eastAsia="zh-CN"/>
        </w:rPr>
        <w:t>）中标（成交）供应商是否为外商投资企业：</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是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否</w:t>
      </w:r>
    </w:p>
    <w:p w14:paraId="277D70AF">
      <w:pPr>
        <w:pageBreakBefore w:val="0"/>
        <w:widowControl w:val="0"/>
        <w:tabs>
          <w:tab w:val="left" w:pos="1340"/>
        </w:tabs>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u w:val="single"/>
          <w:lang w:val="en-US" w:eastAsia="zh-CN" w:bidi="ar-SA"/>
        </w:rPr>
      </w:pPr>
      <w:r>
        <w:rPr>
          <w:rFonts w:hint="eastAsia" w:ascii="仿宋" w:hAnsi="仿宋" w:eastAsia="仿宋" w:cs="仿宋"/>
          <w:color w:val="auto"/>
          <w:sz w:val="22"/>
          <w:szCs w:val="22"/>
          <w:highlight w:val="none"/>
          <w:u w:val="none"/>
          <w:lang w:val="en-US" w:eastAsia="zh-CN" w:bidi="ar-SA"/>
        </w:rPr>
        <w:t xml:space="preserve">     外商投资企业类型：</w:t>
      </w:r>
      <w:r>
        <w:rPr>
          <w:rFonts w:hint="eastAsia" w:ascii="仿宋" w:hAnsi="仿宋" w:eastAsia="仿宋" w:cs="仿宋"/>
          <w:iCs/>
          <w:color w:val="auto"/>
          <w:sz w:val="22"/>
          <w:szCs w:val="22"/>
          <w:highlight w:val="none"/>
          <w:lang w:val="en-US" w:eastAsia="zh-CN" w:bidi="ar-SA"/>
        </w:rPr>
        <w:sym w:font="Wingdings" w:char="00A8"/>
      </w:r>
      <w:r>
        <w:rPr>
          <w:rFonts w:hint="eastAsia" w:ascii="仿宋" w:hAnsi="仿宋" w:eastAsia="仿宋" w:cs="仿宋"/>
          <w:color w:val="auto"/>
          <w:sz w:val="22"/>
          <w:szCs w:val="22"/>
          <w:highlight w:val="none"/>
          <w:u w:val="none"/>
          <w:lang w:val="en-US" w:eastAsia="zh-CN" w:bidi="ar-SA"/>
        </w:rPr>
        <w:t xml:space="preserve">全部由外国投资者投资  </w:t>
      </w:r>
      <w:r>
        <w:rPr>
          <w:rFonts w:hint="eastAsia" w:ascii="仿宋" w:hAnsi="仿宋" w:eastAsia="仿宋" w:cs="仿宋"/>
          <w:iCs/>
          <w:color w:val="auto"/>
          <w:sz w:val="22"/>
          <w:szCs w:val="22"/>
          <w:highlight w:val="none"/>
          <w:lang w:val="en-US" w:eastAsia="zh-CN" w:bidi="ar-SA"/>
        </w:rPr>
        <w:sym w:font="Wingdings" w:char="00A8"/>
      </w:r>
      <w:r>
        <w:rPr>
          <w:rFonts w:hint="eastAsia" w:ascii="仿宋" w:hAnsi="仿宋" w:eastAsia="仿宋" w:cs="仿宋"/>
          <w:iCs/>
          <w:color w:val="auto"/>
          <w:sz w:val="22"/>
          <w:szCs w:val="22"/>
          <w:highlight w:val="none"/>
          <w:lang w:val="en-US" w:eastAsia="zh-CN" w:bidi="ar-SA"/>
        </w:rPr>
        <w:t>部分由外国投资者投资</w:t>
      </w:r>
    </w:p>
    <w:p w14:paraId="3A051A41">
      <w:pPr>
        <w:pageBreakBefore w:val="0"/>
        <w:widowControl w:val="0"/>
        <w:numPr>
          <w:ilvl w:val="0"/>
          <w:numId w:val="0"/>
        </w:numPr>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b w:val="0"/>
          <w:bCs w:val="0"/>
          <w:color w:val="auto"/>
          <w:sz w:val="22"/>
          <w:szCs w:val="22"/>
          <w:highlight w:val="none"/>
          <w:u w:val="none"/>
          <w:lang w:val="en-US" w:eastAsia="zh-CN"/>
        </w:rPr>
        <w:t>（</w:t>
      </w:r>
      <w:r>
        <w:rPr>
          <w:rFonts w:hint="eastAsia" w:ascii="仿宋" w:hAnsi="仿宋" w:eastAsia="仿宋" w:cs="仿宋"/>
          <w:b w:val="0"/>
          <w:bCs w:val="0"/>
          <w:color w:val="auto"/>
          <w:sz w:val="22"/>
          <w:szCs w:val="22"/>
          <w:highlight w:val="none"/>
          <w:u w:val="none"/>
          <w:lang w:val="en" w:eastAsia="zh-CN"/>
        </w:rPr>
        <w:t>9</w:t>
      </w:r>
      <w:r>
        <w:rPr>
          <w:rFonts w:hint="eastAsia" w:ascii="仿宋" w:hAnsi="仿宋" w:eastAsia="仿宋" w:cs="仿宋"/>
          <w:b w:val="0"/>
          <w:bCs w:val="0"/>
          <w:color w:val="auto"/>
          <w:sz w:val="22"/>
          <w:szCs w:val="22"/>
          <w:highlight w:val="none"/>
          <w:u w:val="none"/>
          <w:lang w:val="en-US" w:eastAsia="zh-CN"/>
        </w:rPr>
        <w:t>）是否涉及进口产品：</w:t>
      </w:r>
    </w:p>
    <w:p w14:paraId="43A4DB73">
      <w:pPr>
        <w:pageBreakBefore w:val="0"/>
        <w:widowControl w:val="0"/>
        <w:numPr>
          <w:ilvl w:val="0"/>
          <w:numId w:val="0"/>
        </w:numPr>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u w:val="single"/>
          <w:lang w:val="en-US" w:eastAsia="zh-CN"/>
        </w:rPr>
      </w:pPr>
      <w:r>
        <w:rPr>
          <w:rFonts w:hint="eastAsia" w:ascii="仿宋" w:hAnsi="仿宋" w:eastAsia="仿宋" w:cs="仿宋"/>
          <w:iCs w:val="0"/>
          <w:color w:val="auto"/>
          <w:sz w:val="22"/>
          <w:szCs w:val="22"/>
          <w:highlight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是</w:t>
      </w:r>
      <w:r>
        <w:rPr>
          <w:rFonts w:hint="eastAsia" w:ascii="仿宋" w:hAnsi="仿宋" w:eastAsia="仿宋" w:cs="仿宋"/>
          <w:iCs w:val="0"/>
          <w:color w:val="auto"/>
          <w:sz w:val="22"/>
          <w:szCs w:val="22"/>
          <w:highlight w:val="none"/>
          <w:lang w:eastAsia="zh-CN"/>
        </w:rPr>
        <w:t>，《政府采购品目分类目录》底级品目名称</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 xml:space="preserve"> 金额：</w:t>
      </w:r>
      <w:r>
        <w:rPr>
          <w:rFonts w:hint="eastAsia" w:ascii="仿宋" w:hAnsi="仿宋" w:eastAsia="仿宋" w:cs="仿宋"/>
          <w:color w:val="auto"/>
          <w:sz w:val="22"/>
          <w:szCs w:val="22"/>
          <w:highlight w:val="none"/>
          <w:u w:val="single"/>
          <w:lang w:val="en-US" w:eastAsia="zh-CN"/>
        </w:rPr>
        <w:t xml:space="preserve">        </w:t>
      </w:r>
    </w:p>
    <w:p w14:paraId="6DD07398">
      <w:pPr>
        <w:pageBreakBefore w:val="0"/>
        <w:widowControl w:val="0"/>
        <w:numPr>
          <w:ilvl w:val="0"/>
          <w:numId w:val="0"/>
        </w:numPr>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iCs w:val="0"/>
          <w:color w:val="auto"/>
          <w:sz w:val="22"/>
          <w:szCs w:val="22"/>
          <w:highlight w:val="none"/>
        </w:rPr>
      </w:pPr>
      <w:r>
        <w:rPr>
          <w:rFonts w:hint="eastAsia" w:ascii="仿宋" w:hAnsi="仿宋" w:eastAsia="仿宋" w:cs="仿宋"/>
          <w:color w:val="auto"/>
          <w:sz w:val="22"/>
          <w:szCs w:val="22"/>
          <w:highlight w:val="none"/>
          <w:lang w:val="en-US" w:eastAsia="zh-CN"/>
        </w:rPr>
        <w:t xml:space="preserve">        国别：</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lang w:val="en-US" w:eastAsia="zh-CN"/>
        </w:rPr>
        <w:t xml:space="preserve"> 品牌：</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none"/>
          <w:lang w:val="en-US" w:eastAsia="zh-CN"/>
        </w:rPr>
        <w:t xml:space="preserve"> 规格型号：</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iCs w:val="0"/>
          <w:color w:val="auto"/>
          <w:sz w:val="22"/>
          <w:szCs w:val="22"/>
          <w:highlight w:val="none"/>
        </w:rPr>
        <w:t xml:space="preserve">      </w:t>
      </w:r>
    </w:p>
    <w:p w14:paraId="6D146FF5">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color w:val="auto"/>
          <w:sz w:val="22"/>
          <w:szCs w:val="22"/>
          <w:highlight w:val="none"/>
          <w:u w:val="none"/>
          <w:lang w:val="en-US" w:eastAsia="zh-CN"/>
        </w:rPr>
      </w:pPr>
      <w:r>
        <w:rPr>
          <w:rFonts w:hint="eastAsia" w:ascii="仿宋" w:hAnsi="仿宋" w:eastAsia="仿宋" w:cs="仿宋"/>
          <w:iCs w:val="0"/>
          <w:color w:val="auto"/>
          <w:sz w:val="22"/>
          <w:szCs w:val="22"/>
          <w:highlight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lang w:eastAsia="zh-CN"/>
        </w:rPr>
        <w:t>否</w:t>
      </w:r>
    </w:p>
    <w:p w14:paraId="3B38C526">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left="0" w:firstLine="0" w:firstLineChars="0"/>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b w:val="0"/>
          <w:bCs w:val="0"/>
          <w:color w:val="auto"/>
          <w:sz w:val="22"/>
          <w:szCs w:val="22"/>
          <w:highlight w:val="none"/>
          <w:u w:val="none"/>
          <w:lang w:val="en-US" w:eastAsia="zh-CN"/>
        </w:rPr>
        <w:t xml:space="preserve">    （1</w:t>
      </w:r>
      <w:r>
        <w:rPr>
          <w:rFonts w:hint="eastAsia" w:ascii="仿宋" w:hAnsi="仿宋" w:eastAsia="仿宋" w:cs="仿宋"/>
          <w:b w:val="0"/>
          <w:bCs w:val="0"/>
          <w:color w:val="auto"/>
          <w:sz w:val="22"/>
          <w:szCs w:val="22"/>
          <w:highlight w:val="none"/>
          <w:u w:val="none"/>
          <w:lang w:val="en" w:eastAsia="zh-CN"/>
        </w:rPr>
        <w:t>0</w:t>
      </w:r>
      <w:r>
        <w:rPr>
          <w:rFonts w:hint="eastAsia" w:ascii="仿宋" w:hAnsi="仿宋" w:eastAsia="仿宋" w:cs="仿宋"/>
          <w:b w:val="0"/>
          <w:bCs w:val="0"/>
          <w:color w:val="auto"/>
          <w:sz w:val="22"/>
          <w:szCs w:val="22"/>
          <w:highlight w:val="none"/>
          <w:u w:val="none"/>
          <w:lang w:val="en-US" w:eastAsia="zh-CN"/>
        </w:rPr>
        <w:t>）是否涉及节能产品：</w:t>
      </w:r>
    </w:p>
    <w:p w14:paraId="15BF5CF7">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lang w:val="en-US" w:eastAsia="zh-CN"/>
        </w:rPr>
      </w:pPr>
      <w:r>
        <w:rPr>
          <w:rFonts w:hint="eastAsia" w:ascii="仿宋" w:hAnsi="仿宋" w:eastAsia="仿宋" w:cs="仿宋"/>
          <w:b w:val="0"/>
          <w:bCs w:val="0"/>
          <w:color w:val="auto"/>
          <w:sz w:val="22"/>
          <w:szCs w:val="22"/>
          <w:highlight w:val="none"/>
          <w:u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是</w:t>
      </w:r>
      <w:r>
        <w:rPr>
          <w:rFonts w:hint="eastAsia" w:ascii="仿宋" w:hAnsi="仿宋" w:eastAsia="仿宋" w:cs="仿宋"/>
          <w:iCs w:val="0"/>
          <w:color w:val="auto"/>
          <w:sz w:val="22"/>
          <w:szCs w:val="22"/>
          <w:highlight w:val="none"/>
          <w:lang w:eastAsia="zh-CN"/>
        </w:rPr>
        <w:t>，《节能产品政府采购品目清单》的底级品目名称：</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iCs/>
          <w:color w:val="auto"/>
          <w:sz w:val="22"/>
          <w:szCs w:val="22"/>
          <w:highlight w:val="none"/>
          <w:lang w:val="en-US" w:eastAsia="zh-CN"/>
        </w:rPr>
        <w:t xml:space="preserve">     </w:t>
      </w:r>
    </w:p>
    <w:p w14:paraId="61E559D5">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强制采购</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优先采购</w:t>
      </w:r>
      <w:r>
        <w:rPr>
          <w:rFonts w:hint="eastAsia" w:ascii="仿宋" w:hAnsi="仿宋" w:eastAsia="仿宋" w:cs="仿宋"/>
          <w:iCs/>
          <w:color w:val="auto"/>
          <w:sz w:val="22"/>
          <w:szCs w:val="22"/>
          <w:highlight w:val="none"/>
          <w:lang w:val="en-US" w:eastAsia="zh-CN"/>
        </w:rPr>
        <w:t xml:space="preserve">    </w:t>
      </w:r>
    </w:p>
    <w:p w14:paraId="45F6939D">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val="0"/>
          <w:color w:val="auto"/>
          <w:sz w:val="22"/>
          <w:szCs w:val="22"/>
          <w:highlight w:val="none"/>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否</w:t>
      </w:r>
    </w:p>
    <w:p w14:paraId="095BD4A5">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left="0" w:firstLine="0" w:firstLineChars="0"/>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b w:val="0"/>
          <w:bCs w:val="0"/>
          <w:color w:val="auto"/>
          <w:sz w:val="22"/>
          <w:szCs w:val="22"/>
          <w:highlight w:val="none"/>
          <w:u w:val="none"/>
          <w:lang w:val="en-US" w:eastAsia="zh-CN"/>
        </w:rPr>
        <w:t xml:space="preserve">          是否涉及环境标志产品：</w:t>
      </w:r>
    </w:p>
    <w:p w14:paraId="37172FDE">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val="0"/>
          <w:color w:val="auto"/>
          <w:sz w:val="22"/>
          <w:szCs w:val="22"/>
          <w:highlight w:val="none"/>
          <w:lang w:eastAsia="zh-CN"/>
        </w:rPr>
      </w:pPr>
      <w:r>
        <w:rPr>
          <w:rFonts w:hint="eastAsia" w:ascii="仿宋" w:hAnsi="仿宋" w:eastAsia="仿宋" w:cs="仿宋"/>
          <w:b w:val="0"/>
          <w:bCs w:val="0"/>
          <w:color w:val="auto"/>
          <w:sz w:val="22"/>
          <w:szCs w:val="22"/>
          <w:highlight w:val="none"/>
          <w:u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是</w:t>
      </w:r>
      <w:r>
        <w:rPr>
          <w:rFonts w:hint="eastAsia" w:ascii="仿宋" w:hAnsi="仿宋" w:eastAsia="仿宋" w:cs="仿宋"/>
          <w:iCs w:val="0"/>
          <w:color w:val="auto"/>
          <w:sz w:val="22"/>
          <w:szCs w:val="22"/>
          <w:highlight w:val="none"/>
          <w:lang w:eastAsia="zh-CN"/>
        </w:rPr>
        <w:t>，《环境标志产品政府采购品目清单》的底级品目名称：</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iCs/>
          <w:color w:val="auto"/>
          <w:sz w:val="22"/>
          <w:szCs w:val="22"/>
          <w:highlight w:val="none"/>
          <w:lang w:val="en-US" w:eastAsia="zh-CN"/>
        </w:rPr>
        <w:t xml:space="preserve"> </w:t>
      </w:r>
    </w:p>
    <w:p w14:paraId="307A76B1">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强制采购</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优先采购</w:t>
      </w:r>
      <w:r>
        <w:rPr>
          <w:rFonts w:hint="eastAsia" w:ascii="仿宋" w:hAnsi="仿宋" w:eastAsia="仿宋" w:cs="仿宋"/>
          <w:iCs/>
          <w:color w:val="auto"/>
          <w:sz w:val="22"/>
          <w:szCs w:val="22"/>
          <w:highlight w:val="none"/>
          <w:lang w:val="en-US" w:eastAsia="zh-CN"/>
        </w:rPr>
        <w:t xml:space="preserve">    </w:t>
      </w:r>
    </w:p>
    <w:p w14:paraId="7EB3449D">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b w:val="0"/>
          <w:bCs w:val="0"/>
          <w:color w:val="auto"/>
          <w:sz w:val="22"/>
          <w:szCs w:val="22"/>
          <w:highlight w:val="none"/>
          <w:u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否</w:t>
      </w:r>
    </w:p>
    <w:p w14:paraId="3D5D9A66">
      <w:pPr>
        <w:pageBreakBefore w:val="0"/>
        <w:widowControl w:val="0"/>
        <w:numPr>
          <w:ilvl w:val="0"/>
          <w:numId w:val="0"/>
        </w:numPr>
        <w:kinsoku/>
        <w:wordWrap/>
        <w:overflowPunct/>
        <w:topLinePunct w:val="0"/>
        <w:autoSpaceDE w:val="0"/>
        <w:autoSpaceDN w:val="0"/>
        <w:bidi w:val="0"/>
        <w:adjustRightInd w:val="0"/>
        <w:snapToGrid w:val="0"/>
        <w:spacing w:before="0" w:beforeLines="0" w:line="480" w:lineRule="exact"/>
        <w:ind w:firstLine="0" w:firstLineChars="0"/>
        <w:textAlignment w:val="auto"/>
        <w:rPr>
          <w:rFonts w:hint="eastAsia" w:ascii="仿宋" w:hAnsi="仿宋" w:eastAsia="仿宋" w:cs="仿宋"/>
          <w:iCs w:val="0"/>
          <w:color w:val="auto"/>
          <w:kern w:val="2"/>
          <w:sz w:val="22"/>
          <w:szCs w:val="22"/>
          <w:highlight w:val="none"/>
          <w:u w:val="none"/>
          <w:lang w:val="en-US" w:eastAsia="zh-CN" w:bidi="ar-SA"/>
        </w:rPr>
      </w:pPr>
      <w:r>
        <w:rPr>
          <w:rFonts w:hint="eastAsia" w:ascii="仿宋" w:hAnsi="仿宋" w:eastAsia="仿宋" w:cs="仿宋"/>
          <w:b w:val="0"/>
          <w:bCs w:val="0"/>
          <w:color w:val="auto"/>
          <w:sz w:val="22"/>
          <w:szCs w:val="22"/>
          <w:highlight w:val="none"/>
          <w:u w:val="none"/>
          <w:lang w:val="en-US" w:eastAsia="zh-CN" w:bidi="ar-SA"/>
        </w:rPr>
        <w:t xml:space="preserve">          </w:t>
      </w:r>
      <w:r>
        <w:rPr>
          <w:rFonts w:hint="eastAsia" w:ascii="仿宋" w:hAnsi="仿宋" w:eastAsia="仿宋" w:cs="仿宋"/>
          <w:b w:val="0"/>
          <w:bCs w:val="0"/>
          <w:color w:val="auto"/>
          <w:kern w:val="2"/>
          <w:sz w:val="22"/>
          <w:szCs w:val="22"/>
          <w:highlight w:val="none"/>
          <w:u w:val="none"/>
          <w:lang w:val="en-US" w:eastAsia="zh-CN" w:bidi="ar-SA"/>
        </w:rPr>
        <w:t>是否涉及绿色产品：</w:t>
      </w:r>
      <w:r>
        <w:rPr>
          <w:rFonts w:hint="eastAsia" w:ascii="仿宋" w:hAnsi="仿宋" w:eastAsia="仿宋" w:cs="仿宋"/>
          <w:iCs w:val="0"/>
          <w:color w:val="auto"/>
          <w:kern w:val="2"/>
          <w:sz w:val="22"/>
          <w:szCs w:val="22"/>
          <w:highlight w:val="none"/>
          <w:u w:val="none"/>
          <w:lang w:val="en-US" w:eastAsia="zh-CN" w:bidi="ar-SA"/>
        </w:rPr>
        <w:t xml:space="preserve"> </w:t>
      </w:r>
    </w:p>
    <w:p w14:paraId="13A2071F">
      <w:pPr>
        <w:pageBreakBefore w:val="0"/>
        <w:widowControl w:val="0"/>
        <w:kinsoku/>
        <w:wordWrap/>
        <w:overflowPunct/>
        <w:topLinePunct w:val="0"/>
        <w:autoSpaceDE w:val="0"/>
        <w:autoSpaceDN w:val="0"/>
        <w:bidi w:val="0"/>
        <w:adjustRightInd w:val="0"/>
        <w:spacing w:beforeLines="0" w:line="480" w:lineRule="exact"/>
        <w:ind w:firstLine="420" w:firstLineChars="0"/>
        <w:textAlignment w:val="auto"/>
        <w:rPr>
          <w:rFonts w:hint="eastAsia" w:ascii="仿宋" w:hAnsi="仿宋" w:eastAsia="仿宋" w:cs="仿宋"/>
          <w:color w:val="auto"/>
          <w:sz w:val="22"/>
          <w:szCs w:val="22"/>
          <w:highlight w:val="none"/>
          <w:u w:val="single"/>
          <w:lang w:val="en-US" w:eastAsia="zh-CN" w:bidi="ar-SA"/>
        </w:rPr>
      </w:pPr>
      <w:r>
        <w:rPr>
          <w:rFonts w:hint="eastAsia" w:ascii="仿宋" w:hAnsi="仿宋" w:eastAsia="仿宋" w:cs="仿宋"/>
          <w:iCs w:val="0"/>
          <w:color w:val="auto"/>
          <w:kern w:val="2"/>
          <w:sz w:val="22"/>
          <w:szCs w:val="22"/>
          <w:highlight w:val="none"/>
          <w:u w:val="none"/>
          <w:lang w:val="en-US" w:eastAsia="zh-CN" w:bidi="ar-SA"/>
        </w:rPr>
        <w:t xml:space="preserve">     </w:t>
      </w:r>
      <w:r>
        <w:rPr>
          <w:rFonts w:hint="eastAsia" w:ascii="仿宋" w:hAnsi="仿宋" w:eastAsia="仿宋" w:cs="仿宋"/>
          <w:iCs w:val="0"/>
          <w:color w:val="auto"/>
          <w:kern w:val="2"/>
          <w:sz w:val="22"/>
          <w:szCs w:val="22"/>
          <w:highlight w:val="none"/>
          <w:u w:val="none"/>
          <w:lang w:val="en-US" w:eastAsia="zh-CN" w:bidi="ar-SA"/>
        </w:rPr>
        <w:sym w:font="Wingdings" w:char="00A8"/>
      </w:r>
      <w:r>
        <w:rPr>
          <w:rFonts w:hint="eastAsia" w:ascii="仿宋" w:hAnsi="仿宋" w:eastAsia="仿宋" w:cs="仿宋"/>
          <w:iCs w:val="0"/>
          <w:color w:val="auto"/>
          <w:kern w:val="2"/>
          <w:sz w:val="22"/>
          <w:szCs w:val="22"/>
          <w:highlight w:val="none"/>
          <w:u w:val="none"/>
          <w:lang w:val="en-US" w:eastAsia="zh-CN" w:bidi="ar-SA"/>
        </w:rPr>
        <w:t>是，绿色产品政府采购相关政策确定的底级品目名称：</w:t>
      </w:r>
      <w:r>
        <w:rPr>
          <w:rFonts w:hint="eastAsia" w:ascii="仿宋" w:hAnsi="仿宋" w:eastAsia="仿宋" w:cs="仿宋"/>
          <w:color w:val="auto"/>
          <w:sz w:val="22"/>
          <w:szCs w:val="22"/>
          <w:highlight w:val="none"/>
          <w:u w:val="single"/>
          <w:lang w:val="en-US" w:eastAsia="zh-CN" w:bidi="ar-SA"/>
        </w:rPr>
        <w:t xml:space="preserve">         </w:t>
      </w:r>
    </w:p>
    <w:p w14:paraId="4400F07E">
      <w:pPr>
        <w:pageBreakBefore w:val="0"/>
        <w:widowControl w:val="0"/>
        <w:numPr>
          <w:ilvl w:val="0"/>
          <w:numId w:val="0"/>
        </w:numPr>
        <w:tabs>
          <w:tab w:val="left" w:pos="740"/>
        </w:tabs>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iCs/>
          <w:color w:val="auto"/>
          <w:sz w:val="22"/>
          <w:szCs w:val="22"/>
          <w:highlight w:val="none"/>
          <w:lang w:val="en-US"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强制采购</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优先采购</w:t>
      </w:r>
      <w:r>
        <w:rPr>
          <w:rFonts w:hint="eastAsia" w:ascii="仿宋" w:hAnsi="仿宋" w:eastAsia="仿宋" w:cs="仿宋"/>
          <w:iCs/>
          <w:color w:val="auto"/>
          <w:sz w:val="22"/>
          <w:szCs w:val="22"/>
          <w:highlight w:val="none"/>
          <w:lang w:val="en-US" w:eastAsia="zh-CN"/>
        </w:rPr>
        <w:t xml:space="preserve">    </w:t>
      </w:r>
    </w:p>
    <w:p w14:paraId="4A2F88A5">
      <w:pPr>
        <w:pageBreakBefore w:val="0"/>
        <w:widowControl w:val="0"/>
        <w:kinsoku/>
        <w:wordWrap/>
        <w:overflowPunct/>
        <w:topLinePunct w:val="0"/>
        <w:autoSpaceDE w:val="0"/>
        <w:autoSpaceDN w:val="0"/>
        <w:bidi w:val="0"/>
        <w:adjustRightInd w:val="0"/>
        <w:spacing w:beforeLines="0" w:line="480" w:lineRule="exact"/>
        <w:ind w:firstLine="420" w:firstLineChars="0"/>
        <w:textAlignment w:val="auto"/>
        <w:rPr>
          <w:rFonts w:hint="eastAsia" w:ascii="仿宋" w:hAnsi="仿宋" w:eastAsia="仿宋" w:cs="仿宋"/>
          <w:b w:val="0"/>
          <w:bCs w:val="0"/>
          <w:color w:val="auto"/>
          <w:sz w:val="22"/>
          <w:szCs w:val="22"/>
          <w:highlight w:val="none"/>
          <w:u w:val="none"/>
          <w:lang w:val="en-US" w:eastAsia="zh-CN" w:bidi="ar-SA"/>
        </w:rPr>
      </w:pPr>
      <w:r>
        <w:rPr>
          <w:rFonts w:hint="eastAsia" w:ascii="仿宋" w:hAnsi="仿宋" w:eastAsia="仿宋" w:cs="仿宋"/>
          <w:iCs w:val="0"/>
          <w:color w:val="auto"/>
          <w:kern w:val="2"/>
          <w:sz w:val="22"/>
          <w:szCs w:val="22"/>
          <w:highlight w:val="none"/>
          <w:u w:val="none"/>
          <w:lang w:val="en-US" w:eastAsia="zh-CN" w:bidi="ar-SA"/>
        </w:rPr>
        <w:t xml:space="preserve">     </w:t>
      </w:r>
      <w:r>
        <w:rPr>
          <w:rFonts w:hint="eastAsia" w:ascii="仿宋" w:hAnsi="仿宋" w:eastAsia="仿宋" w:cs="仿宋"/>
          <w:iCs w:val="0"/>
          <w:color w:val="auto"/>
          <w:kern w:val="2"/>
          <w:sz w:val="22"/>
          <w:szCs w:val="22"/>
          <w:highlight w:val="none"/>
          <w:u w:val="none"/>
          <w:lang w:val="en-US" w:eastAsia="zh-CN" w:bidi="ar-SA"/>
        </w:rPr>
        <w:sym w:font="Wingdings" w:char="00A8"/>
      </w:r>
      <w:r>
        <w:rPr>
          <w:rFonts w:hint="eastAsia" w:ascii="仿宋" w:hAnsi="仿宋" w:eastAsia="仿宋" w:cs="仿宋"/>
          <w:iCs w:val="0"/>
          <w:color w:val="auto"/>
          <w:kern w:val="2"/>
          <w:sz w:val="22"/>
          <w:szCs w:val="22"/>
          <w:highlight w:val="none"/>
          <w:u w:val="none"/>
          <w:lang w:val="en-US" w:eastAsia="zh-CN" w:bidi="ar-SA"/>
        </w:rPr>
        <w:t>否</w:t>
      </w:r>
    </w:p>
    <w:p w14:paraId="6F94757D">
      <w:pPr>
        <w:pageBreakBefore w:val="0"/>
        <w:widowControl w:val="0"/>
        <w:numPr>
          <w:ilvl w:val="0"/>
          <w:numId w:val="0"/>
        </w:numPr>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（1</w:t>
      </w:r>
      <w:r>
        <w:rPr>
          <w:rFonts w:hint="eastAsia" w:ascii="仿宋" w:hAnsi="仿宋" w:eastAsia="仿宋" w:cs="仿宋"/>
          <w:color w:val="auto"/>
          <w:sz w:val="22"/>
          <w:szCs w:val="22"/>
          <w:highlight w:val="none"/>
          <w:lang w:val="en" w:eastAsia="zh-CN"/>
        </w:rPr>
        <w:t>1</w:t>
      </w:r>
      <w:r>
        <w:rPr>
          <w:rFonts w:hint="eastAsia" w:ascii="仿宋" w:hAnsi="仿宋" w:eastAsia="仿宋" w:cs="仿宋"/>
          <w:color w:val="auto"/>
          <w:sz w:val="22"/>
          <w:szCs w:val="22"/>
          <w:highlight w:val="none"/>
          <w:lang w:val="en-US" w:eastAsia="zh-CN"/>
        </w:rPr>
        <w:t>）涉及商品包装和快递包装的，是否参考</w:t>
      </w:r>
      <w:r>
        <w:rPr>
          <w:rFonts w:hint="eastAsia" w:ascii="仿宋" w:hAnsi="仿宋" w:eastAsia="仿宋" w:cs="仿宋"/>
          <w:color w:val="auto"/>
          <w:sz w:val="22"/>
          <w:szCs w:val="22"/>
          <w:highlight w:val="none"/>
        </w:rPr>
        <w:t>《商品包装政府采购需求标准（试行）》、《快递包装政府采购需求标准（试行）》</w:t>
      </w:r>
      <w:r>
        <w:rPr>
          <w:rFonts w:hint="eastAsia" w:ascii="仿宋" w:hAnsi="仿宋" w:eastAsia="仿宋" w:cs="仿宋"/>
          <w:color w:val="auto"/>
          <w:sz w:val="22"/>
          <w:szCs w:val="22"/>
          <w:highlight w:val="none"/>
          <w:lang w:eastAsia="zh-CN"/>
        </w:rPr>
        <w:t>明确产品及相关快递服务的具体包装要求：</w:t>
      </w:r>
    </w:p>
    <w:p w14:paraId="6518A2E0">
      <w:pPr>
        <w:pageBreakBefore w:val="0"/>
        <w:widowControl w:val="0"/>
        <w:numPr>
          <w:ilvl w:val="0"/>
          <w:numId w:val="0"/>
        </w:numPr>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iCs w:val="0"/>
          <w:color w:val="auto"/>
          <w:sz w:val="22"/>
          <w:szCs w:val="22"/>
          <w:highlight w:val="none"/>
          <w:lang w:val="en-US" w:eastAsia="zh-CN"/>
        </w:rPr>
      </w:pP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 xml:space="preserve">是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rPr>
        <w:t>否</w:t>
      </w:r>
      <w:r>
        <w:rPr>
          <w:rFonts w:hint="eastAsia" w:ascii="仿宋" w:hAnsi="仿宋" w:eastAsia="仿宋" w:cs="仿宋"/>
          <w:iCs w:val="0"/>
          <w:color w:val="auto"/>
          <w:sz w:val="22"/>
          <w:szCs w:val="22"/>
          <w:highlight w:val="none"/>
          <w:lang w:val="en-US" w:eastAsia="zh-CN"/>
        </w:rPr>
        <w:t xml:space="preserve">      </w:t>
      </w:r>
      <w:r>
        <w:rPr>
          <w:rFonts w:hint="eastAsia" w:ascii="仿宋" w:hAnsi="仿宋" w:eastAsia="仿宋" w:cs="仿宋"/>
          <w:iCs w:val="0"/>
          <w:color w:val="auto"/>
          <w:sz w:val="22"/>
          <w:szCs w:val="22"/>
          <w:highlight w:val="none"/>
        </w:rPr>
        <w:sym w:font="Wingdings" w:char="00A8"/>
      </w:r>
      <w:r>
        <w:rPr>
          <w:rFonts w:hint="eastAsia" w:ascii="仿宋" w:hAnsi="仿宋" w:eastAsia="仿宋" w:cs="仿宋"/>
          <w:iCs w:val="0"/>
          <w:color w:val="auto"/>
          <w:sz w:val="22"/>
          <w:szCs w:val="22"/>
          <w:highlight w:val="none"/>
          <w:lang w:eastAsia="zh-CN"/>
        </w:rPr>
        <w:t>不涉及</w:t>
      </w:r>
    </w:p>
    <w:p w14:paraId="2677BE8D">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合同金额</w:t>
      </w:r>
    </w:p>
    <w:p w14:paraId="1E51EB25">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（1）合同金额小写：</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27766E5F">
      <w:pPr>
        <w:pageBreakBefore w:val="0"/>
        <w:widowControl w:val="0"/>
        <w:kinsoku/>
        <w:wordWrap/>
        <w:overflowPunct/>
        <w:topLinePunct w:val="0"/>
        <w:bidi w:val="0"/>
        <w:adjustRightInd w:val="0"/>
        <w:snapToGrid w:val="0"/>
        <w:spacing w:before="0" w:beforeLines="0" w:line="480" w:lineRule="exact"/>
        <w:ind w:left="0" w:firstLine="0" w:firstLineChars="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大写：</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1ED2740F">
      <w:pPr>
        <w:pageBreakBefore w:val="0"/>
        <w:widowControl w:val="0"/>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分包金额</w:t>
      </w:r>
      <w:r>
        <w:rPr>
          <w:rFonts w:hint="eastAsia" w:ascii="仿宋" w:hAnsi="仿宋" w:eastAsia="仿宋" w:cs="仿宋"/>
          <w:color w:val="auto"/>
          <w:sz w:val="22"/>
          <w:szCs w:val="22"/>
          <w:highlight w:val="none"/>
          <w:lang w:eastAsia="zh-CN"/>
        </w:rPr>
        <w:t>（如有）</w:t>
      </w:r>
      <w:r>
        <w:rPr>
          <w:rFonts w:hint="eastAsia" w:ascii="仿宋" w:hAnsi="仿宋" w:eastAsia="仿宋" w:cs="仿宋"/>
          <w:color w:val="auto"/>
          <w:sz w:val="22"/>
          <w:szCs w:val="22"/>
          <w:highlight w:val="none"/>
        </w:rPr>
        <w:t>小写：</w:t>
      </w:r>
      <w:r>
        <w:rPr>
          <w:rFonts w:hint="eastAsia" w:ascii="仿宋" w:hAnsi="仿宋" w:eastAsia="仿宋" w:cs="仿宋"/>
          <w:color w:val="auto"/>
          <w:sz w:val="22"/>
          <w:szCs w:val="22"/>
          <w:highlight w:val="none"/>
          <w:u w:val="single"/>
        </w:rPr>
        <w:t xml:space="preserve">                   </w:t>
      </w:r>
    </w:p>
    <w:p w14:paraId="0D69F052">
      <w:pPr>
        <w:pageBreakBefore w:val="0"/>
        <w:widowControl w:val="0"/>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大写：</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p>
    <w:p w14:paraId="2DE093BF">
      <w:pPr>
        <w:pageBreakBefore w:val="0"/>
        <w:widowControl w:val="0"/>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（注：固定单价合同应填写单价和最高限价）</w:t>
      </w:r>
    </w:p>
    <w:p w14:paraId="13C79F07">
      <w:pPr>
        <w:pageBreakBefore w:val="0"/>
        <w:widowControl w:val="0"/>
        <w:numPr>
          <w:ilvl w:val="0"/>
          <w:numId w:val="0"/>
        </w:numPr>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合同定价方式</w:t>
      </w:r>
      <w:r>
        <w:rPr>
          <w:rFonts w:hint="eastAsia" w:ascii="仿宋" w:hAnsi="仿宋" w:eastAsia="仿宋" w:cs="仿宋"/>
          <w:color w:val="auto"/>
          <w:sz w:val="22"/>
          <w:szCs w:val="22"/>
          <w:highlight w:val="none"/>
          <w:lang w:eastAsia="zh-CN"/>
        </w:rPr>
        <w:t>（采用组合定价方式的，可以勾选多项）</w:t>
      </w:r>
      <w:r>
        <w:rPr>
          <w:rFonts w:hint="eastAsia" w:ascii="仿宋" w:hAnsi="仿宋" w:eastAsia="仿宋" w:cs="仿宋"/>
          <w:color w:val="auto"/>
          <w:sz w:val="22"/>
          <w:szCs w:val="22"/>
          <w:highlight w:val="none"/>
        </w:rPr>
        <w:t>：</w:t>
      </w:r>
    </w:p>
    <w:p w14:paraId="775F5161">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固定总价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固定单价</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固定费率</w:t>
      </w:r>
      <w:r>
        <w:rPr>
          <w:rFonts w:hint="eastAsia" w:ascii="仿宋" w:hAnsi="仿宋" w:eastAsia="仿宋" w:cs="仿宋"/>
          <w:iCs/>
          <w:color w:val="auto"/>
          <w:sz w:val="22"/>
          <w:szCs w:val="22"/>
          <w:highlight w:val="none"/>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 xml:space="preserve">成本补偿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rPr>
        <w:t>绩效激励</w:t>
      </w:r>
      <w:r>
        <w:rPr>
          <w:rFonts w:hint="eastAsia" w:ascii="仿宋" w:hAnsi="仿宋" w:eastAsia="仿宋" w:cs="仿宋"/>
          <w:iCs/>
          <w:color w:val="auto"/>
          <w:sz w:val="22"/>
          <w:szCs w:val="22"/>
          <w:highlight w:val="none"/>
          <w:lang w:val="en-US" w:eastAsia="zh-CN"/>
        </w:rPr>
        <w:t xml:space="preserve"> </w:t>
      </w:r>
      <w:r>
        <w:rPr>
          <w:rFonts w:hint="eastAsia" w:ascii="仿宋" w:hAnsi="仿宋" w:eastAsia="仿宋" w:cs="仿宋"/>
          <w:iCs/>
          <w:color w:val="auto"/>
          <w:sz w:val="22"/>
          <w:szCs w:val="22"/>
          <w:highlight w:val="none"/>
        </w:rPr>
        <w:sym w:font="Wingdings" w:char="00A8"/>
      </w:r>
      <w:r>
        <w:rPr>
          <w:rFonts w:hint="eastAsia" w:ascii="仿宋" w:hAnsi="仿宋" w:eastAsia="仿宋" w:cs="仿宋"/>
          <w:iCs/>
          <w:color w:val="auto"/>
          <w:sz w:val="22"/>
          <w:szCs w:val="22"/>
          <w:highlight w:val="none"/>
          <w:lang w:eastAsia="zh-CN"/>
        </w:rPr>
        <w:t>其他</w:t>
      </w:r>
      <w:r>
        <w:rPr>
          <w:rFonts w:hint="eastAsia" w:ascii="仿宋" w:hAnsi="仿宋" w:eastAsia="仿宋" w:cs="仿宋"/>
          <w:color w:val="auto"/>
          <w:sz w:val="22"/>
          <w:szCs w:val="22"/>
          <w:highlight w:val="none"/>
          <w:u w:val="single"/>
        </w:rPr>
        <w:t xml:space="preserve">       </w:t>
      </w:r>
    </w:p>
    <w:p w14:paraId="0DD72F9A">
      <w:pPr>
        <w:pageBreakBefore w:val="0"/>
        <w:widowControl w:val="0"/>
        <w:kinsoku/>
        <w:wordWrap/>
        <w:overflowPunct/>
        <w:topLinePunct w:val="0"/>
        <w:bidi w:val="0"/>
        <w:spacing w:beforeLines="0" w:line="480" w:lineRule="exact"/>
        <w:ind w:firstLine="440" w:firstLineChars="200"/>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（3）付款方式（按项目实际勾选填写）：</w:t>
      </w:r>
    </w:p>
    <w:p w14:paraId="4CC87FEB">
      <w:pPr>
        <w:pageBreakBefore w:val="0"/>
        <w:widowControl w:val="0"/>
        <w:kinsoku/>
        <w:wordWrap/>
        <w:overflowPunct/>
        <w:topLinePunct w:val="0"/>
        <w:bidi w:val="0"/>
        <w:adjustRightInd w:val="0"/>
        <w:snapToGrid w:val="0"/>
        <w:spacing w:before="0" w:beforeLines="0" w:line="480" w:lineRule="exact"/>
        <w:ind w:firstLine="660" w:firstLineChars="3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rPr>
        <w:t>全额付款：</w:t>
      </w:r>
      <w:r>
        <w:rPr>
          <w:rFonts w:hint="eastAsia" w:ascii="仿宋" w:hAnsi="仿宋" w:eastAsia="仿宋" w:cs="仿宋"/>
          <w:color w:val="auto"/>
          <w:sz w:val="22"/>
          <w:szCs w:val="22"/>
          <w:highlight w:val="none"/>
          <w:u w:val="single"/>
        </w:rPr>
        <w:t xml:space="preserve">     （应</w:t>
      </w:r>
      <w:r>
        <w:rPr>
          <w:rFonts w:hint="eastAsia" w:ascii="仿宋" w:hAnsi="仿宋" w:eastAsia="仿宋" w:cs="仿宋"/>
          <w:color w:val="auto"/>
          <w:sz w:val="22"/>
          <w:szCs w:val="22"/>
          <w:highlight w:val="none"/>
          <w:u w:val="single"/>
          <w:lang w:eastAsia="zh-CN"/>
        </w:rPr>
        <w:t>明确</w:t>
      </w:r>
      <w:r>
        <w:rPr>
          <w:rFonts w:hint="eastAsia" w:ascii="仿宋" w:hAnsi="仿宋" w:eastAsia="仿宋" w:cs="仿宋"/>
          <w:color w:val="auto"/>
          <w:sz w:val="22"/>
          <w:szCs w:val="22"/>
          <w:highlight w:val="none"/>
          <w:u w:val="single"/>
        </w:rPr>
        <w:t>一次性支付合同款项</w:t>
      </w:r>
      <w:r>
        <w:rPr>
          <w:rFonts w:hint="eastAsia" w:ascii="仿宋" w:hAnsi="仿宋" w:eastAsia="仿宋" w:cs="仿宋"/>
          <w:color w:val="auto"/>
          <w:sz w:val="22"/>
          <w:szCs w:val="22"/>
          <w:highlight w:val="none"/>
          <w:u w:val="single"/>
          <w:lang w:eastAsia="zh-CN"/>
        </w:rPr>
        <w:t>的条件</w:t>
      </w:r>
      <w:r>
        <w:rPr>
          <w:rFonts w:hint="eastAsia" w:ascii="仿宋" w:hAnsi="仿宋" w:eastAsia="仿宋" w:cs="仿宋"/>
          <w:color w:val="auto"/>
          <w:sz w:val="22"/>
          <w:szCs w:val="22"/>
          <w:highlight w:val="none"/>
          <w:u w:val="single"/>
        </w:rPr>
        <w:t xml:space="preserve">）                    </w:t>
      </w:r>
    </w:p>
    <w:p w14:paraId="4E0053D4">
      <w:pPr>
        <w:pageBreakBefore w:val="0"/>
        <w:widowControl w:val="0"/>
        <w:kinsoku/>
        <w:wordWrap/>
        <w:overflowPunct/>
        <w:topLinePunct w:val="0"/>
        <w:bidi w:val="0"/>
        <w:snapToGrid w:val="0"/>
        <w:spacing w:beforeLines="0" w:line="48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rPr>
        <w:t>分期付款：</w:t>
      </w:r>
      <w:r>
        <w:rPr>
          <w:rFonts w:hint="eastAsia" w:ascii="仿宋" w:hAnsi="仿宋" w:eastAsia="仿宋" w:cs="仿宋"/>
          <w:color w:val="auto"/>
          <w:sz w:val="22"/>
          <w:szCs w:val="22"/>
          <w:highlight w:val="none"/>
          <w:u w:val="single"/>
        </w:rPr>
        <w:t xml:space="preserve">  （应明确分期支付合同款项的各期比例和支付条件</w:t>
      </w:r>
      <w:r>
        <w:rPr>
          <w:rFonts w:hint="eastAsia" w:ascii="仿宋" w:hAnsi="仿宋" w:eastAsia="仿宋" w:cs="仿宋"/>
          <w:color w:val="auto"/>
          <w:sz w:val="22"/>
          <w:szCs w:val="22"/>
          <w:highlight w:val="none"/>
          <w:u w:val="single"/>
          <w:lang w:eastAsia="zh-CN"/>
        </w:rPr>
        <w:t>，各期支付条件应与分期履约验收情况挂钩</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none"/>
          <w:lang w:eastAsia="zh-CN"/>
        </w:rPr>
        <w:t>，</w:t>
      </w:r>
      <w:r>
        <w:rPr>
          <w:rFonts w:hint="eastAsia" w:ascii="仿宋" w:hAnsi="仿宋" w:eastAsia="仿宋" w:cs="仿宋"/>
          <w:color w:val="auto"/>
          <w:sz w:val="22"/>
          <w:szCs w:val="22"/>
          <w:highlight w:val="none"/>
          <w:lang w:eastAsia="zh-CN"/>
        </w:rPr>
        <w:t>其中涉及预付款的</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u w:val="single"/>
        </w:rPr>
        <w:t xml:space="preserve"> （应明确预付款的支付比例和支付条件） </w:t>
      </w:r>
    </w:p>
    <w:p w14:paraId="736A71DF">
      <w:pPr>
        <w:pageBreakBefore w:val="0"/>
        <w:widowControl w:val="0"/>
        <w:kinsoku/>
        <w:wordWrap/>
        <w:overflowPunct/>
        <w:topLinePunct w:val="0"/>
        <w:bidi w:val="0"/>
        <w:adjustRightInd w:val="0"/>
        <w:snapToGrid w:val="0"/>
        <w:spacing w:before="0" w:beforeLines="0" w:line="480" w:lineRule="exact"/>
        <w:ind w:firstLine="660" w:firstLineChars="3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rPr>
        <w:t>成本补偿：</w:t>
      </w:r>
      <w:r>
        <w:rPr>
          <w:rFonts w:hint="eastAsia" w:ascii="仿宋" w:hAnsi="仿宋" w:eastAsia="仿宋" w:cs="仿宋"/>
          <w:color w:val="auto"/>
          <w:sz w:val="22"/>
          <w:szCs w:val="22"/>
          <w:highlight w:val="none"/>
          <w:u w:val="single"/>
        </w:rPr>
        <w:t xml:space="preserve">      （应明确按照成本补偿方式的支付方式和支付条件）   </w:t>
      </w:r>
    </w:p>
    <w:p w14:paraId="402869F8">
      <w:pPr>
        <w:pageBreakBefore w:val="0"/>
        <w:widowControl w:val="0"/>
        <w:kinsoku/>
        <w:wordWrap/>
        <w:overflowPunct/>
        <w:topLinePunct w:val="0"/>
        <w:bidi w:val="0"/>
        <w:adjustRightInd w:val="0"/>
        <w:snapToGrid w:val="0"/>
        <w:spacing w:before="0" w:beforeLines="0" w:line="480" w:lineRule="exact"/>
        <w:ind w:firstLine="660" w:firstLine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rPr>
        <w:t>绩效激励：</w:t>
      </w:r>
      <w:r>
        <w:rPr>
          <w:rFonts w:hint="eastAsia" w:ascii="仿宋" w:hAnsi="仿宋" w:eastAsia="仿宋" w:cs="仿宋"/>
          <w:color w:val="auto"/>
          <w:sz w:val="22"/>
          <w:szCs w:val="22"/>
          <w:highlight w:val="none"/>
          <w:u w:val="single"/>
        </w:rPr>
        <w:t xml:space="preserve">      （应明确按照绩效激励方式的支付方式和支付条件）   </w:t>
      </w:r>
    </w:p>
    <w:p w14:paraId="3FB320E8">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bCs w:val="0"/>
          <w:color w:val="auto"/>
          <w:sz w:val="22"/>
          <w:szCs w:val="22"/>
          <w:highlight w:val="none"/>
          <w:u w:val="single"/>
        </w:rPr>
      </w:pPr>
      <w:r>
        <w:rPr>
          <w:rFonts w:hint="eastAsia" w:ascii="仿宋" w:hAnsi="仿宋" w:eastAsia="仿宋" w:cs="仿宋"/>
          <w:b/>
          <w:bCs w:val="0"/>
          <w:color w:val="auto"/>
          <w:sz w:val="22"/>
          <w:szCs w:val="22"/>
          <w:highlight w:val="none"/>
        </w:rPr>
        <w:t>合同履行</w:t>
      </w:r>
    </w:p>
    <w:p w14:paraId="64B34E64">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（1）起始日期：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日，完成日期：</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3F078C11">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eastAsia="zh-CN"/>
        </w:rPr>
        <w:t>履约</w:t>
      </w:r>
      <w:r>
        <w:rPr>
          <w:rFonts w:hint="eastAsia" w:ascii="仿宋" w:hAnsi="仿宋" w:eastAsia="仿宋" w:cs="仿宋"/>
          <w:color w:val="auto"/>
          <w:sz w:val="22"/>
          <w:szCs w:val="22"/>
          <w:highlight w:val="none"/>
        </w:rPr>
        <w:t>地点</w:t>
      </w:r>
      <w:r>
        <w:rPr>
          <w:rFonts w:hint="eastAsia" w:ascii="仿宋" w:hAnsi="仿宋" w:eastAsia="仿宋" w:cs="仿宋"/>
          <w:b w:val="0"/>
          <w:bCs/>
          <w:color w:val="auto"/>
          <w:sz w:val="22"/>
          <w:szCs w:val="22"/>
          <w:highlight w:val="none"/>
        </w:rPr>
        <w:t>：</w:t>
      </w:r>
      <w:r>
        <w:rPr>
          <w:rFonts w:hint="eastAsia" w:ascii="仿宋" w:hAnsi="仿宋" w:eastAsia="仿宋" w:cs="仿宋"/>
          <w:color w:val="auto"/>
          <w:sz w:val="22"/>
          <w:szCs w:val="22"/>
          <w:highlight w:val="none"/>
          <w:u w:val="single"/>
        </w:rPr>
        <w:t xml:space="preserve">                             </w:t>
      </w:r>
    </w:p>
    <w:p w14:paraId="3FABA797">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bCs/>
          <w:color w:val="auto"/>
          <w:sz w:val="22"/>
          <w:szCs w:val="22"/>
          <w:highlight w:val="none"/>
        </w:rPr>
        <w:t>（3）履约担保：</w:t>
      </w:r>
      <w:r>
        <w:rPr>
          <w:rFonts w:hint="eastAsia" w:ascii="仿宋" w:hAnsi="仿宋" w:eastAsia="仿宋" w:cs="仿宋"/>
          <w:color w:val="auto"/>
          <w:sz w:val="22"/>
          <w:szCs w:val="22"/>
          <w:highlight w:val="none"/>
          <w:lang w:val="en-US" w:eastAsia="zh-CN"/>
        </w:rPr>
        <w:t>是否收取履约保证金：</w:t>
      </w: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lang w:eastAsia="zh-CN"/>
        </w:rPr>
        <w:t>是</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sym w:font="Wingdings" w:char="00A8"/>
      </w:r>
      <w:r>
        <w:rPr>
          <w:rFonts w:hint="eastAsia" w:ascii="仿宋" w:hAnsi="仿宋" w:eastAsia="仿宋" w:cs="仿宋"/>
          <w:color w:val="auto"/>
          <w:sz w:val="22"/>
          <w:szCs w:val="22"/>
          <w:highlight w:val="none"/>
          <w:lang w:eastAsia="zh-CN"/>
        </w:rPr>
        <w:t>否</w:t>
      </w:r>
    </w:p>
    <w:p w14:paraId="4840A8EF">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bCs/>
          <w:color w:val="auto"/>
          <w:sz w:val="22"/>
          <w:szCs w:val="22"/>
          <w:highlight w:val="none"/>
          <w:u w:val="none"/>
          <w:lang w:val="en-US" w:eastAsia="zh-CN" w:bidi="ar-SA"/>
        </w:rPr>
        <w:t xml:space="preserve">  </w:t>
      </w:r>
      <w:r>
        <w:rPr>
          <w:rFonts w:hint="eastAsia" w:ascii="仿宋" w:hAnsi="仿宋" w:eastAsia="仿宋" w:cs="仿宋"/>
          <w:color w:val="auto"/>
          <w:sz w:val="22"/>
          <w:szCs w:val="22"/>
          <w:highlight w:val="none"/>
          <w:lang w:val="en-US" w:eastAsia="zh-CN" w:bidi="ar-SA"/>
        </w:rPr>
        <w:t xml:space="preserve">  收取履约保证金形式：</w:t>
      </w:r>
      <w:r>
        <w:rPr>
          <w:rFonts w:hint="eastAsia" w:ascii="仿宋" w:hAnsi="仿宋" w:eastAsia="仿宋" w:cs="仿宋"/>
          <w:bCs/>
          <w:color w:val="auto"/>
          <w:sz w:val="22"/>
          <w:szCs w:val="22"/>
          <w:highlight w:val="none"/>
          <w:u w:val="single"/>
          <w:lang w:val="en-US" w:eastAsia="zh-CN" w:bidi="ar-SA"/>
        </w:rPr>
        <w:t xml:space="preserve">                            </w:t>
      </w:r>
    </w:p>
    <w:p w14:paraId="240D07AC">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收取履约保证金金额：</w:t>
      </w:r>
      <w:r>
        <w:rPr>
          <w:rFonts w:hint="eastAsia" w:ascii="仿宋" w:hAnsi="仿宋" w:eastAsia="仿宋" w:cs="仿宋"/>
          <w:bCs/>
          <w:color w:val="auto"/>
          <w:sz w:val="22"/>
          <w:szCs w:val="22"/>
          <w:highlight w:val="none"/>
          <w:u w:val="single"/>
          <w:lang w:val="en-US" w:eastAsia="zh-CN" w:bidi="ar-SA"/>
        </w:rPr>
        <w:t xml:space="preserve">                            </w:t>
      </w:r>
    </w:p>
    <w:p w14:paraId="378E2AC7">
      <w:pPr>
        <w:pageBreakBefore w:val="0"/>
        <w:widowControl w:val="0"/>
        <w:kinsoku/>
        <w:wordWrap/>
        <w:overflowPunct/>
        <w:topLinePunct w:val="0"/>
        <w:bidi w:val="0"/>
        <w:snapToGri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bCs/>
          <w:color w:val="auto"/>
          <w:sz w:val="22"/>
          <w:szCs w:val="22"/>
          <w:highlight w:val="none"/>
          <w:u w:val="none"/>
          <w:lang w:val="en-US" w:eastAsia="zh-CN"/>
        </w:rPr>
        <w:t xml:space="preserve">    履约担保期限</w:t>
      </w:r>
      <w:r>
        <w:rPr>
          <w:rFonts w:hint="eastAsia" w:ascii="仿宋" w:hAnsi="仿宋" w:eastAsia="仿宋" w:cs="仿宋"/>
          <w:bCs/>
          <w:color w:val="auto"/>
          <w:sz w:val="22"/>
          <w:szCs w:val="22"/>
          <w:highlight w:val="none"/>
          <w:u w:val="none"/>
          <w:lang w:eastAsia="zh-CN"/>
        </w:rPr>
        <w:t>：</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val="en-US" w:eastAsia="zh-CN"/>
        </w:rPr>
        <w:t xml:space="preserve">                     </w:t>
      </w:r>
      <w:r>
        <w:rPr>
          <w:rFonts w:hint="eastAsia" w:ascii="仿宋" w:hAnsi="仿宋" w:eastAsia="仿宋" w:cs="仿宋"/>
          <w:bCs/>
          <w:color w:val="auto"/>
          <w:sz w:val="22"/>
          <w:szCs w:val="22"/>
          <w:highlight w:val="none"/>
          <w:u w:val="single"/>
        </w:rPr>
        <w:t xml:space="preserve">       </w:t>
      </w:r>
    </w:p>
    <w:p w14:paraId="3FCD8FF4">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（4）分期履行要求：</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val="en-US" w:eastAsia="zh-CN"/>
        </w:rPr>
        <w:t xml:space="preserve">    </w:t>
      </w:r>
      <w:r>
        <w:rPr>
          <w:rFonts w:hint="eastAsia" w:ascii="仿宋" w:hAnsi="仿宋" w:eastAsia="仿宋" w:cs="仿宋"/>
          <w:bCs/>
          <w:color w:val="auto"/>
          <w:sz w:val="22"/>
          <w:szCs w:val="22"/>
          <w:highlight w:val="none"/>
          <w:u w:val="single"/>
        </w:rPr>
        <w:t xml:space="preserve"> </w:t>
      </w:r>
    </w:p>
    <w:p w14:paraId="348537F8">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u w:val="single"/>
        </w:rPr>
      </w:pPr>
      <w:r>
        <w:rPr>
          <w:rFonts w:hint="eastAsia" w:ascii="仿宋" w:hAnsi="仿宋" w:eastAsia="仿宋" w:cs="仿宋"/>
          <w:bCs/>
          <w:color w:val="auto"/>
          <w:sz w:val="22"/>
          <w:szCs w:val="22"/>
          <w:highlight w:val="none"/>
        </w:rPr>
        <w:t>（5）</w:t>
      </w:r>
      <w:r>
        <w:rPr>
          <w:rFonts w:hint="eastAsia" w:ascii="仿宋" w:hAnsi="仿宋" w:eastAsia="仿宋" w:cs="仿宋"/>
          <w:bCs/>
          <w:color w:val="auto"/>
          <w:sz w:val="22"/>
          <w:szCs w:val="22"/>
          <w:highlight w:val="none"/>
          <w:lang w:eastAsia="zh-CN"/>
        </w:rPr>
        <w:t>风险处置措施和替代方案</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u w:val="single"/>
        </w:rPr>
        <w:t xml:space="preserve">                                                               </w:t>
      </w:r>
    </w:p>
    <w:p w14:paraId="0CD1369C">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合同验收</w:t>
      </w:r>
    </w:p>
    <w:p w14:paraId="16224EDF">
      <w:pPr>
        <w:pageBreakBefore w:val="0"/>
        <w:widowControl w:val="0"/>
        <w:numPr>
          <w:ilvl w:val="0"/>
          <w:numId w:val="5"/>
        </w:numPr>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验收组织方式：</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自行组织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委托第三方组织</w:t>
      </w:r>
    </w:p>
    <w:p w14:paraId="3B60F82D">
      <w:pPr>
        <w:pageBreakBefore w:val="0"/>
        <w:widowControl w:val="0"/>
        <w:numPr>
          <w:ilvl w:val="0"/>
          <w:numId w:val="0"/>
        </w:numPr>
        <w:kinsoku/>
        <w:wordWrap/>
        <w:overflowPunct/>
        <w:topLinePunct w:val="0"/>
        <w:bidi w:val="0"/>
        <w:adjustRightInd w:val="0"/>
        <w:snapToGrid w:val="0"/>
        <w:spacing w:before="0" w:beforeLines="0" w:line="480" w:lineRule="exac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bCs/>
          <w:color w:val="auto"/>
          <w:sz w:val="22"/>
          <w:szCs w:val="22"/>
          <w:highlight w:val="none"/>
        </w:rPr>
        <w:t>验收主体：</w:t>
      </w:r>
      <w:r>
        <w:rPr>
          <w:rFonts w:hint="eastAsia" w:ascii="仿宋" w:hAnsi="仿宋" w:eastAsia="仿宋" w:cs="仿宋"/>
          <w:bCs/>
          <w:color w:val="auto"/>
          <w:sz w:val="22"/>
          <w:szCs w:val="22"/>
          <w:highlight w:val="none"/>
          <w:u w:val="single"/>
        </w:rPr>
        <w:t xml:space="preserve">                  </w:t>
      </w:r>
    </w:p>
    <w:p w14:paraId="515F94AA">
      <w:pPr>
        <w:pageBreakBefore w:val="0"/>
        <w:widowControl w:val="0"/>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bCs/>
          <w:color w:val="auto"/>
          <w:sz w:val="22"/>
          <w:szCs w:val="22"/>
          <w:highlight w:val="none"/>
        </w:rPr>
        <w:t>是否邀请本项目的其他供应商</w:t>
      </w:r>
      <w:r>
        <w:rPr>
          <w:rFonts w:hint="eastAsia" w:ascii="仿宋" w:hAnsi="仿宋" w:eastAsia="仿宋" w:cs="仿宋"/>
          <w:bCs/>
          <w:color w:val="auto"/>
          <w:sz w:val="22"/>
          <w:szCs w:val="22"/>
          <w:highlight w:val="none"/>
          <w:lang w:eastAsia="zh-CN"/>
        </w:rPr>
        <w:t>参加验收</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是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71FCBABE">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是否邀请专家</w:t>
      </w:r>
      <w:r>
        <w:rPr>
          <w:rFonts w:hint="eastAsia" w:ascii="仿宋" w:hAnsi="仿宋" w:eastAsia="仿宋" w:cs="仿宋"/>
          <w:bCs/>
          <w:color w:val="auto"/>
          <w:sz w:val="22"/>
          <w:szCs w:val="22"/>
          <w:highlight w:val="none"/>
          <w:lang w:eastAsia="zh-CN"/>
        </w:rPr>
        <w:t>参加验收</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是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3824696A">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是否邀请服务对象</w:t>
      </w:r>
      <w:r>
        <w:rPr>
          <w:rFonts w:hint="eastAsia" w:ascii="仿宋" w:hAnsi="仿宋" w:eastAsia="仿宋" w:cs="仿宋"/>
          <w:bCs/>
          <w:color w:val="auto"/>
          <w:sz w:val="22"/>
          <w:szCs w:val="22"/>
          <w:highlight w:val="none"/>
          <w:lang w:eastAsia="zh-CN"/>
        </w:rPr>
        <w:t>参加验收</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是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10504BFF">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是否邀请第三方检测机构</w:t>
      </w:r>
      <w:r>
        <w:rPr>
          <w:rFonts w:hint="eastAsia" w:ascii="仿宋" w:hAnsi="仿宋" w:eastAsia="仿宋" w:cs="仿宋"/>
          <w:bCs/>
          <w:color w:val="auto"/>
          <w:sz w:val="22"/>
          <w:szCs w:val="22"/>
          <w:highlight w:val="none"/>
          <w:lang w:eastAsia="zh-CN"/>
        </w:rPr>
        <w:t>参加验收</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是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7F1C02D1">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eastAsia="zh-CN"/>
        </w:rPr>
        <w:t>是否进行抽查检测：</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是</w:t>
      </w:r>
      <w:r>
        <w:rPr>
          <w:rFonts w:hint="eastAsia" w:ascii="仿宋" w:hAnsi="仿宋" w:eastAsia="仿宋" w:cs="仿宋"/>
          <w:bCs/>
          <w:color w:val="auto"/>
          <w:sz w:val="22"/>
          <w:szCs w:val="22"/>
          <w:highlight w:val="none"/>
          <w:lang w:eastAsia="zh-CN"/>
        </w:rPr>
        <w:t>，抽查比例：</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val="en-US" w:eastAsia="zh-CN"/>
        </w:rPr>
        <w:t xml:space="preserve">     </w:t>
      </w:r>
      <w:r>
        <w:rPr>
          <w:rFonts w:hint="eastAsia" w:ascii="仿宋" w:hAnsi="仿宋" w:eastAsia="仿宋" w:cs="仿宋"/>
          <w:bCs/>
          <w:color w:val="auto"/>
          <w:sz w:val="22"/>
          <w:szCs w:val="22"/>
          <w:highlight w:val="none"/>
        </w:rPr>
        <w:t xml:space="preserve">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285A2841">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u w:val="single"/>
          <w:lang w:eastAsia="zh-CN"/>
        </w:rPr>
      </w:pPr>
      <w:r>
        <w:rPr>
          <w:rFonts w:hint="eastAsia" w:ascii="仿宋" w:hAnsi="仿宋" w:eastAsia="仿宋" w:cs="仿宋"/>
          <w:bCs/>
          <w:color w:val="auto"/>
          <w:sz w:val="22"/>
          <w:szCs w:val="22"/>
          <w:highlight w:val="none"/>
          <w:lang w:val="en-US" w:eastAsia="zh-CN"/>
        </w:rPr>
        <w:t>是否存在破坏性检测：</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是</w:t>
      </w:r>
      <w:r>
        <w:rPr>
          <w:rFonts w:hint="eastAsia" w:ascii="仿宋" w:hAnsi="仿宋" w:eastAsia="仿宋" w:cs="仿宋"/>
          <w:bCs/>
          <w:color w:val="auto"/>
          <w:sz w:val="22"/>
          <w:szCs w:val="22"/>
          <w:highlight w:val="none"/>
          <w:lang w:eastAsia="zh-CN"/>
        </w:rPr>
        <w:t>，</w:t>
      </w:r>
      <w:r>
        <w:rPr>
          <w:rFonts w:hint="eastAsia" w:ascii="仿宋" w:hAnsi="仿宋" w:eastAsia="仿宋" w:cs="仿宋"/>
          <w:bCs/>
          <w:color w:val="auto"/>
          <w:sz w:val="22"/>
          <w:szCs w:val="22"/>
          <w:highlight w:val="none"/>
          <w:u w:val="single"/>
          <w:lang w:eastAsia="zh-CN"/>
        </w:rPr>
        <w:t>（应明确对被破坏的检测产品的处理方式）</w:t>
      </w:r>
    </w:p>
    <w:p w14:paraId="6E134732">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lang w:eastAsia="zh-CN"/>
        </w:rPr>
      </w:pP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否</w:t>
      </w:r>
    </w:p>
    <w:p w14:paraId="1816AF78">
      <w:pPr>
        <w:pageBreakBefore w:val="0"/>
        <w:widowControl w:val="0"/>
        <w:kinsoku/>
        <w:wordWrap/>
        <w:overflowPunct/>
        <w:topLinePunct w:val="0"/>
        <w:bidi w:val="0"/>
        <w:adjustRightInd w:val="0"/>
        <w:snapToGrid w:val="0"/>
        <w:spacing w:before="0" w:beforeLines="0" w:line="480" w:lineRule="exact"/>
        <w:ind w:firstLine="880" w:firstLineChars="400"/>
        <w:textAlignment w:val="auto"/>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验收组织的其他事项：</w:t>
      </w:r>
      <w:r>
        <w:rPr>
          <w:rFonts w:hint="eastAsia" w:ascii="仿宋" w:hAnsi="仿宋" w:eastAsia="仿宋" w:cs="仿宋"/>
          <w:bCs/>
          <w:color w:val="auto"/>
          <w:sz w:val="22"/>
          <w:szCs w:val="22"/>
          <w:highlight w:val="none"/>
          <w:u w:val="single"/>
        </w:rPr>
        <w:t xml:space="preserve">                </w:t>
      </w:r>
    </w:p>
    <w:p w14:paraId="1AFFF4DB">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（2）履约验收时间：</w:t>
      </w:r>
      <w:r>
        <w:rPr>
          <w:rFonts w:hint="eastAsia" w:ascii="仿宋" w:hAnsi="仿宋" w:eastAsia="仿宋" w:cs="仿宋"/>
          <w:bCs/>
          <w:color w:val="auto"/>
          <w:sz w:val="22"/>
          <w:szCs w:val="22"/>
          <w:highlight w:val="none"/>
          <w:u w:val="single"/>
        </w:rPr>
        <w:t>（计划于何时验收/供应商提出验收申请之日起   日内组织验收）</w:t>
      </w:r>
      <w:r>
        <w:rPr>
          <w:rFonts w:hint="eastAsia" w:ascii="仿宋" w:hAnsi="仿宋" w:eastAsia="仿宋" w:cs="仿宋"/>
          <w:bCs/>
          <w:color w:val="auto"/>
          <w:sz w:val="22"/>
          <w:szCs w:val="22"/>
          <w:highlight w:val="none"/>
          <w:u w:val="single"/>
          <w:lang w:val="en-US" w:eastAsia="zh-CN"/>
        </w:rPr>
        <w:t xml:space="preserve"> </w:t>
      </w:r>
    </w:p>
    <w:p w14:paraId="3B3321E5">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（3）履约验收方式：</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 xml:space="preserve">一次性验收         </w:t>
      </w:r>
    </w:p>
    <w:p w14:paraId="4BC066F1">
      <w:pPr>
        <w:pageBreakBefore w:val="0"/>
        <w:widowControl w:val="0"/>
        <w:kinsoku/>
        <w:wordWrap/>
        <w:overflowPunct/>
        <w:topLinePunct w:val="0"/>
        <w:bidi w:val="0"/>
        <w:adjustRightInd w:val="0"/>
        <w:snapToGrid w:val="0"/>
        <w:spacing w:before="0" w:beforeLines="0" w:line="480" w:lineRule="exact"/>
        <w:ind w:firstLine="0" w:firstLineChars="0"/>
        <w:textAlignment w:val="auto"/>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color w:val="auto"/>
          <w:sz w:val="22"/>
          <w:szCs w:val="22"/>
          <w:highlight w:val="none"/>
        </w:rPr>
        <w:sym w:font="Wingdings" w:char="00A8"/>
      </w:r>
      <w:r>
        <w:rPr>
          <w:rFonts w:hint="eastAsia" w:ascii="仿宋" w:hAnsi="仿宋" w:eastAsia="仿宋" w:cs="仿宋"/>
          <w:bCs/>
          <w:color w:val="auto"/>
          <w:sz w:val="22"/>
          <w:szCs w:val="22"/>
          <w:highlight w:val="none"/>
        </w:rPr>
        <w:t>分期/分项验收</w:t>
      </w:r>
      <w:r>
        <w:rPr>
          <w:rFonts w:hint="eastAsia" w:ascii="仿宋" w:hAnsi="仿宋" w:eastAsia="仿宋" w:cs="仿宋"/>
          <w:bCs/>
          <w:color w:val="auto"/>
          <w:sz w:val="22"/>
          <w:szCs w:val="22"/>
          <w:highlight w:val="none"/>
          <w:lang w:eastAsia="zh-CN"/>
        </w:rPr>
        <w:t>：</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eastAsia="zh-CN"/>
        </w:rPr>
        <w:t>（应明确分期</w:t>
      </w:r>
      <w:r>
        <w:rPr>
          <w:rFonts w:hint="eastAsia" w:ascii="仿宋" w:hAnsi="仿宋" w:eastAsia="仿宋" w:cs="仿宋"/>
          <w:bCs/>
          <w:color w:val="auto"/>
          <w:sz w:val="22"/>
          <w:szCs w:val="22"/>
          <w:highlight w:val="none"/>
          <w:u w:val="single"/>
          <w:lang w:val="en" w:eastAsia="zh-CN"/>
        </w:rPr>
        <w:t>/分项验收的工作安排</w:t>
      </w:r>
      <w:r>
        <w:rPr>
          <w:rFonts w:hint="eastAsia" w:ascii="仿宋" w:hAnsi="仿宋" w:eastAsia="仿宋" w:cs="仿宋"/>
          <w:bCs/>
          <w:color w:val="auto"/>
          <w:sz w:val="22"/>
          <w:szCs w:val="22"/>
          <w:highlight w:val="none"/>
          <w:u w:val="single"/>
          <w:lang w:eastAsia="zh-CN"/>
        </w:rPr>
        <w:t>）</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val="en-US" w:eastAsia="zh-CN"/>
        </w:rPr>
        <w:t xml:space="preserve"> </w:t>
      </w:r>
    </w:p>
    <w:p w14:paraId="038ED63E">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（4）履约验收程序：</w:t>
      </w:r>
      <w:r>
        <w:rPr>
          <w:rFonts w:hint="eastAsia" w:ascii="仿宋" w:hAnsi="仿宋" w:eastAsia="仿宋" w:cs="仿宋"/>
          <w:bCs/>
          <w:color w:val="auto"/>
          <w:sz w:val="22"/>
          <w:szCs w:val="22"/>
          <w:highlight w:val="none"/>
          <w:u w:val="single"/>
        </w:rPr>
        <w:t xml:space="preserve">                                         </w:t>
      </w:r>
    </w:p>
    <w:p w14:paraId="5318D82D">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（5）履约验收的内容：</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2"/>
          <w:szCs w:val="22"/>
          <w:highlight w:val="none"/>
          <w:u w:val="single"/>
        </w:rPr>
        <w:t xml:space="preserve">                                      </w:t>
      </w:r>
    </w:p>
    <w:p w14:paraId="5F689302">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（6）履约验收标准：</w:t>
      </w:r>
      <w:r>
        <w:rPr>
          <w:rFonts w:hint="eastAsia" w:ascii="仿宋" w:hAnsi="仿宋" w:eastAsia="仿宋" w:cs="仿宋"/>
          <w:bCs/>
          <w:color w:val="auto"/>
          <w:sz w:val="22"/>
          <w:szCs w:val="22"/>
          <w:highlight w:val="none"/>
          <w:u w:val="single"/>
        </w:rPr>
        <w:t xml:space="preserve">                                         </w:t>
      </w:r>
    </w:p>
    <w:p w14:paraId="1AFBF0DC">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bCs/>
          <w:color w:val="auto"/>
          <w:sz w:val="22"/>
          <w:szCs w:val="22"/>
          <w:highlight w:val="none"/>
          <w:u w:val="none"/>
          <w:lang w:val="en-US" w:eastAsia="zh-CN" w:bidi="ar-SA"/>
        </w:rPr>
        <w:t>（7）是否以采购活动中供应商提供的样品作为参考：</w:t>
      </w:r>
      <w:r>
        <w:rPr>
          <w:rFonts w:hint="eastAsia" w:ascii="仿宋" w:hAnsi="仿宋" w:eastAsia="仿宋" w:cs="仿宋"/>
          <w:color w:val="auto"/>
          <w:sz w:val="22"/>
          <w:szCs w:val="22"/>
          <w:highlight w:val="none"/>
          <w:lang w:val="en-US" w:eastAsia="zh-CN" w:bidi="ar-SA"/>
        </w:rPr>
        <w:sym w:font="Wingdings" w:char="00A8"/>
      </w:r>
      <w:r>
        <w:rPr>
          <w:rFonts w:hint="eastAsia" w:ascii="仿宋" w:hAnsi="仿宋" w:eastAsia="仿宋" w:cs="仿宋"/>
          <w:bCs/>
          <w:color w:val="auto"/>
          <w:sz w:val="22"/>
          <w:szCs w:val="22"/>
          <w:highlight w:val="none"/>
          <w:lang w:val="en-US" w:eastAsia="zh-CN" w:bidi="ar-SA"/>
        </w:rPr>
        <w:t xml:space="preserve">是  </w:t>
      </w:r>
      <w:r>
        <w:rPr>
          <w:rFonts w:hint="eastAsia" w:ascii="仿宋" w:hAnsi="仿宋" w:eastAsia="仿宋" w:cs="仿宋"/>
          <w:color w:val="auto"/>
          <w:sz w:val="22"/>
          <w:szCs w:val="22"/>
          <w:highlight w:val="none"/>
          <w:lang w:val="en-US" w:eastAsia="zh-CN" w:bidi="ar-SA"/>
        </w:rPr>
        <w:sym w:font="Wingdings" w:char="00A8"/>
      </w:r>
      <w:r>
        <w:rPr>
          <w:rFonts w:hint="eastAsia" w:ascii="仿宋" w:hAnsi="仿宋" w:eastAsia="仿宋" w:cs="仿宋"/>
          <w:bCs/>
          <w:color w:val="auto"/>
          <w:sz w:val="22"/>
          <w:szCs w:val="22"/>
          <w:highlight w:val="none"/>
          <w:lang w:val="en-US" w:eastAsia="zh-CN" w:bidi="ar-SA"/>
        </w:rPr>
        <w:t>否</w:t>
      </w:r>
    </w:p>
    <w:p w14:paraId="0FC96A1A">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（8）履约验收其他事项：</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i w:val="0"/>
          <w:iCs w:val="0"/>
          <w:color w:val="auto"/>
          <w:sz w:val="22"/>
          <w:szCs w:val="22"/>
          <w:highlight w:val="none"/>
          <w:u w:val="single"/>
        </w:rPr>
        <w:t>（产权过户登记等）</w:t>
      </w:r>
      <w:r>
        <w:rPr>
          <w:rFonts w:hint="eastAsia" w:ascii="仿宋" w:hAnsi="仿宋" w:eastAsia="仿宋" w:cs="仿宋"/>
          <w:bCs/>
          <w:color w:val="auto"/>
          <w:sz w:val="22"/>
          <w:szCs w:val="22"/>
          <w:highlight w:val="none"/>
          <w:u w:val="single"/>
        </w:rPr>
        <w:t xml:space="preserve">          </w:t>
      </w:r>
    </w:p>
    <w:p w14:paraId="3995E514">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组成合同的文件</w:t>
      </w:r>
    </w:p>
    <w:p w14:paraId="0808C9D7">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本协议书与下列文件一起构成合同文件，如下述文件之间有任何抵触、矛盾或歧义，应按以下顺序解释：</w:t>
      </w:r>
    </w:p>
    <w:p w14:paraId="0CE15A39">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政府采购</w:t>
      </w:r>
      <w:r>
        <w:rPr>
          <w:rFonts w:hint="eastAsia" w:ascii="仿宋" w:hAnsi="仿宋" w:eastAsia="仿宋" w:cs="仿宋"/>
          <w:color w:val="auto"/>
          <w:sz w:val="22"/>
          <w:szCs w:val="22"/>
          <w:highlight w:val="none"/>
        </w:rPr>
        <w:t>合同协议书及其变更、补充</w:t>
      </w:r>
      <w:r>
        <w:rPr>
          <w:rFonts w:hint="eastAsia" w:ascii="仿宋" w:hAnsi="仿宋" w:eastAsia="仿宋" w:cs="仿宋"/>
          <w:color w:val="auto"/>
          <w:sz w:val="22"/>
          <w:szCs w:val="22"/>
          <w:highlight w:val="none"/>
          <w:lang w:eastAsia="zh-CN"/>
        </w:rPr>
        <w:t>协议</w:t>
      </w:r>
    </w:p>
    <w:p w14:paraId="4814C826">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）政府采购合同专用条款</w:t>
      </w:r>
    </w:p>
    <w:p w14:paraId="0C53E16E">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）政府采购合同通用条款</w:t>
      </w:r>
    </w:p>
    <w:p w14:paraId="0E14822B">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）中标</w:t>
      </w:r>
      <w:r>
        <w:rPr>
          <w:rFonts w:hint="eastAsia" w:ascii="仿宋" w:hAnsi="仿宋" w:eastAsia="仿宋" w:cs="仿宋"/>
          <w:color w:val="auto"/>
          <w:sz w:val="22"/>
          <w:szCs w:val="22"/>
          <w:highlight w:val="none"/>
          <w:lang w:eastAsia="zh-CN"/>
        </w:rPr>
        <w:t>（成交）</w:t>
      </w:r>
      <w:r>
        <w:rPr>
          <w:rFonts w:hint="eastAsia" w:ascii="仿宋" w:hAnsi="仿宋" w:eastAsia="仿宋" w:cs="仿宋"/>
          <w:color w:val="auto"/>
          <w:sz w:val="22"/>
          <w:szCs w:val="22"/>
          <w:highlight w:val="none"/>
        </w:rPr>
        <w:t>通知书</w:t>
      </w:r>
    </w:p>
    <w:p w14:paraId="2E6127C9">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）投标（响应）文件</w:t>
      </w:r>
    </w:p>
    <w:p w14:paraId="24EACD79">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（6）采购文件</w:t>
      </w:r>
    </w:p>
    <w:p w14:paraId="2247224C">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（7）有关技术文件，图纸</w:t>
      </w:r>
    </w:p>
    <w:p w14:paraId="0574E17D">
      <w:pPr>
        <w:pageBreakBefore w:val="0"/>
        <w:widowControl w:val="0"/>
        <w:kinsoku/>
        <w:wordWrap/>
        <w:overflowPunct/>
        <w:topLinePunct w:val="0"/>
        <w:autoSpaceDE w:val="0"/>
        <w:autoSpaceDN w:val="0"/>
        <w:bidi w:val="0"/>
        <w:adjustRightInd w:val="0"/>
        <w:spacing w:beforeLines="0" w:line="480" w:lineRule="exact"/>
        <w:ind w:firstLine="440" w:firstLineChars="20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（8）</w:t>
      </w:r>
      <w:r>
        <w:rPr>
          <w:rFonts w:hint="eastAsia" w:ascii="仿宋" w:hAnsi="仿宋" w:eastAsia="仿宋" w:cs="仿宋"/>
          <w:bCs w:val="0"/>
          <w:color w:val="auto"/>
          <w:kern w:val="2"/>
          <w:sz w:val="22"/>
          <w:szCs w:val="22"/>
          <w:highlight w:val="none"/>
          <w:lang w:val="en-US" w:eastAsia="zh-CN" w:bidi="ar-SA"/>
        </w:rPr>
        <w:t>国家法律、行政法规和规章制度规定或合同约定的作为合同组成部分的其他文件</w:t>
      </w:r>
    </w:p>
    <w:p w14:paraId="1FAE0A70">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合同生效</w:t>
      </w:r>
    </w:p>
    <w:p w14:paraId="3A648DD6">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本合同自</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生效。</w:t>
      </w:r>
    </w:p>
    <w:p w14:paraId="39400B2B">
      <w:pPr>
        <w:pageBreakBefore w:val="0"/>
        <w:widowControl w:val="0"/>
        <w:numPr>
          <w:ilvl w:val="0"/>
          <w:numId w:val="3"/>
        </w:numPr>
        <w:kinsoku/>
        <w:wordWrap/>
        <w:overflowPunct/>
        <w:topLinePunct w:val="0"/>
        <w:bidi w:val="0"/>
        <w:adjustRightInd w:val="0"/>
        <w:snapToGrid w:val="0"/>
        <w:spacing w:before="0" w:beforeLines="0" w:line="480" w:lineRule="exact"/>
        <w:ind w:firstLine="442" w:firstLineChars="200"/>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合同份数</w:t>
      </w:r>
    </w:p>
    <w:p w14:paraId="613F8E5F">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本合同一式</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份，</w:t>
      </w:r>
      <w:r>
        <w:rPr>
          <w:rFonts w:hint="eastAsia" w:ascii="仿宋" w:hAnsi="仿宋" w:eastAsia="仿宋" w:cs="仿宋"/>
          <w:color w:val="auto"/>
          <w:sz w:val="22"/>
          <w:szCs w:val="22"/>
          <w:highlight w:val="none"/>
          <w:lang w:eastAsia="zh-CN"/>
        </w:rPr>
        <w:t>甲方</w:t>
      </w:r>
      <w:r>
        <w:rPr>
          <w:rFonts w:hint="eastAsia" w:ascii="仿宋" w:hAnsi="仿宋" w:eastAsia="仿宋" w:cs="仿宋"/>
          <w:color w:val="auto"/>
          <w:sz w:val="22"/>
          <w:szCs w:val="22"/>
          <w:highlight w:val="none"/>
        </w:rPr>
        <w:t>执</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份，</w:t>
      </w:r>
      <w:r>
        <w:rPr>
          <w:rFonts w:hint="eastAsia" w:ascii="仿宋" w:hAnsi="仿宋" w:eastAsia="仿宋" w:cs="仿宋"/>
          <w:color w:val="auto"/>
          <w:sz w:val="22"/>
          <w:szCs w:val="22"/>
          <w:highlight w:val="none"/>
          <w:lang w:eastAsia="zh-CN"/>
        </w:rPr>
        <w:t>乙方</w:t>
      </w:r>
      <w:r>
        <w:rPr>
          <w:rFonts w:hint="eastAsia" w:ascii="仿宋" w:hAnsi="仿宋" w:eastAsia="仿宋" w:cs="仿宋"/>
          <w:color w:val="auto"/>
          <w:sz w:val="22"/>
          <w:szCs w:val="22"/>
          <w:highlight w:val="none"/>
        </w:rPr>
        <w:t>执</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份，均具有同等法律效力。</w:t>
      </w:r>
    </w:p>
    <w:p w14:paraId="458250F1">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合同订立时间：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4BB947BA">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合同订立地点：</w:t>
      </w:r>
      <w:r>
        <w:rPr>
          <w:rFonts w:hint="eastAsia" w:ascii="仿宋" w:hAnsi="仿宋" w:eastAsia="仿宋" w:cs="仿宋"/>
          <w:color w:val="auto"/>
          <w:sz w:val="22"/>
          <w:szCs w:val="22"/>
          <w:highlight w:val="none"/>
          <w:u w:val="single"/>
        </w:rPr>
        <w:t xml:space="preserve">                           </w:t>
      </w:r>
    </w:p>
    <w:p w14:paraId="47EF9735">
      <w:pPr>
        <w:pageBreakBefore w:val="0"/>
        <w:widowControl w:val="0"/>
        <w:kinsoku/>
        <w:wordWrap/>
        <w:overflowPunct/>
        <w:topLinePunct w:val="0"/>
        <w:bidi w:val="0"/>
        <w:adjustRightInd w:val="0"/>
        <w:snapToGrid w:val="0"/>
        <w:spacing w:before="0" w:beforeLines="0"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附件：具体标</w:t>
      </w:r>
      <w:r>
        <w:rPr>
          <w:rFonts w:hint="eastAsia" w:ascii="仿宋" w:hAnsi="仿宋" w:eastAsia="仿宋" w:cs="仿宋"/>
          <w:color w:val="auto"/>
          <w:sz w:val="22"/>
          <w:szCs w:val="22"/>
          <w:highlight w:val="none"/>
          <w:lang w:eastAsia="zh-CN"/>
        </w:rPr>
        <w:t>的及其</w:t>
      </w:r>
      <w:r>
        <w:rPr>
          <w:rFonts w:hint="eastAsia" w:ascii="仿宋" w:hAnsi="仿宋" w:eastAsia="仿宋" w:cs="仿宋"/>
          <w:color w:val="auto"/>
          <w:sz w:val="22"/>
          <w:szCs w:val="22"/>
          <w:highlight w:val="none"/>
          <w:u w:val="none"/>
          <w:lang w:val="en-US" w:eastAsia="zh-CN"/>
        </w:rPr>
        <w:t>技术要求和商务要求</w:t>
      </w:r>
      <w:r>
        <w:rPr>
          <w:rFonts w:hint="eastAsia" w:ascii="仿宋" w:hAnsi="仿宋" w:eastAsia="仿宋" w:cs="仿宋"/>
          <w:color w:val="auto"/>
          <w:sz w:val="22"/>
          <w:szCs w:val="22"/>
          <w:highlight w:val="none"/>
        </w:rPr>
        <w:t>、联合协议、分包</w:t>
      </w:r>
      <w:r>
        <w:rPr>
          <w:rFonts w:hint="eastAsia" w:ascii="仿宋" w:hAnsi="仿宋" w:eastAsia="仿宋" w:cs="仿宋"/>
          <w:color w:val="auto"/>
          <w:sz w:val="22"/>
          <w:szCs w:val="22"/>
          <w:highlight w:val="none"/>
          <w:lang w:eastAsia="zh-CN"/>
        </w:rPr>
        <w:t>意向</w:t>
      </w:r>
      <w:r>
        <w:rPr>
          <w:rFonts w:hint="eastAsia" w:ascii="仿宋" w:hAnsi="仿宋" w:eastAsia="仿宋" w:cs="仿宋"/>
          <w:color w:val="auto"/>
          <w:sz w:val="22"/>
          <w:szCs w:val="22"/>
          <w:highlight w:val="none"/>
        </w:rPr>
        <w:t>协议等。</w:t>
      </w:r>
    </w:p>
    <w:tbl>
      <w:tblPr>
        <w:tblStyle w:val="2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7"/>
        <w:gridCol w:w="2130"/>
        <w:gridCol w:w="2278"/>
      </w:tblGrid>
      <w:tr w14:paraId="1FB5B0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B0F8F6D">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甲方（采购人</w:t>
            </w:r>
            <w:r>
              <w:rPr>
                <w:rFonts w:hint="eastAsia" w:ascii="仿宋" w:hAnsi="仿宋" w:eastAsia="仿宋" w:cs="仿宋"/>
                <w:color w:val="auto"/>
                <w:sz w:val="22"/>
                <w:szCs w:val="22"/>
                <w:highlight w:val="none"/>
                <w:lang w:eastAsia="zh-CN"/>
              </w:rPr>
              <w:t>、受采购人委托签订合同的单位</w:t>
            </w:r>
            <w:r>
              <w:rPr>
                <w:rFonts w:hint="eastAsia" w:ascii="仿宋" w:hAnsi="仿宋" w:eastAsia="仿宋" w:cs="仿宋"/>
                <w:color w:val="auto"/>
                <w:sz w:val="22"/>
                <w:szCs w:val="22"/>
                <w:highlight w:val="none"/>
              </w:rPr>
              <w:t>或采购文件约定的合同甲方）</w:t>
            </w:r>
          </w:p>
        </w:tc>
        <w:tc>
          <w:tcPr>
            <w:tcW w:w="2437" w:type="pct"/>
            <w:gridSpan w:val="2"/>
            <w:tcBorders>
              <w:left w:val="single" w:color="auto" w:sz="2" w:space="0"/>
              <w:bottom w:val="single" w:color="auto" w:sz="2" w:space="0"/>
            </w:tcBorders>
            <w:noWrap w:val="0"/>
            <w:vAlign w:val="center"/>
          </w:tcPr>
          <w:p w14:paraId="4FF118A3">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乙方（供应商）</w:t>
            </w:r>
          </w:p>
        </w:tc>
      </w:tr>
      <w:tr w14:paraId="2F277D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21509767">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单位名称（公章</w:t>
            </w:r>
            <w:r>
              <w:rPr>
                <w:rFonts w:hint="eastAsia" w:ascii="仿宋" w:hAnsi="仿宋" w:eastAsia="仿宋" w:cs="仿宋"/>
                <w:color w:val="auto"/>
                <w:sz w:val="22"/>
                <w:szCs w:val="22"/>
                <w:highlight w:val="none"/>
                <w:lang w:eastAsia="zh-CN"/>
              </w:rPr>
              <w:t>或合同章</w:t>
            </w:r>
            <w:r>
              <w:rPr>
                <w:rFonts w:hint="eastAsia" w:ascii="仿宋" w:hAnsi="仿宋" w:eastAsia="仿宋" w:cs="仿宋"/>
                <w:color w:val="auto"/>
                <w:sz w:val="22"/>
                <w:szCs w:val="22"/>
                <w:highlight w:val="none"/>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7A0A642">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D7D15A">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单位名称（公章</w:t>
            </w:r>
            <w:r>
              <w:rPr>
                <w:rFonts w:hint="eastAsia" w:ascii="仿宋" w:hAnsi="仿宋" w:eastAsia="仿宋" w:cs="仿宋"/>
                <w:color w:val="auto"/>
                <w:sz w:val="22"/>
                <w:szCs w:val="22"/>
                <w:highlight w:val="none"/>
                <w:lang w:eastAsia="zh-CN"/>
              </w:rPr>
              <w:t>或合同章</w:t>
            </w:r>
            <w:r>
              <w:rPr>
                <w:rFonts w:hint="eastAsia" w:ascii="仿宋" w:hAnsi="仿宋" w:eastAsia="仿宋" w:cs="仿宋"/>
                <w:color w:val="auto"/>
                <w:sz w:val="22"/>
                <w:szCs w:val="22"/>
                <w:highlight w:val="none"/>
              </w:rPr>
              <w:t>）</w:t>
            </w:r>
          </w:p>
        </w:tc>
        <w:tc>
          <w:tcPr>
            <w:tcW w:w="1259" w:type="pct"/>
            <w:tcBorders>
              <w:top w:val="single" w:color="auto" w:sz="2" w:space="0"/>
              <w:left w:val="single" w:color="auto" w:sz="2" w:space="0"/>
              <w:bottom w:val="single" w:color="auto" w:sz="2" w:space="0"/>
            </w:tcBorders>
            <w:noWrap w:val="0"/>
            <w:vAlign w:val="center"/>
          </w:tcPr>
          <w:p w14:paraId="69C4E206">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383D2F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24C27CC7">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w:t>
            </w:r>
          </w:p>
          <w:p w14:paraId="2D44ADB4">
            <w:pPr>
              <w:adjustRightInd w:val="0"/>
              <w:snapToGrid w:val="0"/>
              <w:spacing w:line="300" w:lineRule="exact"/>
              <w:ind w:firstLine="105" w:firstLineChars="48"/>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FC33A49">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right w:val="single" w:color="auto" w:sz="2" w:space="0"/>
            </w:tcBorders>
            <w:noWrap w:val="0"/>
            <w:vAlign w:val="center"/>
          </w:tcPr>
          <w:p w14:paraId="1B867ACD">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w:t>
            </w:r>
          </w:p>
          <w:p w14:paraId="6395E11F">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或其委托代理人（签章）</w:t>
            </w:r>
          </w:p>
        </w:tc>
        <w:tc>
          <w:tcPr>
            <w:tcW w:w="1259" w:type="pct"/>
            <w:tcBorders>
              <w:top w:val="single" w:color="auto" w:sz="2" w:space="0"/>
              <w:left w:val="single" w:color="auto" w:sz="2" w:space="0"/>
              <w:bottom w:val="single" w:color="auto" w:sz="2" w:space="0"/>
            </w:tcBorders>
            <w:noWrap w:val="0"/>
            <w:vAlign w:val="center"/>
          </w:tcPr>
          <w:p w14:paraId="398F3262">
            <w:pPr>
              <w:adjustRightInd w:val="0"/>
              <w:snapToGrid w:val="0"/>
              <w:spacing w:line="300" w:lineRule="exact"/>
              <w:jc w:val="center"/>
              <w:rPr>
                <w:rFonts w:hint="eastAsia" w:ascii="仿宋" w:hAnsi="仿宋" w:eastAsia="仿宋" w:cs="仿宋"/>
                <w:color w:val="auto"/>
                <w:sz w:val="22"/>
                <w:szCs w:val="22"/>
                <w:highlight w:val="none"/>
              </w:rPr>
            </w:pPr>
          </w:p>
        </w:tc>
      </w:tr>
      <w:tr w14:paraId="258DAB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40798A3A">
            <w:pPr>
              <w:adjustRightInd w:val="0"/>
              <w:snapToGrid w:val="0"/>
              <w:spacing w:line="300" w:lineRule="exact"/>
              <w:jc w:val="center"/>
              <w:rPr>
                <w:rFonts w:hint="eastAsia" w:ascii="仿宋" w:hAnsi="仿宋" w:eastAsia="仿宋" w:cs="仿宋"/>
                <w:color w:val="auto"/>
                <w:sz w:val="22"/>
                <w:szCs w:val="22"/>
                <w:highlight w:val="none"/>
              </w:rPr>
            </w:pPr>
          </w:p>
        </w:tc>
        <w:tc>
          <w:tcPr>
            <w:tcW w:w="1436" w:type="pct"/>
            <w:vMerge w:val="continue"/>
            <w:tcBorders>
              <w:left w:val="single" w:color="auto" w:sz="2" w:space="0"/>
              <w:bottom w:val="single" w:color="auto" w:sz="2" w:space="0"/>
              <w:right w:val="single" w:color="auto" w:sz="2" w:space="0"/>
            </w:tcBorders>
            <w:noWrap w:val="0"/>
            <w:vAlign w:val="center"/>
          </w:tcPr>
          <w:p w14:paraId="3FD4112E">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ACF9273">
            <w:pPr>
              <w:adjustRightInd w:val="0"/>
              <w:snapToGrid w:val="0"/>
              <w:spacing w:line="300" w:lineRule="exact"/>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5A501FE8">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5475AA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BB4C813">
            <w:pPr>
              <w:adjustRightInd w:val="0"/>
              <w:snapToGrid w:val="0"/>
              <w:spacing w:line="300" w:lineRule="exact"/>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住</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B500094">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AC88651">
            <w:pPr>
              <w:adjustRightInd w:val="0"/>
              <w:snapToGrid w:val="0"/>
              <w:spacing w:line="300" w:lineRule="exact"/>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住</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lang w:eastAsia="zh-CN"/>
              </w:rPr>
              <w:t>所</w:t>
            </w:r>
          </w:p>
        </w:tc>
        <w:tc>
          <w:tcPr>
            <w:tcW w:w="1259" w:type="pct"/>
            <w:tcBorders>
              <w:top w:val="single" w:color="auto" w:sz="2" w:space="0"/>
              <w:left w:val="single" w:color="auto" w:sz="2" w:space="0"/>
              <w:bottom w:val="single" w:color="auto" w:sz="2" w:space="0"/>
            </w:tcBorders>
            <w:noWrap w:val="0"/>
            <w:vAlign w:val="center"/>
          </w:tcPr>
          <w:p w14:paraId="72EAD483">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49BFD8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423F79B">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8BBD650">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6FF087">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 系 人</w:t>
            </w:r>
          </w:p>
        </w:tc>
        <w:tc>
          <w:tcPr>
            <w:tcW w:w="1259" w:type="pct"/>
            <w:tcBorders>
              <w:top w:val="single" w:color="auto" w:sz="2" w:space="0"/>
              <w:left w:val="single" w:color="auto" w:sz="2" w:space="0"/>
              <w:bottom w:val="single" w:color="auto" w:sz="2" w:space="0"/>
            </w:tcBorders>
            <w:noWrap w:val="0"/>
            <w:vAlign w:val="center"/>
          </w:tcPr>
          <w:p w14:paraId="13E249DD">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5C27D0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C81279">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13967B">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1D6150D">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联系电话</w:t>
            </w:r>
          </w:p>
        </w:tc>
        <w:tc>
          <w:tcPr>
            <w:tcW w:w="1259" w:type="pct"/>
            <w:tcBorders>
              <w:top w:val="single" w:color="auto" w:sz="2" w:space="0"/>
              <w:left w:val="single" w:color="auto" w:sz="2" w:space="0"/>
              <w:bottom w:val="single" w:color="auto" w:sz="2" w:space="0"/>
            </w:tcBorders>
            <w:noWrap w:val="0"/>
            <w:vAlign w:val="center"/>
          </w:tcPr>
          <w:p w14:paraId="1B29C988">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4246D4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0678750">
            <w:pPr>
              <w:adjustRightInd w:val="0"/>
              <w:snapToGrid w:val="0"/>
              <w:spacing w:line="300" w:lineRule="exact"/>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8E1EF75">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1B7FB49">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550F670C">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7AF7E7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3449E51">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5516565">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10F6CEA">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邮政编码</w:t>
            </w:r>
          </w:p>
        </w:tc>
        <w:tc>
          <w:tcPr>
            <w:tcW w:w="1259" w:type="pct"/>
            <w:tcBorders>
              <w:top w:val="single" w:color="auto" w:sz="2" w:space="0"/>
              <w:left w:val="single" w:color="auto" w:sz="2" w:space="0"/>
              <w:bottom w:val="single" w:color="auto" w:sz="2" w:space="0"/>
            </w:tcBorders>
            <w:noWrap w:val="0"/>
            <w:vAlign w:val="center"/>
          </w:tcPr>
          <w:p w14:paraId="507477E7">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799070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0B0209">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7A68E8">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DBED0D0">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电子邮箱</w:t>
            </w:r>
          </w:p>
        </w:tc>
        <w:tc>
          <w:tcPr>
            <w:tcW w:w="1259" w:type="pct"/>
            <w:tcBorders>
              <w:top w:val="single" w:color="auto" w:sz="2" w:space="0"/>
              <w:left w:val="single" w:color="auto" w:sz="2" w:space="0"/>
              <w:bottom w:val="single" w:color="auto" w:sz="2" w:space="0"/>
            </w:tcBorders>
            <w:noWrap w:val="0"/>
            <w:vAlign w:val="center"/>
          </w:tcPr>
          <w:p w14:paraId="089DE9AA">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6D8FCC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0009D17">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912C10C">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9604623">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统一社会信用代码</w:t>
            </w:r>
          </w:p>
        </w:tc>
        <w:tc>
          <w:tcPr>
            <w:tcW w:w="1259" w:type="pct"/>
            <w:tcBorders>
              <w:top w:val="single" w:color="auto" w:sz="2" w:space="0"/>
              <w:left w:val="single" w:color="auto" w:sz="2" w:space="0"/>
              <w:bottom w:val="single" w:color="auto" w:sz="2" w:space="0"/>
            </w:tcBorders>
            <w:noWrap w:val="0"/>
            <w:vAlign w:val="center"/>
          </w:tcPr>
          <w:p w14:paraId="1B596FC7">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5FE73BE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CDCBC1C">
            <w:pPr>
              <w:adjustRightInd w:val="0"/>
              <w:snapToGrid w:val="0"/>
              <w:spacing w:line="300" w:lineRule="exact"/>
              <w:jc w:val="center"/>
              <w:rPr>
                <w:rFonts w:hint="eastAsia" w:ascii="仿宋" w:hAnsi="仿宋" w:eastAsia="仿宋" w:cs="仿宋"/>
                <w:color w:val="auto"/>
                <w:sz w:val="22"/>
                <w:szCs w:val="22"/>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D3C6517">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EC57E68">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开户名称</w:t>
            </w:r>
          </w:p>
        </w:tc>
        <w:tc>
          <w:tcPr>
            <w:tcW w:w="1259" w:type="pct"/>
            <w:tcBorders>
              <w:top w:val="single" w:color="auto" w:sz="2" w:space="0"/>
              <w:left w:val="single" w:color="auto" w:sz="2" w:space="0"/>
              <w:bottom w:val="single" w:color="auto" w:sz="2" w:space="0"/>
            </w:tcBorders>
            <w:noWrap w:val="0"/>
            <w:vAlign w:val="center"/>
          </w:tcPr>
          <w:p w14:paraId="557E5EDD">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2BD0D8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D0A61E4">
            <w:pPr>
              <w:adjustRightInd w:val="0"/>
              <w:snapToGrid w:val="0"/>
              <w:spacing w:line="300" w:lineRule="exact"/>
              <w:jc w:val="center"/>
              <w:rPr>
                <w:rFonts w:hint="eastAsia" w:ascii="仿宋" w:hAnsi="仿宋" w:eastAsia="仿宋" w:cs="仿宋"/>
                <w:color w:val="auto"/>
                <w:sz w:val="22"/>
                <w:szCs w:val="22"/>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FD7477A">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3DC8D9C">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开户银行</w:t>
            </w:r>
          </w:p>
        </w:tc>
        <w:tc>
          <w:tcPr>
            <w:tcW w:w="1259" w:type="pct"/>
            <w:tcBorders>
              <w:top w:val="single" w:color="auto" w:sz="2" w:space="0"/>
              <w:left w:val="single" w:color="auto" w:sz="2" w:space="0"/>
              <w:bottom w:val="single" w:color="auto" w:sz="2" w:space="0"/>
            </w:tcBorders>
            <w:noWrap w:val="0"/>
            <w:vAlign w:val="center"/>
          </w:tcPr>
          <w:p w14:paraId="1E8FA744">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5727829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8E8FE68">
            <w:pPr>
              <w:adjustRightInd w:val="0"/>
              <w:snapToGrid w:val="0"/>
              <w:spacing w:line="300" w:lineRule="exact"/>
              <w:jc w:val="center"/>
              <w:rPr>
                <w:rFonts w:hint="eastAsia" w:ascii="仿宋" w:hAnsi="仿宋" w:eastAsia="仿宋" w:cs="仿宋"/>
                <w:color w:val="auto"/>
                <w:sz w:val="22"/>
                <w:szCs w:val="22"/>
                <w:highlight w:val="none"/>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E621AA4">
            <w:pPr>
              <w:adjustRightInd w:val="0"/>
              <w:snapToGrid w:val="0"/>
              <w:spacing w:line="300" w:lineRule="exact"/>
              <w:jc w:val="center"/>
              <w:rPr>
                <w:rFonts w:hint="eastAsia" w:ascii="仿宋" w:hAnsi="仿宋" w:eastAsia="仿宋" w:cs="仿宋"/>
                <w:color w:val="auto"/>
                <w:sz w:val="22"/>
                <w:szCs w:val="22"/>
                <w:highlight w:val="none"/>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26DCD92">
            <w:pPr>
              <w:adjustRightInd w:val="0"/>
              <w:snapToGrid w:val="0"/>
              <w:spacing w:line="3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银行账号</w:t>
            </w:r>
          </w:p>
        </w:tc>
        <w:tc>
          <w:tcPr>
            <w:tcW w:w="1259" w:type="pct"/>
            <w:tcBorders>
              <w:top w:val="single" w:color="auto" w:sz="2" w:space="0"/>
              <w:left w:val="single" w:color="auto" w:sz="2" w:space="0"/>
              <w:bottom w:val="single" w:color="auto" w:sz="2" w:space="0"/>
            </w:tcBorders>
            <w:noWrap w:val="0"/>
            <w:vAlign w:val="center"/>
          </w:tcPr>
          <w:p w14:paraId="010B4F73">
            <w:pPr>
              <w:adjustRightInd w:val="0"/>
              <w:snapToGrid w:val="0"/>
              <w:spacing w:line="300" w:lineRule="exact"/>
              <w:jc w:val="center"/>
              <w:rPr>
                <w:rFonts w:hint="eastAsia" w:ascii="仿宋" w:hAnsi="仿宋" w:eastAsia="仿宋" w:cs="仿宋"/>
                <w:color w:val="auto"/>
                <w:spacing w:val="20"/>
                <w:sz w:val="22"/>
                <w:szCs w:val="22"/>
                <w:highlight w:val="none"/>
              </w:rPr>
            </w:pPr>
          </w:p>
        </w:tc>
      </w:tr>
      <w:tr w14:paraId="3227E5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8A448AD">
            <w:pPr>
              <w:widowControl w:val="0"/>
              <w:adjustRightInd w:val="0"/>
              <w:snapToGrid w:val="0"/>
              <w:spacing w:before="156" w:beforeLines="50" w:after="0" w:line="360" w:lineRule="auto"/>
              <w:ind w:left="0" w:leftChars="0"/>
              <w:jc w:val="left"/>
              <w:rPr>
                <w:rFonts w:hint="eastAsia" w:ascii="仿宋" w:hAnsi="仿宋" w:eastAsia="仿宋" w:cs="仿宋"/>
                <w:color w:val="auto"/>
                <w:spacing w:val="20"/>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注：涉及联合体或其他合同主体的信息应按上表格式加列。</w:t>
            </w:r>
          </w:p>
        </w:tc>
      </w:tr>
    </w:tbl>
    <w:p w14:paraId="0ACB7C2D">
      <w:pPr>
        <w:keepNext/>
        <w:keepLines/>
        <w:pageBreakBefore w:val="0"/>
        <w:widowControl w:val="0"/>
        <w:kinsoku/>
        <w:wordWrap/>
        <w:overflowPunct/>
        <w:topLinePunct w:val="0"/>
        <w:bidi w:val="0"/>
        <w:adjustRightInd w:val="0"/>
        <w:snapToGrid w:val="0"/>
        <w:spacing w:line="480" w:lineRule="exact"/>
        <w:jc w:val="center"/>
        <w:textAlignment w:val="auto"/>
        <w:outlineLvl w:val="1"/>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仿宋"/>
          <w:b/>
          <w:bCs/>
          <w:color w:val="auto"/>
          <w:kern w:val="2"/>
          <w:sz w:val="21"/>
          <w:szCs w:val="21"/>
          <w:highlight w:val="none"/>
          <w:u w:val="single"/>
          <w:lang w:val="en-US" w:eastAsia="zh-CN" w:bidi="ar-SA"/>
        </w:rPr>
        <w:br w:type="page"/>
      </w:r>
      <w:bookmarkStart w:id="198" w:name="_Toc27624"/>
      <w:bookmarkStart w:id="199" w:name="_Toc7953"/>
      <w:r>
        <w:rPr>
          <w:rFonts w:hint="eastAsia" w:ascii="仿宋" w:hAnsi="仿宋" w:eastAsia="仿宋" w:cs="仿宋"/>
          <w:b w:val="0"/>
          <w:bCs w:val="0"/>
          <w:color w:val="auto"/>
          <w:kern w:val="2"/>
          <w:sz w:val="22"/>
          <w:szCs w:val="22"/>
          <w:highlight w:val="none"/>
          <w:lang w:val="en-US" w:eastAsia="zh-CN" w:bidi="ar-SA"/>
        </w:rPr>
        <w:t>第二节 政府采购合同通用条款</w:t>
      </w:r>
      <w:bookmarkEnd w:id="198"/>
      <w:bookmarkEnd w:id="199"/>
    </w:p>
    <w:p w14:paraId="764C1D02">
      <w:pPr>
        <w:pageBreakBefore w:val="0"/>
        <w:widowControl w:val="0"/>
        <w:tabs>
          <w:tab w:val="left" w:pos="8820"/>
          <w:tab w:val="left" w:pos="9345"/>
          <w:tab w:val="left" w:pos="9765"/>
        </w:tabs>
        <w:kinsoku/>
        <w:wordWrap/>
        <w:overflowPunct/>
        <w:topLinePunct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color w:val="auto"/>
          <w:sz w:val="22"/>
          <w:szCs w:val="22"/>
          <w:highlight w:val="none"/>
        </w:rPr>
        <w:t>1.</w:t>
      </w:r>
      <w:r>
        <w:rPr>
          <w:rFonts w:hint="eastAsia" w:ascii="仿宋" w:hAnsi="仿宋" w:eastAsia="仿宋" w:cs="仿宋"/>
          <w:b/>
          <w:color w:val="auto"/>
          <w:sz w:val="22"/>
          <w:szCs w:val="22"/>
          <w:highlight w:val="none"/>
          <w:lang w:val="en-US" w:eastAsia="zh-CN"/>
        </w:rPr>
        <w:t xml:space="preserve"> </w:t>
      </w:r>
      <w:r>
        <w:rPr>
          <w:rFonts w:hint="eastAsia" w:ascii="仿宋" w:hAnsi="仿宋" w:eastAsia="仿宋" w:cs="仿宋"/>
          <w:b/>
          <w:bCs/>
          <w:color w:val="auto"/>
          <w:sz w:val="22"/>
          <w:szCs w:val="22"/>
          <w:highlight w:val="none"/>
        </w:rPr>
        <w:t>定义</w:t>
      </w:r>
    </w:p>
    <w:p w14:paraId="5FF7EA3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1.1合同当事人</w:t>
      </w:r>
    </w:p>
    <w:p w14:paraId="6EA1D03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（1）采购人（以下称甲方）是指使用财政性资金，通过政府采购方式向供应商购买货物</w:t>
      </w:r>
      <w:r>
        <w:rPr>
          <w:rFonts w:hint="eastAsia" w:ascii="仿宋" w:hAnsi="仿宋" w:eastAsia="仿宋" w:cs="仿宋"/>
          <w:color w:val="auto"/>
          <w:sz w:val="22"/>
          <w:szCs w:val="22"/>
          <w:highlight w:val="none"/>
          <w:lang w:val="en-US" w:eastAsia="zh-CN"/>
        </w:rPr>
        <w:t>及其相关服务的</w:t>
      </w:r>
      <w:r>
        <w:rPr>
          <w:rFonts w:hint="eastAsia" w:ascii="仿宋" w:hAnsi="仿宋" w:eastAsia="仿宋" w:cs="仿宋"/>
          <w:color w:val="auto"/>
          <w:sz w:val="22"/>
          <w:szCs w:val="22"/>
          <w:highlight w:val="none"/>
        </w:rPr>
        <w:t>国家机关、事业单位、团体组织。</w:t>
      </w:r>
    </w:p>
    <w:p w14:paraId="646EB449">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（2）供应商（以下称</w:t>
      </w:r>
      <w:r>
        <w:rPr>
          <w:rFonts w:hint="eastAsia" w:ascii="仿宋" w:hAnsi="仿宋" w:eastAsia="仿宋" w:cs="仿宋"/>
          <w:color w:val="auto"/>
          <w:sz w:val="22"/>
          <w:szCs w:val="22"/>
          <w:highlight w:val="none"/>
          <w:lang w:eastAsia="zh-CN"/>
        </w:rPr>
        <w:t>乙</w:t>
      </w:r>
      <w:r>
        <w:rPr>
          <w:rFonts w:hint="eastAsia" w:ascii="仿宋" w:hAnsi="仿宋" w:eastAsia="仿宋" w:cs="仿宋"/>
          <w:color w:val="auto"/>
          <w:sz w:val="22"/>
          <w:szCs w:val="22"/>
          <w:highlight w:val="none"/>
        </w:rPr>
        <w:t>方）是指参加政府采购活动并且中标（成交），向采购人提供</w:t>
      </w:r>
      <w:r>
        <w:rPr>
          <w:rFonts w:hint="eastAsia" w:ascii="仿宋" w:hAnsi="仿宋" w:eastAsia="仿宋" w:cs="仿宋"/>
          <w:color w:val="auto"/>
          <w:sz w:val="22"/>
          <w:szCs w:val="22"/>
          <w:highlight w:val="none"/>
          <w:lang w:val="en-US" w:eastAsia="zh-CN"/>
        </w:rPr>
        <w:t>合同约定的货物及其相关服务的法人、非法人组织或者自然人</w:t>
      </w:r>
      <w:r>
        <w:rPr>
          <w:rFonts w:hint="eastAsia" w:ascii="仿宋" w:hAnsi="仿宋" w:eastAsia="仿宋" w:cs="仿宋"/>
          <w:color w:val="auto"/>
          <w:sz w:val="22"/>
          <w:szCs w:val="22"/>
          <w:highlight w:val="none"/>
        </w:rPr>
        <w:t>。</w:t>
      </w:r>
    </w:p>
    <w:p w14:paraId="0A894DF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（3）其他合同主体是指除采购人和供应商以外，</w:t>
      </w:r>
      <w:r>
        <w:rPr>
          <w:rFonts w:hint="eastAsia" w:ascii="仿宋" w:hAnsi="仿宋" w:eastAsia="仿宋" w:cs="仿宋"/>
          <w:bCs/>
          <w:color w:val="auto"/>
          <w:sz w:val="22"/>
          <w:szCs w:val="22"/>
          <w:highlight w:val="none"/>
        </w:rPr>
        <w:t>依法参与合同缔结或履行，享有权利、承担义务的合同当事人</w:t>
      </w:r>
      <w:r>
        <w:rPr>
          <w:rFonts w:hint="eastAsia" w:ascii="仿宋" w:hAnsi="仿宋" w:eastAsia="仿宋" w:cs="仿宋"/>
          <w:color w:val="auto"/>
          <w:sz w:val="22"/>
          <w:szCs w:val="22"/>
          <w:highlight w:val="none"/>
        </w:rPr>
        <w:t>。</w:t>
      </w:r>
    </w:p>
    <w:p w14:paraId="48F45A8B">
      <w:pPr>
        <w:pageBreakBefore w:val="0"/>
        <w:widowControl w:val="0"/>
        <w:tabs>
          <w:tab w:val="left" w:pos="570"/>
          <w:tab w:val="left" w:pos="9240"/>
          <w:tab w:val="left" w:pos="9555"/>
        </w:tabs>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1.2本合同下列术语应解释为：</w:t>
      </w:r>
    </w:p>
    <w:p w14:paraId="515392E3">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（1）“合同”系指</w:t>
      </w:r>
      <w:r>
        <w:rPr>
          <w:rFonts w:hint="eastAsia" w:ascii="仿宋" w:hAnsi="仿宋" w:eastAsia="仿宋" w:cs="仿宋"/>
          <w:bCs/>
          <w:color w:val="auto"/>
          <w:sz w:val="22"/>
          <w:szCs w:val="22"/>
          <w:highlight w:val="none"/>
        </w:rPr>
        <w:t>合同当事人意思表示达成一致的任何协议，包括签署的</w:t>
      </w:r>
      <w:r>
        <w:rPr>
          <w:rFonts w:hint="eastAsia" w:ascii="仿宋" w:hAnsi="仿宋" w:eastAsia="仿宋" w:cs="仿宋"/>
          <w:color w:val="auto"/>
          <w:sz w:val="22"/>
          <w:szCs w:val="22"/>
          <w:highlight w:val="none"/>
          <w:lang w:eastAsia="zh-CN"/>
        </w:rPr>
        <w:t>政府采购</w:t>
      </w:r>
      <w:r>
        <w:rPr>
          <w:rFonts w:hint="eastAsia" w:ascii="仿宋" w:hAnsi="仿宋" w:eastAsia="仿宋" w:cs="仿宋"/>
          <w:color w:val="auto"/>
          <w:sz w:val="22"/>
          <w:szCs w:val="22"/>
          <w:highlight w:val="none"/>
        </w:rPr>
        <w:t>合同协议书及其变更、补充</w:t>
      </w:r>
      <w:r>
        <w:rPr>
          <w:rFonts w:hint="eastAsia" w:ascii="仿宋" w:hAnsi="仿宋" w:eastAsia="仿宋" w:cs="仿宋"/>
          <w:color w:val="auto"/>
          <w:sz w:val="22"/>
          <w:szCs w:val="22"/>
          <w:highlight w:val="none"/>
          <w:lang w:eastAsia="zh-CN"/>
        </w:rPr>
        <w:t>协议，</w:t>
      </w:r>
      <w:r>
        <w:rPr>
          <w:rFonts w:hint="eastAsia" w:ascii="仿宋" w:hAnsi="仿宋" w:eastAsia="仿宋" w:cs="仿宋"/>
          <w:color w:val="auto"/>
          <w:sz w:val="22"/>
          <w:szCs w:val="22"/>
          <w:highlight w:val="none"/>
        </w:rPr>
        <w:t>政府采购合同专用条款</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政府采购合同通用条款</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中标</w:t>
      </w:r>
      <w:r>
        <w:rPr>
          <w:rFonts w:hint="eastAsia" w:ascii="仿宋" w:hAnsi="仿宋" w:eastAsia="仿宋" w:cs="仿宋"/>
          <w:color w:val="auto"/>
          <w:sz w:val="22"/>
          <w:szCs w:val="22"/>
          <w:highlight w:val="none"/>
          <w:lang w:eastAsia="zh-CN"/>
        </w:rPr>
        <w:t>（成交）</w:t>
      </w:r>
      <w:r>
        <w:rPr>
          <w:rFonts w:hint="eastAsia" w:ascii="仿宋" w:hAnsi="仿宋" w:eastAsia="仿宋" w:cs="仿宋"/>
          <w:color w:val="auto"/>
          <w:sz w:val="22"/>
          <w:szCs w:val="22"/>
          <w:highlight w:val="none"/>
        </w:rPr>
        <w:t>通知书</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投标（响应）文件</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采购文件</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有关技术文件</w:t>
      </w:r>
      <w:r>
        <w:rPr>
          <w:rFonts w:hint="eastAsia" w:ascii="仿宋" w:hAnsi="仿宋" w:eastAsia="仿宋" w:cs="仿宋"/>
          <w:color w:val="auto"/>
          <w:sz w:val="22"/>
          <w:szCs w:val="22"/>
          <w:highlight w:val="none"/>
          <w:lang w:eastAsia="zh-CN"/>
        </w:rPr>
        <w:t>和</w:t>
      </w:r>
      <w:r>
        <w:rPr>
          <w:rFonts w:hint="eastAsia" w:ascii="仿宋" w:hAnsi="仿宋" w:eastAsia="仿宋" w:cs="仿宋"/>
          <w:color w:val="auto"/>
          <w:sz w:val="22"/>
          <w:szCs w:val="22"/>
          <w:highlight w:val="none"/>
        </w:rPr>
        <w:t>图纸</w:t>
      </w:r>
      <w:r>
        <w:rPr>
          <w:rFonts w:hint="eastAsia" w:ascii="仿宋" w:hAnsi="仿宋" w:eastAsia="仿宋" w:cs="仿宋"/>
          <w:color w:val="auto"/>
          <w:sz w:val="22"/>
          <w:szCs w:val="22"/>
          <w:highlight w:val="none"/>
          <w:lang w:eastAsia="zh-CN"/>
        </w:rPr>
        <w:t>，以及</w:t>
      </w:r>
      <w:r>
        <w:rPr>
          <w:rFonts w:hint="eastAsia" w:ascii="仿宋" w:hAnsi="仿宋" w:eastAsia="仿宋" w:cs="仿宋"/>
          <w:bCs w:val="0"/>
          <w:color w:val="auto"/>
          <w:kern w:val="2"/>
          <w:sz w:val="22"/>
          <w:szCs w:val="22"/>
          <w:highlight w:val="none"/>
          <w:lang w:eastAsia="zh-CN"/>
        </w:rPr>
        <w:t>国家法律、行政法规和规章制度规定或合同约定的作为合同组成部分的其他文件</w:t>
      </w:r>
      <w:r>
        <w:rPr>
          <w:rFonts w:hint="eastAsia" w:ascii="仿宋" w:hAnsi="仿宋" w:eastAsia="仿宋" w:cs="仿宋"/>
          <w:color w:val="auto"/>
          <w:sz w:val="22"/>
          <w:szCs w:val="22"/>
          <w:highlight w:val="none"/>
        </w:rPr>
        <w:t>。</w:t>
      </w:r>
    </w:p>
    <w:p w14:paraId="63949E6C">
      <w:pPr>
        <w:pageBreakBefore w:val="0"/>
        <w:widowControl w:val="0"/>
        <w:tabs>
          <w:tab w:val="left" w:pos="570"/>
          <w:tab w:val="left" w:pos="9240"/>
          <w:tab w:val="left" w:pos="9555"/>
        </w:tabs>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）“合同价</w:t>
      </w:r>
      <w:r>
        <w:rPr>
          <w:rFonts w:hint="eastAsia" w:ascii="仿宋" w:hAnsi="仿宋" w:eastAsia="仿宋" w:cs="仿宋"/>
          <w:color w:val="auto"/>
          <w:sz w:val="22"/>
          <w:szCs w:val="22"/>
          <w:highlight w:val="none"/>
          <w:lang w:val="en-US" w:eastAsia="zh-CN"/>
        </w:rPr>
        <w:t>款</w:t>
      </w:r>
      <w:r>
        <w:rPr>
          <w:rFonts w:hint="eastAsia" w:ascii="仿宋" w:hAnsi="仿宋" w:eastAsia="仿宋" w:cs="仿宋"/>
          <w:color w:val="auto"/>
          <w:sz w:val="22"/>
          <w:szCs w:val="22"/>
          <w:highlight w:val="none"/>
        </w:rPr>
        <w:t>”系指根据本合同规定乙方在全面履行合同义务后甲方应支付给乙方的价款。</w:t>
      </w:r>
    </w:p>
    <w:p w14:paraId="5BC04431">
      <w:pPr>
        <w:pageBreakBefore w:val="0"/>
        <w:widowControl w:val="0"/>
        <w:tabs>
          <w:tab w:val="left" w:pos="570"/>
          <w:tab w:val="left" w:pos="9240"/>
          <w:tab w:val="left" w:pos="9555"/>
        </w:tabs>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2"/>
          <w:szCs w:val="22"/>
          <w:highlight w:val="none"/>
          <w:lang w:val="en"/>
        </w:rPr>
        <w:t>其他</w:t>
      </w:r>
      <w:r>
        <w:rPr>
          <w:rFonts w:hint="eastAsia" w:ascii="仿宋" w:hAnsi="仿宋" w:eastAsia="仿宋" w:cs="仿宋"/>
          <w:color w:val="auto"/>
          <w:sz w:val="22"/>
          <w:szCs w:val="22"/>
          <w:highlight w:val="none"/>
        </w:rPr>
        <w:t>技术资料和材料</w:t>
      </w:r>
      <w:r>
        <w:rPr>
          <w:rFonts w:hint="eastAsia" w:ascii="仿宋" w:hAnsi="仿宋" w:eastAsia="仿宋" w:cs="仿宋"/>
          <w:color w:val="auto"/>
          <w:sz w:val="22"/>
          <w:szCs w:val="22"/>
          <w:highlight w:val="none"/>
          <w:lang w:eastAsia="zh-CN"/>
        </w:rPr>
        <w:t>等</w:t>
      </w:r>
      <w:r>
        <w:rPr>
          <w:rFonts w:hint="eastAsia" w:ascii="仿宋" w:hAnsi="仿宋" w:eastAsia="仿宋" w:cs="仿宋"/>
          <w:color w:val="auto"/>
          <w:sz w:val="22"/>
          <w:szCs w:val="22"/>
          <w:highlight w:val="none"/>
        </w:rPr>
        <w:t>。</w:t>
      </w:r>
    </w:p>
    <w:p w14:paraId="2D451DDE">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相关</w:t>
      </w:r>
      <w:r>
        <w:rPr>
          <w:rFonts w:hint="eastAsia" w:ascii="仿宋" w:hAnsi="仿宋" w:eastAsia="仿宋" w:cs="仿宋"/>
          <w:color w:val="auto"/>
          <w:sz w:val="22"/>
          <w:szCs w:val="22"/>
          <w:highlight w:val="none"/>
        </w:rPr>
        <w:t>服务”系指根据合同规定，乙方应提供的</w:t>
      </w:r>
      <w:r>
        <w:rPr>
          <w:rFonts w:hint="eastAsia" w:ascii="仿宋" w:hAnsi="仿宋" w:eastAsia="仿宋" w:cs="仿宋"/>
          <w:color w:val="auto"/>
          <w:sz w:val="22"/>
          <w:szCs w:val="22"/>
          <w:highlight w:val="none"/>
          <w:lang w:val="en-US" w:eastAsia="zh-CN"/>
        </w:rPr>
        <w:t>与货物有关的</w:t>
      </w:r>
      <w:r>
        <w:rPr>
          <w:rFonts w:hint="eastAsia" w:ascii="仿宋" w:hAnsi="仿宋" w:eastAsia="仿宋" w:cs="仿宋"/>
          <w:color w:val="auto"/>
          <w:sz w:val="22"/>
          <w:szCs w:val="22"/>
          <w:highlight w:val="none"/>
        </w:rPr>
        <w:t>技术、管理和</w:t>
      </w:r>
      <w:r>
        <w:rPr>
          <w:rFonts w:hint="eastAsia" w:ascii="仿宋" w:hAnsi="仿宋" w:eastAsia="仿宋" w:cs="仿宋"/>
          <w:color w:val="auto"/>
          <w:sz w:val="22"/>
          <w:szCs w:val="22"/>
          <w:highlight w:val="none"/>
          <w:lang w:val="en"/>
        </w:rPr>
        <w:t>其他</w:t>
      </w:r>
      <w:r>
        <w:rPr>
          <w:rFonts w:hint="eastAsia" w:ascii="仿宋" w:hAnsi="仿宋" w:eastAsia="仿宋" w:cs="仿宋"/>
          <w:color w:val="auto"/>
          <w:sz w:val="22"/>
          <w:szCs w:val="22"/>
          <w:highlight w:val="none"/>
        </w:rPr>
        <w:t>服务，包括但不限于：管理和质量保证、运输、保险、检验、现场准备、安装、集成、调试、培训、维修、</w:t>
      </w:r>
      <w:r>
        <w:rPr>
          <w:rFonts w:hint="eastAsia" w:ascii="仿宋" w:hAnsi="仿宋" w:eastAsia="仿宋" w:cs="仿宋"/>
          <w:color w:val="auto"/>
          <w:sz w:val="22"/>
          <w:szCs w:val="22"/>
          <w:highlight w:val="none"/>
          <w:lang w:eastAsia="zh-CN"/>
        </w:rPr>
        <w:t>废弃处置、</w:t>
      </w:r>
      <w:r>
        <w:rPr>
          <w:rFonts w:hint="eastAsia" w:ascii="仿宋" w:hAnsi="仿宋" w:eastAsia="仿宋" w:cs="仿宋"/>
          <w:color w:val="auto"/>
          <w:sz w:val="22"/>
          <w:szCs w:val="22"/>
          <w:highlight w:val="none"/>
        </w:rPr>
        <w:t>技术支持等以及合同中规定乙方应承担的</w:t>
      </w:r>
      <w:r>
        <w:rPr>
          <w:rFonts w:hint="eastAsia" w:ascii="仿宋" w:hAnsi="仿宋" w:eastAsia="仿宋" w:cs="仿宋"/>
          <w:color w:val="auto"/>
          <w:sz w:val="22"/>
          <w:szCs w:val="22"/>
          <w:highlight w:val="none"/>
          <w:lang w:val="en"/>
        </w:rPr>
        <w:t>其他</w:t>
      </w:r>
      <w:r>
        <w:rPr>
          <w:rFonts w:hint="eastAsia" w:ascii="仿宋" w:hAnsi="仿宋" w:eastAsia="仿宋" w:cs="仿宋"/>
          <w:color w:val="auto"/>
          <w:sz w:val="22"/>
          <w:szCs w:val="22"/>
          <w:highlight w:val="none"/>
        </w:rPr>
        <w:t>义务。</w:t>
      </w:r>
    </w:p>
    <w:p w14:paraId="2067EE64">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）“分包”系指中标</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成交</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供应商按采购文件、投标（响应）文件的规定，根据分包意向协议，将中标</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成交</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项目中的部分履约内容，分给具有相应资质条件的供应商履行合同的行为。</w:t>
      </w:r>
    </w:p>
    <w:p w14:paraId="202F49DF">
      <w:pPr>
        <w:pageBreakBefore w:val="0"/>
        <w:widowControl w:val="0"/>
        <w:tabs>
          <w:tab w:val="left" w:pos="570"/>
          <w:tab w:val="left" w:pos="9240"/>
          <w:tab w:val="left" w:pos="9555"/>
        </w:tabs>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）“联合体”系指</w:t>
      </w:r>
      <w:r>
        <w:rPr>
          <w:rFonts w:hint="eastAsia" w:ascii="仿宋" w:hAnsi="仿宋" w:eastAsia="仿宋" w:cs="仿宋"/>
          <w:color w:val="auto"/>
          <w:sz w:val="22"/>
          <w:szCs w:val="22"/>
          <w:highlight w:val="none"/>
          <w:lang w:eastAsia="zh-CN"/>
        </w:rPr>
        <w:t>由</w:t>
      </w:r>
      <w:r>
        <w:rPr>
          <w:rFonts w:hint="eastAsia" w:ascii="仿宋" w:hAnsi="仿宋" w:eastAsia="仿宋" w:cs="仿宋"/>
          <w:color w:val="auto"/>
          <w:sz w:val="22"/>
          <w:szCs w:val="22"/>
          <w:highlight w:val="none"/>
        </w:rPr>
        <w:t>两个以上的自然人、法人或者</w:t>
      </w:r>
      <w:r>
        <w:rPr>
          <w:rFonts w:hint="eastAsia" w:ascii="仿宋" w:hAnsi="仿宋" w:eastAsia="仿宋" w:cs="仿宋"/>
          <w:color w:val="auto"/>
          <w:sz w:val="22"/>
          <w:szCs w:val="22"/>
          <w:highlight w:val="none"/>
          <w:lang w:val="en-US" w:eastAsia="zh-CN"/>
        </w:rPr>
        <w:t>非法人</w:t>
      </w:r>
      <w:r>
        <w:rPr>
          <w:rFonts w:hint="eastAsia" w:ascii="仿宋" w:hAnsi="仿宋" w:eastAsia="仿宋" w:cs="仿宋"/>
          <w:color w:val="auto"/>
          <w:sz w:val="22"/>
          <w:szCs w:val="22"/>
          <w:highlight w:val="none"/>
        </w:rPr>
        <w:t>组织组成，</w:t>
      </w:r>
      <w:r>
        <w:rPr>
          <w:rFonts w:hint="eastAsia" w:ascii="仿宋" w:hAnsi="仿宋" w:eastAsia="仿宋" w:cs="仿宋"/>
          <w:color w:val="auto"/>
          <w:sz w:val="22"/>
          <w:szCs w:val="22"/>
          <w:highlight w:val="none"/>
          <w:lang w:eastAsia="zh-CN"/>
        </w:rPr>
        <w:t>以一个供应商的身份共同参加政府采购的主体。</w:t>
      </w:r>
      <w:r>
        <w:rPr>
          <w:rFonts w:hint="eastAsia" w:ascii="仿宋" w:hAnsi="仿宋" w:eastAsia="仿宋" w:cs="仿宋"/>
          <w:color w:val="auto"/>
          <w:sz w:val="22"/>
          <w:szCs w:val="22"/>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2"/>
          <w:szCs w:val="22"/>
          <w:highlight w:val="none"/>
          <w:lang w:eastAsia="zh-CN"/>
        </w:rPr>
        <w:t>甲方</w:t>
      </w:r>
      <w:r>
        <w:rPr>
          <w:rFonts w:hint="eastAsia" w:ascii="仿宋" w:hAnsi="仿宋" w:eastAsia="仿宋" w:cs="仿宋"/>
          <w:color w:val="auto"/>
          <w:sz w:val="22"/>
          <w:szCs w:val="22"/>
          <w:highlight w:val="none"/>
        </w:rPr>
        <w:t>承担连带责任。联合体具体要求见【</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w:t>
      </w:r>
    </w:p>
    <w:p w14:paraId="0D767FDB">
      <w:pPr>
        <w:pageBreakBefore w:val="0"/>
        <w:widowControl w:val="0"/>
        <w:tabs>
          <w:tab w:val="left" w:pos="570"/>
          <w:tab w:val="left" w:pos="9240"/>
          <w:tab w:val="left" w:pos="9555"/>
        </w:tabs>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）其他术语解释，见【</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w:t>
      </w:r>
    </w:p>
    <w:p w14:paraId="6C915783">
      <w:pPr>
        <w:pageBreakBefore w:val="0"/>
        <w:widowControl w:val="0"/>
        <w:numPr>
          <w:ilvl w:val="0"/>
          <w:numId w:val="6"/>
        </w:numPr>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color w:val="auto"/>
          <w:sz w:val="22"/>
          <w:szCs w:val="22"/>
          <w:highlight w:val="none"/>
        </w:rPr>
        <w:t>合同标的及金额</w:t>
      </w:r>
    </w:p>
    <w:p w14:paraId="3BA48F1F">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b/>
          <w:bCs/>
          <w:i/>
          <w:iCs/>
          <w:color w:val="auto"/>
          <w:sz w:val="22"/>
          <w:szCs w:val="22"/>
          <w:highlight w:val="none"/>
        </w:rPr>
      </w:pPr>
      <w:r>
        <w:rPr>
          <w:rFonts w:hint="eastAsia" w:ascii="仿宋" w:hAnsi="仿宋" w:eastAsia="仿宋" w:cs="仿宋"/>
          <w:color w:val="auto"/>
          <w:sz w:val="22"/>
          <w:szCs w:val="22"/>
          <w:highlight w:val="none"/>
          <w:lang w:eastAsia="zh-CN"/>
        </w:rPr>
        <w:t>2</w:t>
      </w:r>
      <w:r>
        <w:rPr>
          <w:rFonts w:hint="eastAsia" w:ascii="仿宋" w:hAnsi="仿宋" w:eastAsia="仿宋" w:cs="仿宋"/>
          <w:color w:val="auto"/>
          <w:sz w:val="22"/>
          <w:szCs w:val="22"/>
          <w:highlight w:val="none"/>
        </w:rPr>
        <w:t>.1 合同标的及金额应与中标（成交）结果一致。乙方为履行本合同而发生的所有费用均应包含在合同</w:t>
      </w:r>
      <w:r>
        <w:rPr>
          <w:rFonts w:hint="eastAsia" w:ascii="仿宋" w:hAnsi="仿宋" w:eastAsia="仿宋" w:cs="仿宋"/>
          <w:color w:val="auto"/>
          <w:sz w:val="22"/>
          <w:szCs w:val="22"/>
          <w:highlight w:val="none"/>
          <w:lang w:eastAsia="zh-CN"/>
        </w:rPr>
        <w:t>价款</w:t>
      </w:r>
      <w:r>
        <w:rPr>
          <w:rFonts w:hint="eastAsia" w:ascii="仿宋" w:hAnsi="仿宋" w:eastAsia="仿宋" w:cs="仿宋"/>
          <w:color w:val="auto"/>
          <w:sz w:val="22"/>
          <w:szCs w:val="22"/>
          <w:highlight w:val="none"/>
        </w:rPr>
        <w:t>中，甲方不再另行支付</w:t>
      </w:r>
      <w:r>
        <w:rPr>
          <w:rFonts w:hint="eastAsia" w:ascii="仿宋" w:hAnsi="仿宋" w:eastAsia="仿宋" w:cs="仿宋"/>
          <w:color w:val="auto"/>
          <w:sz w:val="22"/>
          <w:szCs w:val="22"/>
          <w:highlight w:val="none"/>
          <w:lang w:val="en"/>
        </w:rPr>
        <w:t>其他</w:t>
      </w:r>
      <w:r>
        <w:rPr>
          <w:rFonts w:hint="eastAsia" w:ascii="仿宋" w:hAnsi="仿宋" w:eastAsia="仿宋" w:cs="仿宋"/>
          <w:color w:val="auto"/>
          <w:sz w:val="22"/>
          <w:szCs w:val="22"/>
          <w:highlight w:val="none"/>
        </w:rPr>
        <w:t>任何费用。</w:t>
      </w:r>
    </w:p>
    <w:p w14:paraId="36070E1F">
      <w:pPr>
        <w:pageBreakBefore w:val="0"/>
        <w:widowControl w:val="0"/>
        <w:kinsoku/>
        <w:wordWrap/>
        <w:overflowPunct/>
        <w:topLinePunct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3</w:t>
      </w:r>
      <w:r>
        <w:rPr>
          <w:rFonts w:hint="eastAsia" w:ascii="仿宋" w:hAnsi="仿宋" w:eastAsia="仿宋" w:cs="仿宋"/>
          <w:b/>
          <w:color w:val="auto"/>
          <w:sz w:val="22"/>
          <w:szCs w:val="22"/>
          <w:highlight w:val="none"/>
          <w:lang w:val="en-US" w:eastAsia="zh-CN"/>
        </w:rPr>
        <w:t xml:space="preserve">. </w:t>
      </w:r>
      <w:r>
        <w:rPr>
          <w:rFonts w:hint="eastAsia" w:ascii="仿宋" w:hAnsi="仿宋" w:eastAsia="仿宋" w:cs="仿宋"/>
          <w:b/>
          <w:color w:val="auto"/>
          <w:sz w:val="22"/>
          <w:szCs w:val="22"/>
          <w:highlight w:val="none"/>
        </w:rPr>
        <w:t>履行合同的时间、地点和方式</w:t>
      </w:r>
    </w:p>
    <w:p w14:paraId="283591B7">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3</w:t>
      </w:r>
      <w:r>
        <w:rPr>
          <w:rFonts w:hint="eastAsia" w:ascii="仿宋" w:hAnsi="仿宋" w:eastAsia="仿宋" w:cs="仿宋"/>
          <w:color w:val="auto"/>
          <w:sz w:val="22"/>
          <w:szCs w:val="22"/>
          <w:highlight w:val="none"/>
        </w:rPr>
        <w:t>.1 乙方应当在约定的时间、地点</w:t>
      </w:r>
      <w:r>
        <w:rPr>
          <w:rFonts w:hint="eastAsia" w:ascii="仿宋" w:hAnsi="仿宋" w:eastAsia="仿宋" w:cs="仿宋"/>
          <w:color w:val="auto"/>
          <w:sz w:val="22"/>
          <w:szCs w:val="22"/>
          <w:highlight w:val="none"/>
          <w:lang w:eastAsia="zh-CN"/>
        </w:rPr>
        <w:t>，按照约定</w:t>
      </w:r>
      <w:r>
        <w:rPr>
          <w:rFonts w:hint="eastAsia" w:ascii="仿宋" w:hAnsi="仿宋" w:eastAsia="仿宋" w:cs="仿宋"/>
          <w:color w:val="auto"/>
          <w:sz w:val="22"/>
          <w:szCs w:val="22"/>
          <w:highlight w:val="none"/>
        </w:rPr>
        <w:t>方式履行合同。</w:t>
      </w:r>
    </w:p>
    <w:p w14:paraId="5BA46E05">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4</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甲方的权利和义务</w:t>
      </w:r>
    </w:p>
    <w:p w14:paraId="595EBA23">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.1 签署合同后，甲方</w:t>
      </w:r>
      <w:r>
        <w:rPr>
          <w:rFonts w:hint="eastAsia" w:ascii="仿宋" w:hAnsi="仿宋" w:eastAsia="仿宋" w:cs="仿宋"/>
          <w:color w:val="auto"/>
          <w:sz w:val="22"/>
          <w:szCs w:val="22"/>
          <w:highlight w:val="none"/>
          <w:lang w:eastAsia="zh-CN"/>
        </w:rPr>
        <w:t>应</w:t>
      </w:r>
      <w:r>
        <w:rPr>
          <w:rFonts w:hint="eastAsia" w:ascii="仿宋" w:hAnsi="仿宋" w:eastAsia="仿宋" w:cs="仿宋"/>
          <w:color w:val="auto"/>
          <w:sz w:val="22"/>
          <w:szCs w:val="22"/>
          <w:highlight w:val="none"/>
        </w:rPr>
        <w:t>确定</w:t>
      </w:r>
      <w:r>
        <w:rPr>
          <w:rFonts w:hint="eastAsia" w:ascii="仿宋" w:hAnsi="仿宋" w:eastAsia="仿宋" w:cs="仿宋"/>
          <w:color w:val="auto"/>
          <w:sz w:val="22"/>
          <w:szCs w:val="22"/>
          <w:highlight w:val="none"/>
          <w:lang w:val="en-US" w:eastAsia="zh-CN"/>
        </w:rPr>
        <w:t>项目负责人（或项目联系人）</w:t>
      </w:r>
      <w:r>
        <w:rPr>
          <w:rFonts w:hint="eastAsia" w:ascii="仿宋" w:hAnsi="仿宋" w:eastAsia="仿宋" w:cs="仿宋"/>
          <w:color w:val="auto"/>
          <w:sz w:val="22"/>
          <w:szCs w:val="22"/>
          <w:highlight w:val="none"/>
        </w:rPr>
        <w:t>，负责与本合同有关的事务。甲方有权对乙方的履约行为进行检查，并及时确认乙方提交的事项。甲方应当配合乙方完成相关项目实施工作。</w:t>
      </w:r>
    </w:p>
    <w:p w14:paraId="1576C5AF">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.2 甲方有权要求乙方按时提交各阶段有关安排计划，并有权定期核对乙方提供货物数量、规格、质量等内容。甲方有权督促乙方工作并要求乙方更换不符合要求的货物。</w:t>
      </w:r>
    </w:p>
    <w:p w14:paraId="39E14342">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.3 甲方有权要求乙方对缺陷部分予以修复，并按合同约定享有货物保修及其他合同约定的权利。</w:t>
      </w:r>
    </w:p>
    <w:p w14:paraId="1A89A708">
      <w:pPr>
        <w:pageBreakBefore w:val="0"/>
        <w:widowControl w:val="0"/>
        <w:kinsoku/>
        <w:wordWrap/>
        <w:overflowPunct/>
        <w:topLinePunct w:val="0"/>
        <w:bidi w:val="0"/>
        <w:snapToGrid w:val="0"/>
        <w:spacing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4.4 甲方应当按照合同约定及时对交付的货物进行验收，</w:t>
      </w:r>
      <w:r>
        <w:rPr>
          <w:rFonts w:hint="eastAsia" w:ascii="仿宋" w:hAnsi="仿宋" w:eastAsia="仿宋" w:cs="仿宋"/>
          <w:b w:val="0"/>
          <w:bCs w:val="0"/>
          <w:color w:val="auto"/>
          <w:sz w:val="22"/>
          <w:szCs w:val="22"/>
          <w:highlight w:val="none"/>
          <w:lang w:eastAsia="zh-CN"/>
        </w:rPr>
        <w:t>未</w:t>
      </w:r>
      <w:r>
        <w:rPr>
          <w:rFonts w:hint="eastAsia" w:ascii="仿宋" w:hAnsi="仿宋" w:eastAsia="仿宋" w:cs="仿宋"/>
          <w:color w:val="auto"/>
          <w:sz w:val="22"/>
          <w:szCs w:val="22"/>
          <w:highlight w:val="none"/>
          <w:lang w:val="en-US" w:eastAsia="zh-CN"/>
        </w:rPr>
        <w:t>在</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b w:val="0"/>
          <w:bCs w:val="0"/>
          <w:color w:val="auto"/>
          <w:sz w:val="22"/>
          <w:szCs w:val="22"/>
          <w:highlight w:val="none"/>
          <w:lang w:eastAsia="zh-CN"/>
        </w:rPr>
        <w:t>约定的期限内对乙方履约提出任何异议或者向乙方作出任何说明的，</w:t>
      </w:r>
      <w:r>
        <w:rPr>
          <w:rFonts w:hint="eastAsia" w:ascii="仿宋" w:hAnsi="仿宋" w:eastAsia="仿宋" w:cs="仿宋"/>
          <w:color w:val="auto"/>
          <w:sz w:val="22"/>
          <w:szCs w:val="22"/>
          <w:highlight w:val="none"/>
          <w:lang w:val="en-US" w:eastAsia="zh-CN"/>
        </w:rPr>
        <w:t>视为验收通过。</w:t>
      </w:r>
    </w:p>
    <w:p w14:paraId="32BCAA2B">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 xml:space="preserve"> 甲方应当根据合同约定</w:t>
      </w:r>
      <w:r>
        <w:rPr>
          <w:rFonts w:hint="eastAsia" w:ascii="仿宋" w:hAnsi="仿宋" w:eastAsia="仿宋" w:cs="仿宋"/>
          <w:color w:val="auto"/>
          <w:sz w:val="22"/>
          <w:szCs w:val="22"/>
          <w:highlight w:val="none"/>
          <w:lang w:eastAsia="zh-CN"/>
        </w:rPr>
        <w:t>及</w:t>
      </w:r>
      <w:r>
        <w:rPr>
          <w:rFonts w:hint="eastAsia" w:ascii="仿宋" w:hAnsi="仿宋" w:eastAsia="仿宋" w:cs="仿宋"/>
          <w:color w:val="auto"/>
          <w:sz w:val="22"/>
          <w:szCs w:val="22"/>
          <w:highlight w:val="none"/>
        </w:rPr>
        <w:t>时向乙方支付</w:t>
      </w:r>
      <w:r>
        <w:rPr>
          <w:rFonts w:hint="eastAsia" w:ascii="仿宋" w:hAnsi="仿宋" w:eastAsia="仿宋" w:cs="仿宋"/>
          <w:color w:val="auto"/>
          <w:sz w:val="22"/>
          <w:szCs w:val="22"/>
          <w:highlight w:val="none"/>
          <w:lang w:eastAsia="zh-CN"/>
        </w:rPr>
        <w:t>合同价款，不得以内部人员变更、履行内部付款流程等为由，拒绝或迟延支付。</w:t>
      </w:r>
    </w:p>
    <w:p w14:paraId="71C3EEC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 xml:space="preserve"> 国家法律法规规定</w:t>
      </w:r>
      <w:r>
        <w:rPr>
          <w:rFonts w:hint="eastAsia" w:ascii="仿宋" w:hAnsi="仿宋" w:eastAsia="仿宋" w:cs="仿宋"/>
          <w:color w:val="auto"/>
          <w:sz w:val="22"/>
          <w:szCs w:val="22"/>
          <w:highlight w:val="none"/>
          <w:lang w:eastAsia="zh-CN"/>
        </w:rPr>
        <w:t>及</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lang w:eastAsia="zh-CN"/>
        </w:rPr>
        <w:t>约定应</w:t>
      </w:r>
      <w:r>
        <w:rPr>
          <w:rFonts w:hint="eastAsia" w:ascii="仿宋" w:hAnsi="仿宋" w:eastAsia="仿宋" w:cs="仿宋"/>
          <w:color w:val="auto"/>
          <w:sz w:val="22"/>
          <w:szCs w:val="22"/>
          <w:highlight w:val="none"/>
        </w:rPr>
        <w:t>由甲方承担的其他义务和责任。</w:t>
      </w:r>
    </w:p>
    <w:p w14:paraId="3B172A88">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5</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乙方的权利和义务</w:t>
      </w:r>
    </w:p>
    <w:p w14:paraId="09E10F72">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5</w:t>
      </w:r>
      <w:r>
        <w:rPr>
          <w:rFonts w:hint="eastAsia" w:ascii="仿宋" w:hAnsi="仿宋" w:eastAsia="仿宋" w:cs="仿宋"/>
          <w:color w:val="auto"/>
          <w:sz w:val="22"/>
          <w:szCs w:val="22"/>
          <w:highlight w:val="none"/>
        </w:rPr>
        <w:t>.1 签署合同后，乙方</w:t>
      </w:r>
      <w:r>
        <w:rPr>
          <w:rFonts w:hint="eastAsia" w:ascii="仿宋" w:hAnsi="仿宋" w:eastAsia="仿宋" w:cs="仿宋"/>
          <w:color w:val="auto"/>
          <w:sz w:val="22"/>
          <w:szCs w:val="22"/>
          <w:highlight w:val="none"/>
          <w:lang w:eastAsia="zh-CN"/>
        </w:rPr>
        <w:t>应</w:t>
      </w:r>
      <w:r>
        <w:rPr>
          <w:rFonts w:hint="eastAsia" w:ascii="仿宋" w:hAnsi="仿宋" w:eastAsia="仿宋" w:cs="仿宋"/>
          <w:color w:val="auto"/>
          <w:sz w:val="22"/>
          <w:szCs w:val="22"/>
          <w:highlight w:val="none"/>
        </w:rPr>
        <w:t>确定</w:t>
      </w:r>
      <w:r>
        <w:rPr>
          <w:rFonts w:hint="eastAsia" w:ascii="仿宋" w:hAnsi="仿宋" w:eastAsia="仿宋" w:cs="仿宋"/>
          <w:color w:val="auto"/>
          <w:sz w:val="22"/>
          <w:szCs w:val="22"/>
          <w:highlight w:val="none"/>
          <w:lang w:val="en-US" w:eastAsia="zh-CN"/>
        </w:rPr>
        <w:t>项目负责人（或项目联系人）</w:t>
      </w:r>
      <w:r>
        <w:rPr>
          <w:rFonts w:hint="eastAsia" w:ascii="仿宋" w:hAnsi="仿宋" w:eastAsia="仿宋" w:cs="仿宋"/>
          <w:color w:val="auto"/>
          <w:sz w:val="22"/>
          <w:szCs w:val="22"/>
          <w:highlight w:val="none"/>
        </w:rPr>
        <w:t>，负责与本合同有关的事务。</w:t>
      </w:r>
    </w:p>
    <w:p w14:paraId="255ED658">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5</w:t>
      </w:r>
      <w:r>
        <w:rPr>
          <w:rFonts w:hint="eastAsia" w:ascii="仿宋" w:hAnsi="仿宋" w:eastAsia="仿宋" w:cs="仿宋"/>
          <w:color w:val="auto"/>
          <w:sz w:val="22"/>
          <w:szCs w:val="22"/>
          <w:highlight w:val="none"/>
        </w:rPr>
        <w:t>.2 乙方应按照合同要求履约，充分合理安排，确保提供的货物</w:t>
      </w:r>
      <w:r>
        <w:rPr>
          <w:rFonts w:hint="eastAsia" w:ascii="仿宋" w:hAnsi="仿宋" w:eastAsia="仿宋" w:cs="仿宋"/>
          <w:color w:val="auto"/>
          <w:sz w:val="22"/>
          <w:szCs w:val="22"/>
          <w:highlight w:val="none"/>
          <w:lang w:eastAsia="zh-CN"/>
        </w:rPr>
        <w:t>及相关</w:t>
      </w:r>
      <w:r>
        <w:rPr>
          <w:rFonts w:hint="eastAsia" w:ascii="仿宋" w:hAnsi="仿宋" w:eastAsia="仿宋" w:cs="仿宋"/>
          <w:color w:val="auto"/>
          <w:sz w:val="22"/>
          <w:szCs w:val="22"/>
          <w:highlight w:val="none"/>
        </w:rPr>
        <w:t>服务符合合同</w:t>
      </w:r>
      <w:r>
        <w:rPr>
          <w:rFonts w:hint="eastAsia" w:ascii="仿宋" w:hAnsi="仿宋" w:eastAsia="仿宋" w:cs="仿宋"/>
          <w:color w:val="auto"/>
          <w:sz w:val="22"/>
          <w:szCs w:val="22"/>
          <w:highlight w:val="none"/>
          <w:lang w:eastAsia="zh-CN"/>
        </w:rPr>
        <w:t>有关</w:t>
      </w:r>
      <w:r>
        <w:rPr>
          <w:rFonts w:hint="eastAsia" w:ascii="仿宋" w:hAnsi="仿宋" w:eastAsia="仿宋" w:cs="仿宋"/>
          <w:color w:val="auto"/>
          <w:sz w:val="22"/>
          <w:szCs w:val="22"/>
          <w:highlight w:val="none"/>
        </w:rPr>
        <w:t>要求。接受项目行业管理部门及政府有关部门的指导，配合甲方的履约检查</w:t>
      </w:r>
      <w:r>
        <w:rPr>
          <w:rFonts w:hint="eastAsia" w:ascii="仿宋" w:hAnsi="仿宋" w:eastAsia="仿宋" w:cs="仿宋"/>
          <w:color w:val="auto"/>
          <w:sz w:val="22"/>
          <w:szCs w:val="22"/>
          <w:highlight w:val="none"/>
          <w:lang w:eastAsia="zh-CN"/>
        </w:rPr>
        <w:t>及验收</w:t>
      </w:r>
      <w:r>
        <w:rPr>
          <w:rFonts w:hint="eastAsia" w:ascii="仿宋" w:hAnsi="仿宋" w:eastAsia="仿宋" w:cs="仿宋"/>
          <w:color w:val="auto"/>
          <w:sz w:val="22"/>
          <w:szCs w:val="22"/>
          <w:highlight w:val="none"/>
        </w:rPr>
        <w:t>，并负责项目实施过程中的所有协调工作。</w:t>
      </w:r>
    </w:p>
    <w:p w14:paraId="535DD5B1">
      <w:pPr>
        <w:pageBreakBefore w:val="0"/>
        <w:widowControl w:val="0"/>
        <w:kinsoku/>
        <w:wordWrap/>
        <w:overflowPunct/>
        <w:topLinePunct w:val="0"/>
        <w:bidi w:val="0"/>
        <w:spacing w:after="0" w:line="480" w:lineRule="exact"/>
        <w:ind w:firstLine="387" w:firstLineChars="176"/>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5.3乙方有权根据合同约定向甲方收取合同价款。</w:t>
      </w:r>
    </w:p>
    <w:p w14:paraId="7ED2CE89">
      <w:pPr>
        <w:pageBreakBefore w:val="0"/>
        <w:widowControl w:val="0"/>
        <w:kinsoku/>
        <w:wordWrap/>
        <w:overflowPunct/>
        <w:topLinePunct w:val="0"/>
        <w:bidi w:val="0"/>
        <w:spacing w:after="0" w:line="480" w:lineRule="exact"/>
        <w:ind w:firstLine="387" w:firstLineChars="176"/>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5.4国家法律法规规定及</w:t>
      </w:r>
      <w:r>
        <w:rPr>
          <w:rFonts w:hint="eastAsia" w:ascii="仿宋" w:hAnsi="仿宋" w:eastAsia="仿宋" w:cs="仿宋"/>
          <w:b/>
          <w:bCs/>
          <w:color w:val="auto"/>
          <w:kern w:val="2"/>
          <w:sz w:val="22"/>
          <w:szCs w:val="22"/>
          <w:highlight w:val="none"/>
          <w:lang w:val="en-US" w:eastAsia="zh-CN" w:bidi="ar-SA"/>
        </w:rPr>
        <w:t>【政府采购合同专用条款】</w:t>
      </w:r>
      <w:r>
        <w:rPr>
          <w:rFonts w:hint="eastAsia" w:ascii="仿宋" w:hAnsi="仿宋" w:eastAsia="仿宋" w:cs="仿宋"/>
          <w:b w:val="0"/>
          <w:bCs w:val="0"/>
          <w:color w:val="auto"/>
          <w:kern w:val="2"/>
          <w:sz w:val="22"/>
          <w:szCs w:val="22"/>
          <w:highlight w:val="none"/>
          <w:lang w:val="en-US" w:eastAsia="zh-CN" w:bidi="ar-SA"/>
        </w:rPr>
        <w:t>约定应</w:t>
      </w:r>
      <w:r>
        <w:rPr>
          <w:rFonts w:hint="eastAsia" w:ascii="仿宋" w:hAnsi="仿宋" w:eastAsia="仿宋" w:cs="仿宋"/>
          <w:color w:val="auto"/>
          <w:kern w:val="2"/>
          <w:sz w:val="22"/>
          <w:szCs w:val="22"/>
          <w:highlight w:val="none"/>
          <w:lang w:val="en-US" w:eastAsia="zh-CN" w:bidi="ar-SA"/>
        </w:rPr>
        <w:t>由乙方承担的其他义务和责任。</w:t>
      </w:r>
    </w:p>
    <w:p w14:paraId="0FF264D6">
      <w:pPr>
        <w:pageBreakBefore w:val="0"/>
        <w:widowControl w:val="0"/>
        <w:numPr>
          <w:ilvl w:val="0"/>
          <w:numId w:val="7"/>
        </w:numPr>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合同履</w:t>
      </w:r>
      <w:r>
        <w:rPr>
          <w:rFonts w:hint="eastAsia" w:ascii="仿宋" w:hAnsi="仿宋" w:eastAsia="仿宋" w:cs="仿宋"/>
          <w:b/>
          <w:bCs/>
          <w:color w:val="auto"/>
          <w:sz w:val="22"/>
          <w:szCs w:val="22"/>
          <w:highlight w:val="none"/>
          <w:lang w:val="en-US" w:eastAsia="zh-CN"/>
        </w:rPr>
        <w:t>行</w:t>
      </w:r>
    </w:p>
    <w:p w14:paraId="650DAAD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6</w:t>
      </w:r>
      <w:r>
        <w:rPr>
          <w:rFonts w:hint="eastAsia" w:ascii="仿宋" w:hAnsi="仿宋" w:eastAsia="仿宋" w:cs="仿宋"/>
          <w:color w:val="auto"/>
          <w:sz w:val="22"/>
          <w:szCs w:val="22"/>
          <w:highlight w:val="none"/>
        </w:rPr>
        <w:t>.1 甲乙双方应当按照</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约定顺序履行合同义务；如果没有先后顺序的，应当同时履行。</w:t>
      </w:r>
    </w:p>
    <w:p w14:paraId="7FCE56A9">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6</w:t>
      </w:r>
      <w:r>
        <w:rPr>
          <w:rFonts w:hint="eastAsia" w:ascii="仿宋" w:hAnsi="仿宋" w:eastAsia="仿宋" w:cs="仿宋"/>
          <w:color w:val="auto"/>
          <w:sz w:val="22"/>
          <w:szCs w:val="22"/>
          <w:highlight w:val="none"/>
        </w:rPr>
        <w:t>.2 甲乙双方按照合同约定顺序履行合同义务时，应当先履行一方未履行的，后履行一方有权拒绝其履行请求。先履行一方履行不符合约定的，后履行一方有权拒绝其相应的履行请求。</w:t>
      </w:r>
    </w:p>
    <w:p w14:paraId="1D3CF5F3">
      <w:pPr>
        <w:pageBreakBefore w:val="0"/>
        <w:widowControl w:val="0"/>
        <w:kinsoku/>
        <w:wordWrap/>
        <w:overflowPunct/>
        <w:topLinePunct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7</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货物包装、运输</w:t>
      </w:r>
      <w:r>
        <w:rPr>
          <w:rFonts w:hint="eastAsia" w:ascii="仿宋" w:hAnsi="仿宋" w:eastAsia="仿宋" w:cs="仿宋"/>
          <w:b/>
          <w:bCs/>
          <w:color w:val="auto"/>
          <w:sz w:val="22"/>
          <w:szCs w:val="22"/>
          <w:highlight w:val="none"/>
          <w:lang w:eastAsia="zh-CN"/>
        </w:rPr>
        <w:t>、</w:t>
      </w:r>
      <w:r>
        <w:rPr>
          <w:rFonts w:hint="eastAsia" w:ascii="仿宋" w:hAnsi="仿宋" w:eastAsia="仿宋" w:cs="仿宋"/>
          <w:b/>
          <w:bCs/>
          <w:color w:val="auto"/>
          <w:sz w:val="22"/>
          <w:szCs w:val="22"/>
          <w:highlight w:val="none"/>
        </w:rPr>
        <w:t>保险</w:t>
      </w:r>
      <w:r>
        <w:rPr>
          <w:rFonts w:hint="eastAsia" w:ascii="仿宋" w:hAnsi="仿宋" w:eastAsia="仿宋" w:cs="仿宋"/>
          <w:b/>
          <w:bCs/>
          <w:color w:val="auto"/>
          <w:sz w:val="22"/>
          <w:szCs w:val="22"/>
          <w:highlight w:val="none"/>
          <w:lang w:eastAsia="zh-CN"/>
        </w:rPr>
        <w:t>和交付</w:t>
      </w:r>
      <w:r>
        <w:rPr>
          <w:rFonts w:hint="eastAsia" w:ascii="仿宋" w:hAnsi="仿宋" w:eastAsia="仿宋" w:cs="仿宋"/>
          <w:b/>
          <w:bCs/>
          <w:color w:val="auto"/>
          <w:sz w:val="22"/>
          <w:szCs w:val="22"/>
          <w:highlight w:val="none"/>
        </w:rPr>
        <w:t>要求</w:t>
      </w:r>
    </w:p>
    <w:p w14:paraId="2CE75611">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7</w:t>
      </w:r>
      <w:r>
        <w:rPr>
          <w:rFonts w:hint="eastAsia" w:ascii="仿宋" w:hAnsi="仿宋" w:eastAsia="仿宋" w:cs="仿宋"/>
          <w:color w:val="auto"/>
          <w:sz w:val="22"/>
          <w:szCs w:val="22"/>
          <w:highlight w:val="none"/>
        </w:rPr>
        <w:t>.1 本合同</w:t>
      </w:r>
      <w:r>
        <w:rPr>
          <w:rFonts w:hint="eastAsia" w:ascii="仿宋" w:hAnsi="仿宋" w:eastAsia="仿宋" w:cs="仿宋"/>
          <w:bCs/>
          <w:color w:val="auto"/>
          <w:sz w:val="22"/>
          <w:szCs w:val="22"/>
          <w:highlight w:val="none"/>
        </w:rPr>
        <w:t>涉及商品包装</w:t>
      </w:r>
      <w:r>
        <w:rPr>
          <w:rFonts w:hint="eastAsia" w:ascii="仿宋" w:hAnsi="仿宋" w:eastAsia="仿宋" w:cs="仿宋"/>
          <w:bCs/>
          <w:color w:val="auto"/>
          <w:sz w:val="22"/>
          <w:szCs w:val="22"/>
          <w:highlight w:val="none"/>
          <w:lang w:eastAsia="zh-CN"/>
        </w:rPr>
        <w:t>、</w:t>
      </w:r>
      <w:r>
        <w:rPr>
          <w:rFonts w:hint="eastAsia" w:ascii="仿宋" w:hAnsi="仿宋" w:eastAsia="仿宋" w:cs="仿宋"/>
          <w:bCs/>
          <w:color w:val="auto"/>
          <w:sz w:val="22"/>
          <w:szCs w:val="22"/>
          <w:highlight w:val="none"/>
        </w:rPr>
        <w:t>快递包装的，</w:t>
      </w:r>
      <w:r>
        <w:rPr>
          <w:rFonts w:hint="eastAsia" w:ascii="仿宋" w:hAnsi="仿宋" w:eastAsia="仿宋" w:cs="仿宋"/>
          <w:color w:val="auto"/>
          <w:sz w:val="22"/>
          <w:szCs w:val="22"/>
          <w:highlight w:val="none"/>
        </w:rPr>
        <w:t>除</w:t>
      </w:r>
      <w:r>
        <w:rPr>
          <w:rFonts w:hint="eastAsia" w:ascii="仿宋" w:hAnsi="仿宋" w:eastAsia="仿宋" w:cs="仿宋"/>
          <w:b/>
          <w:color w:val="auto"/>
          <w:sz w:val="22"/>
          <w:szCs w:val="22"/>
          <w:highlight w:val="none"/>
        </w:rPr>
        <w:t>【政府采购合同专用条款】</w:t>
      </w:r>
      <w:r>
        <w:rPr>
          <w:rFonts w:hint="eastAsia" w:ascii="仿宋" w:hAnsi="仿宋" w:eastAsia="仿宋" w:cs="仿宋"/>
          <w:bCs/>
          <w:color w:val="auto"/>
          <w:sz w:val="22"/>
          <w:szCs w:val="22"/>
          <w:highlight w:val="none"/>
        </w:rPr>
        <w:t>另有</w:t>
      </w:r>
      <w:r>
        <w:rPr>
          <w:rFonts w:hint="eastAsia" w:ascii="仿宋" w:hAnsi="仿宋" w:eastAsia="仿宋" w:cs="仿宋"/>
          <w:bCs/>
          <w:color w:val="auto"/>
          <w:sz w:val="22"/>
          <w:szCs w:val="22"/>
          <w:highlight w:val="none"/>
          <w:lang w:eastAsia="zh-CN"/>
        </w:rPr>
        <w:t>约</w:t>
      </w:r>
      <w:r>
        <w:rPr>
          <w:rFonts w:hint="eastAsia" w:ascii="仿宋" w:hAnsi="仿宋" w:eastAsia="仿宋" w:cs="仿宋"/>
          <w:bCs/>
          <w:color w:val="auto"/>
          <w:sz w:val="22"/>
          <w:szCs w:val="22"/>
          <w:highlight w:val="none"/>
        </w:rPr>
        <w:t>定</w:t>
      </w:r>
      <w:r>
        <w:rPr>
          <w:rFonts w:hint="eastAsia" w:ascii="仿宋" w:hAnsi="仿宋" w:eastAsia="仿宋" w:cs="仿宋"/>
          <w:bCs/>
          <w:color w:val="auto"/>
          <w:sz w:val="22"/>
          <w:szCs w:val="22"/>
          <w:highlight w:val="none"/>
          <w:lang w:eastAsia="zh-CN"/>
        </w:rPr>
        <w:t>外</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t>包装应适应远距离运输、防潮、防震、防锈和防野蛮装卸等要求，确保货物安全无损地运抵</w:t>
      </w:r>
      <w:r>
        <w:rPr>
          <w:rFonts w:hint="eastAsia" w:ascii="仿宋" w:hAnsi="仿宋" w:eastAsia="仿宋" w:cs="仿宋"/>
          <w:b/>
          <w:color w:val="auto"/>
          <w:sz w:val="22"/>
          <w:szCs w:val="22"/>
          <w:highlight w:val="none"/>
        </w:rPr>
        <w:t>【政府采购合同专用条款】</w:t>
      </w:r>
      <w:r>
        <w:rPr>
          <w:rFonts w:hint="eastAsia" w:ascii="仿宋" w:hAnsi="仿宋" w:eastAsia="仿宋" w:cs="仿宋"/>
          <w:b w:val="0"/>
          <w:bCs/>
          <w:color w:val="auto"/>
          <w:sz w:val="22"/>
          <w:szCs w:val="22"/>
          <w:highlight w:val="none"/>
          <w:lang w:eastAsia="zh-CN"/>
        </w:rPr>
        <w:t>约定的</w:t>
      </w:r>
      <w:r>
        <w:rPr>
          <w:rFonts w:hint="eastAsia" w:ascii="仿宋" w:hAnsi="仿宋" w:eastAsia="仿宋" w:cs="仿宋"/>
          <w:color w:val="auto"/>
          <w:sz w:val="22"/>
          <w:szCs w:val="22"/>
          <w:highlight w:val="none"/>
        </w:rPr>
        <w:t>指定现场。</w:t>
      </w:r>
    </w:p>
    <w:p w14:paraId="740B290F">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7</w:t>
      </w:r>
      <w:r>
        <w:rPr>
          <w:rFonts w:hint="eastAsia" w:ascii="仿宋" w:hAnsi="仿宋" w:eastAsia="仿宋" w:cs="仿宋"/>
          <w:color w:val="auto"/>
          <w:sz w:val="22"/>
          <w:szCs w:val="22"/>
          <w:highlight w:val="none"/>
        </w:rPr>
        <w:t>.2 除</w:t>
      </w:r>
      <w:r>
        <w:rPr>
          <w:rFonts w:hint="eastAsia" w:ascii="仿宋" w:hAnsi="仿宋" w:eastAsia="仿宋" w:cs="仿宋"/>
          <w:b/>
          <w:color w:val="auto"/>
          <w:sz w:val="22"/>
          <w:szCs w:val="22"/>
          <w:highlight w:val="none"/>
        </w:rPr>
        <w:t>【政府采购合同专用条款】</w:t>
      </w:r>
      <w:r>
        <w:rPr>
          <w:rFonts w:hint="eastAsia" w:ascii="仿宋" w:hAnsi="仿宋" w:eastAsia="仿宋" w:cs="仿宋"/>
          <w:bCs/>
          <w:color w:val="auto"/>
          <w:sz w:val="22"/>
          <w:szCs w:val="22"/>
          <w:highlight w:val="none"/>
        </w:rPr>
        <w:t>另有</w:t>
      </w:r>
      <w:r>
        <w:rPr>
          <w:rFonts w:hint="eastAsia" w:ascii="仿宋" w:hAnsi="仿宋" w:eastAsia="仿宋" w:cs="仿宋"/>
          <w:bCs/>
          <w:color w:val="auto"/>
          <w:sz w:val="22"/>
          <w:szCs w:val="22"/>
          <w:highlight w:val="none"/>
          <w:lang w:eastAsia="zh-CN"/>
        </w:rPr>
        <w:t>约</w:t>
      </w:r>
      <w:r>
        <w:rPr>
          <w:rFonts w:hint="eastAsia" w:ascii="仿宋" w:hAnsi="仿宋" w:eastAsia="仿宋" w:cs="仿宋"/>
          <w:bCs/>
          <w:color w:val="auto"/>
          <w:sz w:val="22"/>
          <w:szCs w:val="22"/>
          <w:highlight w:val="none"/>
        </w:rPr>
        <w:t>定</w:t>
      </w:r>
      <w:r>
        <w:rPr>
          <w:rFonts w:hint="eastAsia" w:ascii="仿宋" w:hAnsi="仿宋" w:eastAsia="仿宋" w:cs="仿宋"/>
          <w:bCs/>
          <w:color w:val="auto"/>
          <w:sz w:val="22"/>
          <w:szCs w:val="22"/>
          <w:highlight w:val="none"/>
          <w:lang w:eastAsia="zh-CN"/>
        </w:rPr>
        <w:t>外</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t>乙方负责办理将货物运抵本合同规定的交货地点</w:t>
      </w:r>
      <w:r>
        <w:rPr>
          <w:rFonts w:hint="eastAsia" w:ascii="仿宋" w:hAnsi="仿宋" w:eastAsia="仿宋" w:cs="仿宋"/>
          <w:color w:val="auto"/>
          <w:sz w:val="22"/>
          <w:szCs w:val="22"/>
          <w:highlight w:val="none"/>
          <w:lang w:eastAsia="zh-CN"/>
        </w:rPr>
        <w:t>，并装卸、交付至甲方</w:t>
      </w:r>
      <w:r>
        <w:rPr>
          <w:rFonts w:hint="eastAsia" w:ascii="仿宋" w:hAnsi="仿宋" w:eastAsia="仿宋" w:cs="仿宋"/>
          <w:color w:val="auto"/>
          <w:sz w:val="22"/>
          <w:szCs w:val="22"/>
          <w:highlight w:val="none"/>
        </w:rPr>
        <w:t>的一切运输事项，相关费用应</w:t>
      </w:r>
      <w:r>
        <w:rPr>
          <w:rFonts w:hint="eastAsia" w:ascii="仿宋" w:hAnsi="仿宋" w:eastAsia="仿宋" w:cs="仿宋"/>
          <w:color w:val="auto"/>
          <w:sz w:val="22"/>
          <w:szCs w:val="22"/>
          <w:highlight w:val="none"/>
          <w:lang w:eastAsia="zh-CN"/>
        </w:rPr>
        <w:t>包含</w:t>
      </w:r>
      <w:r>
        <w:rPr>
          <w:rFonts w:hint="eastAsia" w:ascii="仿宋" w:hAnsi="仿宋" w:eastAsia="仿宋" w:cs="仿宋"/>
          <w:color w:val="auto"/>
          <w:sz w:val="22"/>
          <w:szCs w:val="22"/>
          <w:highlight w:val="none"/>
        </w:rPr>
        <w:t>在合同</w:t>
      </w:r>
      <w:r>
        <w:rPr>
          <w:rFonts w:hint="eastAsia" w:ascii="仿宋" w:hAnsi="仿宋" w:eastAsia="仿宋" w:cs="仿宋"/>
          <w:color w:val="auto"/>
          <w:sz w:val="22"/>
          <w:szCs w:val="22"/>
          <w:highlight w:val="none"/>
          <w:lang w:eastAsia="zh-CN"/>
        </w:rPr>
        <w:t>价款</w:t>
      </w:r>
      <w:r>
        <w:rPr>
          <w:rFonts w:hint="eastAsia" w:ascii="仿宋" w:hAnsi="仿宋" w:eastAsia="仿宋" w:cs="仿宋"/>
          <w:color w:val="auto"/>
          <w:sz w:val="22"/>
          <w:szCs w:val="22"/>
          <w:highlight w:val="none"/>
        </w:rPr>
        <w:t>中。</w:t>
      </w:r>
    </w:p>
    <w:p w14:paraId="383510FD">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7</w:t>
      </w:r>
      <w:r>
        <w:rPr>
          <w:rFonts w:hint="eastAsia" w:ascii="仿宋" w:hAnsi="仿宋" w:eastAsia="仿宋" w:cs="仿宋"/>
          <w:color w:val="auto"/>
          <w:sz w:val="22"/>
          <w:szCs w:val="22"/>
          <w:highlight w:val="none"/>
        </w:rPr>
        <w:t>.3 货物保险要求按</w:t>
      </w:r>
      <w:r>
        <w:rPr>
          <w:rFonts w:hint="eastAsia" w:ascii="仿宋" w:hAnsi="仿宋" w:eastAsia="仿宋" w:cs="仿宋"/>
          <w:b/>
          <w:color w:val="auto"/>
          <w:sz w:val="22"/>
          <w:szCs w:val="22"/>
          <w:highlight w:val="none"/>
        </w:rPr>
        <w:t>【政府采购合同专用条款】</w:t>
      </w:r>
      <w:r>
        <w:rPr>
          <w:rFonts w:hint="eastAsia" w:ascii="仿宋" w:hAnsi="仿宋" w:eastAsia="仿宋" w:cs="仿宋"/>
          <w:bCs/>
          <w:color w:val="auto"/>
          <w:sz w:val="22"/>
          <w:szCs w:val="22"/>
          <w:highlight w:val="none"/>
        </w:rPr>
        <w:t>规定执行</w:t>
      </w:r>
      <w:r>
        <w:rPr>
          <w:rFonts w:hint="eastAsia" w:ascii="仿宋" w:hAnsi="仿宋" w:eastAsia="仿宋" w:cs="仿宋"/>
          <w:color w:val="auto"/>
          <w:sz w:val="22"/>
          <w:szCs w:val="22"/>
          <w:highlight w:val="none"/>
        </w:rPr>
        <w:t>。</w:t>
      </w:r>
    </w:p>
    <w:p w14:paraId="29E4850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7</w:t>
      </w:r>
      <w:r>
        <w:rPr>
          <w:rFonts w:hint="eastAsia" w:ascii="仿宋" w:hAnsi="仿宋" w:eastAsia="仿宋" w:cs="仿宋"/>
          <w:color w:val="auto"/>
          <w:sz w:val="22"/>
          <w:szCs w:val="22"/>
          <w:highlight w:val="none"/>
        </w:rPr>
        <w:t xml:space="preserve">.4 </w:t>
      </w:r>
      <w:r>
        <w:rPr>
          <w:rFonts w:hint="eastAsia" w:ascii="仿宋" w:hAnsi="仿宋" w:eastAsia="仿宋" w:cs="仿宋"/>
          <w:color w:val="auto"/>
          <w:sz w:val="22"/>
          <w:szCs w:val="22"/>
          <w:highlight w:val="none"/>
          <w:lang w:val="en-US" w:eastAsia="zh-CN"/>
        </w:rPr>
        <w:t>除采购活动</w:t>
      </w:r>
      <w:r>
        <w:rPr>
          <w:rFonts w:hint="eastAsia" w:ascii="仿宋" w:hAnsi="仿宋" w:eastAsia="仿宋" w:cs="仿宋"/>
          <w:color w:val="auto"/>
          <w:sz w:val="22"/>
          <w:szCs w:val="22"/>
          <w:highlight w:val="none"/>
        </w:rPr>
        <w:t>对商品包装</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快递包装</w:t>
      </w:r>
      <w:r>
        <w:rPr>
          <w:rFonts w:hint="eastAsia" w:ascii="仿宋" w:hAnsi="仿宋" w:eastAsia="仿宋" w:cs="仿宋"/>
          <w:color w:val="auto"/>
          <w:sz w:val="22"/>
          <w:szCs w:val="22"/>
          <w:highlight w:val="none"/>
          <w:lang w:val="en-US" w:eastAsia="zh-CN"/>
        </w:rPr>
        <w:t>达成具体约定外</w:t>
      </w:r>
      <w:r>
        <w:rPr>
          <w:rFonts w:hint="eastAsia" w:ascii="仿宋" w:hAnsi="仿宋" w:eastAsia="仿宋" w:cs="仿宋"/>
          <w:color w:val="auto"/>
          <w:sz w:val="22"/>
          <w:szCs w:val="22"/>
          <w:highlight w:val="none"/>
        </w:rPr>
        <w:t>，乙方提供产品及相关快递服务</w:t>
      </w:r>
      <w:r>
        <w:rPr>
          <w:rFonts w:hint="eastAsia" w:ascii="仿宋" w:hAnsi="仿宋" w:eastAsia="仿宋" w:cs="仿宋"/>
          <w:color w:val="auto"/>
          <w:sz w:val="22"/>
          <w:szCs w:val="22"/>
          <w:highlight w:val="none"/>
          <w:lang w:val="en-US" w:eastAsia="zh-CN"/>
        </w:rPr>
        <w:t>涉及到</w:t>
      </w:r>
      <w:r>
        <w:rPr>
          <w:rFonts w:hint="eastAsia" w:ascii="仿宋" w:hAnsi="仿宋" w:eastAsia="仿宋" w:cs="仿宋"/>
          <w:color w:val="auto"/>
          <w:sz w:val="22"/>
          <w:szCs w:val="22"/>
          <w:highlight w:val="none"/>
        </w:rPr>
        <w:t>具体包装要求</w:t>
      </w:r>
      <w:r>
        <w:rPr>
          <w:rFonts w:hint="eastAsia" w:ascii="仿宋" w:hAnsi="仿宋" w:eastAsia="仿宋" w:cs="仿宋"/>
          <w:color w:val="auto"/>
          <w:sz w:val="22"/>
          <w:szCs w:val="22"/>
          <w:highlight w:val="none"/>
          <w:lang w:val="en-US" w:eastAsia="zh-CN"/>
        </w:rPr>
        <w:t>的，</w:t>
      </w:r>
      <w:r>
        <w:rPr>
          <w:rFonts w:hint="eastAsia" w:ascii="仿宋" w:hAnsi="仿宋" w:eastAsia="仿宋" w:cs="仿宋"/>
          <w:color w:val="auto"/>
          <w:sz w:val="22"/>
          <w:szCs w:val="22"/>
          <w:highlight w:val="none"/>
        </w:rPr>
        <w:t>应</w:t>
      </w:r>
      <w:r>
        <w:rPr>
          <w:rFonts w:hint="eastAsia" w:ascii="仿宋" w:hAnsi="仿宋" w:eastAsia="仿宋" w:cs="仿宋"/>
          <w:color w:val="auto"/>
          <w:sz w:val="22"/>
          <w:szCs w:val="22"/>
          <w:highlight w:val="none"/>
          <w:lang w:val="en-US" w:eastAsia="zh-CN"/>
        </w:rPr>
        <w:t>不低于</w:t>
      </w:r>
      <w:r>
        <w:rPr>
          <w:rFonts w:hint="eastAsia" w:ascii="仿宋" w:hAnsi="仿宋" w:eastAsia="仿宋" w:cs="仿宋"/>
          <w:color w:val="auto"/>
          <w:sz w:val="22"/>
          <w:szCs w:val="22"/>
          <w:highlight w:val="none"/>
        </w:rPr>
        <w:t>《商品包装政府采购需求标准（试行）</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快递包装政府采购需求标准（试行）》</w:t>
      </w:r>
      <w:r>
        <w:rPr>
          <w:rFonts w:hint="eastAsia" w:ascii="仿宋" w:hAnsi="仿宋" w:eastAsia="仿宋" w:cs="仿宋"/>
          <w:color w:val="auto"/>
          <w:sz w:val="22"/>
          <w:szCs w:val="22"/>
          <w:highlight w:val="none"/>
          <w:lang w:val="en-US" w:eastAsia="zh-CN"/>
        </w:rPr>
        <w:t>标准</w:t>
      </w:r>
      <w:r>
        <w:rPr>
          <w:rFonts w:hint="eastAsia" w:ascii="仿宋" w:hAnsi="仿宋" w:eastAsia="仿宋" w:cs="仿宋"/>
          <w:color w:val="auto"/>
          <w:sz w:val="22"/>
          <w:szCs w:val="22"/>
          <w:highlight w:val="none"/>
        </w:rPr>
        <w:t>，并作为履约验收的内容，必要时甲方可以要求乙方在履约验收环节出具检测报告。</w:t>
      </w:r>
    </w:p>
    <w:p w14:paraId="118861A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7.5 </w:t>
      </w:r>
      <w:r>
        <w:rPr>
          <w:rFonts w:hint="eastAsia" w:ascii="仿宋" w:hAnsi="仿宋" w:eastAsia="仿宋" w:cs="仿宋"/>
          <w:color w:val="auto"/>
          <w:sz w:val="22"/>
          <w:szCs w:val="22"/>
          <w:highlight w:val="none"/>
        </w:rPr>
        <w:t>乙方在运输到达之前</w:t>
      </w:r>
      <w:r>
        <w:rPr>
          <w:rFonts w:hint="eastAsia" w:ascii="仿宋" w:hAnsi="仿宋" w:eastAsia="仿宋" w:cs="仿宋"/>
          <w:color w:val="auto"/>
          <w:sz w:val="22"/>
          <w:szCs w:val="22"/>
          <w:highlight w:val="none"/>
          <w:lang w:eastAsia="zh-CN"/>
        </w:rPr>
        <w:t>应</w:t>
      </w:r>
      <w:r>
        <w:rPr>
          <w:rFonts w:hint="eastAsia" w:ascii="仿宋" w:hAnsi="仿宋" w:eastAsia="仿宋" w:cs="仿宋"/>
          <w:color w:val="auto"/>
          <w:sz w:val="22"/>
          <w:szCs w:val="22"/>
          <w:highlight w:val="none"/>
        </w:rPr>
        <w:t>提前通知</w:t>
      </w:r>
      <w:r>
        <w:rPr>
          <w:rFonts w:hint="eastAsia" w:ascii="仿宋" w:hAnsi="仿宋" w:eastAsia="仿宋" w:cs="仿宋"/>
          <w:color w:val="auto"/>
          <w:sz w:val="22"/>
          <w:szCs w:val="22"/>
          <w:highlight w:val="none"/>
          <w:lang w:eastAsia="zh-CN"/>
        </w:rPr>
        <w:t>甲方</w:t>
      </w:r>
      <w:r>
        <w:rPr>
          <w:rFonts w:hint="eastAsia" w:ascii="仿宋" w:hAnsi="仿宋" w:eastAsia="仿宋" w:cs="仿宋"/>
          <w:color w:val="auto"/>
          <w:sz w:val="22"/>
          <w:szCs w:val="22"/>
          <w:highlight w:val="none"/>
        </w:rPr>
        <w:t>，并提示货物运输装卸的注意事项</w:t>
      </w:r>
      <w:r>
        <w:rPr>
          <w:rFonts w:hint="eastAsia" w:ascii="仿宋" w:hAnsi="仿宋" w:eastAsia="仿宋" w:cs="仿宋"/>
          <w:color w:val="auto"/>
          <w:sz w:val="22"/>
          <w:szCs w:val="22"/>
          <w:highlight w:val="none"/>
          <w:lang w:eastAsia="zh-CN"/>
        </w:rPr>
        <w:t>，甲方配合乙方做好货物的接收工作。</w:t>
      </w:r>
    </w:p>
    <w:p w14:paraId="1ED26EBC">
      <w:pPr>
        <w:pageBreakBefore w:val="0"/>
        <w:widowControl w:val="0"/>
        <w:kinsoku/>
        <w:wordWrap/>
        <w:overflowPunct/>
        <w:topLinePunct w:val="0"/>
        <w:autoSpaceDE w:val="0"/>
        <w:autoSpaceDN w:val="0"/>
        <w:bidi w:val="0"/>
        <w:adjustRightInd w:val="0"/>
        <w:spacing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7.6 如因包装、运输问题导致货物损毁、丢失或者品质下降，甲方有权要求降价、换货、拒收部分或整批货物，由此产生的费用和损失，均由乙方承担。</w:t>
      </w:r>
    </w:p>
    <w:p w14:paraId="023934B3">
      <w:pPr>
        <w:pageBreakBefore w:val="0"/>
        <w:widowControl w:val="0"/>
        <w:kinsoku/>
        <w:wordWrap/>
        <w:overflowPunct/>
        <w:topLinePunct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8</w:t>
      </w:r>
      <w:r>
        <w:rPr>
          <w:rFonts w:hint="eastAsia" w:ascii="仿宋" w:hAnsi="仿宋" w:eastAsia="仿宋" w:cs="仿宋"/>
          <w:b/>
          <w:color w:val="auto"/>
          <w:sz w:val="22"/>
          <w:szCs w:val="22"/>
          <w:highlight w:val="none"/>
          <w:lang w:val="en-US" w:eastAsia="zh-CN"/>
        </w:rPr>
        <w:t xml:space="preserve">. </w:t>
      </w:r>
      <w:r>
        <w:rPr>
          <w:rFonts w:hint="eastAsia" w:ascii="仿宋" w:hAnsi="仿宋" w:eastAsia="仿宋" w:cs="仿宋"/>
          <w:b/>
          <w:color w:val="auto"/>
          <w:sz w:val="22"/>
          <w:szCs w:val="22"/>
          <w:highlight w:val="none"/>
        </w:rPr>
        <w:t>质量标准和保证</w:t>
      </w:r>
    </w:p>
    <w:p w14:paraId="7C565F4E">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b/>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8.1 质量标准</w:t>
      </w:r>
    </w:p>
    <w:p w14:paraId="0F75195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（1）本合同下</w:t>
      </w:r>
      <w:r>
        <w:rPr>
          <w:rFonts w:hint="eastAsia" w:ascii="仿宋" w:hAnsi="仿宋" w:eastAsia="仿宋" w:cs="仿宋"/>
          <w:color w:val="auto"/>
          <w:sz w:val="22"/>
          <w:szCs w:val="22"/>
          <w:highlight w:val="none"/>
          <w:lang w:eastAsia="zh-CN"/>
        </w:rPr>
        <w:t>提供</w:t>
      </w:r>
      <w:r>
        <w:rPr>
          <w:rFonts w:hint="eastAsia" w:ascii="仿宋" w:hAnsi="仿宋" w:eastAsia="仿宋" w:cs="仿宋"/>
          <w:color w:val="auto"/>
          <w:sz w:val="22"/>
          <w:szCs w:val="22"/>
          <w:highlight w:val="none"/>
        </w:rPr>
        <w:t>的货物应符合</w:t>
      </w:r>
      <w:r>
        <w:rPr>
          <w:rFonts w:hint="eastAsia" w:ascii="仿宋" w:hAnsi="仿宋" w:eastAsia="仿宋" w:cs="仿宋"/>
          <w:color w:val="auto"/>
          <w:sz w:val="22"/>
          <w:szCs w:val="22"/>
          <w:highlight w:val="none"/>
          <w:lang w:eastAsia="zh-CN"/>
        </w:rPr>
        <w:t>合同约</w:t>
      </w:r>
      <w:r>
        <w:rPr>
          <w:rFonts w:hint="eastAsia" w:ascii="仿宋" w:hAnsi="仿宋" w:eastAsia="仿宋" w:cs="仿宋"/>
          <w:color w:val="auto"/>
          <w:sz w:val="22"/>
          <w:szCs w:val="22"/>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2"/>
          <w:szCs w:val="22"/>
          <w:highlight w:val="none"/>
          <w:lang w:eastAsia="zh-CN"/>
        </w:rPr>
        <w:t>。</w:t>
      </w:r>
    </w:p>
    <w:p w14:paraId="2B4A61D6">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（2）采用中华人民共和国法定计量单位。</w:t>
      </w:r>
    </w:p>
    <w:p w14:paraId="4DA6D83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（3）乙方所</w:t>
      </w:r>
      <w:r>
        <w:rPr>
          <w:rFonts w:hint="eastAsia" w:ascii="仿宋" w:hAnsi="仿宋" w:eastAsia="仿宋" w:cs="仿宋"/>
          <w:color w:val="auto"/>
          <w:sz w:val="22"/>
          <w:szCs w:val="22"/>
          <w:highlight w:val="none"/>
          <w:lang w:eastAsia="zh-CN"/>
        </w:rPr>
        <w:t>提供</w:t>
      </w:r>
      <w:r>
        <w:rPr>
          <w:rFonts w:hint="eastAsia" w:ascii="仿宋" w:hAnsi="仿宋" w:eastAsia="仿宋" w:cs="仿宋"/>
          <w:color w:val="auto"/>
          <w:sz w:val="22"/>
          <w:szCs w:val="22"/>
          <w:highlight w:val="none"/>
        </w:rPr>
        <w:t>的货物应符合国家有关安全、环保、卫生</w:t>
      </w:r>
      <w:r>
        <w:rPr>
          <w:rFonts w:hint="eastAsia" w:ascii="仿宋" w:hAnsi="仿宋" w:eastAsia="仿宋" w:cs="仿宋"/>
          <w:color w:val="auto"/>
          <w:sz w:val="22"/>
          <w:szCs w:val="22"/>
          <w:highlight w:val="none"/>
          <w:lang w:eastAsia="zh-CN"/>
        </w:rPr>
        <w:t>的</w:t>
      </w:r>
      <w:r>
        <w:rPr>
          <w:rFonts w:hint="eastAsia" w:ascii="仿宋" w:hAnsi="仿宋" w:eastAsia="仿宋" w:cs="仿宋"/>
          <w:color w:val="auto"/>
          <w:sz w:val="22"/>
          <w:szCs w:val="22"/>
          <w:highlight w:val="none"/>
        </w:rPr>
        <w:t>规定。</w:t>
      </w:r>
    </w:p>
    <w:p w14:paraId="457F95AD">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（4）乙方应向甲方提交所</w:t>
      </w:r>
      <w:r>
        <w:rPr>
          <w:rFonts w:hint="eastAsia" w:ascii="仿宋" w:hAnsi="仿宋" w:eastAsia="仿宋" w:cs="仿宋"/>
          <w:color w:val="auto"/>
          <w:sz w:val="22"/>
          <w:szCs w:val="22"/>
          <w:highlight w:val="none"/>
          <w:lang w:eastAsia="zh-CN"/>
        </w:rPr>
        <w:t>提供</w:t>
      </w:r>
      <w:r>
        <w:rPr>
          <w:rFonts w:hint="eastAsia" w:ascii="仿宋" w:hAnsi="仿宋" w:eastAsia="仿宋" w:cs="仿宋"/>
          <w:color w:val="auto"/>
          <w:sz w:val="22"/>
          <w:szCs w:val="22"/>
          <w:highlight w:val="none"/>
        </w:rPr>
        <w:t>货物的技术文件，包括相应的中文技术文件，如：产品目录、图纸、操作手册、使用说明、维护手册或服务指南</w:t>
      </w:r>
      <w:r>
        <w:rPr>
          <w:rFonts w:hint="eastAsia" w:ascii="仿宋" w:hAnsi="仿宋" w:eastAsia="仿宋" w:cs="仿宋"/>
          <w:color w:val="auto"/>
          <w:sz w:val="22"/>
          <w:szCs w:val="22"/>
          <w:highlight w:val="none"/>
          <w:lang w:eastAsia="zh-CN"/>
        </w:rPr>
        <w:t>等</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eastAsia="zh-CN"/>
        </w:rPr>
        <w:t>上述</w:t>
      </w:r>
      <w:r>
        <w:rPr>
          <w:rFonts w:hint="eastAsia" w:ascii="仿宋" w:hAnsi="仿宋" w:eastAsia="仿宋" w:cs="仿宋"/>
          <w:color w:val="auto"/>
          <w:sz w:val="22"/>
          <w:szCs w:val="22"/>
          <w:highlight w:val="none"/>
        </w:rPr>
        <w:t>文件应包装好随货物一同发运。</w:t>
      </w:r>
    </w:p>
    <w:p w14:paraId="06C883CE">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8</w:t>
      </w:r>
      <w:r>
        <w:rPr>
          <w:rFonts w:hint="eastAsia" w:ascii="仿宋" w:hAnsi="仿宋" w:eastAsia="仿宋" w:cs="仿宋"/>
          <w:color w:val="auto"/>
          <w:sz w:val="22"/>
          <w:szCs w:val="22"/>
          <w:highlight w:val="none"/>
        </w:rPr>
        <w:t>.2 保证</w:t>
      </w:r>
    </w:p>
    <w:p w14:paraId="0A4A8384">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（1）乙方应保证</w:t>
      </w:r>
      <w:r>
        <w:rPr>
          <w:rFonts w:hint="eastAsia" w:ascii="仿宋" w:hAnsi="仿宋" w:eastAsia="仿宋" w:cs="仿宋"/>
          <w:color w:val="auto"/>
          <w:sz w:val="22"/>
          <w:szCs w:val="22"/>
          <w:highlight w:val="none"/>
          <w:lang w:eastAsia="zh-CN"/>
        </w:rPr>
        <w:t>提供的货物</w:t>
      </w:r>
      <w:r>
        <w:rPr>
          <w:rFonts w:hint="eastAsia" w:ascii="仿宋" w:hAnsi="仿宋" w:eastAsia="仿宋" w:cs="仿宋"/>
          <w:color w:val="auto"/>
          <w:sz w:val="22"/>
          <w:szCs w:val="22"/>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2"/>
          <w:szCs w:val="22"/>
          <w:highlight w:val="none"/>
          <w:lang w:eastAsia="zh-CN"/>
        </w:rPr>
        <w:t>备合同约定</w:t>
      </w:r>
      <w:r>
        <w:rPr>
          <w:rFonts w:hint="eastAsia" w:ascii="仿宋" w:hAnsi="仿宋" w:eastAsia="仿宋" w:cs="仿宋"/>
          <w:color w:val="auto"/>
          <w:sz w:val="22"/>
          <w:szCs w:val="22"/>
          <w:highlight w:val="none"/>
        </w:rPr>
        <w:t>的性能。</w:t>
      </w:r>
      <w:r>
        <w:rPr>
          <w:rFonts w:hint="eastAsia" w:ascii="仿宋" w:hAnsi="仿宋" w:eastAsia="仿宋" w:cs="仿宋"/>
          <w:color w:val="auto"/>
          <w:sz w:val="22"/>
          <w:szCs w:val="22"/>
          <w:highlight w:val="none"/>
          <w:lang w:eastAsia="zh-CN"/>
        </w:rPr>
        <w:t>存在</w:t>
      </w:r>
      <w:r>
        <w:rPr>
          <w:rFonts w:hint="eastAsia" w:ascii="仿宋" w:hAnsi="仿宋" w:eastAsia="仿宋" w:cs="仿宋"/>
          <w:color w:val="auto"/>
          <w:sz w:val="22"/>
          <w:szCs w:val="22"/>
          <w:highlight w:val="none"/>
        </w:rPr>
        <w:t>质量保证期的，货物最终交付验收</w:t>
      </w:r>
      <w:r>
        <w:rPr>
          <w:rFonts w:hint="eastAsia" w:ascii="仿宋" w:hAnsi="仿宋" w:eastAsia="仿宋" w:cs="仿宋"/>
          <w:color w:val="auto"/>
          <w:sz w:val="22"/>
          <w:szCs w:val="22"/>
          <w:highlight w:val="none"/>
          <w:lang w:eastAsia="zh-CN"/>
        </w:rPr>
        <w:t>合格</w:t>
      </w:r>
      <w:r>
        <w:rPr>
          <w:rFonts w:hint="eastAsia" w:ascii="仿宋" w:hAnsi="仿宋" w:eastAsia="仿宋" w:cs="仿宋"/>
          <w:color w:val="auto"/>
          <w:sz w:val="22"/>
          <w:szCs w:val="22"/>
          <w:highlight w:val="none"/>
        </w:rPr>
        <w:t>后</w:t>
      </w:r>
      <w:r>
        <w:rPr>
          <w:rFonts w:hint="eastAsia" w:ascii="仿宋" w:hAnsi="仿宋" w:eastAsia="仿宋" w:cs="仿宋"/>
          <w:color w:val="auto"/>
          <w:sz w:val="22"/>
          <w:szCs w:val="22"/>
          <w:highlight w:val="none"/>
          <w:lang w:eastAsia="zh-CN"/>
        </w:rPr>
        <w:t>在</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规定或乙方</w:t>
      </w:r>
      <w:r>
        <w:rPr>
          <w:rFonts w:hint="eastAsia" w:ascii="仿宋" w:hAnsi="仿宋" w:eastAsia="仿宋" w:cs="仿宋"/>
          <w:color w:val="auto"/>
          <w:sz w:val="22"/>
          <w:szCs w:val="22"/>
          <w:highlight w:val="none"/>
          <w:lang w:eastAsia="zh-CN"/>
        </w:rPr>
        <w:t>书面</w:t>
      </w:r>
      <w:r>
        <w:rPr>
          <w:rFonts w:hint="eastAsia" w:ascii="仿宋" w:hAnsi="仿宋" w:eastAsia="仿宋" w:cs="仿宋"/>
          <w:color w:val="auto"/>
          <w:sz w:val="22"/>
          <w:szCs w:val="22"/>
          <w:highlight w:val="none"/>
        </w:rPr>
        <w:t>承诺（两者以较长的为准）的质量保证期内，本保证保持有效。</w:t>
      </w:r>
    </w:p>
    <w:p w14:paraId="7113473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（2）在质量保证期内所发现的缺陷，甲方应尽快以书面形式通知乙方。</w:t>
      </w:r>
    </w:p>
    <w:p w14:paraId="05ED0BA8">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（3）乙方收到通知后</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应在</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规定的响应时间内以合理的速度免费维修或更换有缺陷的货物或部件。</w:t>
      </w:r>
    </w:p>
    <w:p w14:paraId="09E0DF1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.1条规定以书面形式</w:t>
      </w:r>
      <w:r>
        <w:rPr>
          <w:rFonts w:hint="eastAsia" w:ascii="仿宋" w:hAnsi="仿宋" w:eastAsia="仿宋" w:cs="仿宋"/>
          <w:color w:val="auto"/>
          <w:sz w:val="22"/>
          <w:szCs w:val="22"/>
          <w:highlight w:val="none"/>
          <w:lang w:eastAsia="zh-CN"/>
        </w:rPr>
        <w:t>追究</w:t>
      </w:r>
      <w:r>
        <w:rPr>
          <w:rFonts w:hint="eastAsia" w:ascii="仿宋" w:hAnsi="仿宋" w:eastAsia="仿宋" w:cs="仿宋"/>
          <w:color w:val="auto"/>
          <w:sz w:val="22"/>
          <w:szCs w:val="22"/>
          <w:highlight w:val="none"/>
        </w:rPr>
        <w:t>乙方</w:t>
      </w:r>
      <w:r>
        <w:rPr>
          <w:rFonts w:hint="eastAsia" w:ascii="仿宋" w:hAnsi="仿宋" w:eastAsia="仿宋" w:cs="仿宋"/>
          <w:color w:val="auto"/>
          <w:sz w:val="22"/>
          <w:szCs w:val="22"/>
          <w:highlight w:val="none"/>
          <w:lang w:eastAsia="zh-CN"/>
        </w:rPr>
        <w:t>的违约责任</w:t>
      </w:r>
      <w:r>
        <w:rPr>
          <w:rFonts w:hint="eastAsia" w:ascii="仿宋" w:hAnsi="仿宋" w:eastAsia="仿宋" w:cs="仿宋"/>
          <w:color w:val="auto"/>
          <w:sz w:val="22"/>
          <w:szCs w:val="22"/>
          <w:highlight w:val="none"/>
        </w:rPr>
        <w:t>。</w:t>
      </w:r>
    </w:p>
    <w:p w14:paraId="68F18183">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2"/>
          <w:szCs w:val="22"/>
          <w:highlight w:val="none"/>
          <w:lang w:eastAsia="zh-CN"/>
        </w:rPr>
        <w:t>约定</w:t>
      </w:r>
      <w:r>
        <w:rPr>
          <w:rFonts w:hint="eastAsia" w:ascii="仿宋" w:hAnsi="仿宋" w:eastAsia="仿宋" w:cs="仿宋"/>
          <w:color w:val="auto"/>
          <w:sz w:val="22"/>
          <w:szCs w:val="22"/>
          <w:highlight w:val="none"/>
        </w:rPr>
        <w:t>对乙方行使的其他权利不受影响。</w:t>
      </w:r>
    </w:p>
    <w:p w14:paraId="2656E151">
      <w:pPr>
        <w:pageBreakBefore w:val="0"/>
        <w:widowControl w:val="0"/>
        <w:kinsoku/>
        <w:wordWrap/>
        <w:overflowPunct/>
        <w:topLinePunct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9</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权利瑕疵担保</w:t>
      </w:r>
    </w:p>
    <w:p w14:paraId="4281CD7F">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9</w:t>
      </w:r>
      <w:r>
        <w:rPr>
          <w:rFonts w:hint="eastAsia" w:ascii="仿宋" w:hAnsi="仿宋" w:eastAsia="仿宋" w:cs="仿宋"/>
          <w:color w:val="auto"/>
          <w:sz w:val="22"/>
          <w:szCs w:val="22"/>
          <w:highlight w:val="none"/>
        </w:rPr>
        <w:t>.1 乙方保证对其出售的货物享有合法的权利。</w:t>
      </w:r>
    </w:p>
    <w:p w14:paraId="5A5E95AE">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9</w:t>
      </w:r>
      <w:r>
        <w:rPr>
          <w:rFonts w:hint="eastAsia" w:ascii="仿宋" w:hAnsi="仿宋" w:eastAsia="仿宋" w:cs="仿宋"/>
          <w:color w:val="auto"/>
          <w:sz w:val="22"/>
          <w:szCs w:val="22"/>
          <w:highlight w:val="none"/>
        </w:rPr>
        <w:t>.2 乙方保证在交付的货物上不存在抵押权等担保物权。</w:t>
      </w:r>
    </w:p>
    <w:p w14:paraId="5051C432">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9</w:t>
      </w:r>
      <w:r>
        <w:rPr>
          <w:rFonts w:hint="eastAsia" w:ascii="仿宋" w:hAnsi="仿宋" w:eastAsia="仿宋" w:cs="仿宋"/>
          <w:color w:val="auto"/>
          <w:sz w:val="22"/>
          <w:szCs w:val="22"/>
          <w:highlight w:val="none"/>
        </w:rPr>
        <w:t>.3 如甲方使用</w:t>
      </w:r>
      <w:r>
        <w:rPr>
          <w:rFonts w:hint="eastAsia" w:ascii="仿宋" w:hAnsi="仿宋" w:eastAsia="仿宋" w:cs="仿宋"/>
          <w:color w:val="auto"/>
          <w:sz w:val="22"/>
          <w:szCs w:val="22"/>
          <w:highlight w:val="none"/>
          <w:lang w:val="en-US" w:eastAsia="zh-CN"/>
        </w:rPr>
        <w:t>上述</w:t>
      </w:r>
      <w:r>
        <w:rPr>
          <w:rFonts w:hint="eastAsia" w:ascii="仿宋" w:hAnsi="仿宋" w:eastAsia="仿宋" w:cs="仿宋"/>
          <w:color w:val="auto"/>
          <w:sz w:val="22"/>
          <w:szCs w:val="22"/>
          <w:highlight w:val="none"/>
        </w:rPr>
        <w:t>货物构成</w:t>
      </w:r>
      <w:r>
        <w:rPr>
          <w:rFonts w:hint="eastAsia" w:ascii="仿宋" w:hAnsi="仿宋" w:eastAsia="仿宋" w:cs="仿宋"/>
          <w:color w:val="auto"/>
          <w:sz w:val="22"/>
          <w:szCs w:val="22"/>
          <w:highlight w:val="none"/>
          <w:lang w:val="en-US" w:eastAsia="zh-CN"/>
        </w:rPr>
        <w:t>对第三人</w:t>
      </w:r>
      <w:r>
        <w:rPr>
          <w:rFonts w:hint="eastAsia" w:ascii="仿宋" w:hAnsi="仿宋" w:eastAsia="仿宋" w:cs="仿宋"/>
          <w:color w:val="auto"/>
          <w:sz w:val="22"/>
          <w:szCs w:val="22"/>
          <w:highlight w:val="none"/>
        </w:rPr>
        <w:t>侵权的，则由乙方承担全部责任。</w:t>
      </w:r>
    </w:p>
    <w:p w14:paraId="299007A1">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eastAsia="zh-CN"/>
        </w:rPr>
        <w:t>0</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知识产权保护</w:t>
      </w:r>
    </w:p>
    <w:p w14:paraId="08630701">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0</w:t>
      </w:r>
      <w:r>
        <w:rPr>
          <w:rFonts w:hint="eastAsia" w:ascii="仿宋" w:hAnsi="仿宋" w:eastAsia="仿宋" w:cs="仿宋"/>
          <w:color w:val="auto"/>
          <w:sz w:val="22"/>
          <w:szCs w:val="22"/>
          <w:highlight w:val="none"/>
        </w:rPr>
        <w:t>.1 乙方对其所销售的货物应当享有知识产权或经权利人合法授权，保证没有侵犯任何第三人的知识产权等权利。</w:t>
      </w:r>
      <w:bookmarkStart w:id="200" w:name="_Hlk163047038"/>
      <w:r>
        <w:rPr>
          <w:rFonts w:hint="eastAsia" w:ascii="仿宋" w:hAnsi="仿宋" w:eastAsia="仿宋" w:cs="仿宋"/>
          <w:color w:val="auto"/>
          <w:sz w:val="22"/>
          <w:szCs w:val="22"/>
          <w:highlight w:val="none"/>
        </w:rPr>
        <w:t>因违反前述约定对第三人构成侵权的，应当由乙方向第三人承担法律责任；甲方依法向第三人赔偿后，有权向乙方追偿。甲方有其他损失的，乙方应当赔偿</w:t>
      </w:r>
      <w:bookmarkEnd w:id="200"/>
      <w:r>
        <w:rPr>
          <w:rFonts w:hint="eastAsia" w:ascii="仿宋" w:hAnsi="仿宋" w:eastAsia="仿宋" w:cs="仿宋"/>
          <w:color w:val="auto"/>
          <w:sz w:val="22"/>
          <w:szCs w:val="22"/>
          <w:highlight w:val="none"/>
        </w:rPr>
        <w:t>。</w:t>
      </w:r>
    </w:p>
    <w:p w14:paraId="44BCE1CD">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eastAsia="zh-CN"/>
        </w:rPr>
        <w:t>1</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保密义务</w:t>
      </w:r>
    </w:p>
    <w:p w14:paraId="4007BE2D">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11.1 </w:t>
      </w:r>
      <w:r>
        <w:rPr>
          <w:rFonts w:hint="eastAsia" w:ascii="仿宋" w:hAnsi="仿宋" w:eastAsia="仿宋" w:cs="仿宋"/>
          <w:color w:val="auto"/>
          <w:sz w:val="22"/>
          <w:szCs w:val="22"/>
          <w:highlight w:val="none"/>
        </w:rPr>
        <w:t>甲、乙双方</w:t>
      </w:r>
      <w:r>
        <w:rPr>
          <w:rFonts w:hint="eastAsia" w:ascii="仿宋" w:hAnsi="仿宋" w:eastAsia="仿宋" w:cs="仿宋"/>
          <w:color w:val="auto"/>
          <w:sz w:val="22"/>
          <w:szCs w:val="22"/>
          <w:highlight w:val="none"/>
          <w:lang w:eastAsia="zh-CN"/>
        </w:rPr>
        <w:t>对</w:t>
      </w:r>
      <w:r>
        <w:rPr>
          <w:rFonts w:hint="eastAsia" w:ascii="仿宋" w:hAnsi="仿宋" w:eastAsia="仿宋" w:cs="仿宋"/>
          <w:color w:val="auto"/>
          <w:sz w:val="22"/>
          <w:szCs w:val="22"/>
          <w:highlight w:val="none"/>
        </w:rPr>
        <w:t>采购和合同履行过程中所获悉的</w:t>
      </w:r>
      <w:r>
        <w:rPr>
          <w:rFonts w:hint="eastAsia" w:ascii="仿宋" w:hAnsi="仿宋" w:eastAsia="仿宋" w:cs="仿宋"/>
          <w:color w:val="auto"/>
          <w:sz w:val="22"/>
          <w:szCs w:val="22"/>
          <w:highlight w:val="none"/>
          <w:lang w:eastAsia="zh-CN"/>
        </w:rPr>
        <w:t>国家秘密、工作秘密、</w:t>
      </w:r>
      <w:r>
        <w:rPr>
          <w:rFonts w:hint="eastAsia" w:ascii="仿宋" w:hAnsi="仿宋" w:eastAsia="仿宋" w:cs="仿宋"/>
          <w:color w:val="auto"/>
          <w:sz w:val="22"/>
          <w:szCs w:val="22"/>
          <w:highlight w:val="none"/>
        </w:rPr>
        <w:t>商业秘密或者其他应当保密的信息，均有保密义务</w:t>
      </w:r>
      <w:r>
        <w:rPr>
          <w:rFonts w:hint="eastAsia" w:ascii="仿宋" w:hAnsi="仿宋" w:eastAsia="仿宋" w:cs="仿宋"/>
          <w:color w:val="auto"/>
          <w:sz w:val="22"/>
          <w:szCs w:val="22"/>
          <w:highlight w:val="none"/>
          <w:lang w:eastAsia="zh-CN"/>
        </w:rPr>
        <w:t>且不受合同有效期所限，直至该信息成为公开信息</w:t>
      </w:r>
      <w:r>
        <w:rPr>
          <w:rFonts w:hint="eastAsia" w:ascii="仿宋" w:hAnsi="仿宋" w:eastAsia="仿宋" w:cs="仿宋"/>
          <w:color w:val="auto"/>
          <w:sz w:val="22"/>
          <w:szCs w:val="22"/>
          <w:highlight w:val="none"/>
        </w:rPr>
        <w:t>。泄露、不正当地使用</w:t>
      </w:r>
      <w:r>
        <w:rPr>
          <w:rFonts w:hint="eastAsia" w:ascii="仿宋" w:hAnsi="仿宋" w:eastAsia="仿宋" w:cs="仿宋"/>
          <w:color w:val="auto"/>
          <w:sz w:val="22"/>
          <w:szCs w:val="22"/>
          <w:highlight w:val="none"/>
          <w:lang w:eastAsia="zh-CN"/>
        </w:rPr>
        <w:t>国家秘密、工作秘密、</w:t>
      </w:r>
      <w:r>
        <w:rPr>
          <w:rFonts w:hint="eastAsia" w:ascii="仿宋" w:hAnsi="仿宋" w:eastAsia="仿宋" w:cs="仿宋"/>
          <w:color w:val="auto"/>
          <w:sz w:val="22"/>
          <w:szCs w:val="22"/>
          <w:highlight w:val="none"/>
        </w:rPr>
        <w:t>商业秘密或者</w:t>
      </w:r>
      <w:r>
        <w:rPr>
          <w:rFonts w:hint="eastAsia" w:ascii="仿宋" w:hAnsi="仿宋" w:eastAsia="仿宋" w:cs="仿宋"/>
          <w:color w:val="auto"/>
          <w:sz w:val="22"/>
          <w:szCs w:val="22"/>
          <w:highlight w:val="none"/>
          <w:lang w:eastAsia="zh-CN"/>
        </w:rPr>
        <w:t>其他应当保密的</w:t>
      </w:r>
      <w:r>
        <w:rPr>
          <w:rFonts w:hint="eastAsia" w:ascii="仿宋" w:hAnsi="仿宋" w:eastAsia="仿宋" w:cs="仿宋"/>
          <w:color w:val="auto"/>
          <w:sz w:val="22"/>
          <w:szCs w:val="22"/>
          <w:highlight w:val="none"/>
        </w:rPr>
        <w:t>信息，应当承担</w:t>
      </w:r>
      <w:r>
        <w:rPr>
          <w:rFonts w:hint="eastAsia" w:ascii="仿宋" w:hAnsi="仿宋" w:eastAsia="仿宋" w:cs="仿宋"/>
          <w:color w:val="auto"/>
          <w:sz w:val="22"/>
          <w:szCs w:val="22"/>
          <w:highlight w:val="none"/>
          <w:lang w:eastAsia="zh-CN"/>
        </w:rPr>
        <w:t>相应</w:t>
      </w:r>
      <w:r>
        <w:rPr>
          <w:rFonts w:hint="eastAsia" w:ascii="仿宋" w:hAnsi="仿宋" w:eastAsia="仿宋" w:cs="仿宋"/>
          <w:color w:val="auto"/>
          <w:sz w:val="22"/>
          <w:szCs w:val="22"/>
          <w:highlight w:val="none"/>
        </w:rPr>
        <w:t>责任。其他应当保密的信息由双方在</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中约定。</w:t>
      </w:r>
    </w:p>
    <w:p w14:paraId="0973053E">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eastAsia="zh-CN"/>
        </w:rPr>
        <w:t>2</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合同价款支付</w:t>
      </w:r>
    </w:p>
    <w:p w14:paraId="7D02E9C7">
      <w:pPr>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2</w:t>
      </w:r>
      <w:r>
        <w:rPr>
          <w:rFonts w:hint="eastAsia" w:ascii="仿宋" w:hAnsi="仿宋" w:eastAsia="仿宋" w:cs="仿宋"/>
          <w:color w:val="auto"/>
          <w:sz w:val="22"/>
          <w:szCs w:val="22"/>
          <w:highlight w:val="none"/>
        </w:rPr>
        <w:t xml:space="preserve">.1 </w:t>
      </w:r>
      <w:r>
        <w:rPr>
          <w:rFonts w:hint="eastAsia" w:ascii="仿宋" w:hAnsi="仿宋" w:eastAsia="仿宋" w:cs="仿宋"/>
          <w:color w:val="auto"/>
          <w:sz w:val="22"/>
          <w:szCs w:val="22"/>
          <w:highlight w:val="none"/>
          <w:lang w:eastAsia="zh-CN"/>
        </w:rPr>
        <w:t>合同价款支付</w:t>
      </w:r>
      <w:r>
        <w:rPr>
          <w:rFonts w:hint="eastAsia" w:ascii="仿宋" w:hAnsi="仿宋" w:eastAsia="仿宋" w:cs="仿宋"/>
          <w:color w:val="auto"/>
          <w:sz w:val="22"/>
          <w:szCs w:val="22"/>
          <w:highlight w:val="none"/>
        </w:rPr>
        <w:t>按照国库集中支付</w:t>
      </w:r>
      <w:r>
        <w:rPr>
          <w:rFonts w:hint="eastAsia" w:ascii="仿宋" w:hAnsi="仿宋" w:eastAsia="仿宋" w:cs="仿宋"/>
          <w:color w:val="auto"/>
          <w:sz w:val="22"/>
          <w:szCs w:val="22"/>
          <w:highlight w:val="none"/>
          <w:lang w:eastAsia="zh-CN"/>
        </w:rPr>
        <w:t>制度及财政管理相关</w:t>
      </w:r>
      <w:r>
        <w:rPr>
          <w:rFonts w:hint="eastAsia" w:ascii="仿宋" w:hAnsi="仿宋" w:eastAsia="仿宋" w:cs="仿宋"/>
          <w:color w:val="auto"/>
          <w:sz w:val="22"/>
          <w:szCs w:val="22"/>
          <w:highlight w:val="none"/>
        </w:rPr>
        <w:t>规定执行。</w:t>
      </w:r>
      <w:bookmarkStart w:id="201" w:name="_Toc19863"/>
    </w:p>
    <w:p w14:paraId="0022DD2A">
      <w:pPr>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仿宋"/>
          <w:b w:val="0"/>
          <w:bCs w:val="0"/>
          <w:color w:val="auto"/>
          <w:kern w:val="2"/>
          <w:sz w:val="22"/>
          <w:szCs w:val="22"/>
          <w:highlight w:val="none"/>
          <w:lang w:val="en-US" w:eastAsia="zh-CN" w:bidi="ar-SA"/>
        </w:rPr>
        <w:t>12.2 对于满足合同约定支付条件的，甲方</w:t>
      </w:r>
      <w:r>
        <w:rPr>
          <w:rFonts w:hint="eastAsia" w:ascii="仿宋" w:hAnsi="仿宋" w:eastAsia="仿宋" w:cs="仿宋"/>
          <w:b w:val="0"/>
          <w:bCs w:val="0"/>
          <w:i w:val="0"/>
          <w:iCs w:val="0"/>
          <w:caps w:val="0"/>
          <w:color w:val="auto"/>
          <w:spacing w:val="0"/>
          <w:kern w:val="2"/>
          <w:sz w:val="22"/>
          <w:szCs w:val="22"/>
          <w:highlight w:val="none"/>
          <w:shd w:val="clear" w:color="auto" w:fill="auto"/>
          <w:vertAlign w:val="baseline"/>
          <w:lang w:val="en-US" w:eastAsia="zh-CN" w:bidi="ar-SA"/>
        </w:rPr>
        <w:t>原则上应当自收到发票后10个工作日内</w:t>
      </w:r>
      <w:r>
        <w:rPr>
          <w:rFonts w:hint="eastAsia" w:ascii="仿宋" w:hAnsi="仿宋" w:eastAsia="仿宋" w:cs="仿宋"/>
          <w:b w:val="0"/>
          <w:bCs w:val="0"/>
          <w:color w:val="auto"/>
          <w:kern w:val="2"/>
          <w:sz w:val="22"/>
          <w:szCs w:val="22"/>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color w:val="auto"/>
          <w:kern w:val="2"/>
          <w:sz w:val="22"/>
          <w:szCs w:val="22"/>
          <w:highlight w:val="none"/>
          <w:lang w:val="en-US" w:eastAsia="zh-CN" w:bidi="ar-SA"/>
        </w:rPr>
        <w:t>政府采购合同专用条款</w:t>
      </w:r>
      <w:r>
        <w:rPr>
          <w:rFonts w:hint="eastAsia" w:ascii="仿宋" w:hAnsi="仿宋" w:eastAsia="仿宋" w:cs="仿宋"/>
          <w:b w:val="0"/>
          <w:bCs w:val="0"/>
          <w:color w:val="auto"/>
          <w:kern w:val="2"/>
          <w:sz w:val="22"/>
          <w:szCs w:val="22"/>
          <w:highlight w:val="none"/>
          <w:lang w:val="en-US" w:eastAsia="zh-CN" w:bidi="ar-SA"/>
        </w:rPr>
        <w:t>】中约定。</w:t>
      </w:r>
      <w:bookmarkEnd w:id="201"/>
    </w:p>
    <w:p w14:paraId="640E23E5">
      <w:pPr>
        <w:pageBreakBefore w:val="0"/>
        <w:widowControl w:val="0"/>
        <w:kinsoku/>
        <w:wordWrap/>
        <w:overflowPunct/>
        <w:topLinePunct w:val="0"/>
        <w:bidi w:val="0"/>
        <w:spacing w:after="0" w:line="480" w:lineRule="exact"/>
        <w:jc w:val="both"/>
        <w:textAlignment w:val="auto"/>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仿宋"/>
          <w:b/>
          <w:bCs/>
          <w:color w:val="auto"/>
          <w:kern w:val="2"/>
          <w:sz w:val="22"/>
          <w:szCs w:val="22"/>
          <w:highlight w:val="none"/>
          <w:lang w:val="en-US" w:eastAsia="zh-CN" w:bidi="ar-SA"/>
        </w:rPr>
        <w:t>13. 履约保证金</w:t>
      </w:r>
    </w:p>
    <w:p w14:paraId="6A8DE69D">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3</w:t>
      </w:r>
      <w:r>
        <w:rPr>
          <w:rFonts w:hint="eastAsia" w:ascii="仿宋" w:hAnsi="仿宋" w:eastAsia="仿宋" w:cs="仿宋"/>
          <w:color w:val="auto"/>
          <w:sz w:val="22"/>
          <w:szCs w:val="22"/>
          <w:highlight w:val="none"/>
        </w:rPr>
        <w:t>.1 乙方应当以支票、汇票、本票或者金融机构、担保机构出具的保函等非现金形式提交。</w:t>
      </w:r>
    </w:p>
    <w:p w14:paraId="736C1BB1">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3</w:t>
      </w:r>
      <w:r>
        <w:rPr>
          <w:rFonts w:hint="eastAsia" w:ascii="仿宋" w:hAnsi="仿宋" w:eastAsia="仿宋" w:cs="仿宋"/>
          <w:color w:val="auto"/>
          <w:sz w:val="22"/>
          <w:szCs w:val="22"/>
          <w:highlight w:val="none"/>
        </w:rPr>
        <w:t>.2 如果乙方</w:t>
      </w:r>
      <w:r>
        <w:rPr>
          <w:rFonts w:hint="eastAsia" w:ascii="仿宋" w:hAnsi="仿宋" w:eastAsia="仿宋" w:cs="仿宋"/>
          <w:color w:val="auto"/>
          <w:sz w:val="22"/>
          <w:szCs w:val="22"/>
          <w:highlight w:val="none"/>
          <w:lang w:eastAsia="zh-CN"/>
        </w:rPr>
        <w:t>出现</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b w:val="0"/>
          <w:bCs w:val="0"/>
          <w:color w:val="auto"/>
          <w:sz w:val="22"/>
          <w:szCs w:val="22"/>
          <w:highlight w:val="none"/>
          <w:lang w:eastAsia="zh-CN"/>
        </w:rPr>
        <w:t>约定情形的</w:t>
      </w:r>
      <w:r>
        <w:rPr>
          <w:rFonts w:hint="eastAsia" w:ascii="仿宋" w:hAnsi="仿宋" w:eastAsia="仿宋" w:cs="仿宋"/>
          <w:color w:val="auto"/>
          <w:sz w:val="22"/>
          <w:szCs w:val="22"/>
          <w:highlight w:val="none"/>
        </w:rPr>
        <w:t>，履约保证金不予退还；如果乙方未能按合同约定全面履行义务，甲方有权从履约保证金中取得补偿或赔偿，</w:t>
      </w:r>
      <w:r>
        <w:rPr>
          <w:rFonts w:hint="eastAsia" w:ascii="仿宋" w:hAnsi="仿宋" w:eastAsia="仿宋" w:cs="仿宋"/>
          <w:color w:val="auto"/>
          <w:sz w:val="22"/>
          <w:szCs w:val="22"/>
          <w:highlight w:val="none"/>
          <w:lang w:eastAsia="zh-CN"/>
        </w:rPr>
        <w:t>且</w:t>
      </w:r>
      <w:r>
        <w:rPr>
          <w:rFonts w:hint="eastAsia" w:ascii="仿宋" w:hAnsi="仿宋" w:eastAsia="仿宋" w:cs="仿宋"/>
          <w:color w:val="auto"/>
          <w:sz w:val="22"/>
          <w:szCs w:val="22"/>
          <w:highlight w:val="none"/>
        </w:rPr>
        <w:t>不影响甲方要求乙方承担合同约定的超过履约保证金的违约责任的权利。</w:t>
      </w:r>
    </w:p>
    <w:p w14:paraId="2C988F8D">
      <w:pPr>
        <w:pageBreakBefore w:val="0"/>
        <w:widowControl w:val="0"/>
        <w:kinsoku/>
        <w:wordWrap/>
        <w:overflowPunct/>
        <w:topLinePunct w:val="0"/>
        <w:bidi w:val="0"/>
        <w:spacing w:line="480" w:lineRule="exact"/>
        <w:ind w:firstLine="42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3</w:t>
      </w:r>
      <w:r>
        <w:rPr>
          <w:rFonts w:hint="eastAsia" w:ascii="仿宋" w:hAnsi="仿宋" w:eastAsia="仿宋" w:cs="仿宋"/>
          <w:color w:val="auto"/>
          <w:sz w:val="22"/>
          <w:szCs w:val="22"/>
          <w:highlight w:val="none"/>
        </w:rPr>
        <w:t>.3 甲方在项目通过验收后按照</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规定的时间内将履约保证金退还乙方；逾期退还的，乙方可要求甲方支付违约金，违约金按照</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规定支付。</w:t>
      </w:r>
    </w:p>
    <w:p w14:paraId="08749C5D">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eastAsia="zh-CN"/>
        </w:rPr>
        <w:t>4</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color w:val="auto"/>
          <w:sz w:val="22"/>
          <w:szCs w:val="22"/>
          <w:highlight w:val="none"/>
        </w:rPr>
        <w:t>售后服务</w:t>
      </w:r>
    </w:p>
    <w:p w14:paraId="50F1575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4</w:t>
      </w:r>
      <w:r>
        <w:rPr>
          <w:rFonts w:hint="eastAsia" w:ascii="仿宋" w:hAnsi="仿宋" w:eastAsia="仿宋" w:cs="仿宋"/>
          <w:color w:val="auto"/>
          <w:sz w:val="22"/>
          <w:szCs w:val="22"/>
          <w:highlight w:val="none"/>
        </w:rPr>
        <w:t>.1 除项目不涉及或采购活动中明确约定无须承担外，乙方还应提供下列服务：</w:t>
      </w:r>
    </w:p>
    <w:p w14:paraId="66560A7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（1）货物的现场移动、安装、调试、启动监督及技术支持；</w:t>
      </w:r>
    </w:p>
    <w:p w14:paraId="13639B69">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（2）提供货物组装和维修所需的专用工具和辅助材料；</w:t>
      </w:r>
    </w:p>
    <w:p w14:paraId="724AC3B7">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（3）在</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lang w:eastAsia="zh-CN"/>
        </w:rPr>
        <w:t>约定</w:t>
      </w:r>
      <w:r>
        <w:rPr>
          <w:rFonts w:hint="eastAsia" w:ascii="仿宋" w:hAnsi="仿宋" w:eastAsia="仿宋" w:cs="仿宋"/>
          <w:color w:val="auto"/>
          <w:sz w:val="22"/>
          <w:szCs w:val="22"/>
          <w:highlight w:val="none"/>
        </w:rPr>
        <w:t>的期限内对所有的货物实施运行监督、维修，但前提条件是该服务并不能免除乙方在质量保证期内所承担的义务；</w:t>
      </w:r>
    </w:p>
    <w:p w14:paraId="2457CC8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（4）在制造商</w:t>
      </w:r>
      <w:r>
        <w:rPr>
          <w:rFonts w:hint="eastAsia" w:ascii="仿宋" w:hAnsi="仿宋" w:eastAsia="仿宋" w:cs="仿宋"/>
          <w:color w:val="auto"/>
          <w:sz w:val="22"/>
          <w:szCs w:val="22"/>
          <w:highlight w:val="none"/>
          <w:lang w:eastAsia="zh-CN"/>
        </w:rPr>
        <w:t>所在地</w:t>
      </w:r>
      <w:r>
        <w:rPr>
          <w:rFonts w:hint="eastAsia" w:ascii="仿宋" w:hAnsi="仿宋" w:eastAsia="仿宋" w:cs="仿宋"/>
          <w:color w:val="auto"/>
          <w:sz w:val="22"/>
          <w:szCs w:val="22"/>
          <w:highlight w:val="none"/>
        </w:rPr>
        <w:t>或</w:t>
      </w:r>
      <w:r>
        <w:rPr>
          <w:rFonts w:hint="eastAsia" w:ascii="仿宋" w:hAnsi="仿宋" w:eastAsia="仿宋" w:cs="仿宋"/>
          <w:color w:val="auto"/>
          <w:sz w:val="22"/>
          <w:szCs w:val="22"/>
          <w:highlight w:val="none"/>
          <w:lang w:eastAsia="zh-CN"/>
        </w:rPr>
        <w:t>指定</w:t>
      </w:r>
      <w:r>
        <w:rPr>
          <w:rFonts w:hint="eastAsia" w:ascii="仿宋" w:hAnsi="仿宋" w:eastAsia="仿宋" w:cs="仿宋"/>
          <w:color w:val="auto"/>
          <w:sz w:val="22"/>
          <w:szCs w:val="22"/>
          <w:highlight w:val="none"/>
        </w:rPr>
        <w:t>现场就货物的安装、启动、运营、维护</w:t>
      </w:r>
      <w:r>
        <w:rPr>
          <w:rFonts w:hint="eastAsia" w:ascii="仿宋" w:hAnsi="仿宋" w:eastAsia="仿宋" w:cs="仿宋"/>
          <w:color w:val="auto"/>
          <w:sz w:val="22"/>
          <w:szCs w:val="22"/>
          <w:highlight w:val="none"/>
          <w:lang w:eastAsia="zh-CN"/>
        </w:rPr>
        <w:t>、废弃处置等</w:t>
      </w:r>
      <w:r>
        <w:rPr>
          <w:rFonts w:hint="eastAsia" w:ascii="仿宋" w:hAnsi="仿宋" w:eastAsia="仿宋" w:cs="仿宋"/>
          <w:color w:val="auto"/>
          <w:sz w:val="22"/>
          <w:szCs w:val="22"/>
          <w:highlight w:val="none"/>
        </w:rPr>
        <w:t>对甲方操作人员进行培训</w:t>
      </w:r>
      <w:r>
        <w:rPr>
          <w:rFonts w:hint="eastAsia" w:ascii="仿宋" w:hAnsi="仿宋" w:eastAsia="仿宋" w:cs="仿宋"/>
          <w:color w:val="auto"/>
          <w:sz w:val="22"/>
          <w:szCs w:val="22"/>
          <w:highlight w:val="none"/>
          <w:lang w:eastAsia="zh-CN"/>
        </w:rPr>
        <w:t>；</w:t>
      </w:r>
    </w:p>
    <w:p w14:paraId="02A8796D">
      <w:pPr>
        <w:pageBreakBefore w:val="0"/>
        <w:widowControl w:val="0"/>
        <w:kinsoku/>
        <w:wordWrap/>
        <w:overflowPunct/>
        <w:topLinePunct w:val="0"/>
        <w:autoSpaceDE w:val="0"/>
        <w:autoSpaceDN w:val="0"/>
        <w:bidi w:val="0"/>
        <w:adjustRightInd w:val="0"/>
        <w:spacing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（5）依照法律、行政法规的规定或者按照</w:t>
      </w:r>
      <w:r>
        <w:rPr>
          <w:rFonts w:hint="eastAsia" w:ascii="仿宋" w:hAnsi="仿宋" w:eastAsia="仿宋" w:cs="仿宋"/>
          <w:b/>
          <w:bCs/>
          <w:color w:val="auto"/>
          <w:sz w:val="22"/>
          <w:szCs w:val="22"/>
          <w:highlight w:val="none"/>
          <w:lang w:val="en-US" w:eastAsia="zh-CN" w:bidi="ar-SA"/>
        </w:rPr>
        <w:t>【政府采购合同专用条款】</w:t>
      </w:r>
      <w:r>
        <w:rPr>
          <w:rFonts w:hint="eastAsia" w:ascii="仿宋" w:hAnsi="仿宋" w:eastAsia="仿宋" w:cs="仿宋"/>
          <w:color w:val="auto"/>
          <w:sz w:val="22"/>
          <w:szCs w:val="22"/>
          <w:highlight w:val="none"/>
          <w:lang w:val="en-US" w:eastAsia="zh-CN" w:bidi="ar-SA"/>
        </w:rPr>
        <w:t>约定，货物在有效使用年限届满后应予回收的，乙方负有自行或者委托第三人对货物予以回收的义务；</w:t>
      </w:r>
    </w:p>
    <w:p w14:paraId="364F92E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规定由乙方提供的其他服务。</w:t>
      </w:r>
    </w:p>
    <w:p w14:paraId="273F3673">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.2 乙方提供的</w:t>
      </w:r>
      <w:r>
        <w:rPr>
          <w:rFonts w:hint="eastAsia" w:ascii="仿宋" w:hAnsi="仿宋" w:eastAsia="仿宋" w:cs="仿宋"/>
          <w:color w:val="auto"/>
          <w:sz w:val="22"/>
          <w:szCs w:val="22"/>
          <w:highlight w:val="none"/>
          <w:lang w:eastAsia="zh-CN"/>
        </w:rPr>
        <w:t>售后</w:t>
      </w:r>
      <w:r>
        <w:rPr>
          <w:rFonts w:hint="eastAsia" w:ascii="仿宋" w:hAnsi="仿宋" w:eastAsia="仿宋" w:cs="仿宋"/>
          <w:color w:val="auto"/>
          <w:sz w:val="22"/>
          <w:szCs w:val="22"/>
          <w:highlight w:val="none"/>
        </w:rPr>
        <w:t>服务的费用</w:t>
      </w:r>
      <w:r>
        <w:rPr>
          <w:rFonts w:hint="eastAsia" w:ascii="仿宋" w:hAnsi="仿宋" w:eastAsia="仿宋" w:cs="仿宋"/>
          <w:color w:val="auto"/>
          <w:sz w:val="22"/>
          <w:szCs w:val="22"/>
          <w:highlight w:val="none"/>
          <w:lang w:val="en-US" w:eastAsia="zh-CN"/>
        </w:rPr>
        <w:t>已</w:t>
      </w:r>
      <w:r>
        <w:rPr>
          <w:rFonts w:hint="eastAsia" w:ascii="仿宋" w:hAnsi="仿宋" w:eastAsia="仿宋" w:cs="仿宋"/>
          <w:color w:val="auto"/>
          <w:sz w:val="22"/>
          <w:szCs w:val="22"/>
          <w:highlight w:val="none"/>
        </w:rPr>
        <w:t>包含在合同价款中，甲方不再另行支付。</w:t>
      </w:r>
    </w:p>
    <w:p w14:paraId="5466DB5A">
      <w:pPr>
        <w:pageBreakBefore w:val="0"/>
        <w:widowControl w:val="0"/>
        <w:kinsoku/>
        <w:wordWrap/>
        <w:overflowPunct/>
        <w:topLinePunct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eastAsia="zh-CN"/>
        </w:rPr>
        <w:t>5</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违约责任</w:t>
      </w:r>
    </w:p>
    <w:p w14:paraId="5F439045">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1</w:t>
      </w:r>
      <w:r>
        <w:rPr>
          <w:rFonts w:hint="eastAsia" w:ascii="仿宋" w:hAnsi="仿宋" w:eastAsia="仿宋" w:cs="仿宋"/>
          <w:bCs/>
          <w:color w:val="auto"/>
          <w:sz w:val="22"/>
          <w:szCs w:val="22"/>
          <w:highlight w:val="none"/>
          <w:lang w:eastAsia="zh-CN"/>
        </w:rPr>
        <w:t>5</w:t>
      </w:r>
      <w:r>
        <w:rPr>
          <w:rFonts w:hint="eastAsia" w:ascii="仿宋" w:hAnsi="仿宋" w:eastAsia="仿宋" w:cs="仿宋"/>
          <w:bCs/>
          <w:color w:val="auto"/>
          <w:sz w:val="22"/>
          <w:szCs w:val="22"/>
          <w:highlight w:val="none"/>
        </w:rPr>
        <w:t>.1质量瑕疵的</w:t>
      </w:r>
      <w:r>
        <w:rPr>
          <w:rFonts w:hint="eastAsia" w:ascii="仿宋" w:hAnsi="仿宋" w:eastAsia="仿宋" w:cs="仿宋"/>
          <w:bCs/>
          <w:color w:val="auto"/>
          <w:sz w:val="22"/>
          <w:szCs w:val="22"/>
          <w:highlight w:val="none"/>
          <w:lang w:eastAsia="zh-CN"/>
        </w:rPr>
        <w:t>违约责任</w:t>
      </w:r>
    </w:p>
    <w:p w14:paraId="032357F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乙方</w:t>
      </w:r>
      <w:r>
        <w:rPr>
          <w:rFonts w:hint="eastAsia" w:ascii="仿宋" w:hAnsi="仿宋" w:eastAsia="仿宋" w:cs="仿宋"/>
          <w:color w:val="auto"/>
          <w:sz w:val="22"/>
          <w:szCs w:val="22"/>
          <w:highlight w:val="none"/>
          <w:lang w:eastAsia="zh-CN"/>
        </w:rPr>
        <w:t>提供</w:t>
      </w:r>
      <w:r>
        <w:rPr>
          <w:rFonts w:hint="eastAsia" w:ascii="仿宋" w:hAnsi="仿宋" w:eastAsia="仿宋" w:cs="仿宋"/>
          <w:color w:val="auto"/>
          <w:sz w:val="22"/>
          <w:szCs w:val="22"/>
          <w:highlight w:val="none"/>
        </w:rPr>
        <w:t>的产品不符合</w:t>
      </w:r>
      <w:r>
        <w:rPr>
          <w:rFonts w:hint="eastAsia" w:ascii="仿宋" w:hAnsi="仿宋" w:eastAsia="仿宋" w:cs="仿宋"/>
          <w:color w:val="auto"/>
          <w:sz w:val="22"/>
          <w:szCs w:val="22"/>
          <w:highlight w:val="none"/>
          <w:lang w:eastAsia="zh-CN"/>
        </w:rPr>
        <w:t>合同约定的</w:t>
      </w:r>
      <w:r>
        <w:rPr>
          <w:rFonts w:hint="eastAsia" w:ascii="仿宋" w:hAnsi="仿宋" w:eastAsia="仿宋" w:cs="仿宋"/>
          <w:color w:val="auto"/>
          <w:sz w:val="22"/>
          <w:szCs w:val="22"/>
          <w:highlight w:val="none"/>
        </w:rPr>
        <w:t>质量标准或存在产品质量缺陷，</w:t>
      </w:r>
      <w:r>
        <w:rPr>
          <w:rFonts w:hint="eastAsia" w:ascii="仿宋" w:hAnsi="仿宋" w:eastAsia="仿宋" w:cs="仿宋"/>
          <w:color w:val="auto"/>
          <w:sz w:val="22"/>
          <w:szCs w:val="22"/>
          <w:highlight w:val="none"/>
          <w:lang w:eastAsia="zh-CN"/>
        </w:rPr>
        <w:t>甲方有权要求乙方根据</w:t>
      </w:r>
      <w:r>
        <w:rPr>
          <w:rFonts w:hint="eastAsia" w:ascii="仿宋" w:hAnsi="仿宋" w:eastAsia="仿宋" w:cs="仿宋"/>
          <w:b/>
          <w:color w:val="auto"/>
          <w:sz w:val="22"/>
          <w:szCs w:val="22"/>
          <w:highlight w:val="none"/>
        </w:rPr>
        <w:t>【政府采购合同专用条款】</w:t>
      </w:r>
      <w:r>
        <w:rPr>
          <w:rFonts w:hint="eastAsia" w:ascii="仿宋" w:hAnsi="仿宋" w:eastAsia="仿宋" w:cs="仿宋"/>
          <w:b w:val="0"/>
          <w:bCs/>
          <w:color w:val="auto"/>
          <w:sz w:val="22"/>
          <w:szCs w:val="22"/>
          <w:highlight w:val="none"/>
          <w:lang w:eastAsia="zh-CN"/>
        </w:rPr>
        <w:t>要求</w:t>
      </w:r>
      <w:r>
        <w:rPr>
          <w:rFonts w:hint="eastAsia" w:ascii="仿宋" w:hAnsi="仿宋" w:eastAsia="仿宋" w:cs="仿宋"/>
          <w:color w:val="auto"/>
          <w:sz w:val="22"/>
          <w:szCs w:val="22"/>
          <w:highlight w:val="none"/>
          <w:lang w:eastAsia="zh-CN"/>
        </w:rPr>
        <w:t>及时修理、重作、更换，并承担由此给甲</w:t>
      </w:r>
      <w:r>
        <w:rPr>
          <w:rFonts w:hint="eastAsia" w:ascii="仿宋" w:hAnsi="仿宋" w:eastAsia="仿宋" w:cs="仿宋"/>
          <w:color w:val="auto"/>
          <w:sz w:val="22"/>
          <w:szCs w:val="22"/>
          <w:highlight w:val="none"/>
        </w:rPr>
        <w:t>方</w:t>
      </w:r>
      <w:r>
        <w:rPr>
          <w:rFonts w:hint="eastAsia" w:ascii="仿宋" w:hAnsi="仿宋" w:eastAsia="仿宋" w:cs="仿宋"/>
          <w:color w:val="auto"/>
          <w:sz w:val="22"/>
          <w:szCs w:val="22"/>
          <w:highlight w:val="none"/>
          <w:lang w:eastAsia="zh-CN"/>
        </w:rPr>
        <w:t>造成的损失</w:t>
      </w:r>
      <w:r>
        <w:rPr>
          <w:rFonts w:hint="eastAsia" w:ascii="仿宋" w:hAnsi="仿宋" w:eastAsia="仿宋" w:cs="仿宋"/>
          <w:color w:val="auto"/>
          <w:sz w:val="22"/>
          <w:szCs w:val="22"/>
          <w:highlight w:val="none"/>
        </w:rPr>
        <w:t>。</w:t>
      </w:r>
    </w:p>
    <w:p w14:paraId="452B9C3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1</w:t>
      </w:r>
      <w:r>
        <w:rPr>
          <w:rFonts w:hint="eastAsia" w:ascii="仿宋" w:hAnsi="仿宋" w:eastAsia="仿宋" w:cs="仿宋"/>
          <w:bCs/>
          <w:color w:val="auto"/>
          <w:sz w:val="22"/>
          <w:szCs w:val="22"/>
          <w:highlight w:val="none"/>
          <w:lang w:eastAsia="zh-CN"/>
        </w:rPr>
        <w:t>5</w:t>
      </w:r>
      <w:r>
        <w:rPr>
          <w:rFonts w:hint="eastAsia" w:ascii="仿宋" w:hAnsi="仿宋" w:eastAsia="仿宋" w:cs="仿宋"/>
          <w:bCs/>
          <w:color w:val="auto"/>
          <w:sz w:val="22"/>
          <w:szCs w:val="22"/>
          <w:highlight w:val="none"/>
        </w:rPr>
        <w:t>.2 迟延交货的违约责任</w:t>
      </w:r>
    </w:p>
    <w:p w14:paraId="7EC48C6A">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（1）乙方应按照本合同规定的时间、地点交货和提供</w:t>
      </w:r>
      <w:r>
        <w:rPr>
          <w:rFonts w:hint="eastAsia" w:ascii="仿宋" w:hAnsi="仿宋" w:eastAsia="仿宋" w:cs="仿宋"/>
          <w:color w:val="auto"/>
          <w:sz w:val="22"/>
          <w:szCs w:val="22"/>
          <w:highlight w:val="none"/>
          <w:lang w:eastAsia="zh-CN"/>
        </w:rPr>
        <w:t>相关</w:t>
      </w:r>
      <w:r>
        <w:rPr>
          <w:rFonts w:hint="eastAsia" w:ascii="仿宋" w:hAnsi="仿宋" w:eastAsia="仿宋" w:cs="仿宋"/>
          <w:color w:val="auto"/>
          <w:sz w:val="22"/>
          <w:szCs w:val="22"/>
          <w:highlight w:val="none"/>
        </w:rPr>
        <w:t>服务。在履行合同过程中，如果乙方遇到可能</w:t>
      </w:r>
      <w:r>
        <w:rPr>
          <w:rFonts w:hint="eastAsia" w:ascii="仿宋" w:hAnsi="仿宋" w:eastAsia="仿宋" w:cs="仿宋"/>
          <w:color w:val="auto"/>
          <w:sz w:val="22"/>
          <w:szCs w:val="22"/>
          <w:highlight w:val="none"/>
          <w:lang w:eastAsia="zh-CN"/>
        </w:rPr>
        <w:t>影响</w:t>
      </w:r>
      <w:r>
        <w:rPr>
          <w:rFonts w:hint="eastAsia" w:ascii="仿宋" w:hAnsi="仿宋" w:eastAsia="仿宋" w:cs="仿宋"/>
          <w:color w:val="auto"/>
          <w:sz w:val="22"/>
          <w:szCs w:val="22"/>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2"/>
          <w:szCs w:val="22"/>
          <w:highlight w:val="none"/>
          <w:lang w:eastAsia="zh-CN"/>
        </w:rPr>
        <w:t>长</w:t>
      </w:r>
      <w:r>
        <w:rPr>
          <w:rFonts w:hint="eastAsia" w:ascii="仿宋" w:hAnsi="仿宋" w:eastAsia="仿宋" w:cs="仿宋"/>
          <w:color w:val="auto"/>
          <w:sz w:val="22"/>
          <w:szCs w:val="22"/>
          <w:highlight w:val="none"/>
        </w:rPr>
        <w:t>交货时间或延期提供服务。</w:t>
      </w:r>
    </w:p>
    <w:p w14:paraId="52BD9BA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（2）如果乙方没有按照合同规定的时间交货和提供</w:t>
      </w:r>
      <w:r>
        <w:rPr>
          <w:rFonts w:hint="eastAsia" w:ascii="仿宋" w:hAnsi="仿宋" w:eastAsia="仿宋" w:cs="仿宋"/>
          <w:color w:val="auto"/>
          <w:sz w:val="22"/>
          <w:szCs w:val="22"/>
          <w:highlight w:val="none"/>
          <w:lang w:eastAsia="zh-CN"/>
        </w:rPr>
        <w:t>相关</w:t>
      </w:r>
      <w:r>
        <w:rPr>
          <w:rFonts w:hint="eastAsia" w:ascii="仿宋" w:hAnsi="仿宋" w:eastAsia="仿宋" w:cs="仿宋"/>
          <w:color w:val="auto"/>
          <w:sz w:val="22"/>
          <w:szCs w:val="22"/>
          <w:highlight w:val="none"/>
        </w:rPr>
        <w:t>服务，甲方有权从货款中扣除误期赔偿费而不影响合同项下的其他补救方法，赔偿费按</w:t>
      </w:r>
      <w:r>
        <w:rPr>
          <w:rFonts w:hint="eastAsia" w:ascii="仿宋" w:hAnsi="仿宋" w:eastAsia="仿宋" w:cs="仿宋"/>
          <w:b/>
          <w:color w:val="auto"/>
          <w:sz w:val="22"/>
          <w:szCs w:val="22"/>
          <w:highlight w:val="none"/>
        </w:rPr>
        <w:t>【政府采购合同专用条款】</w:t>
      </w:r>
      <w:r>
        <w:rPr>
          <w:rFonts w:hint="eastAsia" w:ascii="仿宋" w:hAnsi="仿宋" w:eastAsia="仿宋" w:cs="仿宋"/>
          <w:color w:val="auto"/>
          <w:sz w:val="22"/>
          <w:szCs w:val="22"/>
          <w:highlight w:val="none"/>
        </w:rPr>
        <w:t>规定执行。如果涉及公共利益，且赔偿金额无法弥补公共利益损失，</w:t>
      </w:r>
      <w:r>
        <w:rPr>
          <w:rFonts w:hint="eastAsia" w:ascii="仿宋" w:hAnsi="仿宋" w:eastAsia="仿宋" w:cs="仿宋"/>
          <w:color w:val="auto"/>
          <w:sz w:val="22"/>
          <w:szCs w:val="22"/>
          <w:highlight w:val="none"/>
          <w:lang w:eastAsia="zh-CN"/>
        </w:rPr>
        <w:t>甲方</w:t>
      </w:r>
      <w:r>
        <w:rPr>
          <w:rFonts w:hint="eastAsia" w:ascii="仿宋" w:hAnsi="仿宋" w:eastAsia="仿宋" w:cs="仿宋"/>
          <w:color w:val="auto"/>
          <w:sz w:val="22"/>
          <w:szCs w:val="22"/>
          <w:highlight w:val="none"/>
        </w:rPr>
        <w:t>可要求继续履行或者</w:t>
      </w:r>
      <w:r>
        <w:rPr>
          <w:rFonts w:hint="eastAsia" w:ascii="仿宋" w:hAnsi="仿宋" w:eastAsia="仿宋" w:cs="仿宋"/>
          <w:color w:val="auto"/>
          <w:sz w:val="22"/>
          <w:szCs w:val="22"/>
          <w:highlight w:val="none"/>
          <w:lang w:eastAsia="zh-CN"/>
        </w:rPr>
        <w:t>采取其他补救措施</w:t>
      </w:r>
      <w:r>
        <w:rPr>
          <w:rFonts w:hint="eastAsia" w:ascii="仿宋" w:hAnsi="仿宋" w:eastAsia="仿宋" w:cs="仿宋"/>
          <w:color w:val="auto"/>
          <w:sz w:val="22"/>
          <w:szCs w:val="22"/>
          <w:highlight w:val="none"/>
        </w:rPr>
        <w:t>。</w:t>
      </w:r>
    </w:p>
    <w:p w14:paraId="1AF7248F">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eastAsia="zh-CN"/>
        </w:rPr>
        <w:t>5</w:t>
      </w:r>
      <w:r>
        <w:rPr>
          <w:rFonts w:hint="eastAsia" w:ascii="仿宋" w:hAnsi="仿宋" w:eastAsia="仿宋" w:cs="仿宋"/>
          <w:color w:val="auto"/>
          <w:sz w:val="22"/>
          <w:szCs w:val="22"/>
          <w:highlight w:val="none"/>
        </w:rPr>
        <w:t>.3 迟延支付的违约责任</w:t>
      </w:r>
    </w:p>
    <w:p w14:paraId="5320432E">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甲方存在迟延支付乙方合同款项的，应当承担</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规定的逾期付款利息。</w:t>
      </w:r>
    </w:p>
    <w:p w14:paraId="271D3BE4">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rPr>
        <w:t>1</w:t>
      </w:r>
      <w:r>
        <w:rPr>
          <w:rFonts w:hint="eastAsia" w:ascii="仿宋" w:hAnsi="仿宋" w:eastAsia="仿宋" w:cs="仿宋"/>
          <w:bCs/>
          <w:color w:val="auto"/>
          <w:sz w:val="22"/>
          <w:szCs w:val="22"/>
          <w:highlight w:val="none"/>
          <w:lang w:eastAsia="zh-CN"/>
        </w:rPr>
        <w:t>5</w:t>
      </w:r>
      <w:r>
        <w:rPr>
          <w:rFonts w:hint="eastAsia" w:ascii="仿宋" w:hAnsi="仿宋" w:eastAsia="仿宋" w:cs="仿宋"/>
          <w:bCs/>
          <w:color w:val="auto"/>
          <w:sz w:val="22"/>
          <w:szCs w:val="22"/>
          <w:highlight w:val="none"/>
        </w:rPr>
        <w:t>.4其他违约责任根据项目实际需要按</w:t>
      </w:r>
      <w:r>
        <w:rPr>
          <w:rFonts w:hint="eastAsia" w:ascii="仿宋" w:hAnsi="仿宋" w:eastAsia="仿宋" w:cs="仿宋"/>
          <w:b/>
          <w:bCs/>
          <w:color w:val="auto"/>
          <w:sz w:val="22"/>
          <w:szCs w:val="22"/>
          <w:highlight w:val="none"/>
        </w:rPr>
        <w:t>【政府采购合同专用条款】</w:t>
      </w:r>
      <w:r>
        <w:rPr>
          <w:rFonts w:hint="eastAsia" w:ascii="仿宋" w:hAnsi="仿宋" w:eastAsia="仿宋" w:cs="仿宋"/>
          <w:color w:val="auto"/>
          <w:sz w:val="22"/>
          <w:szCs w:val="22"/>
          <w:highlight w:val="none"/>
        </w:rPr>
        <w:t>规定执行。</w:t>
      </w:r>
    </w:p>
    <w:p w14:paraId="169701D9">
      <w:pPr>
        <w:pageBreakBefore w:val="0"/>
        <w:widowControl w:val="0"/>
        <w:numPr>
          <w:ilvl w:val="0"/>
          <w:numId w:val="8"/>
        </w:numPr>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合同变更</w:t>
      </w:r>
      <w:r>
        <w:rPr>
          <w:rFonts w:hint="eastAsia" w:ascii="仿宋" w:hAnsi="仿宋" w:eastAsia="仿宋" w:cs="仿宋"/>
          <w:b/>
          <w:color w:val="auto"/>
          <w:sz w:val="22"/>
          <w:szCs w:val="22"/>
          <w:highlight w:val="none"/>
          <w:lang w:eastAsia="zh-CN"/>
        </w:rPr>
        <w:t>、中止与终止</w:t>
      </w:r>
    </w:p>
    <w:p w14:paraId="1EB28AEC">
      <w:pPr>
        <w:pageBreakBefore w:val="0"/>
        <w:widowControl w:val="0"/>
        <w:kinsoku/>
        <w:wordWrap/>
        <w:overflowPunct/>
        <w:topLinePunct w:val="0"/>
        <w:autoSpaceDE/>
        <w:autoSpaceDN/>
        <w:bidi w:val="0"/>
        <w:adjustRightInd w:val="0"/>
        <w:snapToGrid w:val="0"/>
        <w:spacing w:line="480" w:lineRule="exact"/>
        <w:ind w:firstLine="0" w:firstLineChars="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.1合同的</w:t>
      </w:r>
      <w:r>
        <w:rPr>
          <w:rFonts w:hint="eastAsia" w:ascii="仿宋" w:hAnsi="仿宋" w:eastAsia="仿宋" w:cs="仿宋"/>
          <w:color w:val="auto"/>
          <w:sz w:val="22"/>
          <w:szCs w:val="22"/>
          <w:highlight w:val="none"/>
          <w:lang w:eastAsia="zh-CN"/>
        </w:rPr>
        <w:t>变更</w:t>
      </w:r>
    </w:p>
    <w:p w14:paraId="38FFC0F4">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政府采购合同履行中，</w:t>
      </w:r>
      <w:r>
        <w:rPr>
          <w:rFonts w:hint="eastAsia" w:ascii="仿宋" w:hAnsi="仿宋" w:eastAsia="仿宋" w:cs="仿宋"/>
          <w:color w:val="auto"/>
          <w:sz w:val="22"/>
          <w:szCs w:val="22"/>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2"/>
          <w:szCs w:val="22"/>
          <w:highlight w:val="none"/>
          <w:lang w:eastAsia="zh-CN"/>
        </w:rPr>
        <w:t>一致后</w:t>
      </w:r>
      <w:r>
        <w:rPr>
          <w:rFonts w:hint="eastAsia" w:ascii="仿宋" w:hAnsi="仿宋" w:eastAsia="仿宋" w:cs="仿宋"/>
          <w:color w:val="auto"/>
          <w:sz w:val="22"/>
          <w:szCs w:val="22"/>
          <w:highlight w:val="none"/>
        </w:rPr>
        <w:t>签订补充协议。</w:t>
      </w:r>
    </w:p>
    <w:p w14:paraId="09950163">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合同的中止</w:t>
      </w:r>
    </w:p>
    <w:p w14:paraId="37949B61">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（1）合同履行过程中因供应商就采购文件、采购过程或结果提起投诉的，甲方认为有必要的，</w:t>
      </w:r>
      <w:r>
        <w:rPr>
          <w:rFonts w:hint="eastAsia" w:ascii="仿宋" w:hAnsi="仿宋" w:eastAsia="仿宋" w:cs="仿宋"/>
          <w:color w:val="auto"/>
          <w:sz w:val="22"/>
          <w:szCs w:val="22"/>
          <w:highlight w:val="none"/>
          <w:lang w:eastAsia="zh-CN"/>
        </w:rPr>
        <w:t>可以</w:t>
      </w:r>
      <w:r>
        <w:rPr>
          <w:rFonts w:hint="eastAsia" w:ascii="仿宋" w:hAnsi="仿宋" w:eastAsia="仿宋" w:cs="仿宋"/>
          <w:color w:val="auto"/>
          <w:sz w:val="22"/>
          <w:szCs w:val="22"/>
          <w:highlight w:val="none"/>
        </w:rPr>
        <w:t>中止合同的履行。</w:t>
      </w:r>
    </w:p>
    <w:p w14:paraId="1C17EEA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合同履行过程中，</w:t>
      </w:r>
      <w:r>
        <w:rPr>
          <w:rFonts w:hint="eastAsia" w:ascii="仿宋" w:hAnsi="仿宋" w:eastAsia="仿宋" w:cs="仿宋"/>
          <w:color w:val="auto"/>
          <w:sz w:val="22"/>
          <w:szCs w:val="22"/>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2"/>
          <w:szCs w:val="22"/>
          <w:highlight w:val="none"/>
          <w:lang w:eastAsia="zh-CN"/>
        </w:rPr>
        <w:t>，乙方有义务及时告知甲方</w:t>
      </w:r>
      <w:r>
        <w:rPr>
          <w:rFonts w:hint="eastAsia" w:ascii="仿宋" w:hAnsi="仿宋" w:eastAsia="仿宋" w:cs="仿宋"/>
          <w:color w:val="auto"/>
          <w:sz w:val="22"/>
          <w:szCs w:val="22"/>
          <w:highlight w:val="none"/>
        </w:rPr>
        <w:t>。甲方</w:t>
      </w:r>
      <w:r>
        <w:rPr>
          <w:rFonts w:hint="eastAsia" w:ascii="仿宋" w:hAnsi="仿宋" w:eastAsia="仿宋" w:cs="仿宋"/>
          <w:color w:val="auto"/>
          <w:sz w:val="22"/>
          <w:szCs w:val="22"/>
          <w:highlight w:val="none"/>
          <w:lang w:eastAsia="zh-CN"/>
        </w:rPr>
        <w:t>有权</w:t>
      </w:r>
      <w:r>
        <w:rPr>
          <w:rFonts w:hint="eastAsia" w:ascii="仿宋" w:hAnsi="仿宋" w:eastAsia="仿宋" w:cs="仿宋"/>
          <w:color w:val="auto"/>
          <w:sz w:val="22"/>
          <w:szCs w:val="22"/>
          <w:highlight w:val="none"/>
        </w:rPr>
        <w:t>以书面形式通知乙方中止合同</w:t>
      </w:r>
      <w:r>
        <w:rPr>
          <w:rFonts w:hint="eastAsia" w:ascii="仿宋" w:hAnsi="仿宋" w:eastAsia="仿宋" w:cs="仿宋"/>
          <w:color w:val="auto"/>
          <w:sz w:val="22"/>
          <w:szCs w:val="22"/>
          <w:highlight w:val="none"/>
          <w:lang w:eastAsia="zh-CN"/>
        </w:rPr>
        <w:t>并要求乙方在合理期限内消除相关情形或者提供适当担保。</w:t>
      </w:r>
      <w:r>
        <w:rPr>
          <w:rFonts w:hint="eastAsia" w:ascii="仿宋" w:hAnsi="仿宋" w:eastAsia="仿宋" w:cs="仿宋"/>
          <w:color w:val="auto"/>
          <w:sz w:val="22"/>
          <w:szCs w:val="22"/>
          <w:highlight w:val="none"/>
        </w:rPr>
        <w:t>乙方提供适当担保的，</w:t>
      </w:r>
      <w:r>
        <w:rPr>
          <w:rFonts w:hint="eastAsia" w:ascii="仿宋" w:hAnsi="仿宋" w:eastAsia="仿宋" w:cs="仿宋"/>
          <w:color w:val="auto"/>
          <w:sz w:val="22"/>
          <w:szCs w:val="22"/>
          <w:highlight w:val="none"/>
          <w:lang w:eastAsia="zh-CN"/>
        </w:rPr>
        <w:t>合同继续</w:t>
      </w:r>
      <w:r>
        <w:rPr>
          <w:rFonts w:hint="eastAsia" w:ascii="仿宋" w:hAnsi="仿宋" w:eastAsia="仿宋" w:cs="仿宋"/>
          <w:color w:val="auto"/>
          <w:sz w:val="22"/>
          <w:szCs w:val="22"/>
          <w:highlight w:val="none"/>
        </w:rPr>
        <w:t>履行</w:t>
      </w:r>
      <w:r>
        <w:rPr>
          <w:rFonts w:hint="eastAsia" w:ascii="仿宋" w:hAnsi="仿宋" w:eastAsia="仿宋" w:cs="仿宋"/>
          <w:color w:val="auto"/>
          <w:sz w:val="22"/>
          <w:szCs w:val="22"/>
          <w:highlight w:val="none"/>
          <w:lang w:eastAsia="zh-CN"/>
        </w:rPr>
        <w:t>；乙</w:t>
      </w:r>
      <w:r>
        <w:rPr>
          <w:rFonts w:hint="eastAsia" w:ascii="仿宋" w:hAnsi="仿宋" w:eastAsia="仿宋" w:cs="仿宋"/>
          <w:color w:val="auto"/>
          <w:sz w:val="22"/>
          <w:szCs w:val="22"/>
          <w:highlight w:val="none"/>
        </w:rPr>
        <w:t>方在合理期限内未恢复履约能力且未提供适当担保的，视为拒绝</w:t>
      </w:r>
      <w:r>
        <w:rPr>
          <w:rFonts w:hint="eastAsia" w:ascii="仿宋" w:hAnsi="仿宋" w:eastAsia="仿宋" w:cs="仿宋"/>
          <w:color w:val="auto"/>
          <w:sz w:val="22"/>
          <w:szCs w:val="22"/>
          <w:highlight w:val="none"/>
          <w:lang w:eastAsia="zh-CN"/>
        </w:rPr>
        <w:t>继续</w:t>
      </w:r>
      <w:r>
        <w:rPr>
          <w:rFonts w:hint="eastAsia" w:ascii="仿宋" w:hAnsi="仿宋" w:eastAsia="仿宋" w:cs="仿宋"/>
          <w:color w:val="auto"/>
          <w:sz w:val="22"/>
          <w:szCs w:val="22"/>
          <w:highlight w:val="none"/>
        </w:rPr>
        <w:t>履约，甲方</w:t>
      </w:r>
      <w:r>
        <w:rPr>
          <w:rFonts w:hint="eastAsia" w:ascii="仿宋" w:hAnsi="仿宋" w:eastAsia="仿宋" w:cs="仿宋"/>
          <w:color w:val="auto"/>
          <w:sz w:val="22"/>
          <w:szCs w:val="22"/>
          <w:highlight w:val="none"/>
          <w:lang w:eastAsia="zh-CN"/>
        </w:rPr>
        <w:t>有权</w:t>
      </w:r>
      <w:r>
        <w:rPr>
          <w:rFonts w:hint="eastAsia" w:ascii="仿宋" w:hAnsi="仿宋" w:eastAsia="仿宋" w:cs="仿宋"/>
          <w:color w:val="auto"/>
          <w:sz w:val="22"/>
          <w:szCs w:val="22"/>
          <w:highlight w:val="none"/>
        </w:rPr>
        <w:t>解除合同并要求乙方承担</w:t>
      </w:r>
      <w:r>
        <w:rPr>
          <w:rFonts w:hint="eastAsia" w:ascii="仿宋" w:hAnsi="仿宋" w:eastAsia="仿宋" w:cs="仿宋"/>
          <w:color w:val="auto"/>
          <w:sz w:val="22"/>
          <w:szCs w:val="22"/>
          <w:highlight w:val="none"/>
          <w:lang w:eastAsia="zh-CN"/>
        </w:rPr>
        <w:t>由此给甲方造成的损失</w:t>
      </w:r>
      <w:r>
        <w:rPr>
          <w:rFonts w:hint="eastAsia" w:ascii="仿宋" w:hAnsi="仿宋" w:eastAsia="仿宋" w:cs="仿宋"/>
          <w:color w:val="auto"/>
          <w:sz w:val="22"/>
          <w:szCs w:val="22"/>
          <w:highlight w:val="none"/>
        </w:rPr>
        <w:t>。</w:t>
      </w:r>
    </w:p>
    <w:p w14:paraId="4F4741F8">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239F4710">
      <w:pPr>
        <w:pageBreakBefore w:val="0"/>
        <w:widowControl w:val="0"/>
        <w:kinsoku/>
        <w:wordWrap/>
        <w:overflowPunct/>
        <w:topLinePunct w:val="0"/>
        <w:bidi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）甲方不得以行政区划调整、政府换届、机构或者职能调整以及相关责任人更替为由中止合同。</w:t>
      </w:r>
    </w:p>
    <w:p w14:paraId="164A50C0">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合同的终止</w:t>
      </w:r>
    </w:p>
    <w:p w14:paraId="11B5FE70">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（1）合同因有效期限届满而终止；</w:t>
      </w:r>
    </w:p>
    <w:p w14:paraId="354B063E">
      <w:pPr>
        <w:pageBreakBefore w:val="0"/>
        <w:widowControl w:val="0"/>
        <w:kinsoku/>
        <w:wordWrap/>
        <w:overflowPunct/>
        <w:topLinePunct w:val="0"/>
        <w:bidi w:val="0"/>
        <w:snapToGrid w:val="0"/>
        <w:spacing w:line="480" w:lineRule="exact"/>
        <w:ind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（2）乙方未</w:t>
      </w:r>
      <w:r>
        <w:rPr>
          <w:rFonts w:hint="eastAsia" w:ascii="仿宋" w:hAnsi="仿宋" w:eastAsia="仿宋" w:cs="仿宋"/>
          <w:color w:val="auto"/>
          <w:sz w:val="22"/>
          <w:szCs w:val="22"/>
          <w:highlight w:val="none"/>
          <w:lang w:eastAsia="zh-CN"/>
        </w:rPr>
        <w:t>按</w:t>
      </w:r>
      <w:r>
        <w:rPr>
          <w:rFonts w:hint="eastAsia" w:ascii="仿宋" w:hAnsi="仿宋" w:eastAsia="仿宋" w:cs="仿宋"/>
          <w:color w:val="auto"/>
          <w:sz w:val="22"/>
          <w:szCs w:val="22"/>
          <w:highlight w:val="none"/>
        </w:rPr>
        <w:t>合同约定履行，构成根本性违约的，甲方有权终止合同</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并追究乙方的违约责</w:t>
      </w:r>
      <w:r>
        <w:rPr>
          <w:rFonts w:hint="eastAsia" w:ascii="仿宋" w:hAnsi="仿宋" w:eastAsia="仿宋" w:cs="仿宋"/>
          <w:color w:val="auto"/>
          <w:sz w:val="22"/>
          <w:szCs w:val="22"/>
          <w:highlight w:val="none"/>
          <w:lang w:val="en-US" w:eastAsia="zh-CN"/>
        </w:rPr>
        <w:t>任</w:t>
      </w:r>
      <w:r>
        <w:rPr>
          <w:rFonts w:hint="eastAsia" w:ascii="仿宋" w:hAnsi="仿宋" w:eastAsia="仿宋" w:cs="仿宋"/>
          <w:color w:val="auto"/>
          <w:sz w:val="22"/>
          <w:szCs w:val="22"/>
          <w:highlight w:val="none"/>
        </w:rPr>
        <w:t>。</w:t>
      </w:r>
    </w:p>
    <w:p w14:paraId="697E32E9">
      <w:pPr>
        <w:pageBreakBefore w:val="0"/>
        <w:widowControl w:val="0"/>
        <w:kinsoku/>
        <w:wordWrap/>
        <w:overflowPunct/>
        <w:topLinePunct w:val="0"/>
        <w:autoSpaceDE w:val="0"/>
        <w:autoSpaceDN w:val="0"/>
        <w:bidi w:val="0"/>
        <w:adjustRightInd w:val="0"/>
        <w:spacing w:line="480" w:lineRule="exact"/>
        <w:ind w:firstLine="440" w:firstLineChars="200"/>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16.4 </w:t>
      </w:r>
      <w:r>
        <w:rPr>
          <w:rFonts w:hint="eastAsia" w:ascii="仿宋" w:hAnsi="仿宋" w:eastAsia="仿宋" w:cs="仿宋"/>
          <w:color w:val="auto"/>
          <w:kern w:val="2"/>
          <w:sz w:val="22"/>
          <w:szCs w:val="22"/>
          <w:highlight w:val="none"/>
          <w:lang w:val="en-US" w:eastAsia="zh-CN" w:bidi="ar-SA"/>
        </w:rPr>
        <w:t>涉及国家利益、社会公共利益的情形</w:t>
      </w:r>
    </w:p>
    <w:p w14:paraId="104293B9">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4CDEC7EF">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1</w:t>
      </w:r>
      <w:r>
        <w:rPr>
          <w:rFonts w:hint="eastAsia" w:ascii="仿宋" w:hAnsi="仿宋" w:eastAsia="仿宋" w:cs="仿宋"/>
          <w:b/>
          <w:bCs/>
          <w:color w:val="auto"/>
          <w:sz w:val="22"/>
          <w:szCs w:val="22"/>
          <w:highlight w:val="none"/>
          <w:lang w:val="en-US" w:eastAsia="zh-CN"/>
        </w:rPr>
        <w:t>7</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合同分包</w:t>
      </w:r>
    </w:p>
    <w:p w14:paraId="4D0FFB76">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.1 乙方不得</w:t>
      </w:r>
      <w:r>
        <w:rPr>
          <w:rFonts w:hint="eastAsia" w:ascii="仿宋" w:hAnsi="仿宋" w:eastAsia="仿宋" w:cs="仿宋"/>
          <w:color w:val="auto"/>
          <w:sz w:val="22"/>
          <w:szCs w:val="22"/>
          <w:highlight w:val="none"/>
          <w:lang w:eastAsia="zh-CN"/>
        </w:rPr>
        <w:t>将合同转包给其他供应商。涉及合同分包的，乙方</w:t>
      </w:r>
      <w:r>
        <w:rPr>
          <w:rFonts w:hint="eastAsia" w:ascii="仿宋" w:hAnsi="仿宋" w:eastAsia="仿宋" w:cs="仿宋"/>
          <w:color w:val="auto"/>
          <w:sz w:val="22"/>
          <w:szCs w:val="22"/>
          <w:highlight w:val="none"/>
          <w:lang w:val="en-US" w:eastAsia="zh-CN"/>
        </w:rPr>
        <w:t>应</w:t>
      </w:r>
      <w:r>
        <w:rPr>
          <w:rFonts w:hint="eastAsia" w:ascii="仿宋" w:hAnsi="仿宋" w:eastAsia="仿宋" w:cs="仿宋"/>
          <w:color w:val="auto"/>
          <w:sz w:val="22"/>
          <w:szCs w:val="22"/>
          <w:highlight w:val="none"/>
          <w:lang w:eastAsia="zh-CN"/>
        </w:rPr>
        <w:t>根据采购文件和投标（响应）文件规定进行</w:t>
      </w:r>
      <w:r>
        <w:rPr>
          <w:rFonts w:hint="eastAsia" w:ascii="仿宋" w:hAnsi="仿宋" w:eastAsia="仿宋" w:cs="仿宋"/>
          <w:color w:val="auto"/>
          <w:sz w:val="22"/>
          <w:szCs w:val="22"/>
          <w:highlight w:val="none"/>
        </w:rPr>
        <w:t>合同分包。</w:t>
      </w:r>
    </w:p>
    <w:p w14:paraId="65F7A8DB">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.2 乙方执行政府采购政策向中小企业依法分包的</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乙方应当按采购文件</w:t>
      </w:r>
      <w:r>
        <w:rPr>
          <w:rFonts w:hint="eastAsia" w:ascii="仿宋" w:hAnsi="仿宋" w:eastAsia="仿宋" w:cs="仿宋"/>
          <w:color w:val="auto"/>
          <w:sz w:val="22"/>
          <w:szCs w:val="22"/>
          <w:highlight w:val="none"/>
          <w:lang w:eastAsia="zh-CN"/>
        </w:rPr>
        <w:t>和</w:t>
      </w:r>
      <w:r>
        <w:rPr>
          <w:rFonts w:hint="eastAsia" w:ascii="仿宋" w:hAnsi="仿宋" w:eastAsia="仿宋" w:cs="仿宋"/>
          <w:color w:val="auto"/>
          <w:sz w:val="22"/>
          <w:szCs w:val="22"/>
          <w:highlight w:val="none"/>
        </w:rPr>
        <w:t>投标（响应）文件签订分包</w:t>
      </w:r>
      <w:r>
        <w:rPr>
          <w:rFonts w:hint="eastAsia" w:ascii="仿宋" w:hAnsi="仿宋" w:eastAsia="仿宋" w:cs="仿宋"/>
          <w:color w:val="auto"/>
          <w:sz w:val="22"/>
          <w:szCs w:val="22"/>
          <w:highlight w:val="none"/>
          <w:lang w:eastAsia="zh-CN"/>
        </w:rPr>
        <w:t>意向</w:t>
      </w:r>
      <w:r>
        <w:rPr>
          <w:rFonts w:hint="eastAsia" w:ascii="仿宋" w:hAnsi="仿宋" w:eastAsia="仿宋" w:cs="仿宋"/>
          <w:color w:val="auto"/>
          <w:sz w:val="22"/>
          <w:szCs w:val="22"/>
          <w:highlight w:val="none"/>
        </w:rPr>
        <w:t>协议，分包</w:t>
      </w:r>
      <w:r>
        <w:rPr>
          <w:rFonts w:hint="eastAsia" w:ascii="仿宋" w:hAnsi="仿宋" w:eastAsia="仿宋" w:cs="仿宋"/>
          <w:color w:val="auto"/>
          <w:sz w:val="22"/>
          <w:szCs w:val="22"/>
          <w:highlight w:val="none"/>
          <w:lang w:eastAsia="zh-CN"/>
        </w:rPr>
        <w:t>意向</w:t>
      </w:r>
      <w:r>
        <w:rPr>
          <w:rFonts w:hint="eastAsia" w:ascii="仿宋" w:hAnsi="仿宋" w:eastAsia="仿宋" w:cs="仿宋"/>
          <w:color w:val="auto"/>
          <w:sz w:val="22"/>
          <w:szCs w:val="22"/>
          <w:highlight w:val="none"/>
        </w:rPr>
        <w:t>协议属于本合同组成部分。</w:t>
      </w:r>
    </w:p>
    <w:p w14:paraId="5361515A">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eastAsia="zh-CN"/>
        </w:rPr>
        <w:t>1</w:t>
      </w:r>
      <w:r>
        <w:rPr>
          <w:rFonts w:hint="eastAsia" w:ascii="仿宋" w:hAnsi="仿宋" w:eastAsia="仿宋" w:cs="仿宋"/>
          <w:b/>
          <w:bCs/>
          <w:color w:val="auto"/>
          <w:sz w:val="22"/>
          <w:szCs w:val="22"/>
          <w:highlight w:val="none"/>
          <w:lang w:val="en-US" w:eastAsia="zh-CN"/>
        </w:rPr>
        <w:t>8</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不可抗力</w:t>
      </w:r>
    </w:p>
    <w:p w14:paraId="32A7FB37">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1</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.1 不可抗力是指合同双方不能预见、不能避免且不能克服的客观情况。</w:t>
      </w:r>
    </w:p>
    <w:p w14:paraId="4E171A22">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1</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.2 任何一方对由于不可抗力造成的部分或全部不能履行合同不承担违约责任。但迟延履行后发生不可抗力的，不能免除责任。</w:t>
      </w:r>
    </w:p>
    <w:p w14:paraId="03080C39">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1</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.3 遇有不可抗力的一方，应及时将事件情况以书面形式</w:t>
      </w:r>
      <w:r>
        <w:rPr>
          <w:rFonts w:hint="eastAsia" w:ascii="仿宋" w:hAnsi="仿宋" w:eastAsia="仿宋" w:cs="仿宋"/>
          <w:color w:val="auto"/>
          <w:sz w:val="22"/>
          <w:szCs w:val="22"/>
          <w:highlight w:val="none"/>
          <w:lang w:eastAsia="zh-CN"/>
        </w:rPr>
        <w:t>告</w:t>
      </w:r>
      <w:r>
        <w:rPr>
          <w:rFonts w:hint="eastAsia" w:ascii="仿宋" w:hAnsi="仿宋" w:eastAsia="仿宋" w:cs="仿宋"/>
          <w:color w:val="auto"/>
          <w:sz w:val="22"/>
          <w:szCs w:val="22"/>
          <w:highlight w:val="none"/>
        </w:rPr>
        <w:t>知另一方，并在事件发生后及时向另一方提交合同不能履行或部分不能履行或需要延期履行</w:t>
      </w:r>
      <w:r>
        <w:rPr>
          <w:rFonts w:hint="eastAsia" w:ascii="仿宋" w:hAnsi="仿宋" w:eastAsia="仿宋" w:cs="仿宋"/>
          <w:color w:val="auto"/>
          <w:sz w:val="22"/>
          <w:szCs w:val="22"/>
          <w:highlight w:val="none"/>
          <w:lang w:eastAsia="zh-CN"/>
        </w:rPr>
        <w:t>的详细</w:t>
      </w:r>
      <w:r>
        <w:rPr>
          <w:rFonts w:hint="eastAsia" w:ascii="仿宋" w:hAnsi="仿宋" w:eastAsia="仿宋" w:cs="仿宋"/>
          <w:color w:val="auto"/>
          <w:sz w:val="22"/>
          <w:szCs w:val="22"/>
          <w:highlight w:val="none"/>
        </w:rPr>
        <w:t>报告</w:t>
      </w:r>
      <w:r>
        <w:rPr>
          <w:rFonts w:hint="eastAsia" w:ascii="仿宋" w:hAnsi="仿宋" w:eastAsia="仿宋" w:cs="仿宋"/>
          <w:color w:val="auto"/>
          <w:sz w:val="22"/>
          <w:szCs w:val="22"/>
          <w:highlight w:val="none"/>
          <w:lang w:eastAsia="zh-CN"/>
        </w:rPr>
        <w:t>，以</w:t>
      </w:r>
      <w:r>
        <w:rPr>
          <w:rFonts w:hint="eastAsia" w:ascii="仿宋" w:hAnsi="仿宋" w:eastAsia="仿宋" w:cs="仿宋"/>
          <w:color w:val="auto"/>
          <w:sz w:val="22"/>
          <w:szCs w:val="22"/>
          <w:highlight w:val="none"/>
          <w:lang w:val="en-US" w:eastAsia="zh-CN"/>
        </w:rPr>
        <w:t>及证明不可抗力发生及其持续时间的证据</w:t>
      </w:r>
      <w:r>
        <w:rPr>
          <w:rFonts w:hint="eastAsia" w:ascii="仿宋" w:hAnsi="仿宋" w:eastAsia="仿宋" w:cs="仿宋"/>
          <w:color w:val="auto"/>
          <w:sz w:val="22"/>
          <w:szCs w:val="22"/>
          <w:highlight w:val="none"/>
        </w:rPr>
        <w:t>。</w:t>
      </w:r>
    </w:p>
    <w:p w14:paraId="732C330D">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19</w:t>
      </w:r>
      <w:r>
        <w:rPr>
          <w:rFonts w:hint="eastAsia" w:ascii="仿宋" w:hAnsi="仿宋" w:eastAsia="仿宋" w:cs="仿宋"/>
          <w:b/>
          <w:bCs/>
          <w:color w:val="auto"/>
          <w:sz w:val="22"/>
          <w:szCs w:val="22"/>
          <w:highlight w:val="none"/>
        </w:rPr>
        <w:t>.</w:t>
      </w:r>
      <w:r>
        <w:rPr>
          <w:rFonts w:hint="eastAsia" w:ascii="仿宋" w:hAnsi="仿宋" w:eastAsia="仿宋" w:cs="仿宋"/>
          <w:b/>
          <w:bCs/>
          <w:color w:val="auto"/>
          <w:sz w:val="22"/>
          <w:szCs w:val="22"/>
          <w:highlight w:val="none"/>
          <w:lang w:val="en-US" w:eastAsia="zh-CN"/>
        </w:rPr>
        <w:t xml:space="preserve"> </w:t>
      </w:r>
      <w:r>
        <w:rPr>
          <w:rFonts w:hint="eastAsia" w:ascii="仿宋" w:hAnsi="仿宋" w:eastAsia="仿宋" w:cs="仿宋"/>
          <w:b/>
          <w:bCs/>
          <w:color w:val="auto"/>
          <w:sz w:val="22"/>
          <w:szCs w:val="22"/>
          <w:highlight w:val="none"/>
        </w:rPr>
        <w:t>解决争议的方法</w:t>
      </w:r>
    </w:p>
    <w:p w14:paraId="1D5417F4">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3C29E1AE">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19.2 选择仲裁的，应在</w:t>
      </w:r>
      <w:r>
        <w:rPr>
          <w:rFonts w:hint="eastAsia" w:ascii="仿宋" w:hAnsi="仿宋" w:eastAsia="仿宋" w:cs="仿宋"/>
          <w:b/>
          <w:bCs/>
          <w:color w:val="auto"/>
          <w:sz w:val="22"/>
          <w:szCs w:val="22"/>
          <w:highlight w:val="none"/>
          <w:lang w:val="en-US" w:eastAsia="zh-CN" w:bidi="ar-SA"/>
        </w:rPr>
        <w:t>【政府采购合同专用条款】</w:t>
      </w:r>
      <w:r>
        <w:rPr>
          <w:rFonts w:hint="eastAsia" w:ascii="仿宋" w:hAnsi="仿宋" w:eastAsia="仿宋" w:cs="仿宋"/>
          <w:color w:val="auto"/>
          <w:sz w:val="22"/>
          <w:szCs w:val="22"/>
          <w:highlight w:val="none"/>
          <w:lang w:val="en-US" w:eastAsia="zh-CN" w:bidi="ar-SA"/>
        </w:rPr>
        <w:t>中明确仲裁机构及仲裁地；通过诉讼方式解决的，可以在</w:t>
      </w:r>
      <w:r>
        <w:rPr>
          <w:rFonts w:hint="eastAsia" w:ascii="仿宋" w:hAnsi="仿宋" w:eastAsia="仿宋" w:cs="仿宋"/>
          <w:b/>
          <w:bCs/>
          <w:color w:val="auto"/>
          <w:sz w:val="22"/>
          <w:szCs w:val="22"/>
          <w:highlight w:val="none"/>
          <w:lang w:val="en-US" w:eastAsia="zh-CN" w:bidi="ar-SA"/>
        </w:rPr>
        <w:t>【政府采购合同专用条款】</w:t>
      </w:r>
      <w:r>
        <w:rPr>
          <w:rFonts w:hint="eastAsia" w:ascii="仿宋" w:hAnsi="仿宋" w:eastAsia="仿宋" w:cs="仿宋"/>
          <w:color w:val="auto"/>
          <w:sz w:val="22"/>
          <w:szCs w:val="22"/>
          <w:highlight w:val="none"/>
          <w:lang w:val="en-US" w:eastAsia="zh-CN" w:bidi="ar-SA"/>
        </w:rPr>
        <w:t>中进一步约定选择与争议有实际联系的地点的人民法院管辖，但管辖法院的约定不得违反级别管辖和专属管辖的规定。</w:t>
      </w:r>
    </w:p>
    <w:p w14:paraId="43F0B920">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19.3 如甲乙双方有争议的事项不影响合同其他部分的履行，在争议解决期间，合同其他部分应当继续履行。</w:t>
      </w:r>
    </w:p>
    <w:p w14:paraId="0733EC1F">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b/>
          <w:color w:val="auto"/>
          <w:sz w:val="22"/>
          <w:szCs w:val="22"/>
          <w:highlight w:val="none"/>
          <w:lang w:val="en-US" w:eastAsia="zh-CN"/>
        </w:rPr>
        <w:t>20</w:t>
      </w:r>
      <w:r>
        <w:rPr>
          <w:rFonts w:hint="eastAsia" w:ascii="仿宋" w:hAnsi="仿宋" w:eastAsia="仿宋" w:cs="仿宋"/>
          <w:b/>
          <w:color w:val="auto"/>
          <w:sz w:val="22"/>
          <w:szCs w:val="22"/>
          <w:highlight w:val="none"/>
        </w:rPr>
        <w:t>.</w:t>
      </w:r>
      <w:r>
        <w:rPr>
          <w:rFonts w:hint="eastAsia" w:ascii="仿宋" w:hAnsi="仿宋" w:eastAsia="仿宋" w:cs="仿宋"/>
          <w:b/>
          <w:color w:val="auto"/>
          <w:sz w:val="22"/>
          <w:szCs w:val="22"/>
          <w:highlight w:val="none"/>
          <w:lang w:val="en-US" w:eastAsia="zh-CN"/>
        </w:rPr>
        <w:t xml:space="preserve"> </w:t>
      </w:r>
      <w:r>
        <w:rPr>
          <w:rFonts w:hint="eastAsia" w:ascii="仿宋" w:hAnsi="仿宋" w:eastAsia="仿宋" w:cs="仿宋"/>
          <w:b/>
          <w:color w:val="auto"/>
          <w:sz w:val="22"/>
          <w:szCs w:val="22"/>
          <w:highlight w:val="none"/>
        </w:rPr>
        <w:t>政府采购政策</w:t>
      </w:r>
    </w:p>
    <w:p w14:paraId="05E0D229">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20.1 </w:t>
      </w:r>
      <w:r>
        <w:rPr>
          <w:rFonts w:hint="eastAsia" w:ascii="仿宋" w:hAnsi="仿宋" w:eastAsia="仿宋" w:cs="仿宋"/>
          <w:color w:val="auto"/>
          <w:sz w:val="22"/>
          <w:szCs w:val="22"/>
          <w:highlight w:val="none"/>
          <w:lang w:val="en-GB"/>
        </w:rPr>
        <w:t>本合同应当按照规定执行政府采购政策。</w:t>
      </w:r>
    </w:p>
    <w:p w14:paraId="3A553B41">
      <w:pPr>
        <w:pageBreakBefore w:val="0"/>
        <w:widowControl w:val="0"/>
        <w:kinsoku/>
        <w:wordWrap/>
        <w:overflowPunct/>
        <w:topLinePunct w:val="0"/>
        <w:autoSpaceDE w:val="0"/>
        <w:autoSpaceDN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0</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 xml:space="preserve"> 本合同依法执行政府采购政策的方式和内容，属于合同履约验收的范围。</w:t>
      </w:r>
      <w:r>
        <w:rPr>
          <w:rFonts w:hint="eastAsia" w:ascii="仿宋" w:hAnsi="仿宋" w:eastAsia="仿宋" w:cs="仿宋"/>
          <w:color w:val="auto"/>
          <w:sz w:val="22"/>
          <w:szCs w:val="22"/>
          <w:highlight w:val="none"/>
          <w:lang w:eastAsia="zh-CN"/>
        </w:rPr>
        <w:t>甲乙双方</w:t>
      </w:r>
      <w:r>
        <w:rPr>
          <w:rFonts w:hint="eastAsia" w:ascii="仿宋" w:hAnsi="仿宋" w:eastAsia="仿宋" w:cs="仿宋"/>
          <w:color w:val="auto"/>
          <w:sz w:val="22"/>
          <w:szCs w:val="22"/>
          <w:highlight w:val="none"/>
          <w:lang w:val="en-GB"/>
        </w:rPr>
        <w:t>未按规定要求执行政府采购政策造成损失的</w:t>
      </w:r>
      <w:r>
        <w:rPr>
          <w:rFonts w:hint="eastAsia" w:ascii="仿宋" w:hAnsi="仿宋" w:eastAsia="仿宋" w:cs="仿宋"/>
          <w:color w:val="auto"/>
          <w:sz w:val="22"/>
          <w:szCs w:val="22"/>
          <w:highlight w:val="none"/>
        </w:rPr>
        <w:t>，有过错的一方应当承担赔偿责任，双方都有过错的，各自承担相应的责任。</w:t>
      </w:r>
    </w:p>
    <w:p w14:paraId="35230828">
      <w:pPr>
        <w:pageBreakBefore w:val="0"/>
        <w:widowControl w:val="0"/>
        <w:kinsoku/>
        <w:wordWrap/>
        <w:overflowPunct/>
        <w:topLinePunct w:val="0"/>
        <w:bidi w:val="0"/>
        <w:spacing w:after="0" w:line="480" w:lineRule="exact"/>
        <w:ind w:firstLine="440" w:firstLineChars="200"/>
        <w:jc w:val="both"/>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1D4DF78">
      <w:pPr>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2</w:t>
      </w:r>
      <w:r>
        <w:rPr>
          <w:rFonts w:hint="eastAsia" w:ascii="仿宋" w:hAnsi="仿宋" w:eastAsia="仿宋" w:cs="仿宋"/>
          <w:b/>
          <w:color w:val="auto"/>
          <w:sz w:val="22"/>
          <w:szCs w:val="22"/>
          <w:highlight w:val="none"/>
          <w:lang w:val="en-US" w:eastAsia="zh-CN"/>
        </w:rPr>
        <w:t>1</w:t>
      </w:r>
      <w:r>
        <w:rPr>
          <w:rFonts w:hint="eastAsia" w:ascii="仿宋" w:hAnsi="仿宋" w:eastAsia="仿宋" w:cs="仿宋"/>
          <w:b/>
          <w:color w:val="auto"/>
          <w:sz w:val="22"/>
          <w:szCs w:val="22"/>
          <w:highlight w:val="none"/>
        </w:rPr>
        <w:t>.</w:t>
      </w:r>
      <w:r>
        <w:rPr>
          <w:rFonts w:hint="eastAsia" w:ascii="仿宋" w:hAnsi="仿宋" w:eastAsia="仿宋" w:cs="仿宋"/>
          <w:b/>
          <w:color w:val="auto"/>
          <w:sz w:val="22"/>
          <w:szCs w:val="22"/>
          <w:highlight w:val="none"/>
          <w:lang w:val="en-US" w:eastAsia="zh-CN"/>
        </w:rPr>
        <w:t xml:space="preserve"> </w:t>
      </w:r>
      <w:r>
        <w:rPr>
          <w:rFonts w:hint="eastAsia" w:ascii="仿宋" w:hAnsi="仿宋" w:eastAsia="仿宋" w:cs="仿宋"/>
          <w:b/>
          <w:color w:val="auto"/>
          <w:sz w:val="22"/>
          <w:szCs w:val="22"/>
          <w:highlight w:val="none"/>
        </w:rPr>
        <w:t>法律适用</w:t>
      </w:r>
    </w:p>
    <w:p w14:paraId="6BD408DA">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21.1 本合同的订立、生效、解释、履行及与本合同有关的争议解决，均适用法律、行政法规。</w:t>
      </w:r>
    </w:p>
    <w:p w14:paraId="4D0EE46B">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21.2 本合同条款与法律、行政法规的强制性规定不一致的，双方当事人应按照法律、行政法规的强制性规定修改本合同的相关条款。</w:t>
      </w:r>
    </w:p>
    <w:p w14:paraId="6D48CBC3">
      <w:pPr>
        <w:pageBreakBefore w:val="0"/>
        <w:widowControl w:val="0"/>
        <w:numPr>
          <w:ilvl w:val="0"/>
          <w:numId w:val="0"/>
        </w:numPr>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val="en-US" w:eastAsia="zh-CN"/>
        </w:rPr>
        <w:t xml:space="preserve">22. </w:t>
      </w:r>
      <w:r>
        <w:rPr>
          <w:rFonts w:hint="eastAsia" w:ascii="仿宋" w:hAnsi="仿宋" w:eastAsia="仿宋" w:cs="仿宋"/>
          <w:b/>
          <w:color w:val="auto"/>
          <w:sz w:val="22"/>
          <w:szCs w:val="22"/>
          <w:highlight w:val="none"/>
        </w:rPr>
        <w:t>通知</w:t>
      </w:r>
    </w:p>
    <w:p w14:paraId="22EEA6FE">
      <w:pPr>
        <w:pageBreakBefore w:val="0"/>
        <w:widowControl w:val="0"/>
        <w:kinsoku/>
        <w:wordWrap/>
        <w:overflowPunct/>
        <w:topLinePunct w:val="0"/>
        <w:autoSpaceDE w:val="0"/>
        <w:autoSpaceDN w:val="0"/>
        <w:bidi w:val="0"/>
        <w:adjustRightInd w:val="0"/>
        <w:spacing w:line="480" w:lineRule="exact"/>
        <w:ind w:firstLine="440" w:firstLineChars="20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22.1 本合同任何一方向对方发出的通知、信件、数据电文等，应当发送至本合同第一部分《政府采购合同协议书》所约定的通讯地址、联系人、联系电话或电子邮箱。</w:t>
      </w:r>
    </w:p>
    <w:p w14:paraId="0D997E1F">
      <w:pPr>
        <w:pageBreakBefore w:val="0"/>
        <w:widowControl w:val="0"/>
        <w:kinsoku/>
        <w:wordWrap/>
        <w:overflowPunct/>
        <w:topLinePunct w:val="0"/>
        <w:autoSpaceDE w:val="0"/>
        <w:autoSpaceDN w:val="0"/>
        <w:bidi w:val="0"/>
        <w:adjustRightInd w:val="0"/>
        <w:spacing w:line="480" w:lineRule="exact"/>
        <w:ind w:firstLine="0" w:firstLineChars="0"/>
        <w:jc w:val="both"/>
        <w:textAlignment w:val="auto"/>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F3D8F28">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本合同一方给另一方的通知均应采用书面形式，传真或快递送到本合同中规定的对方的地址和办理签收手续。</w:t>
      </w:r>
    </w:p>
    <w:p w14:paraId="285CC899">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通知以送达之日或通知书中规定的生效之日起生效，两者中以较迟之日为准。</w:t>
      </w:r>
    </w:p>
    <w:p w14:paraId="00B5C459">
      <w:pPr>
        <w:pageBreakBefore w:val="0"/>
        <w:widowControl w:val="0"/>
        <w:numPr>
          <w:ilvl w:val="0"/>
          <w:numId w:val="9"/>
        </w:numPr>
        <w:kinsoku/>
        <w:wordWrap/>
        <w:overflowPunct/>
        <w:topLinePunct w:val="0"/>
        <w:bidi w:val="0"/>
        <w:adjustRightInd w:val="0"/>
        <w:snapToGrid w:val="0"/>
        <w:spacing w:line="480" w:lineRule="exact"/>
        <w:jc w:val="lef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合同未尽事项</w:t>
      </w:r>
    </w:p>
    <w:p w14:paraId="28A10109">
      <w:pPr>
        <w:pageBreakBefore w:val="0"/>
        <w:widowControl w:val="0"/>
        <w:kinsoku/>
        <w:wordWrap/>
        <w:overflowPunct/>
        <w:topLinePunct w:val="0"/>
        <w:bidi w:val="0"/>
        <w:adjustRightInd w:val="0"/>
        <w:snapToGrid w:val="0"/>
        <w:spacing w:line="480" w:lineRule="exact"/>
        <w:ind w:firstLine="440" w:firstLineChars="20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2</w:t>
      </w:r>
      <w:r>
        <w:rPr>
          <w:rFonts w:hint="eastAsia" w:ascii="仿宋" w:hAnsi="仿宋" w:eastAsia="仿宋" w:cs="仿宋"/>
          <w:bCs/>
          <w:color w:val="auto"/>
          <w:sz w:val="22"/>
          <w:szCs w:val="22"/>
          <w:highlight w:val="none"/>
          <w:lang w:val="en-US" w:eastAsia="zh-CN"/>
        </w:rPr>
        <w:t>3</w:t>
      </w:r>
      <w:r>
        <w:rPr>
          <w:rFonts w:hint="eastAsia" w:ascii="仿宋" w:hAnsi="仿宋" w:eastAsia="仿宋" w:cs="仿宋"/>
          <w:bCs/>
          <w:color w:val="auto"/>
          <w:sz w:val="22"/>
          <w:szCs w:val="22"/>
          <w:highlight w:val="none"/>
        </w:rPr>
        <w:t>.1合同未尽事项见</w:t>
      </w:r>
      <w:r>
        <w:rPr>
          <w:rFonts w:hint="eastAsia" w:ascii="仿宋" w:hAnsi="仿宋" w:eastAsia="仿宋" w:cs="仿宋"/>
          <w:b/>
          <w:color w:val="auto"/>
          <w:sz w:val="22"/>
          <w:szCs w:val="22"/>
          <w:highlight w:val="none"/>
        </w:rPr>
        <w:t>【政府采购合同专用条款】</w:t>
      </w:r>
      <w:r>
        <w:rPr>
          <w:rFonts w:hint="eastAsia" w:ascii="仿宋" w:hAnsi="仿宋" w:eastAsia="仿宋" w:cs="仿宋"/>
          <w:bCs/>
          <w:color w:val="auto"/>
          <w:sz w:val="22"/>
          <w:szCs w:val="22"/>
          <w:highlight w:val="none"/>
        </w:rPr>
        <w:t>。</w:t>
      </w:r>
    </w:p>
    <w:p w14:paraId="25D821D9">
      <w:pPr>
        <w:pageBreakBefore w:val="0"/>
        <w:widowControl w:val="0"/>
        <w:kinsoku/>
        <w:wordWrap/>
        <w:overflowPunct/>
        <w:topLinePunct w:val="0"/>
        <w:bidi w:val="0"/>
        <w:adjustRightInd w:val="0"/>
        <w:snapToGrid w:val="0"/>
        <w:spacing w:line="480" w:lineRule="exact"/>
        <w:ind w:firstLine="0" w:firstLineChars="0"/>
        <w:jc w:val="left"/>
        <w:textAlignment w:val="auto"/>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lang w:val="en-US" w:eastAsia="zh-CN"/>
        </w:rPr>
        <w:t xml:space="preserve">    23.2 合同附件与合同正文具有同等的法律效力。</w:t>
      </w:r>
      <w:bookmarkStart w:id="202" w:name="_Toc20313"/>
    </w:p>
    <w:p w14:paraId="163829A9">
      <w:pPr>
        <w:adjustRightInd w:val="0"/>
        <w:snapToGrid w:val="0"/>
        <w:jc w:val="center"/>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br w:type="page"/>
      </w:r>
    </w:p>
    <w:p w14:paraId="298A71CF">
      <w:pPr>
        <w:keepNext/>
        <w:keepLines/>
        <w:widowControl w:val="0"/>
        <w:adjustRightInd w:val="0"/>
        <w:snapToGrid w:val="0"/>
        <w:spacing w:line="360" w:lineRule="auto"/>
        <w:jc w:val="center"/>
        <w:outlineLvl w:val="1"/>
        <w:rPr>
          <w:rFonts w:hint="eastAsia" w:ascii="仿宋" w:hAnsi="仿宋" w:eastAsia="仿宋" w:cs="仿宋"/>
          <w:b w:val="0"/>
          <w:bCs w:val="0"/>
          <w:color w:val="auto"/>
          <w:kern w:val="2"/>
          <w:sz w:val="22"/>
          <w:szCs w:val="22"/>
          <w:highlight w:val="none"/>
          <w:lang w:val="en-US" w:eastAsia="zh-CN" w:bidi="ar-SA"/>
        </w:rPr>
      </w:pPr>
      <w:bookmarkStart w:id="203" w:name="_Toc31984"/>
      <w:r>
        <w:rPr>
          <w:rFonts w:hint="eastAsia" w:ascii="仿宋" w:hAnsi="仿宋" w:eastAsia="仿宋" w:cs="仿宋"/>
          <w:b w:val="0"/>
          <w:bCs w:val="0"/>
          <w:color w:val="auto"/>
          <w:kern w:val="2"/>
          <w:sz w:val="22"/>
          <w:szCs w:val="22"/>
          <w:highlight w:val="none"/>
          <w:lang w:val="en-US" w:eastAsia="zh-CN" w:bidi="ar-SA"/>
        </w:rPr>
        <w:t>第三节 政府采购合同专用条款</w:t>
      </w:r>
      <w:bookmarkEnd w:id="202"/>
      <w:bookmarkEnd w:id="203"/>
    </w:p>
    <w:tbl>
      <w:tblPr>
        <w:tblStyle w:val="23"/>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17C9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1BE251A">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0CCB53E6">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第1.2（</w:t>
            </w: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）项</w:t>
            </w:r>
          </w:p>
        </w:tc>
        <w:tc>
          <w:tcPr>
            <w:tcW w:w="1742" w:type="dxa"/>
            <w:noWrap w:val="0"/>
            <w:vAlign w:val="center"/>
          </w:tcPr>
          <w:p w14:paraId="136A72C9">
            <w:pPr>
              <w:adjustRightInd w:val="0"/>
              <w:snapToGrid w:val="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联合体具体要求</w:t>
            </w:r>
          </w:p>
        </w:tc>
        <w:tc>
          <w:tcPr>
            <w:tcW w:w="5170" w:type="dxa"/>
            <w:noWrap w:val="0"/>
            <w:vAlign w:val="center"/>
          </w:tcPr>
          <w:p w14:paraId="413D5136">
            <w:pPr>
              <w:adjustRightInd w:val="0"/>
              <w:snapToGrid w:val="0"/>
              <w:jc w:val="left"/>
              <w:rPr>
                <w:rFonts w:hint="eastAsia" w:ascii="仿宋" w:hAnsi="仿宋" w:eastAsia="仿宋" w:cs="仿宋"/>
                <w:color w:val="auto"/>
                <w:sz w:val="22"/>
                <w:szCs w:val="22"/>
                <w:highlight w:val="none"/>
              </w:rPr>
            </w:pPr>
          </w:p>
        </w:tc>
      </w:tr>
      <w:tr w14:paraId="3AB1A8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47BCE5A4">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01B96D69">
            <w:pPr>
              <w:adjustRightInd w:val="0"/>
              <w:snapToGrid w:val="0"/>
              <w:jc w:val="center"/>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rPr>
              <w:t>第1.2（</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）项</w:t>
            </w:r>
          </w:p>
        </w:tc>
        <w:tc>
          <w:tcPr>
            <w:tcW w:w="1742" w:type="dxa"/>
            <w:noWrap w:val="0"/>
            <w:vAlign w:val="center"/>
          </w:tcPr>
          <w:p w14:paraId="15260015">
            <w:pPr>
              <w:adjustRightInd w:val="0"/>
              <w:snapToGrid w:val="0"/>
              <w:jc w:val="left"/>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rPr>
              <w:t>其他术语解释</w:t>
            </w:r>
          </w:p>
        </w:tc>
        <w:tc>
          <w:tcPr>
            <w:tcW w:w="5170" w:type="dxa"/>
            <w:noWrap w:val="0"/>
            <w:vAlign w:val="center"/>
          </w:tcPr>
          <w:p w14:paraId="3954D685">
            <w:pPr>
              <w:adjustRightInd w:val="0"/>
              <w:snapToGrid w:val="0"/>
              <w:jc w:val="left"/>
              <w:rPr>
                <w:rFonts w:hint="eastAsia" w:ascii="仿宋" w:hAnsi="仿宋" w:eastAsia="仿宋" w:cs="仿宋"/>
                <w:color w:val="auto"/>
                <w:kern w:val="2"/>
                <w:sz w:val="22"/>
                <w:szCs w:val="22"/>
                <w:highlight w:val="none"/>
                <w:lang w:val="en-US" w:eastAsia="zh-CN" w:bidi="ar-SA"/>
              </w:rPr>
            </w:pPr>
          </w:p>
        </w:tc>
      </w:tr>
      <w:tr w14:paraId="60C6E4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362E303A">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55095A59">
            <w:pPr>
              <w:adjustRightInd w:val="0"/>
              <w:snapToGrid w:val="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第</w:t>
            </w:r>
            <w:r>
              <w:rPr>
                <w:rFonts w:hint="eastAsia" w:ascii="仿宋" w:hAnsi="仿宋" w:eastAsia="仿宋" w:cs="仿宋"/>
                <w:color w:val="auto"/>
                <w:sz w:val="22"/>
                <w:szCs w:val="22"/>
                <w:highlight w:val="none"/>
                <w:lang w:val="en-US" w:eastAsia="zh-CN"/>
              </w:rPr>
              <w:t>4.4款</w:t>
            </w:r>
          </w:p>
        </w:tc>
        <w:tc>
          <w:tcPr>
            <w:tcW w:w="1742" w:type="dxa"/>
            <w:noWrap w:val="0"/>
            <w:vAlign w:val="center"/>
          </w:tcPr>
          <w:p w14:paraId="7378555A">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履约验收中甲方提出异议或作出说明的期限</w:t>
            </w:r>
          </w:p>
        </w:tc>
        <w:tc>
          <w:tcPr>
            <w:tcW w:w="5170" w:type="dxa"/>
            <w:noWrap w:val="0"/>
            <w:vAlign w:val="center"/>
          </w:tcPr>
          <w:p w14:paraId="21E751D1">
            <w:pPr>
              <w:adjustRightInd w:val="0"/>
              <w:snapToGrid w:val="0"/>
              <w:jc w:val="left"/>
              <w:rPr>
                <w:rFonts w:hint="eastAsia" w:ascii="仿宋" w:hAnsi="仿宋" w:eastAsia="仿宋" w:cs="仿宋"/>
                <w:color w:val="auto"/>
                <w:kern w:val="2"/>
                <w:sz w:val="22"/>
                <w:szCs w:val="22"/>
                <w:highlight w:val="none"/>
                <w:lang w:val="en-US" w:eastAsia="zh-CN" w:bidi="ar-SA"/>
              </w:rPr>
            </w:pPr>
          </w:p>
        </w:tc>
      </w:tr>
      <w:tr w14:paraId="0767B3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DEED047">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2B762395">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第</w:t>
            </w:r>
            <w:r>
              <w:rPr>
                <w:rFonts w:hint="eastAsia" w:ascii="仿宋" w:hAnsi="仿宋" w:eastAsia="仿宋" w:cs="仿宋"/>
                <w:color w:val="auto"/>
                <w:sz w:val="22"/>
                <w:szCs w:val="22"/>
                <w:highlight w:val="none"/>
                <w:lang w:val="en-US" w:eastAsia="zh-CN"/>
              </w:rPr>
              <w:t>4.6款</w:t>
            </w:r>
          </w:p>
        </w:tc>
        <w:tc>
          <w:tcPr>
            <w:tcW w:w="1742" w:type="dxa"/>
            <w:noWrap w:val="0"/>
            <w:vAlign w:val="center"/>
          </w:tcPr>
          <w:p w14:paraId="47CF3573">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约定甲方承担的其他义务和责任</w:t>
            </w:r>
          </w:p>
        </w:tc>
        <w:tc>
          <w:tcPr>
            <w:tcW w:w="5170" w:type="dxa"/>
            <w:noWrap w:val="0"/>
            <w:vAlign w:val="center"/>
          </w:tcPr>
          <w:p w14:paraId="38E5894E">
            <w:pPr>
              <w:adjustRightInd w:val="0"/>
              <w:snapToGrid w:val="0"/>
              <w:jc w:val="left"/>
              <w:rPr>
                <w:rFonts w:hint="eastAsia" w:ascii="仿宋" w:hAnsi="仿宋" w:eastAsia="仿宋" w:cs="仿宋"/>
                <w:color w:val="auto"/>
                <w:kern w:val="2"/>
                <w:sz w:val="22"/>
                <w:szCs w:val="22"/>
                <w:highlight w:val="none"/>
                <w:lang w:val="en-US" w:eastAsia="zh-CN" w:bidi="ar-SA"/>
              </w:rPr>
            </w:pPr>
          </w:p>
        </w:tc>
      </w:tr>
      <w:tr w14:paraId="73249A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547EAC6">
            <w:pPr>
              <w:adjustRightInd w:val="0"/>
              <w:snapToGrid w:val="0"/>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第二节</w:t>
            </w:r>
          </w:p>
          <w:p w14:paraId="7C994D4A">
            <w:pPr>
              <w:snapToGrid w:val="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eastAsia="zh-CN"/>
              </w:rPr>
              <w:t>第</w:t>
            </w:r>
            <w:r>
              <w:rPr>
                <w:rFonts w:hint="eastAsia" w:ascii="仿宋" w:hAnsi="仿宋" w:eastAsia="仿宋" w:cs="仿宋"/>
                <w:color w:val="auto"/>
                <w:sz w:val="22"/>
                <w:szCs w:val="22"/>
                <w:highlight w:val="none"/>
                <w:lang w:val="en-US" w:eastAsia="zh-CN"/>
              </w:rPr>
              <w:t>5.4款</w:t>
            </w:r>
          </w:p>
        </w:tc>
        <w:tc>
          <w:tcPr>
            <w:tcW w:w="1742" w:type="dxa"/>
            <w:noWrap w:val="0"/>
            <w:vAlign w:val="center"/>
          </w:tcPr>
          <w:p w14:paraId="688A50FF">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约定乙方承担的其他义务和责任</w:t>
            </w:r>
          </w:p>
        </w:tc>
        <w:tc>
          <w:tcPr>
            <w:tcW w:w="5170" w:type="dxa"/>
            <w:noWrap w:val="0"/>
            <w:vAlign w:val="center"/>
          </w:tcPr>
          <w:p w14:paraId="601B39CF">
            <w:pPr>
              <w:adjustRightInd w:val="0"/>
              <w:snapToGrid w:val="0"/>
              <w:jc w:val="left"/>
              <w:rPr>
                <w:rFonts w:hint="eastAsia" w:ascii="仿宋" w:hAnsi="仿宋" w:eastAsia="仿宋" w:cs="仿宋"/>
                <w:color w:val="auto"/>
                <w:kern w:val="2"/>
                <w:sz w:val="22"/>
                <w:szCs w:val="22"/>
                <w:highlight w:val="none"/>
                <w:lang w:val="en-US" w:eastAsia="zh-CN" w:bidi="ar-SA"/>
              </w:rPr>
            </w:pPr>
          </w:p>
        </w:tc>
      </w:tr>
      <w:tr w14:paraId="11828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5508E81">
            <w:pPr>
              <w:adjustRightInd w:val="0"/>
              <w:snapToGrid w:val="0"/>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第二节</w:t>
            </w:r>
          </w:p>
          <w:p w14:paraId="2459D136">
            <w:pPr>
              <w:snapToGrid w:val="0"/>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第</w:t>
            </w:r>
            <w:r>
              <w:rPr>
                <w:rFonts w:hint="eastAsia" w:ascii="仿宋" w:hAnsi="仿宋" w:eastAsia="仿宋" w:cs="仿宋"/>
                <w:color w:val="auto"/>
                <w:sz w:val="22"/>
                <w:szCs w:val="22"/>
                <w:highlight w:val="none"/>
                <w:lang w:val="en-US" w:eastAsia="zh-CN"/>
              </w:rPr>
              <w:t>6.1款</w:t>
            </w:r>
          </w:p>
        </w:tc>
        <w:tc>
          <w:tcPr>
            <w:tcW w:w="1742" w:type="dxa"/>
            <w:noWrap w:val="0"/>
            <w:vAlign w:val="center"/>
          </w:tcPr>
          <w:p w14:paraId="27DC1126">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履行合同义务的顺序</w:t>
            </w:r>
          </w:p>
        </w:tc>
        <w:tc>
          <w:tcPr>
            <w:tcW w:w="5170" w:type="dxa"/>
            <w:noWrap w:val="0"/>
            <w:vAlign w:val="center"/>
          </w:tcPr>
          <w:p w14:paraId="5946F3C0">
            <w:pPr>
              <w:adjustRightInd w:val="0"/>
              <w:snapToGrid w:val="0"/>
              <w:jc w:val="left"/>
              <w:rPr>
                <w:rFonts w:hint="eastAsia" w:ascii="仿宋" w:hAnsi="仿宋" w:eastAsia="仿宋" w:cs="仿宋"/>
                <w:color w:val="auto"/>
                <w:kern w:val="2"/>
                <w:sz w:val="22"/>
                <w:szCs w:val="22"/>
                <w:highlight w:val="none"/>
                <w:lang w:val="en-US" w:eastAsia="zh-CN" w:bidi="ar-SA"/>
              </w:rPr>
            </w:pPr>
          </w:p>
        </w:tc>
      </w:tr>
      <w:tr w14:paraId="7D706B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417C65DC">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104F3D99">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款</w:t>
            </w:r>
          </w:p>
        </w:tc>
        <w:tc>
          <w:tcPr>
            <w:tcW w:w="1742" w:type="dxa"/>
            <w:noWrap w:val="0"/>
            <w:vAlign w:val="center"/>
          </w:tcPr>
          <w:p w14:paraId="27E0B1B9">
            <w:pPr>
              <w:adjustRightInd w:val="0"/>
              <w:snapToGrid w:val="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包装</w:t>
            </w:r>
            <w:r>
              <w:rPr>
                <w:rFonts w:hint="eastAsia" w:ascii="仿宋" w:hAnsi="仿宋" w:eastAsia="仿宋" w:cs="仿宋"/>
                <w:color w:val="auto"/>
                <w:sz w:val="22"/>
                <w:szCs w:val="22"/>
                <w:highlight w:val="none"/>
                <w:lang w:eastAsia="zh-CN"/>
              </w:rPr>
              <w:t>特殊要求</w:t>
            </w:r>
          </w:p>
        </w:tc>
        <w:tc>
          <w:tcPr>
            <w:tcW w:w="5170" w:type="dxa"/>
            <w:noWrap w:val="0"/>
            <w:vAlign w:val="center"/>
          </w:tcPr>
          <w:p w14:paraId="44C35EAE">
            <w:pPr>
              <w:rPr>
                <w:rFonts w:hint="eastAsia" w:ascii="仿宋" w:hAnsi="仿宋" w:eastAsia="仿宋" w:cs="仿宋"/>
                <w:color w:val="auto"/>
                <w:sz w:val="22"/>
                <w:szCs w:val="22"/>
                <w:highlight w:val="none"/>
              </w:rPr>
            </w:pPr>
          </w:p>
        </w:tc>
      </w:tr>
      <w:tr w14:paraId="4B0761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483094EF">
            <w:pPr>
              <w:adjustRightInd w:val="0"/>
              <w:snapToGrid w:val="0"/>
              <w:jc w:val="center"/>
              <w:rPr>
                <w:rFonts w:hint="eastAsia" w:ascii="仿宋" w:hAnsi="仿宋" w:eastAsia="仿宋" w:cs="仿宋"/>
                <w:color w:val="auto"/>
                <w:sz w:val="22"/>
                <w:szCs w:val="22"/>
                <w:highlight w:val="none"/>
              </w:rPr>
            </w:pPr>
          </w:p>
        </w:tc>
        <w:tc>
          <w:tcPr>
            <w:tcW w:w="1742" w:type="dxa"/>
            <w:noWrap w:val="0"/>
            <w:vAlign w:val="center"/>
          </w:tcPr>
          <w:p w14:paraId="46745596">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指定现场</w:t>
            </w:r>
          </w:p>
        </w:tc>
        <w:tc>
          <w:tcPr>
            <w:tcW w:w="5170" w:type="dxa"/>
            <w:noWrap w:val="0"/>
            <w:vAlign w:val="center"/>
          </w:tcPr>
          <w:p w14:paraId="23823FAD">
            <w:pPr>
              <w:rPr>
                <w:rFonts w:hint="eastAsia" w:ascii="仿宋" w:hAnsi="仿宋" w:eastAsia="仿宋" w:cs="仿宋"/>
                <w:color w:val="auto"/>
                <w:sz w:val="22"/>
                <w:szCs w:val="22"/>
                <w:highlight w:val="none"/>
              </w:rPr>
            </w:pPr>
          </w:p>
        </w:tc>
      </w:tr>
      <w:tr w14:paraId="78A3DA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653160EE">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44E8D730">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lang w:val="en-US" w:eastAsia="zh-CN"/>
              </w:rPr>
              <w:t>款</w:t>
            </w:r>
          </w:p>
        </w:tc>
        <w:tc>
          <w:tcPr>
            <w:tcW w:w="1742" w:type="dxa"/>
            <w:noWrap w:val="0"/>
            <w:vAlign w:val="center"/>
          </w:tcPr>
          <w:p w14:paraId="391B8228">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运输特殊要求</w:t>
            </w:r>
          </w:p>
        </w:tc>
        <w:tc>
          <w:tcPr>
            <w:tcW w:w="5170" w:type="dxa"/>
            <w:noWrap w:val="0"/>
            <w:vAlign w:val="center"/>
          </w:tcPr>
          <w:p w14:paraId="12F86FC7">
            <w:pPr>
              <w:rPr>
                <w:rFonts w:hint="eastAsia" w:ascii="仿宋" w:hAnsi="仿宋" w:eastAsia="仿宋" w:cs="仿宋"/>
                <w:color w:val="auto"/>
                <w:sz w:val="22"/>
                <w:szCs w:val="22"/>
                <w:highlight w:val="none"/>
              </w:rPr>
            </w:pPr>
          </w:p>
        </w:tc>
      </w:tr>
      <w:tr w14:paraId="3B8CA2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344C407F">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12672EC4">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.3</w:t>
            </w:r>
            <w:r>
              <w:rPr>
                <w:rFonts w:hint="eastAsia" w:ascii="仿宋" w:hAnsi="仿宋" w:eastAsia="仿宋" w:cs="仿宋"/>
                <w:color w:val="auto"/>
                <w:sz w:val="22"/>
                <w:szCs w:val="22"/>
                <w:highlight w:val="none"/>
                <w:lang w:val="en-US" w:eastAsia="zh-CN"/>
              </w:rPr>
              <w:t>款</w:t>
            </w:r>
          </w:p>
        </w:tc>
        <w:tc>
          <w:tcPr>
            <w:tcW w:w="1742" w:type="dxa"/>
            <w:noWrap w:val="0"/>
            <w:vAlign w:val="center"/>
          </w:tcPr>
          <w:p w14:paraId="22E8D8A2">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保险要求</w:t>
            </w:r>
          </w:p>
        </w:tc>
        <w:tc>
          <w:tcPr>
            <w:tcW w:w="5170" w:type="dxa"/>
            <w:noWrap w:val="0"/>
            <w:vAlign w:val="center"/>
          </w:tcPr>
          <w:p w14:paraId="6FC55926">
            <w:pPr>
              <w:rPr>
                <w:rFonts w:hint="eastAsia" w:ascii="仿宋" w:hAnsi="仿宋" w:eastAsia="仿宋" w:cs="仿宋"/>
                <w:color w:val="auto"/>
                <w:sz w:val="22"/>
                <w:szCs w:val="22"/>
                <w:highlight w:val="none"/>
              </w:rPr>
            </w:pPr>
          </w:p>
        </w:tc>
      </w:tr>
      <w:tr w14:paraId="5E6D12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0FCAF66">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07788F9E">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.2（1）项</w:t>
            </w:r>
          </w:p>
        </w:tc>
        <w:tc>
          <w:tcPr>
            <w:tcW w:w="1742" w:type="dxa"/>
            <w:noWrap w:val="0"/>
            <w:vAlign w:val="center"/>
          </w:tcPr>
          <w:p w14:paraId="08334431">
            <w:pPr>
              <w:adjustRightInd w:val="0"/>
              <w:snapToGrid w:val="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质量保证期</w:t>
            </w:r>
          </w:p>
        </w:tc>
        <w:tc>
          <w:tcPr>
            <w:tcW w:w="5170" w:type="dxa"/>
            <w:noWrap w:val="0"/>
            <w:vAlign w:val="center"/>
          </w:tcPr>
          <w:p w14:paraId="71252B98">
            <w:pPr>
              <w:autoSpaceDE w:val="0"/>
              <w:autoSpaceDN w:val="0"/>
              <w:adjustRightInd w:val="0"/>
              <w:snapToGrid w:val="0"/>
              <w:ind w:firstLine="440" w:firstLineChars="200"/>
              <w:jc w:val="left"/>
              <w:rPr>
                <w:rFonts w:hint="eastAsia" w:ascii="仿宋" w:hAnsi="仿宋" w:eastAsia="仿宋" w:cs="仿宋"/>
                <w:color w:val="auto"/>
                <w:sz w:val="22"/>
                <w:szCs w:val="22"/>
                <w:highlight w:val="none"/>
              </w:rPr>
            </w:pPr>
          </w:p>
        </w:tc>
      </w:tr>
      <w:tr w14:paraId="02E21A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48FD224">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43BA9421">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.2（3）项</w:t>
            </w:r>
          </w:p>
        </w:tc>
        <w:tc>
          <w:tcPr>
            <w:tcW w:w="1742" w:type="dxa"/>
            <w:noWrap w:val="0"/>
            <w:vAlign w:val="center"/>
          </w:tcPr>
          <w:p w14:paraId="46BE6E2E">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货物质量缺陷</w:t>
            </w:r>
          </w:p>
          <w:p w14:paraId="03AF64FE">
            <w:pPr>
              <w:adjustRightInd w:val="0"/>
              <w:snapToGrid w:val="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响应时间</w:t>
            </w:r>
          </w:p>
        </w:tc>
        <w:tc>
          <w:tcPr>
            <w:tcW w:w="5170" w:type="dxa"/>
            <w:noWrap w:val="0"/>
            <w:vAlign w:val="center"/>
          </w:tcPr>
          <w:p w14:paraId="344BC690">
            <w:pPr>
              <w:adjustRightInd w:val="0"/>
              <w:snapToGrid w:val="0"/>
              <w:jc w:val="left"/>
              <w:rPr>
                <w:rFonts w:hint="eastAsia" w:ascii="仿宋" w:hAnsi="仿宋" w:eastAsia="仿宋" w:cs="仿宋"/>
                <w:color w:val="auto"/>
                <w:sz w:val="22"/>
                <w:szCs w:val="22"/>
                <w:highlight w:val="none"/>
              </w:rPr>
            </w:pPr>
          </w:p>
        </w:tc>
      </w:tr>
      <w:tr w14:paraId="11180F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9EBCCE9">
            <w:pPr>
              <w:snapToGrid w:val="0"/>
              <w:jc w:val="center"/>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第二节</w:t>
            </w:r>
          </w:p>
          <w:p w14:paraId="2FA854FA">
            <w:pPr>
              <w:autoSpaceDE w:val="0"/>
              <w:autoSpaceDN w:val="0"/>
              <w:adjustRightInd w:val="0"/>
              <w:spacing w:line="400" w:lineRule="exact"/>
              <w:ind w:firstLine="0" w:firstLineChars="0"/>
              <w:jc w:val="center"/>
              <w:rPr>
                <w:rFonts w:hint="eastAsia" w:ascii="仿宋" w:hAnsi="仿宋" w:eastAsia="仿宋" w:cs="仿宋"/>
                <w:color w:val="auto"/>
                <w:sz w:val="22"/>
                <w:szCs w:val="22"/>
                <w:highlight w:val="none"/>
                <w:lang w:val="en-US" w:eastAsia="zh-CN" w:bidi="ar-SA"/>
              </w:rPr>
            </w:pPr>
            <w:r>
              <w:rPr>
                <w:rFonts w:hint="eastAsia" w:ascii="仿宋" w:hAnsi="仿宋" w:eastAsia="仿宋" w:cs="仿宋"/>
                <w:color w:val="auto"/>
                <w:sz w:val="22"/>
                <w:szCs w:val="22"/>
                <w:highlight w:val="none"/>
                <w:lang w:val="en-US" w:eastAsia="zh-CN" w:bidi="ar-SA"/>
              </w:rPr>
              <w:t>第11.1款</w:t>
            </w:r>
          </w:p>
        </w:tc>
        <w:tc>
          <w:tcPr>
            <w:tcW w:w="1742" w:type="dxa"/>
            <w:noWrap w:val="0"/>
            <w:vAlign w:val="center"/>
          </w:tcPr>
          <w:p w14:paraId="73B23AB0">
            <w:pPr>
              <w:adjustRightInd w:val="0"/>
              <w:snapToGrid w:val="0"/>
              <w:jc w:val="both"/>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其他应当保密的信息</w:t>
            </w:r>
          </w:p>
        </w:tc>
        <w:tc>
          <w:tcPr>
            <w:tcW w:w="5170" w:type="dxa"/>
            <w:noWrap w:val="0"/>
            <w:vAlign w:val="center"/>
          </w:tcPr>
          <w:p w14:paraId="079D0640">
            <w:pPr>
              <w:adjustRightInd w:val="0"/>
              <w:snapToGrid w:val="0"/>
              <w:jc w:val="left"/>
              <w:rPr>
                <w:rFonts w:hint="eastAsia" w:ascii="仿宋" w:hAnsi="仿宋" w:eastAsia="仿宋" w:cs="仿宋"/>
                <w:color w:val="auto"/>
                <w:sz w:val="22"/>
                <w:szCs w:val="22"/>
                <w:highlight w:val="none"/>
              </w:rPr>
            </w:pPr>
          </w:p>
        </w:tc>
      </w:tr>
      <w:tr w14:paraId="4C9AAA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2877D102">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3F3B8ACA">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第1</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.2款</w:t>
            </w:r>
          </w:p>
        </w:tc>
        <w:tc>
          <w:tcPr>
            <w:tcW w:w="1742" w:type="dxa"/>
            <w:noWrap w:val="0"/>
            <w:vAlign w:val="center"/>
          </w:tcPr>
          <w:p w14:paraId="67682B09">
            <w:pPr>
              <w:adjustRightInd w:val="0"/>
              <w:snapToGrid w:val="0"/>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合同价款支付</w:t>
            </w:r>
            <w:r>
              <w:rPr>
                <w:rFonts w:hint="eastAsia" w:ascii="仿宋" w:hAnsi="仿宋" w:eastAsia="仿宋" w:cs="仿宋"/>
                <w:color w:val="auto"/>
                <w:sz w:val="22"/>
                <w:szCs w:val="22"/>
                <w:highlight w:val="none"/>
                <w:lang w:eastAsia="zh-CN"/>
              </w:rPr>
              <w:t>时间</w:t>
            </w:r>
          </w:p>
        </w:tc>
        <w:tc>
          <w:tcPr>
            <w:tcW w:w="5170" w:type="dxa"/>
            <w:noWrap w:val="0"/>
            <w:vAlign w:val="center"/>
          </w:tcPr>
          <w:p w14:paraId="79BD95DB">
            <w:pPr>
              <w:adjustRightInd w:val="0"/>
              <w:snapToGrid w:val="0"/>
              <w:jc w:val="left"/>
              <w:rPr>
                <w:rFonts w:hint="eastAsia" w:ascii="仿宋" w:hAnsi="仿宋" w:eastAsia="仿宋" w:cs="仿宋"/>
                <w:color w:val="auto"/>
                <w:sz w:val="22"/>
                <w:szCs w:val="22"/>
                <w:highlight w:val="none"/>
              </w:rPr>
            </w:pPr>
          </w:p>
        </w:tc>
      </w:tr>
      <w:tr w14:paraId="2F1734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0AE48DDC">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0A2CCB45">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13.2</w:t>
            </w:r>
            <w:r>
              <w:rPr>
                <w:rFonts w:hint="eastAsia" w:ascii="仿宋" w:hAnsi="仿宋" w:eastAsia="仿宋" w:cs="仿宋"/>
                <w:color w:val="auto"/>
                <w:sz w:val="22"/>
                <w:szCs w:val="22"/>
                <w:highlight w:val="none"/>
              </w:rPr>
              <w:t>款</w:t>
            </w:r>
          </w:p>
        </w:tc>
        <w:tc>
          <w:tcPr>
            <w:tcW w:w="1742" w:type="dxa"/>
            <w:noWrap w:val="0"/>
            <w:vAlign w:val="center"/>
          </w:tcPr>
          <w:p w14:paraId="0EC02E8F">
            <w:pPr>
              <w:adjustRightInd w:val="0"/>
              <w:snapToGrid w:val="0"/>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履约保证金不予退还的情形</w:t>
            </w:r>
          </w:p>
        </w:tc>
        <w:tc>
          <w:tcPr>
            <w:tcW w:w="5170" w:type="dxa"/>
            <w:noWrap w:val="0"/>
            <w:vAlign w:val="center"/>
          </w:tcPr>
          <w:p w14:paraId="7BD57A23">
            <w:pPr>
              <w:adjustRightInd w:val="0"/>
              <w:snapToGrid w:val="0"/>
              <w:jc w:val="left"/>
              <w:rPr>
                <w:rFonts w:hint="eastAsia" w:ascii="仿宋" w:hAnsi="仿宋" w:eastAsia="仿宋" w:cs="仿宋"/>
                <w:color w:val="auto"/>
                <w:sz w:val="22"/>
                <w:szCs w:val="22"/>
                <w:highlight w:val="none"/>
              </w:rPr>
            </w:pPr>
          </w:p>
        </w:tc>
      </w:tr>
      <w:tr w14:paraId="207670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8A29423">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5CB6DA13">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w:t>
            </w:r>
            <w:r>
              <w:rPr>
                <w:rFonts w:hint="eastAsia" w:ascii="仿宋" w:hAnsi="仿宋" w:eastAsia="仿宋" w:cs="仿宋"/>
                <w:color w:val="auto"/>
                <w:sz w:val="22"/>
                <w:szCs w:val="22"/>
                <w:highlight w:val="none"/>
                <w:lang w:val="en-US" w:eastAsia="zh-CN"/>
              </w:rPr>
              <w:t>13.3</w:t>
            </w:r>
            <w:r>
              <w:rPr>
                <w:rFonts w:hint="eastAsia" w:ascii="仿宋" w:hAnsi="仿宋" w:eastAsia="仿宋" w:cs="仿宋"/>
                <w:color w:val="auto"/>
                <w:sz w:val="22"/>
                <w:szCs w:val="22"/>
                <w:highlight w:val="none"/>
              </w:rPr>
              <w:t>款</w:t>
            </w:r>
          </w:p>
        </w:tc>
        <w:tc>
          <w:tcPr>
            <w:tcW w:w="1742" w:type="dxa"/>
            <w:noWrap w:val="0"/>
            <w:vAlign w:val="center"/>
          </w:tcPr>
          <w:p w14:paraId="388C8099">
            <w:pPr>
              <w:adjustRightInd w:val="0"/>
              <w:snapToGrid w:val="0"/>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履约保证金退还时间及</w:t>
            </w:r>
            <w:r>
              <w:rPr>
                <w:rFonts w:hint="eastAsia" w:ascii="仿宋" w:hAnsi="仿宋" w:eastAsia="仿宋" w:cs="仿宋"/>
                <w:color w:val="auto"/>
                <w:sz w:val="22"/>
                <w:szCs w:val="22"/>
                <w:highlight w:val="none"/>
                <w:lang w:eastAsia="zh-CN"/>
              </w:rPr>
              <w:t>逾期退还的</w:t>
            </w:r>
            <w:r>
              <w:rPr>
                <w:rFonts w:hint="eastAsia" w:ascii="仿宋" w:hAnsi="仿宋" w:eastAsia="仿宋" w:cs="仿宋"/>
                <w:color w:val="auto"/>
                <w:sz w:val="22"/>
                <w:szCs w:val="22"/>
                <w:highlight w:val="none"/>
              </w:rPr>
              <w:t>违约金</w:t>
            </w:r>
          </w:p>
        </w:tc>
        <w:tc>
          <w:tcPr>
            <w:tcW w:w="5170" w:type="dxa"/>
            <w:noWrap w:val="0"/>
            <w:vAlign w:val="center"/>
          </w:tcPr>
          <w:p w14:paraId="1D0A3828">
            <w:pPr>
              <w:adjustRightInd w:val="0"/>
              <w:snapToGrid w:val="0"/>
              <w:jc w:val="left"/>
              <w:rPr>
                <w:rFonts w:hint="eastAsia" w:ascii="仿宋" w:hAnsi="仿宋" w:eastAsia="仿宋" w:cs="仿宋"/>
                <w:color w:val="auto"/>
                <w:sz w:val="22"/>
                <w:szCs w:val="22"/>
                <w:highlight w:val="none"/>
              </w:rPr>
            </w:pPr>
          </w:p>
        </w:tc>
      </w:tr>
      <w:tr w14:paraId="69AC5B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35B37FF">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第二节</w:t>
            </w:r>
          </w:p>
          <w:p w14:paraId="58D86BEE">
            <w:pPr>
              <w:adjustRightInd w:val="0"/>
              <w:snapToGrid w:val="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第1</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.1（</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）项</w:t>
            </w:r>
          </w:p>
        </w:tc>
        <w:tc>
          <w:tcPr>
            <w:tcW w:w="1742" w:type="dxa"/>
            <w:noWrap w:val="0"/>
            <w:vAlign w:val="center"/>
          </w:tcPr>
          <w:p w14:paraId="7A65F02C">
            <w:pPr>
              <w:adjustRightInd w:val="0"/>
              <w:snapToGrid w:val="0"/>
              <w:jc w:val="left"/>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运行监督、维修期限</w:t>
            </w:r>
          </w:p>
        </w:tc>
        <w:tc>
          <w:tcPr>
            <w:tcW w:w="5170" w:type="dxa"/>
            <w:noWrap w:val="0"/>
            <w:vAlign w:val="center"/>
          </w:tcPr>
          <w:p w14:paraId="2743F2B3">
            <w:pPr>
              <w:adjustRightInd w:val="0"/>
              <w:snapToGrid w:val="0"/>
              <w:jc w:val="left"/>
              <w:rPr>
                <w:rFonts w:hint="eastAsia" w:ascii="仿宋" w:hAnsi="仿宋" w:eastAsia="仿宋" w:cs="仿宋"/>
                <w:color w:val="auto"/>
                <w:sz w:val="22"/>
                <w:szCs w:val="22"/>
                <w:highlight w:val="none"/>
              </w:rPr>
            </w:pPr>
          </w:p>
        </w:tc>
      </w:tr>
      <w:tr w14:paraId="1463FF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4917315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14EFF8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）项</w:t>
            </w:r>
          </w:p>
        </w:tc>
        <w:tc>
          <w:tcPr>
            <w:tcW w:w="1742" w:type="dxa"/>
            <w:noWrap w:val="0"/>
            <w:vAlign w:val="center"/>
          </w:tcPr>
          <w:p w14:paraId="0F4CCFD0">
            <w:pPr>
              <w:adjustRightInd w:val="0"/>
              <w:snapToGrid w:val="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货物回收的约定</w:t>
            </w:r>
          </w:p>
        </w:tc>
        <w:tc>
          <w:tcPr>
            <w:tcW w:w="5170" w:type="dxa"/>
            <w:noWrap w:val="0"/>
            <w:vAlign w:val="center"/>
          </w:tcPr>
          <w:p w14:paraId="5D6E2BD8">
            <w:pPr>
              <w:adjustRightInd w:val="0"/>
              <w:snapToGrid w:val="0"/>
              <w:jc w:val="left"/>
              <w:rPr>
                <w:rFonts w:hint="eastAsia" w:ascii="仿宋" w:hAnsi="仿宋" w:eastAsia="仿宋" w:cs="仿宋"/>
                <w:color w:val="auto"/>
                <w:szCs w:val="21"/>
                <w:highlight w:val="none"/>
              </w:rPr>
            </w:pPr>
          </w:p>
        </w:tc>
      </w:tr>
      <w:tr w14:paraId="42A104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06AE103">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6256D6D">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）项</w:t>
            </w:r>
          </w:p>
        </w:tc>
        <w:tc>
          <w:tcPr>
            <w:tcW w:w="1742" w:type="dxa"/>
            <w:noWrap w:val="0"/>
            <w:vAlign w:val="center"/>
          </w:tcPr>
          <w:p w14:paraId="21029975">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noWrap w:val="0"/>
            <w:vAlign w:val="center"/>
          </w:tcPr>
          <w:p w14:paraId="1E58B06F">
            <w:pPr>
              <w:adjustRightInd w:val="0"/>
              <w:snapToGrid w:val="0"/>
              <w:jc w:val="left"/>
              <w:rPr>
                <w:rFonts w:hint="eastAsia" w:ascii="仿宋" w:hAnsi="仿宋" w:eastAsia="仿宋" w:cs="仿宋"/>
                <w:color w:val="auto"/>
                <w:szCs w:val="21"/>
                <w:highlight w:val="none"/>
              </w:rPr>
            </w:pPr>
          </w:p>
        </w:tc>
      </w:tr>
      <w:tr w14:paraId="0F854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3E419B9">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F7F63B5">
            <w:pPr>
              <w:adjustRightInd w:val="0"/>
              <w:snapToGrid w:val="0"/>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1款</w:t>
            </w:r>
          </w:p>
        </w:tc>
        <w:tc>
          <w:tcPr>
            <w:tcW w:w="1742" w:type="dxa"/>
            <w:noWrap w:val="0"/>
            <w:vAlign w:val="center"/>
          </w:tcPr>
          <w:p w14:paraId="081DF391">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修理、重作、更换相关具体规定</w:t>
            </w:r>
          </w:p>
        </w:tc>
        <w:tc>
          <w:tcPr>
            <w:tcW w:w="5170" w:type="dxa"/>
            <w:noWrap w:val="0"/>
            <w:vAlign w:val="center"/>
          </w:tcPr>
          <w:p w14:paraId="7FD127FC">
            <w:pPr>
              <w:adjustRightInd w:val="0"/>
              <w:snapToGrid w:val="0"/>
              <w:jc w:val="left"/>
              <w:rPr>
                <w:rFonts w:hint="eastAsia" w:ascii="仿宋" w:hAnsi="仿宋" w:eastAsia="仿宋" w:cs="仿宋"/>
                <w:color w:val="auto"/>
                <w:szCs w:val="21"/>
                <w:highlight w:val="none"/>
              </w:rPr>
            </w:pPr>
          </w:p>
        </w:tc>
      </w:tr>
      <w:tr w14:paraId="3CBB0A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1C7C697C">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73C41C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.2（2）项</w:t>
            </w:r>
          </w:p>
        </w:tc>
        <w:tc>
          <w:tcPr>
            <w:tcW w:w="1742" w:type="dxa"/>
            <w:noWrap w:val="0"/>
            <w:vAlign w:val="center"/>
          </w:tcPr>
          <w:p w14:paraId="0195868F">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noWrap w:val="0"/>
            <w:vAlign w:val="center"/>
          </w:tcPr>
          <w:p w14:paraId="6BD9211C">
            <w:pPr>
              <w:adjustRightInd w:val="0"/>
              <w:snapToGrid w:val="0"/>
              <w:jc w:val="left"/>
              <w:rPr>
                <w:rFonts w:hint="eastAsia" w:ascii="仿宋" w:hAnsi="仿宋" w:eastAsia="仿宋" w:cs="仿宋"/>
                <w:color w:val="auto"/>
                <w:szCs w:val="21"/>
                <w:highlight w:val="none"/>
                <w:u w:val="single"/>
              </w:rPr>
            </w:pPr>
          </w:p>
        </w:tc>
      </w:tr>
      <w:tr w14:paraId="56FC1D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6806CB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941BB6F">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3款</w:t>
            </w:r>
          </w:p>
        </w:tc>
        <w:tc>
          <w:tcPr>
            <w:tcW w:w="1742" w:type="dxa"/>
            <w:noWrap w:val="0"/>
            <w:vAlign w:val="center"/>
          </w:tcPr>
          <w:p w14:paraId="68A5241C">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noWrap w:val="0"/>
            <w:vAlign w:val="center"/>
          </w:tcPr>
          <w:p w14:paraId="7A46CB87">
            <w:pPr>
              <w:adjustRightInd w:val="0"/>
              <w:snapToGrid w:val="0"/>
              <w:jc w:val="left"/>
              <w:rPr>
                <w:rFonts w:hint="eastAsia" w:ascii="仿宋" w:hAnsi="仿宋" w:eastAsia="仿宋" w:cs="仿宋"/>
                <w:color w:val="auto"/>
                <w:szCs w:val="21"/>
                <w:highlight w:val="none"/>
                <w:u w:val="single"/>
              </w:rPr>
            </w:pPr>
          </w:p>
        </w:tc>
      </w:tr>
      <w:tr w14:paraId="39E83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2933A0E6">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21D088E">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.4</w:t>
            </w:r>
            <w:r>
              <w:rPr>
                <w:rFonts w:hint="eastAsia" w:ascii="仿宋" w:hAnsi="仿宋" w:eastAsia="仿宋" w:cs="仿宋"/>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290E963E">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noWrap w:val="0"/>
            <w:vAlign w:val="center"/>
          </w:tcPr>
          <w:p w14:paraId="5F7B48B0">
            <w:pPr>
              <w:adjustRightInd w:val="0"/>
              <w:snapToGrid w:val="0"/>
              <w:jc w:val="left"/>
              <w:rPr>
                <w:rFonts w:hint="eastAsia" w:ascii="仿宋" w:hAnsi="仿宋" w:eastAsia="仿宋" w:cs="仿宋"/>
                <w:color w:val="auto"/>
                <w:szCs w:val="21"/>
                <w:highlight w:val="none"/>
                <w:u w:val="single"/>
              </w:rPr>
            </w:pPr>
          </w:p>
        </w:tc>
      </w:tr>
      <w:tr w14:paraId="6BC785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67F68ED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153D1A1">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w:t>
            </w:r>
            <w:r>
              <w:rPr>
                <w:rFonts w:hint="eastAsia" w:ascii="仿宋" w:hAnsi="仿宋" w:eastAsia="仿宋" w:cs="仿宋"/>
                <w:color w:val="auto"/>
                <w:szCs w:val="21"/>
                <w:highlight w:val="none"/>
                <w:lang w:val="en-US" w:eastAsia="zh-CN"/>
              </w:rPr>
              <w:t>19</w:t>
            </w: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21464DBE">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解决争议的方法</w:t>
            </w:r>
          </w:p>
        </w:tc>
        <w:tc>
          <w:tcPr>
            <w:tcW w:w="5170" w:type="dxa"/>
            <w:tcBorders>
              <w:top w:val="single" w:color="auto" w:sz="2" w:space="0"/>
              <w:left w:val="single" w:color="auto" w:sz="2" w:space="0"/>
            </w:tcBorders>
            <w:noWrap w:val="0"/>
            <w:vAlign w:val="center"/>
          </w:tcPr>
          <w:p w14:paraId="69174563">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因本合同及合同有关事项发生的争议，按下列第</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种方式解决：</w:t>
            </w:r>
          </w:p>
          <w:p w14:paraId="1F76C452">
            <w:pPr>
              <w:autoSpaceDE w:val="0"/>
              <w:autoSpaceDN w:val="0"/>
              <w:adjustRightInd w:val="0"/>
              <w:snapToGrid w:val="0"/>
              <w:spacing w:line="400" w:lineRule="exact"/>
              <w:jc w:val="left"/>
              <w:rPr>
                <w:rFonts w:hint="eastAsia" w:ascii="仿宋" w:hAnsi="仿宋" w:eastAsia="仿宋" w:cs="仿宋"/>
                <w:b w:val="0"/>
                <w:bCs w:val="0"/>
                <w:iCs/>
                <w:color w:val="auto"/>
                <w:szCs w:val="21"/>
                <w:highlight w:val="none"/>
              </w:rPr>
            </w:pPr>
            <w:r>
              <w:rPr>
                <w:rFonts w:hint="eastAsia" w:ascii="仿宋" w:hAnsi="仿宋" w:eastAsia="仿宋" w:cs="仿宋"/>
                <w:b w:val="0"/>
                <w:bCs w:val="0"/>
                <w:iCs/>
                <w:color w:val="auto"/>
                <w:szCs w:val="21"/>
                <w:highlight w:val="none"/>
              </w:rPr>
              <w:t>（1）向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仲裁委员会申请仲裁，仲裁地点为</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w:t>
            </w:r>
          </w:p>
          <w:p w14:paraId="41707D65">
            <w:pPr>
              <w:adjustRightInd w:val="0"/>
              <w:snapToGrid w:val="0"/>
              <w:ind w:firstLine="0" w:firstLineChars="0"/>
              <w:jc w:val="left"/>
              <w:rPr>
                <w:rFonts w:hint="eastAsia" w:ascii="仿宋" w:hAnsi="仿宋" w:eastAsia="仿宋" w:cs="仿宋"/>
                <w:color w:val="auto"/>
                <w:szCs w:val="21"/>
                <w:highlight w:val="none"/>
                <w:u w:val="single"/>
              </w:rPr>
            </w:pPr>
            <w:r>
              <w:rPr>
                <w:rFonts w:hint="eastAsia" w:ascii="仿宋" w:hAnsi="仿宋" w:eastAsia="仿宋" w:cs="仿宋"/>
                <w:b w:val="0"/>
                <w:bCs w:val="0"/>
                <w:iCs/>
                <w:color w:val="auto"/>
                <w:szCs w:val="21"/>
                <w:highlight w:val="none"/>
              </w:rPr>
              <w:t>（2）向</w:t>
            </w:r>
            <w:r>
              <w:rPr>
                <w:rFonts w:hint="eastAsia" w:ascii="仿宋" w:hAnsi="仿宋" w:eastAsia="仿宋" w:cs="仿宋"/>
                <w:b w:val="0"/>
                <w:bCs w:val="0"/>
                <w:iCs/>
                <w:color w:val="auto"/>
                <w:szCs w:val="21"/>
                <w:highlight w:val="none"/>
                <w:u w:val="single"/>
              </w:rPr>
              <w:t xml:space="preserve">                    </w:t>
            </w:r>
            <w:r>
              <w:rPr>
                <w:rFonts w:hint="eastAsia" w:ascii="仿宋" w:hAnsi="仿宋" w:eastAsia="仿宋" w:cs="仿宋"/>
                <w:b w:val="0"/>
                <w:bCs w:val="0"/>
                <w:iCs/>
                <w:color w:val="auto"/>
                <w:szCs w:val="21"/>
                <w:highlight w:val="none"/>
              </w:rPr>
              <w:t>人民法院起诉。</w:t>
            </w:r>
          </w:p>
        </w:tc>
      </w:tr>
      <w:tr w14:paraId="518371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45C88F08">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2C0CAEA">
            <w:pPr>
              <w:adjustRightInd w:val="0"/>
              <w:snapToGrid w:val="0"/>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第2</w:t>
            </w:r>
            <w:r>
              <w:rPr>
                <w:rFonts w:hint="eastAsia" w:ascii="仿宋" w:hAnsi="仿宋" w:eastAsia="仿宋" w:cs="仿宋"/>
                <w:color w:val="auto"/>
                <w:szCs w:val="21"/>
                <w:highlight w:val="none"/>
                <w:lang w:val="en-US" w:eastAsia="zh-CN"/>
              </w:rPr>
              <w:t>3.1</w:t>
            </w:r>
            <w:r>
              <w:rPr>
                <w:rFonts w:hint="eastAsia" w:ascii="仿宋" w:hAnsi="仿宋" w:eastAsia="仿宋" w:cs="仿宋"/>
                <w:color w:val="auto"/>
                <w:szCs w:val="21"/>
                <w:highlight w:val="none"/>
                <w:lang w:eastAsia="zh-CN"/>
              </w:rPr>
              <w:t>款</w:t>
            </w:r>
          </w:p>
        </w:tc>
        <w:tc>
          <w:tcPr>
            <w:tcW w:w="1742" w:type="dxa"/>
            <w:noWrap w:val="0"/>
            <w:vAlign w:val="center"/>
          </w:tcPr>
          <w:p w14:paraId="2E0FC883">
            <w:pPr>
              <w:adjustRightInd w:val="0"/>
              <w:snapToGrid w:val="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lang w:eastAsia="zh-CN"/>
              </w:rPr>
              <w:t>其他专用条款</w:t>
            </w:r>
          </w:p>
        </w:tc>
        <w:tc>
          <w:tcPr>
            <w:tcW w:w="5170" w:type="dxa"/>
            <w:noWrap w:val="0"/>
            <w:vAlign w:val="center"/>
          </w:tcPr>
          <w:p w14:paraId="25F99EE2">
            <w:pPr>
              <w:adjustRightInd w:val="0"/>
              <w:snapToGrid w:val="0"/>
              <w:jc w:val="left"/>
              <w:rPr>
                <w:rFonts w:hint="eastAsia" w:ascii="仿宋" w:hAnsi="仿宋" w:eastAsia="仿宋" w:cs="仿宋"/>
                <w:color w:val="auto"/>
                <w:szCs w:val="21"/>
                <w:highlight w:val="none"/>
                <w:lang w:val="en-US" w:eastAsia="zh-CN"/>
              </w:rPr>
            </w:pPr>
          </w:p>
        </w:tc>
      </w:tr>
    </w:tbl>
    <w:p w14:paraId="0373DFF2">
      <w:pPr>
        <w:rPr>
          <w:rFonts w:hint="eastAsia" w:ascii="仿宋" w:hAnsi="仿宋" w:eastAsia="仿宋" w:cs="仿宋"/>
          <w:b/>
          <w:color w:val="auto"/>
          <w:kern w:val="44"/>
          <w:sz w:val="40"/>
          <w:szCs w:val="40"/>
          <w:highlight w:val="none"/>
          <w:lang w:val="en-US" w:eastAsia="zh-CN" w:bidi="ar-SA"/>
        </w:rPr>
      </w:pPr>
      <w:r>
        <w:rPr>
          <w:rFonts w:hint="eastAsia" w:ascii="仿宋" w:hAnsi="仿宋" w:eastAsia="仿宋" w:cs="仿宋"/>
          <w:b/>
          <w:color w:val="auto"/>
          <w:kern w:val="44"/>
          <w:sz w:val="40"/>
          <w:szCs w:val="40"/>
          <w:highlight w:val="none"/>
          <w:lang w:val="en-US" w:eastAsia="zh-CN" w:bidi="ar-SA"/>
        </w:rPr>
        <w:br w:type="page"/>
      </w:r>
    </w:p>
    <w:p w14:paraId="4D6FD1E7">
      <w:pPr>
        <w:keepNext w:val="0"/>
        <w:keepLines w:val="0"/>
        <w:pageBreakBefore w:val="0"/>
        <w:widowControl/>
        <w:kinsoku/>
        <w:wordWrap/>
        <w:overflowPunct/>
        <w:topLinePunct w:val="0"/>
        <w:autoSpaceDE/>
        <w:autoSpaceDN/>
        <w:bidi w:val="0"/>
        <w:adjustRightInd/>
        <w:snapToGrid/>
        <w:spacing w:line="480" w:lineRule="exact"/>
        <w:jc w:val="center"/>
        <w:textAlignment w:val="auto"/>
        <w:outlineLvl w:val="0"/>
        <w:rPr>
          <w:rFonts w:hint="eastAsia" w:ascii="仿宋" w:hAnsi="仿宋" w:eastAsia="仿宋" w:cs="仿宋"/>
          <w:b/>
          <w:color w:val="auto"/>
          <w:kern w:val="44"/>
          <w:sz w:val="40"/>
          <w:szCs w:val="40"/>
          <w:highlight w:val="none"/>
          <w:lang w:val="en-US" w:eastAsia="zh-CN" w:bidi="ar-SA"/>
        </w:rPr>
      </w:pPr>
      <w:r>
        <w:rPr>
          <w:rFonts w:hint="eastAsia" w:ascii="仿宋" w:hAnsi="仿宋" w:eastAsia="仿宋" w:cs="仿宋"/>
          <w:b/>
          <w:color w:val="auto"/>
          <w:kern w:val="44"/>
          <w:sz w:val="40"/>
          <w:szCs w:val="40"/>
          <w:highlight w:val="none"/>
          <w:lang w:val="en-US" w:eastAsia="zh-CN" w:bidi="ar-SA"/>
        </w:rPr>
        <w:t>第六章 投标文件格式</w:t>
      </w:r>
      <w:bookmarkEnd w:id="178"/>
      <w:bookmarkEnd w:id="195"/>
    </w:p>
    <w:p w14:paraId="0526593E">
      <w:pPr>
        <w:keepNext w:val="0"/>
        <w:keepLines w:val="0"/>
        <w:pageBreakBefore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投标文件格式是投标人的部分投标文件格式，投标人应当严格按照这些格式编制投标文件。编制投标文件前，请详细阅读招标文件，理解文件中的每一项要求，做出逐一实质性响应，认为有必要，可做补充说明。</w:t>
      </w:r>
    </w:p>
    <w:p w14:paraId="166A441D">
      <w:pPr>
        <w:spacing w:line="400" w:lineRule="exact"/>
        <w:ind w:firstLine="570"/>
        <w:rPr>
          <w:rFonts w:hint="eastAsia" w:ascii="仿宋" w:hAnsi="仿宋" w:eastAsia="仿宋" w:cs="仿宋"/>
          <w:color w:val="auto"/>
          <w:sz w:val="28"/>
          <w:szCs w:val="28"/>
          <w:highlight w:val="none"/>
        </w:rPr>
      </w:pPr>
    </w:p>
    <w:p w14:paraId="3D05BEDB">
      <w:pPr>
        <w:spacing w:line="400" w:lineRule="exact"/>
        <w:ind w:firstLine="570"/>
        <w:rPr>
          <w:rFonts w:hint="eastAsia" w:ascii="仿宋" w:hAnsi="仿宋" w:eastAsia="仿宋" w:cs="仿宋"/>
          <w:color w:val="auto"/>
          <w:sz w:val="28"/>
          <w:szCs w:val="28"/>
          <w:highlight w:val="none"/>
        </w:rPr>
      </w:pPr>
    </w:p>
    <w:p w14:paraId="2EFC7BFE">
      <w:pPr>
        <w:spacing w:line="400" w:lineRule="exact"/>
        <w:ind w:firstLine="570"/>
        <w:rPr>
          <w:rFonts w:hint="eastAsia" w:ascii="仿宋" w:hAnsi="仿宋" w:eastAsia="仿宋" w:cs="仿宋"/>
          <w:color w:val="auto"/>
          <w:sz w:val="28"/>
          <w:szCs w:val="28"/>
          <w:highlight w:val="none"/>
        </w:rPr>
      </w:pPr>
    </w:p>
    <w:p w14:paraId="68085300">
      <w:pPr>
        <w:spacing w:line="400" w:lineRule="exact"/>
        <w:ind w:firstLine="570"/>
        <w:rPr>
          <w:rFonts w:hint="eastAsia" w:ascii="仿宋" w:hAnsi="仿宋" w:eastAsia="仿宋" w:cs="仿宋"/>
          <w:color w:val="auto"/>
          <w:sz w:val="28"/>
          <w:szCs w:val="28"/>
          <w:highlight w:val="none"/>
        </w:rPr>
      </w:pPr>
    </w:p>
    <w:p w14:paraId="78B1D5EA">
      <w:pPr>
        <w:spacing w:line="400" w:lineRule="exact"/>
        <w:ind w:firstLine="570"/>
        <w:rPr>
          <w:rFonts w:hint="eastAsia" w:ascii="仿宋" w:hAnsi="仿宋" w:eastAsia="仿宋" w:cs="仿宋"/>
          <w:color w:val="auto"/>
          <w:sz w:val="28"/>
          <w:szCs w:val="28"/>
          <w:highlight w:val="none"/>
        </w:rPr>
      </w:pPr>
    </w:p>
    <w:p w14:paraId="213CC94A">
      <w:pPr>
        <w:spacing w:line="400" w:lineRule="exact"/>
        <w:ind w:firstLine="570"/>
        <w:rPr>
          <w:rFonts w:hint="eastAsia" w:ascii="仿宋" w:hAnsi="仿宋" w:eastAsia="仿宋" w:cs="仿宋"/>
          <w:color w:val="auto"/>
          <w:sz w:val="28"/>
          <w:szCs w:val="28"/>
          <w:highlight w:val="none"/>
        </w:rPr>
      </w:pPr>
    </w:p>
    <w:p w14:paraId="28E456BB">
      <w:pPr>
        <w:spacing w:line="400" w:lineRule="exact"/>
        <w:ind w:firstLine="570"/>
        <w:rPr>
          <w:rFonts w:hint="eastAsia" w:ascii="仿宋" w:hAnsi="仿宋" w:eastAsia="仿宋" w:cs="仿宋"/>
          <w:color w:val="auto"/>
          <w:sz w:val="28"/>
          <w:szCs w:val="28"/>
          <w:highlight w:val="none"/>
        </w:rPr>
      </w:pPr>
    </w:p>
    <w:p w14:paraId="06A4E32E">
      <w:pPr>
        <w:spacing w:line="400" w:lineRule="exact"/>
        <w:ind w:firstLine="570"/>
        <w:rPr>
          <w:rFonts w:hint="eastAsia" w:ascii="仿宋" w:hAnsi="仿宋" w:eastAsia="仿宋" w:cs="仿宋"/>
          <w:color w:val="auto"/>
          <w:sz w:val="28"/>
          <w:szCs w:val="28"/>
          <w:highlight w:val="none"/>
        </w:rPr>
      </w:pPr>
    </w:p>
    <w:p w14:paraId="5BAD0E5C">
      <w:pPr>
        <w:spacing w:line="400" w:lineRule="exact"/>
        <w:ind w:firstLine="570"/>
        <w:rPr>
          <w:rFonts w:hint="eastAsia" w:ascii="仿宋" w:hAnsi="仿宋" w:eastAsia="仿宋" w:cs="仿宋"/>
          <w:color w:val="auto"/>
          <w:sz w:val="28"/>
          <w:szCs w:val="28"/>
          <w:highlight w:val="none"/>
        </w:rPr>
      </w:pPr>
    </w:p>
    <w:p w14:paraId="4889050F">
      <w:pPr>
        <w:spacing w:line="400" w:lineRule="exact"/>
        <w:ind w:firstLine="570"/>
        <w:rPr>
          <w:rFonts w:hint="eastAsia" w:ascii="仿宋" w:hAnsi="仿宋" w:eastAsia="仿宋" w:cs="仿宋"/>
          <w:color w:val="auto"/>
          <w:sz w:val="28"/>
          <w:szCs w:val="28"/>
          <w:highlight w:val="none"/>
        </w:rPr>
      </w:pPr>
    </w:p>
    <w:p w14:paraId="700BB8BE">
      <w:pPr>
        <w:spacing w:line="400" w:lineRule="exact"/>
        <w:ind w:firstLine="570"/>
        <w:rPr>
          <w:rFonts w:hint="eastAsia" w:ascii="仿宋" w:hAnsi="仿宋" w:eastAsia="仿宋" w:cs="仿宋"/>
          <w:color w:val="auto"/>
          <w:sz w:val="28"/>
          <w:szCs w:val="28"/>
          <w:highlight w:val="none"/>
        </w:rPr>
      </w:pPr>
    </w:p>
    <w:p w14:paraId="17CD00F0">
      <w:pPr>
        <w:spacing w:line="400" w:lineRule="exact"/>
        <w:ind w:firstLine="570"/>
        <w:rPr>
          <w:rFonts w:hint="eastAsia" w:ascii="仿宋" w:hAnsi="仿宋" w:eastAsia="仿宋" w:cs="仿宋"/>
          <w:color w:val="auto"/>
          <w:sz w:val="28"/>
          <w:szCs w:val="28"/>
          <w:highlight w:val="none"/>
        </w:rPr>
      </w:pPr>
    </w:p>
    <w:p w14:paraId="55CFD89E">
      <w:pPr>
        <w:spacing w:line="400" w:lineRule="exact"/>
        <w:ind w:firstLine="570"/>
        <w:rPr>
          <w:rFonts w:hint="eastAsia" w:ascii="仿宋" w:hAnsi="仿宋" w:eastAsia="仿宋" w:cs="仿宋"/>
          <w:b/>
          <w:color w:val="auto"/>
          <w:sz w:val="28"/>
          <w:szCs w:val="28"/>
          <w:highlight w:val="none"/>
        </w:rPr>
      </w:pPr>
    </w:p>
    <w:p w14:paraId="576420A0">
      <w:pPr>
        <w:spacing w:line="400" w:lineRule="exact"/>
        <w:ind w:firstLine="570"/>
        <w:rPr>
          <w:rFonts w:hint="eastAsia" w:ascii="仿宋" w:hAnsi="仿宋" w:eastAsia="仿宋" w:cs="仿宋"/>
          <w:b/>
          <w:color w:val="auto"/>
          <w:sz w:val="28"/>
          <w:szCs w:val="28"/>
          <w:highlight w:val="none"/>
        </w:rPr>
      </w:pPr>
    </w:p>
    <w:p w14:paraId="2AA1F49B">
      <w:pPr>
        <w:spacing w:line="400" w:lineRule="exact"/>
        <w:ind w:firstLine="570"/>
        <w:rPr>
          <w:rFonts w:hint="eastAsia" w:ascii="仿宋" w:hAnsi="仿宋" w:eastAsia="仿宋" w:cs="仿宋"/>
          <w:b/>
          <w:color w:val="auto"/>
          <w:sz w:val="28"/>
          <w:szCs w:val="28"/>
          <w:highlight w:val="none"/>
        </w:rPr>
      </w:pPr>
    </w:p>
    <w:p w14:paraId="51904213">
      <w:pPr>
        <w:spacing w:line="400" w:lineRule="exact"/>
        <w:ind w:firstLine="570"/>
        <w:rPr>
          <w:rFonts w:hint="eastAsia" w:ascii="仿宋" w:hAnsi="仿宋" w:eastAsia="仿宋" w:cs="仿宋"/>
          <w:b/>
          <w:color w:val="auto"/>
          <w:sz w:val="28"/>
          <w:szCs w:val="28"/>
          <w:highlight w:val="none"/>
        </w:rPr>
      </w:pPr>
    </w:p>
    <w:p w14:paraId="6EDB7F5E">
      <w:pPr>
        <w:spacing w:line="400" w:lineRule="exact"/>
        <w:ind w:firstLine="570"/>
        <w:rPr>
          <w:rFonts w:hint="eastAsia" w:ascii="仿宋" w:hAnsi="仿宋" w:eastAsia="仿宋" w:cs="仿宋"/>
          <w:b/>
          <w:color w:val="auto"/>
          <w:sz w:val="28"/>
          <w:szCs w:val="28"/>
          <w:highlight w:val="none"/>
        </w:rPr>
      </w:pPr>
    </w:p>
    <w:p w14:paraId="700AFCE6">
      <w:pPr>
        <w:spacing w:line="400" w:lineRule="exact"/>
        <w:ind w:firstLine="570"/>
        <w:rPr>
          <w:rFonts w:hint="eastAsia" w:ascii="仿宋" w:hAnsi="仿宋" w:eastAsia="仿宋" w:cs="仿宋"/>
          <w:b/>
          <w:color w:val="auto"/>
          <w:sz w:val="28"/>
          <w:szCs w:val="28"/>
          <w:highlight w:val="none"/>
        </w:rPr>
      </w:pPr>
    </w:p>
    <w:p w14:paraId="5BADA53F">
      <w:pPr>
        <w:spacing w:line="400" w:lineRule="exact"/>
        <w:ind w:firstLine="570"/>
        <w:rPr>
          <w:rFonts w:hint="eastAsia" w:ascii="仿宋" w:hAnsi="仿宋" w:eastAsia="仿宋" w:cs="仿宋"/>
          <w:b/>
          <w:color w:val="auto"/>
          <w:sz w:val="28"/>
          <w:szCs w:val="28"/>
          <w:highlight w:val="none"/>
        </w:rPr>
      </w:pPr>
    </w:p>
    <w:p w14:paraId="14B45A39">
      <w:pPr>
        <w:spacing w:line="400" w:lineRule="exact"/>
        <w:ind w:firstLine="570"/>
        <w:rPr>
          <w:rFonts w:hint="eastAsia" w:ascii="仿宋" w:hAnsi="仿宋" w:eastAsia="仿宋" w:cs="仿宋"/>
          <w:b/>
          <w:color w:val="auto"/>
          <w:sz w:val="28"/>
          <w:szCs w:val="28"/>
          <w:highlight w:val="none"/>
        </w:rPr>
      </w:pPr>
    </w:p>
    <w:p w14:paraId="126183B2">
      <w:pPr>
        <w:pStyle w:val="32"/>
        <w:rPr>
          <w:rFonts w:hint="eastAsia" w:ascii="仿宋" w:hAnsi="仿宋" w:eastAsia="仿宋" w:cs="仿宋"/>
          <w:b/>
          <w:color w:val="auto"/>
          <w:sz w:val="28"/>
          <w:szCs w:val="28"/>
          <w:highlight w:val="none"/>
        </w:rPr>
      </w:pPr>
    </w:p>
    <w:p w14:paraId="55407E72">
      <w:pPr>
        <w:pStyle w:val="32"/>
        <w:rPr>
          <w:rFonts w:hint="eastAsia" w:ascii="仿宋" w:hAnsi="仿宋" w:eastAsia="仿宋" w:cs="仿宋"/>
          <w:b/>
          <w:color w:val="auto"/>
          <w:sz w:val="28"/>
          <w:szCs w:val="28"/>
          <w:highlight w:val="none"/>
        </w:rPr>
      </w:pPr>
    </w:p>
    <w:p w14:paraId="74837C00">
      <w:pPr>
        <w:spacing w:line="400" w:lineRule="exact"/>
        <w:ind w:firstLine="570"/>
        <w:rPr>
          <w:rFonts w:hint="eastAsia" w:ascii="仿宋" w:hAnsi="仿宋" w:eastAsia="仿宋" w:cs="仿宋"/>
          <w:b/>
          <w:color w:val="auto"/>
          <w:sz w:val="28"/>
          <w:szCs w:val="28"/>
          <w:highlight w:val="none"/>
        </w:rPr>
      </w:pPr>
    </w:p>
    <w:p w14:paraId="1A727F65">
      <w:pPr>
        <w:spacing w:line="400" w:lineRule="exact"/>
        <w:ind w:firstLine="570"/>
        <w:rPr>
          <w:rFonts w:hint="eastAsia" w:ascii="仿宋" w:hAnsi="仿宋" w:eastAsia="仿宋" w:cs="仿宋"/>
          <w:b/>
          <w:color w:val="auto"/>
          <w:sz w:val="28"/>
          <w:szCs w:val="28"/>
          <w:highlight w:val="none"/>
        </w:rPr>
      </w:pPr>
    </w:p>
    <w:p w14:paraId="33BA5576">
      <w:pPr>
        <w:pStyle w:val="3"/>
        <w:spacing w:before="120" w:after="120" w:line="400" w:lineRule="exact"/>
        <w:rPr>
          <w:rFonts w:hint="eastAsia" w:ascii="仿宋" w:hAnsi="仿宋" w:eastAsia="仿宋" w:cs="仿宋"/>
          <w:color w:val="auto"/>
          <w:szCs w:val="28"/>
          <w:highlight w:val="none"/>
        </w:rPr>
      </w:pPr>
      <w:bookmarkStart w:id="204" w:name="_Toc23035"/>
      <w:bookmarkStart w:id="205" w:name="_Toc217446082"/>
      <w:r>
        <w:rPr>
          <w:rFonts w:hint="eastAsia" w:ascii="仿宋" w:hAnsi="仿宋" w:eastAsia="仿宋" w:cs="仿宋"/>
          <w:color w:val="auto"/>
          <w:szCs w:val="28"/>
          <w:highlight w:val="none"/>
        </w:rPr>
        <w:t>项目编号：</w:t>
      </w:r>
      <w:bookmarkEnd w:id="204"/>
      <w:r>
        <w:rPr>
          <w:rFonts w:hint="eastAsia" w:ascii="仿宋" w:hAnsi="仿宋" w:eastAsia="仿宋" w:cs="仿宋"/>
          <w:color w:val="auto"/>
          <w:szCs w:val="28"/>
          <w:highlight w:val="none"/>
        </w:rPr>
        <w:t xml:space="preserve"> </w:t>
      </w:r>
    </w:p>
    <w:p w14:paraId="0BD4C22E">
      <w:pPr>
        <w:pStyle w:val="3"/>
        <w:spacing w:line="400" w:lineRule="exact"/>
        <w:outlineLvl w:val="9"/>
        <w:rPr>
          <w:rFonts w:hint="eastAsia" w:ascii="仿宋" w:hAnsi="仿宋" w:eastAsia="仿宋" w:cs="仿宋"/>
          <w:color w:val="auto"/>
          <w:szCs w:val="28"/>
          <w:highlight w:val="none"/>
        </w:rPr>
      </w:pPr>
      <w:r>
        <w:rPr>
          <w:rFonts w:hint="eastAsia" w:ascii="仿宋" w:hAnsi="仿宋" w:eastAsia="仿宋" w:cs="仿宋"/>
          <w:color w:val="auto"/>
          <w:szCs w:val="28"/>
          <w:highlight w:val="none"/>
        </w:rPr>
        <w:t xml:space="preserve">                           </w:t>
      </w:r>
    </w:p>
    <w:p w14:paraId="0C52F7C7">
      <w:pPr>
        <w:pStyle w:val="3"/>
        <w:spacing w:line="400" w:lineRule="exact"/>
        <w:jc w:val="center"/>
        <w:outlineLvl w:val="9"/>
        <w:rPr>
          <w:rFonts w:hint="eastAsia" w:ascii="仿宋" w:hAnsi="仿宋" w:eastAsia="仿宋" w:cs="仿宋"/>
          <w:color w:val="auto"/>
          <w:szCs w:val="28"/>
          <w:highlight w:val="none"/>
        </w:rPr>
      </w:pPr>
    </w:p>
    <w:p w14:paraId="036F77FA">
      <w:pPr>
        <w:snapToGrid w:val="0"/>
        <w:spacing w:before="480" w:beforeLines="200" w:line="360" w:lineRule="auto"/>
        <w:jc w:val="center"/>
        <w:rPr>
          <w:rFonts w:hint="eastAsia" w:ascii="仿宋" w:hAnsi="仿宋" w:eastAsia="仿宋" w:cs="仿宋"/>
          <w:b/>
          <w:color w:val="auto"/>
          <w:sz w:val="40"/>
          <w:szCs w:val="40"/>
          <w:highlight w:val="none"/>
          <w:lang w:eastAsia="zh-CN"/>
        </w:rPr>
      </w:pPr>
      <w:r>
        <w:rPr>
          <w:rFonts w:hint="eastAsia" w:ascii="仿宋" w:hAnsi="仿宋" w:eastAsia="仿宋" w:cs="仿宋"/>
          <w:b/>
          <w:color w:val="auto"/>
          <w:sz w:val="40"/>
          <w:szCs w:val="40"/>
          <w:highlight w:val="none"/>
          <w:lang w:eastAsia="zh-CN"/>
        </w:rPr>
        <w:t>伊宁市教育系统提升改造设施设备采购第四标</w:t>
      </w:r>
    </w:p>
    <w:p w14:paraId="79B981CF">
      <w:pPr>
        <w:pStyle w:val="3"/>
        <w:spacing w:line="680" w:lineRule="exact"/>
        <w:jc w:val="center"/>
        <w:outlineLvl w:val="9"/>
        <w:rPr>
          <w:rFonts w:hint="eastAsia" w:ascii="仿宋" w:hAnsi="仿宋" w:eastAsia="仿宋" w:cs="仿宋"/>
          <w:b w:val="0"/>
          <w:color w:val="auto"/>
          <w:sz w:val="44"/>
          <w:szCs w:val="44"/>
          <w:highlight w:val="none"/>
        </w:rPr>
      </w:pPr>
    </w:p>
    <w:p w14:paraId="5E07CD41">
      <w:pPr>
        <w:pStyle w:val="3"/>
        <w:spacing w:line="400" w:lineRule="exact"/>
        <w:jc w:val="center"/>
        <w:outlineLvl w:val="9"/>
        <w:rPr>
          <w:rFonts w:hint="eastAsia" w:ascii="仿宋" w:hAnsi="仿宋" w:eastAsia="仿宋" w:cs="仿宋"/>
          <w:color w:val="auto"/>
          <w:sz w:val="44"/>
          <w:szCs w:val="44"/>
          <w:highlight w:val="none"/>
        </w:rPr>
      </w:pPr>
    </w:p>
    <w:p w14:paraId="234BE96B">
      <w:pPr>
        <w:pStyle w:val="3"/>
        <w:spacing w:line="900" w:lineRule="exact"/>
        <w:jc w:val="center"/>
        <w:rPr>
          <w:rFonts w:hint="eastAsia" w:ascii="仿宋" w:hAnsi="仿宋" w:eastAsia="仿宋" w:cs="仿宋"/>
          <w:b w:val="0"/>
          <w:color w:val="auto"/>
          <w:sz w:val="72"/>
          <w:szCs w:val="72"/>
          <w:highlight w:val="none"/>
        </w:rPr>
      </w:pPr>
      <w:bookmarkStart w:id="206" w:name="_Toc20804"/>
      <w:r>
        <w:rPr>
          <w:rFonts w:hint="eastAsia" w:ascii="仿宋" w:hAnsi="仿宋" w:eastAsia="仿宋" w:cs="仿宋"/>
          <w:b w:val="0"/>
          <w:color w:val="auto"/>
          <w:sz w:val="72"/>
          <w:szCs w:val="72"/>
          <w:highlight w:val="none"/>
        </w:rPr>
        <w:t>投标文件</w:t>
      </w:r>
      <w:bookmarkEnd w:id="206"/>
    </w:p>
    <w:p w14:paraId="1C77C27D">
      <w:pPr>
        <w:pStyle w:val="7"/>
        <w:ind w:firstLine="0"/>
        <w:jc w:val="center"/>
        <w:rPr>
          <w:rFonts w:hint="eastAsia" w:ascii="仿宋" w:hAnsi="仿宋" w:eastAsia="仿宋" w:cs="仿宋"/>
          <w:color w:val="auto"/>
          <w:sz w:val="32"/>
          <w:szCs w:val="32"/>
          <w:highlight w:val="none"/>
        </w:rPr>
      </w:pPr>
    </w:p>
    <w:p w14:paraId="4BF7206D">
      <w:pPr>
        <w:pStyle w:val="7"/>
        <w:rPr>
          <w:rFonts w:hint="eastAsia" w:ascii="仿宋" w:hAnsi="仿宋" w:eastAsia="仿宋" w:cs="仿宋"/>
          <w:color w:val="auto"/>
          <w:sz w:val="28"/>
          <w:szCs w:val="28"/>
          <w:highlight w:val="none"/>
        </w:rPr>
      </w:pPr>
    </w:p>
    <w:p w14:paraId="5725172C">
      <w:pPr>
        <w:pStyle w:val="7"/>
        <w:rPr>
          <w:rFonts w:hint="eastAsia" w:ascii="仿宋" w:hAnsi="仿宋" w:eastAsia="仿宋" w:cs="仿宋"/>
          <w:color w:val="auto"/>
          <w:sz w:val="28"/>
          <w:szCs w:val="28"/>
          <w:highlight w:val="none"/>
        </w:rPr>
      </w:pPr>
    </w:p>
    <w:p w14:paraId="6973CBA3">
      <w:pPr>
        <w:pStyle w:val="7"/>
        <w:rPr>
          <w:rFonts w:hint="eastAsia" w:ascii="仿宋" w:hAnsi="仿宋" w:eastAsia="仿宋" w:cs="仿宋"/>
          <w:color w:val="auto"/>
          <w:sz w:val="28"/>
          <w:szCs w:val="28"/>
          <w:highlight w:val="none"/>
        </w:rPr>
      </w:pPr>
    </w:p>
    <w:p w14:paraId="131D3113">
      <w:pPr>
        <w:pStyle w:val="7"/>
        <w:rPr>
          <w:rFonts w:hint="eastAsia" w:ascii="仿宋" w:hAnsi="仿宋" w:eastAsia="仿宋" w:cs="仿宋"/>
          <w:color w:val="auto"/>
          <w:sz w:val="28"/>
          <w:szCs w:val="28"/>
          <w:highlight w:val="none"/>
        </w:rPr>
      </w:pPr>
    </w:p>
    <w:p w14:paraId="4C08F20F">
      <w:pPr>
        <w:pStyle w:val="7"/>
        <w:rPr>
          <w:rFonts w:hint="eastAsia" w:ascii="仿宋" w:hAnsi="仿宋" w:eastAsia="仿宋" w:cs="仿宋"/>
          <w:color w:val="auto"/>
          <w:sz w:val="28"/>
          <w:szCs w:val="28"/>
          <w:highlight w:val="none"/>
        </w:rPr>
      </w:pPr>
    </w:p>
    <w:p w14:paraId="53DD016C">
      <w:pPr>
        <w:pStyle w:val="7"/>
        <w:rPr>
          <w:rFonts w:hint="eastAsia" w:ascii="仿宋" w:hAnsi="仿宋" w:eastAsia="仿宋" w:cs="仿宋"/>
          <w:color w:val="auto"/>
          <w:sz w:val="28"/>
          <w:szCs w:val="28"/>
          <w:highlight w:val="none"/>
        </w:rPr>
      </w:pPr>
    </w:p>
    <w:p w14:paraId="5EE892D6">
      <w:pPr>
        <w:pStyle w:val="7"/>
        <w:spacing w:before="120" w:beforeLines="50"/>
        <w:ind w:firstLine="0"/>
        <w:rPr>
          <w:rFonts w:hint="eastAsia" w:ascii="仿宋" w:hAnsi="仿宋" w:eastAsia="仿宋" w:cs="仿宋"/>
          <w:b/>
          <w:color w:val="auto"/>
          <w:sz w:val="28"/>
          <w:szCs w:val="28"/>
          <w:highlight w:val="none"/>
        </w:rPr>
      </w:pPr>
    </w:p>
    <w:p w14:paraId="1DE2001F">
      <w:pPr>
        <w:pStyle w:val="7"/>
        <w:spacing w:before="120" w:beforeLines="50"/>
        <w:ind w:firstLine="0"/>
        <w:rPr>
          <w:rFonts w:hint="eastAsia" w:ascii="仿宋" w:hAnsi="仿宋" w:eastAsia="仿宋" w:cs="仿宋"/>
          <w:b/>
          <w:color w:val="auto"/>
          <w:sz w:val="28"/>
          <w:szCs w:val="28"/>
          <w:highlight w:val="none"/>
        </w:rPr>
      </w:pPr>
    </w:p>
    <w:p w14:paraId="2F8801BF">
      <w:pPr>
        <w:pStyle w:val="7"/>
        <w:spacing w:before="120" w:beforeLines="50"/>
        <w:ind w:firstLine="1630" w:firstLineChars="580"/>
        <w:rPr>
          <w:rFonts w:hint="eastAsia" w:ascii="仿宋" w:hAnsi="仿宋" w:eastAsia="仿宋" w:cs="仿宋"/>
          <w:b/>
          <w:color w:val="auto"/>
          <w:sz w:val="28"/>
          <w:szCs w:val="28"/>
          <w:highlight w:val="none"/>
        </w:rPr>
      </w:pPr>
    </w:p>
    <w:p w14:paraId="0B5D8E25">
      <w:pPr>
        <w:pStyle w:val="7"/>
        <w:spacing w:before="120" w:beforeLines="50"/>
        <w:ind w:firstLine="1630" w:firstLineChars="58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 xml:space="preserve">投标人：                        </w:t>
      </w:r>
      <w:r>
        <w:rPr>
          <w:rFonts w:hint="eastAsia" w:ascii="仿宋" w:hAnsi="仿宋" w:eastAsia="仿宋" w:cs="仿宋"/>
          <w:color w:val="auto"/>
          <w:sz w:val="28"/>
          <w:szCs w:val="28"/>
          <w:highlight w:val="none"/>
        </w:rPr>
        <w:t>（盖单位章）</w:t>
      </w:r>
    </w:p>
    <w:p w14:paraId="43EF20BE">
      <w:pPr>
        <w:pStyle w:val="7"/>
        <w:spacing w:before="120" w:beforeLines="50"/>
        <w:ind w:firstLine="1630" w:firstLineChars="58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 xml:space="preserve">法定代表人或其委托代理人：        </w:t>
      </w:r>
      <w:r>
        <w:rPr>
          <w:rFonts w:hint="eastAsia" w:ascii="仿宋" w:hAnsi="仿宋" w:eastAsia="仿宋" w:cs="仿宋"/>
          <w:color w:val="auto"/>
          <w:sz w:val="28"/>
          <w:szCs w:val="28"/>
          <w:highlight w:val="none"/>
        </w:rPr>
        <w:t>（签字）</w:t>
      </w:r>
    </w:p>
    <w:p w14:paraId="6D028278">
      <w:pPr>
        <w:pStyle w:val="7"/>
        <w:spacing w:before="120" w:beforeLines="50"/>
        <w:ind w:firstLine="1630" w:firstLineChars="58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 xml:space="preserve">时  间：    </w:t>
      </w:r>
      <w:r>
        <w:rPr>
          <w:rFonts w:hint="eastAsia" w:ascii="仿宋" w:hAnsi="仿宋" w:eastAsia="仿宋" w:cs="仿宋"/>
          <w:color w:val="auto"/>
          <w:sz w:val="28"/>
          <w:szCs w:val="28"/>
          <w:highlight w:val="none"/>
        </w:rPr>
        <w:t>20    年  月  日</w:t>
      </w:r>
    </w:p>
    <w:p w14:paraId="2CCB7825">
      <w:pPr>
        <w:pStyle w:val="7"/>
        <w:spacing w:before="120" w:beforeLines="50" w:after="120" w:afterLines="50"/>
        <w:ind w:firstLine="0"/>
        <w:jc w:val="center"/>
        <w:rPr>
          <w:rFonts w:hint="eastAsia" w:ascii="仿宋" w:hAnsi="仿宋" w:eastAsia="仿宋" w:cs="仿宋"/>
          <w:color w:val="auto"/>
          <w:sz w:val="32"/>
          <w:szCs w:val="32"/>
          <w:highlight w:val="none"/>
        </w:rPr>
      </w:pPr>
    </w:p>
    <w:p w14:paraId="7CA2EA7E">
      <w:pPr>
        <w:pStyle w:val="7"/>
        <w:spacing w:before="120" w:beforeLines="50" w:after="120" w:afterLines="50"/>
        <w:ind w:firstLine="0"/>
        <w:jc w:val="center"/>
        <w:rPr>
          <w:rFonts w:hint="eastAsia" w:ascii="仿宋" w:hAnsi="仿宋" w:eastAsia="仿宋" w:cs="仿宋"/>
          <w:b/>
          <w:bCs/>
          <w:color w:val="auto"/>
          <w:sz w:val="32"/>
          <w:szCs w:val="32"/>
          <w:highlight w:val="none"/>
        </w:rPr>
      </w:pPr>
    </w:p>
    <w:p w14:paraId="0E98F738">
      <w:pPr>
        <w:pStyle w:val="7"/>
        <w:spacing w:before="120" w:beforeLines="50" w:after="120" w:afterLines="50"/>
        <w:ind w:firstLine="0"/>
        <w:jc w:val="center"/>
        <w:rPr>
          <w:rFonts w:hint="eastAsia" w:ascii="仿宋" w:hAnsi="仿宋" w:eastAsia="仿宋" w:cs="仿宋"/>
          <w:b/>
          <w:bCs/>
          <w:color w:val="auto"/>
          <w:sz w:val="32"/>
          <w:szCs w:val="32"/>
          <w:highlight w:val="none"/>
        </w:rPr>
      </w:pPr>
    </w:p>
    <w:p w14:paraId="5F6D7911">
      <w:pP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br w:type="page"/>
      </w:r>
    </w:p>
    <w:p w14:paraId="6B0AA2C6">
      <w:pPr>
        <w:pStyle w:val="7"/>
        <w:spacing w:before="120" w:beforeLines="50" w:after="120" w:afterLines="50"/>
        <w:ind w:firstLine="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（资格审查部分）</w:t>
      </w:r>
    </w:p>
    <w:p w14:paraId="243FA66F">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08D6B162">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目  录</w:t>
      </w:r>
    </w:p>
    <w:p w14:paraId="57161023">
      <w:pPr>
        <w:pStyle w:val="7"/>
        <w:keepNext w:val="0"/>
        <w:keepLines w:val="0"/>
        <w:pageBreakBefore w:val="0"/>
        <w:widowControl w:val="0"/>
        <w:kinsoku/>
        <w:wordWrap/>
        <w:overflowPunct/>
        <w:topLinePunct w:val="0"/>
        <w:autoSpaceDE/>
        <w:autoSpaceDN/>
        <w:bidi w:val="0"/>
        <w:adjustRightInd/>
        <w:snapToGrid/>
        <w:spacing w:line="480" w:lineRule="exact"/>
        <w:ind w:firstLine="0"/>
        <w:textAlignment w:val="auto"/>
        <w:rPr>
          <w:rFonts w:hint="eastAsia" w:ascii="仿宋" w:hAnsi="仿宋" w:eastAsia="仿宋" w:cs="仿宋"/>
          <w:color w:val="auto"/>
          <w:sz w:val="24"/>
          <w:szCs w:val="24"/>
          <w:highlight w:val="none"/>
        </w:rPr>
      </w:pPr>
    </w:p>
    <w:p w14:paraId="16020554">
      <w:pPr>
        <w:keepNext w:val="0"/>
        <w:keepLines w:val="0"/>
        <w:pageBreakBefore w:val="0"/>
        <w:widowControl w:val="0"/>
        <w:kinsoku/>
        <w:wordWrap/>
        <w:overflowPunct/>
        <w:topLinePunct w:val="0"/>
        <w:autoSpaceDE/>
        <w:autoSpaceDN/>
        <w:bidi w:val="0"/>
        <w:adjustRightInd/>
        <w:snapToGrid/>
        <w:spacing w:line="480" w:lineRule="exact"/>
        <w:ind w:firstLine="525" w:firstLineChars="250"/>
        <w:textAlignment w:val="auto"/>
        <w:rPr>
          <w:rFonts w:hint="eastAsia" w:ascii="仿宋" w:hAnsi="仿宋" w:eastAsia="仿宋" w:cs="仿宋"/>
          <w:color w:val="auto"/>
          <w:szCs w:val="21"/>
          <w:highlight w:val="none"/>
        </w:rPr>
      </w:pPr>
    </w:p>
    <w:p w14:paraId="1A8C596E">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1.投标人基本情况表………………………………………………………………………页码</w:t>
      </w:r>
    </w:p>
    <w:p w14:paraId="45C13848">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2.法定代表人身份证明</w:t>
      </w:r>
      <w:r>
        <w:rPr>
          <w:rFonts w:hint="eastAsia" w:ascii="仿宋" w:hAnsi="仿宋" w:eastAsia="仿宋" w:cs="仿宋"/>
          <w:color w:val="auto"/>
          <w:sz w:val="22"/>
          <w:szCs w:val="22"/>
          <w:highlight w:val="none"/>
          <w:lang w:val="en-US" w:eastAsia="zh-CN"/>
        </w:rPr>
        <w:t>书</w:t>
      </w:r>
      <w:r>
        <w:rPr>
          <w:rFonts w:hint="eastAsia" w:ascii="仿宋" w:hAnsi="仿宋" w:eastAsia="仿宋" w:cs="仿宋"/>
          <w:color w:val="auto"/>
          <w:sz w:val="22"/>
          <w:szCs w:val="22"/>
          <w:highlight w:val="none"/>
        </w:rPr>
        <w:t>…………………………………………………………………页码</w:t>
      </w:r>
    </w:p>
    <w:p w14:paraId="537FC5CB">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3.授权</w:t>
      </w:r>
      <w:r>
        <w:rPr>
          <w:rFonts w:hint="eastAsia" w:ascii="仿宋" w:hAnsi="仿宋" w:eastAsia="仿宋" w:cs="仿宋"/>
          <w:color w:val="auto"/>
          <w:sz w:val="22"/>
          <w:szCs w:val="22"/>
          <w:highlight w:val="none"/>
          <w:lang w:val="en-US" w:eastAsia="zh-CN"/>
        </w:rPr>
        <w:t>委托</w:t>
      </w:r>
      <w:r>
        <w:rPr>
          <w:rFonts w:hint="eastAsia" w:ascii="仿宋" w:hAnsi="仿宋" w:eastAsia="仿宋" w:cs="仿宋"/>
          <w:color w:val="auto"/>
          <w:sz w:val="22"/>
          <w:szCs w:val="22"/>
          <w:highlight w:val="none"/>
        </w:rPr>
        <w:t>书………………………………………………………………………………页码</w:t>
      </w:r>
    </w:p>
    <w:p w14:paraId="23BB87A3">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.投标人</w:t>
      </w:r>
      <w:r>
        <w:rPr>
          <w:rFonts w:hint="eastAsia" w:ascii="仿宋" w:hAnsi="仿宋" w:eastAsia="仿宋" w:cs="仿宋"/>
          <w:color w:val="auto"/>
          <w:sz w:val="22"/>
          <w:szCs w:val="22"/>
          <w:highlight w:val="none"/>
          <w:lang w:val="zh-CN"/>
        </w:rPr>
        <w:t>营业执照</w:t>
      </w:r>
      <w:r>
        <w:rPr>
          <w:rFonts w:hint="eastAsia" w:ascii="仿宋" w:hAnsi="仿宋" w:eastAsia="仿宋" w:cs="仿宋"/>
          <w:color w:val="auto"/>
          <w:sz w:val="22"/>
          <w:szCs w:val="22"/>
          <w:highlight w:val="none"/>
        </w:rPr>
        <w:t>…………………………………………………………………………页码</w:t>
      </w:r>
    </w:p>
    <w:p w14:paraId="2ADAFA50">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5</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8"/>
          <w:highlight w:val="none"/>
        </w:rPr>
        <w:t>财务状况报告</w:t>
      </w:r>
      <w:r>
        <w:rPr>
          <w:rFonts w:hint="eastAsia" w:ascii="仿宋" w:hAnsi="仿宋" w:eastAsia="仿宋" w:cs="仿宋"/>
          <w:color w:val="auto"/>
          <w:sz w:val="22"/>
          <w:szCs w:val="22"/>
          <w:highlight w:val="none"/>
        </w:rPr>
        <w:t>……………………………………………………………………………页码</w:t>
      </w:r>
    </w:p>
    <w:p w14:paraId="427A6903">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6</w:t>
      </w:r>
      <w:r>
        <w:rPr>
          <w:rFonts w:hint="eastAsia" w:ascii="仿宋" w:hAnsi="仿宋" w:eastAsia="仿宋" w:cs="仿宋"/>
          <w:color w:val="auto"/>
          <w:sz w:val="22"/>
          <w:szCs w:val="22"/>
          <w:highlight w:val="none"/>
        </w:rPr>
        <w:t>.税收缴纳证明……………………………………………………………………………页码</w:t>
      </w:r>
    </w:p>
    <w:p w14:paraId="6C5A96DB">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7</w:t>
      </w:r>
      <w:r>
        <w:rPr>
          <w:rFonts w:hint="eastAsia" w:ascii="仿宋" w:hAnsi="仿宋" w:eastAsia="仿宋" w:cs="仿宋"/>
          <w:color w:val="auto"/>
          <w:sz w:val="22"/>
          <w:szCs w:val="22"/>
          <w:highlight w:val="none"/>
        </w:rPr>
        <w:t>.社会保障资金缴纳证明…………………………………………………………………页码</w:t>
      </w:r>
    </w:p>
    <w:p w14:paraId="2E5F75C1">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8</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en-US" w:eastAsia="zh-CN"/>
        </w:rPr>
        <w:t>信用中国和中国政府采购网承诺函</w:t>
      </w:r>
      <w:r>
        <w:rPr>
          <w:rFonts w:hint="eastAsia" w:ascii="仿宋" w:hAnsi="仿宋" w:eastAsia="仿宋" w:cs="仿宋"/>
          <w:color w:val="auto"/>
          <w:sz w:val="22"/>
          <w:szCs w:val="22"/>
          <w:highlight w:val="none"/>
        </w:rPr>
        <w:t>……………………………………………………页码</w:t>
      </w:r>
    </w:p>
    <w:p w14:paraId="09C8E08F">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9.无重大违法记录声明</w:t>
      </w:r>
      <w:r>
        <w:rPr>
          <w:rFonts w:hint="eastAsia" w:ascii="仿宋" w:hAnsi="仿宋" w:eastAsia="仿宋" w:cs="仿宋"/>
          <w:color w:val="auto"/>
          <w:sz w:val="22"/>
          <w:szCs w:val="22"/>
          <w:highlight w:val="none"/>
        </w:rPr>
        <w:t>……………………………………………………………………页码</w:t>
      </w:r>
    </w:p>
    <w:p w14:paraId="24DA8CCE">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10</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zh-CN"/>
        </w:rPr>
        <w:t>具备履行合同所必需的设备和专业技术能力的证明</w:t>
      </w:r>
      <w:r>
        <w:rPr>
          <w:rFonts w:hint="eastAsia" w:ascii="仿宋" w:hAnsi="仿宋" w:eastAsia="仿宋" w:cs="仿宋"/>
          <w:color w:val="auto"/>
          <w:sz w:val="22"/>
          <w:szCs w:val="22"/>
          <w:highlight w:val="none"/>
        </w:rPr>
        <w:t>………………………………页码</w:t>
      </w:r>
    </w:p>
    <w:p w14:paraId="00325EF7">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11.提供投标人享受政府采购优惠政策的证明材料</w:t>
      </w:r>
      <w:r>
        <w:rPr>
          <w:rFonts w:hint="eastAsia" w:ascii="仿宋" w:hAnsi="仿宋" w:eastAsia="仿宋" w:cs="仿宋"/>
          <w:color w:val="auto"/>
          <w:sz w:val="22"/>
          <w:szCs w:val="22"/>
          <w:highlight w:val="none"/>
        </w:rPr>
        <w:t>……………………………………页码</w:t>
      </w:r>
    </w:p>
    <w:p w14:paraId="37A56C50">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12</w:t>
      </w:r>
      <w:r>
        <w:rPr>
          <w:rFonts w:hint="eastAsia" w:ascii="仿宋" w:hAnsi="仿宋" w:eastAsia="仿宋" w:cs="仿宋"/>
          <w:color w:val="auto"/>
          <w:sz w:val="22"/>
          <w:szCs w:val="22"/>
          <w:highlight w:val="none"/>
        </w:rPr>
        <w:t>.投标保证金</w:t>
      </w:r>
      <w:r>
        <w:rPr>
          <w:rFonts w:hint="eastAsia" w:ascii="仿宋" w:hAnsi="仿宋" w:eastAsia="仿宋" w:cs="仿宋"/>
          <w:color w:val="auto"/>
          <w:sz w:val="22"/>
          <w:szCs w:val="22"/>
          <w:highlight w:val="none"/>
          <w:lang w:eastAsia="zh-CN"/>
        </w:rPr>
        <w:t>凭证</w:t>
      </w:r>
      <w:r>
        <w:rPr>
          <w:rFonts w:hint="eastAsia" w:ascii="仿宋" w:hAnsi="仿宋" w:eastAsia="仿宋" w:cs="仿宋"/>
          <w:color w:val="auto"/>
          <w:sz w:val="22"/>
          <w:szCs w:val="22"/>
          <w:highlight w:val="none"/>
        </w:rPr>
        <w:t>………………………………………………………………………页码</w:t>
      </w:r>
    </w:p>
    <w:p w14:paraId="57F25031">
      <w:pPr>
        <w:keepNext w:val="0"/>
        <w:keepLines w:val="0"/>
        <w:pageBreakBefore w:val="0"/>
        <w:widowControl w:val="0"/>
        <w:kinsoku/>
        <w:wordWrap/>
        <w:overflowPunct/>
        <w:topLinePunct w:val="0"/>
        <w:autoSpaceDE/>
        <w:autoSpaceDN/>
        <w:bidi w:val="0"/>
        <w:adjustRightInd/>
        <w:snapToGrid/>
        <w:spacing w:line="480" w:lineRule="exact"/>
        <w:ind w:firstLine="550" w:firstLineChars="250"/>
        <w:textAlignment w:val="auto"/>
        <w:rPr>
          <w:rFonts w:hint="default"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13.特定资格要求</w:t>
      </w:r>
      <w:r>
        <w:rPr>
          <w:rFonts w:hint="eastAsia" w:ascii="仿宋" w:hAnsi="仿宋" w:eastAsia="仿宋" w:cs="仿宋"/>
          <w:color w:val="auto"/>
          <w:sz w:val="22"/>
          <w:szCs w:val="22"/>
          <w:highlight w:val="none"/>
        </w:rPr>
        <w:t>…………………………………………………………………………页码</w:t>
      </w:r>
    </w:p>
    <w:p w14:paraId="64DAADDF">
      <w:pPr>
        <w:pStyle w:val="7"/>
        <w:spacing w:before="120" w:beforeLines="50" w:after="120" w:afterLines="50"/>
        <w:ind w:firstLine="0"/>
        <w:jc w:val="center"/>
        <w:rPr>
          <w:rFonts w:hint="eastAsia" w:ascii="仿宋" w:hAnsi="仿宋" w:eastAsia="仿宋" w:cs="仿宋"/>
          <w:b/>
          <w:color w:val="auto"/>
          <w:sz w:val="44"/>
          <w:szCs w:val="44"/>
          <w:highlight w:val="none"/>
        </w:rPr>
      </w:pPr>
    </w:p>
    <w:p w14:paraId="4A77698F">
      <w:pPr>
        <w:pStyle w:val="7"/>
        <w:spacing w:before="120" w:beforeLines="50" w:after="120" w:afterLines="50"/>
        <w:ind w:firstLine="0"/>
        <w:jc w:val="center"/>
        <w:rPr>
          <w:rFonts w:hint="eastAsia" w:ascii="仿宋" w:hAnsi="仿宋" w:eastAsia="仿宋" w:cs="仿宋"/>
          <w:b/>
          <w:color w:val="auto"/>
          <w:sz w:val="44"/>
          <w:szCs w:val="44"/>
          <w:highlight w:val="none"/>
        </w:rPr>
      </w:pPr>
    </w:p>
    <w:p w14:paraId="658D7F60">
      <w:pPr>
        <w:pStyle w:val="7"/>
        <w:spacing w:before="120" w:beforeLines="50" w:after="120" w:afterLines="50"/>
        <w:ind w:firstLine="0"/>
        <w:jc w:val="center"/>
        <w:rPr>
          <w:rFonts w:hint="eastAsia" w:ascii="仿宋" w:hAnsi="仿宋" w:eastAsia="仿宋" w:cs="仿宋"/>
          <w:b/>
          <w:color w:val="auto"/>
          <w:sz w:val="44"/>
          <w:szCs w:val="44"/>
          <w:highlight w:val="none"/>
        </w:rPr>
      </w:pPr>
    </w:p>
    <w:p w14:paraId="3AFB98B5">
      <w:pPr>
        <w:pStyle w:val="7"/>
        <w:spacing w:before="120" w:beforeLines="50" w:after="120" w:afterLines="50"/>
        <w:ind w:firstLine="0"/>
        <w:rPr>
          <w:rFonts w:hint="eastAsia" w:ascii="仿宋" w:hAnsi="仿宋" w:eastAsia="仿宋" w:cs="仿宋"/>
          <w:b/>
          <w:color w:val="auto"/>
          <w:szCs w:val="21"/>
          <w:highlight w:val="none"/>
        </w:rPr>
      </w:pPr>
    </w:p>
    <w:p w14:paraId="1F60C0A0">
      <w:pPr>
        <w:pStyle w:val="7"/>
        <w:spacing w:before="120" w:beforeLines="50" w:after="120" w:afterLines="50"/>
        <w:ind w:firstLine="0"/>
        <w:rPr>
          <w:rFonts w:hint="eastAsia" w:ascii="仿宋" w:hAnsi="仿宋" w:eastAsia="仿宋" w:cs="仿宋"/>
          <w:b/>
          <w:color w:val="auto"/>
          <w:szCs w:val="21"/>
          <w:highlight w:val="none"/>
        </w:rPr>
      </w:pPr>
    </w:p>
    <w:p w14:paraId="7A0F24AC">
      <w:pPr>
        <w:adjustRightInd w:val="0"/>
        <w:snapToGrid w:val="0"/>
        <w:spacing w:line="360" w:lineRule="auto"/>
        <w:jc w:val="center"/>
        <w:rPr>
          <w:rFonts w:hint="eastAsia" w:ascii="仿宋" w:hAnsi="仿宋" w:eastAsia="仿宋" w:cs="仿宋"/>
          <w:b/>
          <w:color w:val="auto"/>
          <w:sz w:val="36"/>
          <w:szCs w:val="36"/>
          <w:highlight w:val="none"/>
        </w:rPr>
      </w:pPr>
    </w:p>
    <w:p w14:paraId="05437966">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bookmarkStart w:id="207" w:name="_Toc3164"/>
      <w:r>
        <w:rPr>
          <w:rFonts w:hint="eastAsia" w:ascii="仿宋" w:hAnsi="仿宋" w:eastAsia="仿宋" w:cs="仿宋"/>
          <w:b/>
          <w:color w:val="auto"/>
          <w:kern w:val="2"/>
          <w:sz w:val="32"/>
          <w:szCs w:val="32"/>
          <w:highlight w:val="none"/>
          <w:lang w:val="en-US" w:eastAsia="zh-CN" w:bidi="ar-SA"/>
        </w:rPr>
        <w:t>1.</w:t>
      </w:r>
      <w:bookmarkEnd w:id="207"/>
      <w:r>
        <w:rPr>
          <w:rFonts w:hint="eastAsia" w:ascii="仿宋" w:hAnsi="仿宋" w:eastAsia="仿宋" w:cs="仿宋"/>
          <w:b/>
          <w:color w:val="auto"/>
          <w:kern w:val="2"/>
          <w:sz w:val="32"/>
          <w:szCs w:val="32"/>
          <w:highlight w:val="none"/>
          <w:lang w:val="en-US" w:eastAsia="zh-CN" w:bidi="ar-SA"/>
        </w:rPr>
        <w:t>投标人基本情况表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416"/>
        <w:gridCol w:w="208"/>
        <w:gridCol w:w="1068"/>
        <w:gridCol w:w="143"/>
        <w:gridCol w:w="1418"/>
        <w:gridCol w:w="140"/>
        <w:gridCol w:w="427"/>
        <w:gridCol w:w="814"/>
        <w:gridCol w:w="1382"/>
      </w:tblGrid>
      <w:tr w14:paraId="534A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984" w:type="dxa"/>
            <w:noWrap w:val="0"/>
            <w:vAlign w:val="center"/>
          </w:tcPr>
          <w:p w14:paraId="3AC157F1">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投标人名称</w:t>
            </w:r>
          </w:p>
        </w:tc>
        <w:tc>
          <w:tcPr>
            <w:tcW w:w="7016" w:type="dxa"/>
            <w:gridSpan w:val="9"/>
            <w:noWrap w:val="0"/>
            <w:vAlign w:val="center"/>
          </w:tcPr>
          <w:p w14:paraId="35536D2B">
            <w:pPr>
              <w:topLinePunct/>
              <w:spacing w:line="440" w:lineRule="exact"/>
              <w:jc w:val="center"/>
              <w:rPr>
                <w:rFonts w:hint="eastAsia" w:ascii="仿宋" w:hAnsi="仿宋" w:eastAsia="仿宋" w:cs="仿宋"/>
                <w:color w:val="auto"/>
                <w:sz w:val="22"/>
                <w:szCs w:val="22"/>
                <w:highlight w:val="none"/>
              </w:rPr>
            </w:pPr>
          </w:p>
        </w:tc>
      </w:tr>
      <w:tr w14:paraId="33F6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984" w:type="dxa"/>
            <w:noWrap w:val="0"/>
            <w:vAlign w:val="center"/>
          </w:tcPr>
          <w:p w14:paraId="3B4B7CF9">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统一社会信用代码</w:t>
            </w:r>
          </w:p>
        </w:tc>
        <w:tc>
          <w:tcPr>
            <w:tcW w:w="1416" w:type="dxa"/>
            <w:noWrap w:val="0"/>
            <w:vAlign w:val="center"/>
          </w:tcPr>
          <w:p w14:paraId="1A44B104">
            <w:pPr>
              <w:topLinePunct/>
              <w:spacing w:line="440" w:lineRule="exact"/>
              <w:jc w:val="center"/>
              <w:rPr>
                <w:rFonts w:hint="eastAsia" w:ascii="仿宋" w:hAnsi="仿宋" w:eastAsia="仿宋" w:cs="仿宋"/>
                <w:color w:val="auto"/>
                <w:sz w:val="22"/>
                <w:szCs w:val="22"/>
                <w:highlight w:val="none"/>
              </w:rPr>
            </w:pPr>
          </w:p>
        </w:tc>
        <w:tc>
          <w:tcPr>
            <w:tcW w:w="1419" w:type="dxa"/>
            <w:gridSpan w:val="3"/>
            <w:noWrap w:val="0"/>
            <w:vAlign w:val="center"/>
          </w:tcPr>
          <w:p w14:paraId="1787F7F8">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注册资金</w:t>
            </w:r>
          </w:p>
        </w:tc>
        <w:tc>
          <w:tcPr>
            <w:tcW w:w="1418" w:type="dxa"/>
            <w:noWrap w:val="0"/>
            <w:vAlign w:val="center"/>
          </w:tcPr>
          <w:p w14:paraId="39479953">
            <w:pPr>
              <w:topLinePunct/>
              <w:jc w:val="center"/>
              <w:rPr>
                <w:rFonts w:hint="eastAsia" w:ascii="仿宋" w:hAnsi="仿宋" w:eastAsia="仿宋" w:cs="仿宋"/>
                <w:color w:val="auto"/>
                <w:sz w:val="22"/>
                <w:szCs w:val="22"/>
                <w:highlight w:val="none"/>
              </w:rPr>
            </w:pPr>
          </w:p>
        </w:tc>
        <w:tc>
          <w:tcPr>
            <w:tcW w:w="1381" w:type="dxa"/>
            <w:gridSpan w:val="3"/>
            <w:noWrap w:val="0"/>
            <w:vAlign w:val="center"/>
          </w:tcPr>
          <w:p w14:paraId="48A075F8">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成立时间</w:t>
            </w:r>
          </w:p>
        </w:tc>
        <w:tc>
          <w:tcPr>
            <w:tcW w:w="1382" w:type="dxa"/>
            <w:noWrap w:val="0"/>
            <w:vAlign w:val="center"/>
          </w:tcPr>
          <w:p w14:paraId="604B050D">
            <w:pPr>
              <w:topLinePunct/>
              <w:spacing w:line="440" w:lineRule="exact"/>
              <w:jc w:val="center"/>
              <w:rPr>
                <w:rFonts w:hint="eastAsia" w:ascii="仿宋" w:hAnsi="仿宋" w:eastAsia="仿宋" w:cs="仿宋"/>
                <w:color w:val="auto"/>
                <w:sz w:val="22"/>
                <w:szCs w:val="22"/>
                <w:highlight w:val="none"/>
              </w:rPr>
            </w:pPr>
          </w:p>
        </w:tc>
      </w:tr>
      <w:tr w14:paraId="6706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984" w:type="dxa"/>
            <w:noWrap w:val="0"/>
            <w:vAlign w:val="center"/>
          </w:tcPr>
          <w:p w14:paraId="44876D42">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注册地址</w:t>
            </w:r>
          </w:p>
        </w:tc>
        <w:tc>
          <w:tcPr>
            <w:tcW w:w="4253" w:type="dxa"/>
            <w:gridSpan w:val="5"/>
            <w:noWrap w:val="0"/>
            <w:vAlign w:val="center"/>
          </w:tcPr>
          <w:p w14:paraId="760CA076">
            <w:pPr>
              <w:topLinePunct/>
              <w:spacing w:line="440" w:lineRule="exact"/>
              <w:jc w:val="center"/>
              <w:rPr>
                <w:rFonts w:hint="eastAsia" w:ascii="仿宋" w:hAnsi="仿宋" w:eastAsia="仿宋" w:cs="仿宋"/>
                <w:color w:val="auto"/>
                <w:sz w:val="22"/>
                <w:szCs w:val="22"/>
                <w:highlight w:val="none"/>
              </w:rPr>
            </w:pPr>
          </w:p>
        </w:tc>
        <w:tc>
          <w:tcPr>
            <w:tcW w:w="1381" w:type="dxa"/>
            <w:gridSpan w:val="3"/>
            <w:noWrap w:val="0"/>
            <w:vAlign w:val="center"/>
          </w:tcPr>
          <w:p w14:paraId="03AD90C7">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资产总额</w:t>
            </w:r>
          </w:p>
        </w:tc>
        <w:tc>
          <w:tcPr>
            <w:tcW w:w="1382" w:type="dxa"/>
            <w:noWrap w:val="0"/>
            <w:vAlign w:val="center"/>
          </w:tcPr>
          <w:p w14:paraId="23E64723">
            <w:pPr>
              <w:topLinePunct/>
              <w:spacing w:line="440" w:lineRule="exact"/>
              <w:jc w:val="center"/>
              <w:rPr>
                <w:rFonts w:hint="eastAsia" w:ascii="仿宋" w:hAnsi="仿宋" w:eastAsia="仿宋" w:cs="仿宋"/>
                <w:color w:val="auto"/>
                <w:sz w:val="22"/>
                <w:szCs w:val="22"/>
                <w:highlight w:val="none"/>
              </w:rPr>
            </w:pPr>
          </w:p>
        </w:tc>
      </w:tr>
      <w:tr w14:paraId="2AD5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noWrap w:val="0"/>
            <w:vAlign w:val="center"/>
          </w:tcPr>
          <w:p w14:paraId="083FECCE">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上年营业额</w:t>
            </w:r>
          </w:p>
        </w:tc>
        <w:tc>
          <w:tcPr>
            <w:tcW w:w="1416" w:type="dxa"/>
            <w:noWrap w:val="0"/>
            <w:vAlign w:val="center"/>
          </w:tcPr>
          <w:p w14:paraId="6C1E813B">
            <w:pPr>
              <w:topLinePunct/>
              <w:jc w:val="center"/>
              <w:rPr>
                <w:rFonts w:hint="eastAsia" w:ascii="仿宋" w:hAnsi="仿宋" w:eastAsia="仿宋" w:cs="仿宋"/>
                <w:color w:val="auto"/>
                <w:sz w:val="22"/>
                <w:szCs w:val="22"/>
                <w:highlight w:val="none"/>
              </w:rPr>
            </w:pPr>
          </w:p>
        </w:tc>
        <w:tc>
          <w:tcPr>
            <w:tcW w:w="1419" w:type="dxa"/>
            <w:gridSpan w:val="3"/>
            <w:noWrap w:val="0"/>
            <w:vAlign w:val="center"/>
          </w:tcPr>
          <w:p w14:paraId="7364651C">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员工总人数</w:t>
            </w:r>
          </w:p>
        </w:tc>
        <w:tc>
          <w:tcPr>
            <w:tcW w:w="1418" w:type="dxa"/>
            <w:noWrap w:val="0"/>
            <w:vAlign w:val="center"/>
          </w:tcPr>
          <w:p w14:paraId="145ED53B">
            <w:pPr>
              <w:topLinePunct/>
              <w:jc w:val="center"/>
              <w:rPr>
                <w:rFonts w:hint="eastAsia" w:ascii="仿宋" w:hAnsi="仿宋" w:eastAsia="仿宋" w:cs="仿宋"/>
                <w:color w:val="auto"/>
                <w:sz w:val="22"/>
                <w:szCs w:val="22"/>
                <w:highlight w:val="none"/>
              </w:rPr>
            </w:pPr>
          </w:p>
        </w:tc>
        <w:tc>
          <w:tcPr>
            <w:tcW w:w="1381" w:type="dxa"/>
            <w:gridSpan w:val="3"/>
            <w:noWrap w:val="0"/>
            <w:vAlign w:val="center"/>
          </w:tcPr>
          <w:p w14:paraId="012F11E8">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企业类型</w:t>
            </w:r>
          </w:p>
        </w:tc>
        <w:tc>
          <w:tcPr>
            <w:tcW w:w="1382" w:type="dxa"/>
            <w:noWrap w:val="0"/>
            <w:vAlign w:val="center"/>
          </w:tcPr>
          <w:p w14:paraId="786FFE2E">
            <w:pPr>
              <w:topLinePunct/>
              <w:spacing w:line="440" w:lineRule="exact"/>
              <w:jc w:val="center"/>
              <w:rPr>
                <w:rFonts w:hint="eastAsia" w:ascii="仿宋" w:hAnsi="仿宋" w:eastAsia="仿宋" w:cs="仿宋"/>
                <w:color w:val="auto"/>
                <w:sz w:val="22"/>
                <w:szCs w:val="22"/>
                <w:highlight w:val="none"/>
              </w:rPr>
            </w:pPr>
          </w:p>
        </w:tc>
      </w:tr>
      <w:tr w14:paraId="2402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6255B94F">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w:t>
            </w:r>
          </w:p>
          <w:p w14:paraId="7C3912A4">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（单位负责人）</w:t>
            </w:r>
          </w:p>
        </w:tc>
        <w:tc>
          <w:tcPr>
            <w:tcW w:w="1416" w:type="dxa"/>
            <w:vMerge w:val="restart"/>
            <w:noWrap w:val="0"/>
            <w:vAlign w:val="center"/>
          </w:tcPr>
          <w:p w14:paraId="72E27E98">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姓名</w:t>
            </w:r>
          </w:p>
        </w:tc>
        <w:tc>
          <w:tcPr>
            <w:tcW w:w="1419" w:type="dxa"/>
            <w:gridSpan w:val="3"/>
            <w:vMerge w:val="restart"/>
            <w:noWrap w:val="0"/>
            <w:vAlign w:val="center"/>
          </w:tcPr>
          <w:p w14:paraId="59430426">
            <w:pPr>
              <w:topLinePunct/>
              <w:jc w:val="center"/>
              <w:rPr>
                <w:rFonts w:hint="eastAsia" w:ascii="仿宋" w:hAnsi="仿宋" w:eastAsia="仿宋" w:cs="仿宋"/>
                <w:color w:val="auto"/>
                <w:sz w:val="22"/>
                <w:szCs w:val="22"/>
                <w:highlight w:val="none"/>
              </w:rPr>
            </w:pPr>
          </w:p>
        </w:tc>
        <w:tc>
          <w:tcPr>
            <w:tcW w:w="1418" w:type="dxa"/>
            <w:vMerge w:val="restart"/>
            <w:noWrap w:val="0"/>
            <w:vAlign w:val="center"/>
          </w:tcPr>
          <w:p w14:paraId="5D573021">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电话</w:t>
            </w:r>
          </w:p>
        </w:tc>
        <w:tc>
          <w:tcPr>
            <w:tcW w:w="1381" w:type="dxa"/>
            <w:gridSpan w:val="3"/>
            <w:noWrap w:val="0"/>
            <w:vAlign w:val="center"/>
          </w:tcPr>
          <w:p w14:paraId="397D6535">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手机</w:t>
            </w:r>
          </w:p>
        </w:tc>
        <w:tc>
          <w:tcPr>
            <w:tcW w:w="1382" w:type="dxa"/>
            <w:noWrap w:val="0"/>
            <w:vAlign w:val="center"/>
          </w:tcPr>
          <w:p w14:paraId="0629B031">
            <w:pPr>
              <w:topLinePunct/>
              <w:spacing w:line="440" w:lineRule="exact"/>
              <w:jc w:val="center"/>
              <w:rPr>
                <w:rFonts w:hint="eastAsia" w:ascii="仿宋" w:hAnsi="仿宋" w:eastAsia="仿宋" w:cs="仿宋"/>
                <w:color w:val="auto"/>
                <w:sz w:val="22"/>
                <w:szCs w:val="22"/>
                <w:highlight w:val="none"/>
              </w:rPr>
            </w:pPr>
          </w:p>
        </w:tc>
      </w:tr>
      <w:tr w14:paraId="2546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12A743C3">
            <w:pPr>
              <w:topLinePunct/>
              <w:jc w:val="center"/>
              <w:rPr>
                <w:rFonts w:hint="eastAsia" w:ascii="仿宋" w:hAnsi="仿宋" w:eastAsia="仿宋" w:cs="仿宋"/>
                <w:color w:val="auto"/>
                <w:sz w:val="22"/>
                <w:szCs w:val="22"/>
                <w:highlight w:val="none"/>
              </w:rPr>
            </w:pPr>
          </w:p>
        </w:tc>
        <w:tc>
          <w:tcPr>
            <w:tcW w:w="1416" w:type="dxa"/>
            <w:vMerge w:val="continue"/>
            <w:noWrap w:val="0"/>
            <w:vAlign w:val="center"/>
          </w:tcPr>
          <w:p w14:paraId="00BB06DE">
            <w:pPr>
              <w:topLinePunct/>
              <w:jc w:val="center"/>
              <w:rPr>
                <w:rFonts w:hint="eastAsia" w:ascii="仿宋" w:hAnsi="仿宋" w:eastAsia="仿宋" w:cs="仿宋"/>
                <w:color w:val="auto"/>
                <w:sz w:val="22"/>
                <w:szCs w:val="22"/>
                <w:highlight w:val="none"/>
              </w:rPr>
            </w:pPr>
          </w:p>
        </w:tc>
        <w:tc>
          <w:tcPr>
            <w:tcW w:w="1419" w:type="dxa"/>
            <w:gridSpan w:val="3"/>
            <w:vMerge w:val="continue"/>
            <w:noWrap w:val="0"/>
            <w:vAlign w:val="center"/>
          </w:tcPr>
          <w:p w14:paraId="6FC397E9">
            <w:pPr>
              <w:topLinePunct/>
              <w:jc w:val="center"/>
              <w:rPr>
                <w:rFonts w:hint="eastAsia" w:ascii="仿宋" w:hAnsi="仿宋" w:eastAsia="仿宋" w:cs="仿宋"/>
                <w:color w:val="auto"/>
                <w:sz w:val="22"/>
                <w:szCs w:val="22"/>
                <w:highlight w:val="none"/>
              </w:rPr>
            </w:pPr>
          </w:p>
        </w:tc>
        <w:tc>
          <w:tcPr>
            <w:tcW w:w="1418" w:type="dxa"/>
            <w:vMerge w:val="continue"/>
            <w:noWrap w:val="0"/>
            <w:vAlign w:val="center"/>
          </w:tcPr>
          <w:p w14:paraId="5E1AA60E">
            <w:pPr>
              <w:topLinePunct/>
              <w:jc w:val="center"/>
              <w:rPr>
                <w:rFonts w:hint="eastAsia" w:ascii="仿宋" w:hAnsi="仿宋" w:eastAsia="仿宋" w:cs="仿宋"/>
                <w:color w:val="auto"/>
                <w:sz w:val="22"/>
                <w:szCs w:val="22"/>
                <w:highlight w:val="none"/>
              </w:rPr>
            </w:pPr>
          </w:p>
        </w:tc>
        <w:tc>
          <w:tcPr>
            <w:tcW w:w="1381" w:type="dxa"/>
            <w:gridSpan w:val="3"/>
            <w:noWrap w:val="0"/>
            <w:vAlign w:val="center"/>
          </w:tcPr>
          <w:p w14:paraId="186D2141">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办公</w:t>
            </w:r>
          </w:p>
        </w:tc>
        <w:tc>
          <w:tcPr>
            <w:tcW w:w="1382" w:type="dxa"/>
            <w:noWrap w:val="0"/>
            <w:vAlign w:val="center"/>
          </w:tcPr>
          <w:p w14:paraId="54FCB0EA">
            <w:pPr>
              <w:topLinePunct/>
              <w:spacing w:line="440" w:lineRule="exact"/>
              <w:jc w:val="center"/>
              <w:rPr>
                <w:rFonts w:hint="eastAsia" w:ascii="仿宋" w:hAnsi="仿宋" w:eastAsia="仿宋" w:cs="仿宋"/>
                <w:color w:val="auto"/>
                <w:sz w:val="22"/>
                <w:szCs w:val="22"/>
                <w:highlight w:val="none"/>
              </w:rPr>
            </w:pPr>
          </w:p>
        </w:tc>
      </w:tr>
      <w:tr w14:paraId="77E9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vMerge w:val="restart"/>
            <w:noWrap w:val="0"/>
            <w:vAlign w:val="center"/>
          </w:tcPr>
          <w:p w14:paraId="7678D166">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联系方式</w:t>
            </w:r>
          </w:p>
        </w:tc>
        <w:tc>
          <w:tcPr>
            <w:tcW w:w="1416" w:type="dxa"/>
            <w:vMerge w:val="restart"/>
            <w:noWrap w:val="0"/>
            <w:vAlign w:val="center"/>
          </w:tcPr>
          <w:p w14:paraId="2BBCE174">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联系人</w:t>
            </w:r>
          </w:p>
        </w:tc>
        <w:tc>
          <w:tcPr>
            <w:tcW w:w="1419" w:type="dxa"/>
            <w:gridSpan w:val="3"/>
            <w:vMerge w:val="restart"/>
            <w:noWrap w:val="0"/>
            <w:vAlign w:val="center"/>
          </w:tcPr>
          <w:p w14:paraId="37FB74C3">
            <w:pPr>
              <w:topLinePunct/>
              <w:jc w:val="center"/>
              <w:rPr>
                <w:rFonts w:hint="eastAsia" w:ascii="仿宋" w:hAnsi="仿宋" w:eastAsia="仿宋" w:cs="仿宋"/>
                <w:color w:val="auto"/>
                <w:sz w:val="22"/>
                <w:szCs w:val="22"/>
                <w:highlight w:val="none"/>
              </w:rPr>
            </w:pPr>
          </w:p>
        </w:tc>
        <w:tc>
          <w:tcPr>
            <w:tcW w:w="1418" w:type="dxa"/>
            <w:noWrap w:val="0"/>
            <w:vAlign w:val="center"/>
          </w:tcPr>
          <w:p w14:paraId="6A8F1195">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电话</w:t>
            </w:r>
          </w:p>
        </w:tc>
        <w:tc>
          <w:tcPr>
            <w:tcW w:w="2763" w:type="dxa"/>
            <w:gridSpan w:val="4"/>
            <w:noWrap w:val="0"/>
            <w:vAlign w:val="center"/>
          </w:tcPr>
          <w:p w14:paraId="253CCA41">
            <w:pPr>
              <w:topLinePunct/>
              <w:spacing w:line="440" w:lineRule="exact"/>
              <w:jc w:val="center"/>
              <w:rPr>
                <w:rFonts w:hint="eastAsia" w:ascii="仿宋" w:hAnsi="仿宋" w:eastAsia="仿宋" w:cs="仿宋"/>
                <w:color w:val="auto"/>
                <w:sz w:val="22"/>
                <w:szCs w:val="22"/>
                <w:highlight w:val="none"/>
              </w:rPr>
            </w:pPr>
          </w:p>
        </w:tc>
      </w:tr>
      <w:tr w14:paraId="3107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vMerge w:val="continue"/>
            <w:noWrap w:val="0"/>
            <w:vAlign w:val="center"/>
          </w:tcPr>
          <w:p w14:paraId="322D563D">
            <w:pPr>
              <w:topLinePunct/>
              <w:jc w:val="center"/>
              <w:rPr>
                <w:rFonts w:hint="eastAsia" w:ascii="仿宋" w:hAnsi="仿宋" w:eastAsia="仿宋" w:cs="仿宋"/>
                <w:color w:val="auto"/>
                <w:sz w:val="22"/>
                <w:szCs w:val="22"/>
                <w:highlight w:val="none"/>
              </w:rPr>
            </w:pPr>
          </w:p>
        </w:tc>
        <w:tc>
          <w:tcPr>
            <w:tcW w:w="1416" w:type="dxa"/>
            <w:vMerge w:val="continue"/>
            <w:noWrap w:val="0"/>
            <w:vAlign w:val="center"/>
          </w:tcPr>
          <w:p w14:paraId="2001B87A">
            <w:pPr>
              <w:topLinePunct/>
              <w:jc w:val="center"/>
              <w:rPr>
                <w:rFonts w:hint="eastAsia" w:ascii="仿宋" w:hAnsi="仿宋" w:eastAsia="仿宋" w:cs="仿宋"/>
                <w:color w:val="auto"/>
                <w:sz w:val="22"/>
                <w:szCs w:val="22"/>
                <w:highlight w:val="none"/>
              </w:rPr>
            </w:pPr>
          </w:p>
        </w:tc>
        <w:tc>
          <w:tcPr>
            <w:tcW w:w="1419" w:type="dxa"/>
            <w:gridSpan w:val="3"/>
            <w:vMerge w:val="continue"/>
            <w:noWrap w:val="0"/>
            <w:vAlign w:val="center"/>
          </w:tcPr>
          <w:p w14:paraId="33F0B561">
            <w:pPr>
              <w:topLinePunct/>
              <w:jc w:val="center"/>
              <w:rPr>
                <w:rFonts w:hint="eastAsia" w:ascii="仿宋" w:hAnsi="仿宋" w:eastAsia="仿宋" w:cs="仿宋"/>
                <w:color w:val="auto"/>
                <w:sz w:val="22"/>
                <w:szCs w:val="22"/>
                <w:highlight w:val="none"/>
              </w:rPr>
            </w:pPr>
          </w:p>
        </w:tc>
        <w:tc>
          <w:tcPr>
            <w:tcW w:w="1418" w:type="dxa"/>
            <w:noWrap w:val="0"/>
            <w:vAlign w:val="center"/>
          </w:tcPr>
          <w:p w14:paraId="625C5845">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邮箱</w:t>
            </w:r>
          </w:p>
        </w:tc>
        <w:tc>
          <w:tcPr>
            <w:tcW w:w="2763" w:type="dxa"/>
            <w:gridSpan w:val="4"/>
            <w:noWrap w:val="0"/>
            <w:vAlign w:val="center"/>
          </w:tcPr>
          <w:p w14:paraId="257D64DB">
            <w:pPr>
              <w:topLinePunct/>
              <w:spacing w:line="440" w:lineRule="exact"/>
              <w:jc w:val="center"/>
              <w:rPr>
                <w:rFonts w:hint="eastAsia" w:ascii="仿宋" w:hAnsi="仿宋" w:eastAsia="仿宋" w:cs="仿宋"/>
                <w:color w:val="auto"/>
                <w:sz w:val="22"/>
                <w:szCs w:val="22"/>
                <w:highlight w:val="none"/>
              </w:rPr>
            </w:pPr>
          </w:p>
        </w:tc>
      </w:tr>
      <w:tr w14:paraId="233B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84" w:type="dxa"/>
            <w:noWrap w:val="0"/>
            <w:vAlign w:val="center"/>
          </w:tcPr>
          <w:p w14:paraId="38F984B2">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基本账户开</w:t>
            </w:r>
            <w:r>
              <w:rPr>
                <w:rFonts w:hint="eastAsia" w:ascii="仿宋" w:hAnsi="仿宋" w:eastAsia="仿宋" w:cs="仿宋"/>
                <w:color w:val="auto"/>
                <w:sz w:val="22"/>
                <w:szCs w:val="22"/>
                <w:highlight w:val="none"/>
                <w:lang w:val="en-US" w:eastAsia="zh-CN"/>
              </w:rPr>
              <w:t>户银</w:t>
            </w:r>
            <w:r>
              <w:rPr>
                <w:rFonts w:hint="eastAsia" w:ascii="仿宋" w:hAnsi="仿宋" w:eastAsia="仿宋" w:cs="仿宋"/>
                <w:color w:val="auto"/>
                <w:sz w:val="22"/>
                <w:szCs w:val="22"/>
                <w:highlight w:val="none"/>
              </w:rPr>
              <w:t>行</w:t>
            </w:r>
          </w:p>
        </w:tc>
        <w:tc>
          <w:tcPr>
            <w:tcW w:w="2835" w:type="dxa"/>
            <w:gridSpan w:val="4"/>
            <w:noWrap w:val="0"/>
            <w:vAlign w:val="center"/>
          </w:tcPr>
          <w:p w14:paraId="297CC679">
            <w:pPr>
              <w:topLinePunct/>
              <w:spacing w:line="440" w:lineRule="exact"/>
              <w:jc w:val="center"/>
              <w:rPr>
                <w:rFonts w:hint="eastAsia" w:ascii="仿宋" w:hAnsi="仿宋" w:eastAsia="仿宋" w:cs="仿宋"/>
                <w:color w:val="auto"/>
                <w:sz w:val="22"/>
                <w:szCs w:val="22"/>
                <w:highlight w:val="none"/>
              </w:rPr>
            </w:pPr>
          </w:p>
        </w:tc>
        <w:tc>
          <w:tcPr>
            <w:tcW w:w="1985" w:type="dxa"/>
            <w:gridSpan w:val="3"/>
            <w:noWrap w:val="0"/>
            <w:vAlign w:val="center"/>
          </w:tcPr>
          <w:p w14:paraId="7FBB6D3F">
            <w:pPr>
              <w:topLinePunct/>
              <w:spacing w:line="44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基本账户银行账号</w:t>
            </w:r>
          </w:p>
        </w:tc>
        <w:tc>
          <w:tcPr>
            <w:tcW w:w="2196" w:type="dxa"/>
            <w:gridSpan w:val="2"/>
            <w:noWrap w:val="0"/>
            <w:vAlign w:val="center"/>
          </w:tcPr>
          <w:p w14:paraId="232F0154">
            <w:pPr>
              <w:topLinePunct/>
              <w:spacing w:line="440" w:lineRule="exact"/>
              <w:jc w:val="center"/>
              <w:rPr>
                <w:rFonts w:hint="eastAsia" w:ascii="仿宋" w:hAnsi="仿宋" w:eastAsia="仿宋" w:cs="仿宋"/>
                <w:color w:val="auto"/>
                <w:sz w:val="22"/>
                <w:szCs w:val="22"/>
                <w:highlight w:val="none"/>
              </w:rPr>
            </w:pPr>
          </w:p>
        </w:tc>
      </w:tr>
      <w:tr w14:paraId="50AF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8" w:hRule="atLeast"/>
        </w:trPr>
        <w:tc>
          <w:tcPr>
            <w:tcW w:w="1984" w:type="dxa"/>
            <w:noWrap w:val="0"/>
            <w:vAlign w:val="center"/>
          </w:tcPr>
          <w:p w14:paraId="6E44CCE5">
            <w:pPr>
              <w:topLinePunct/>
              <w:spacing w:line="36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投标人关联企业情况（包括但不限于与投标人法定代表人为同一人或者存在控股、管理关系的不同单位）</w:t>
            </w:r>
          </w:p>
        </w:tc>
        <w:tc>
          <w:tcPr>
            <w:tcW w:w="7016" w:type="dxa"/>
            <w:gridSpan w:val="9"/>
            <w:noWrap w:val="0"/>
            <w:vAlign w:val="center"/>
          </w:tcPr>
          <w:p w14:paraId="35FF009B">
            <w:pPr>
              <w:topLinePunct/>
              <w:spacing w:line="440" w:lineRule="exact"/>
              <w:jc w:val="center"/>
              <w:rPr>
                <w:rFonts w:hint="eastAsia" w:ascii="仿宋" w:hAnsi="仿宋" w:eastAsia="仿宋" w:cs="仿宋"/>
                <w:color w:val="auto"/>
                <w:sz w:val="22"/>
                <w:szCs w:val="22"/>
                <w:highlight w:val="none"/>
              </w:rPr>
            </w:pPr>
          </w:p>
        </w:tc>
      </w:tr>
      <w:tr w14:paraId="040D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3608" w:type="dxa"/>
            <w:gridSpan w:val="3"/>
            <w:noWrap w:val="0"/>
            <w:vAlign w:val="center"/>
          </w:tcPr>
          <w:p w14:paraId="15A1F5BF">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投标人需具有的资质证书</w:t>
            </w:r>
          </w:p>
        </w:tc>
        <w:tc>
          <w:tcPr>
            <w:tcW w:w="1068" w:type="dxa"/>
            <w:noWrap w:val="0"/>
            <w:vAlign w:val="center"/>
          </w:tcPr>
          <w:p w14:paraId="637D16AC">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等级</w:t>
            </w:r>
          </w:p>
        </w:tc>
        <w:tc>
          <w:tcPr>
            <w:tcW w:w="1701" w:type="dxa"/>
            <w:gridSpan w:val="3"/>
            <w:noWrap w:val="0"/>
            <w:vAlign w:val="center"/>
          </w:tcPr>
          <w:p w14:paraId="03448A8D">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类型</w:t>
            </w:r>
          </w:p>
        </w:tc>
        <w:tc>
          <w:tcPr>
            <w:tcW w:w="2623" w:type="dxa"/>
            <w:gridSpan w:val="3"/>
            <w:noWrap w:val="0"/>
            <w:vAlign w:val="center"/>
          </w:tcPr>
          <w:p w14:paraId="200F3FF5">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证书号</w:t>
            </w:r>
          </w:p>
        </w:tc>
      </w:tr>
      <w:tr w14:paraId="1848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3608" w:type="dxa"/>
            <w:gridSpan w:val="3"/>
            <w:noWrap w:val="0"/>
            <w:vAlign w:val="center"/>
          </w:tcPr>
          <w:p w14:paraId="2791B965">
            <w:pPr>
              <w:topLinePunct/>
              <w:jc w:val="center"/>
              <w:rPr>
                <w:rFonts w:hint="eastAsia" w:ascii="仿宋" w:hAnsi="仿宋" w:eastAsia="仿宋" w:cs="仿宋"/>
                <w:color w:val="auto"/>
                <w:sz w:val="22"/>
                <w:szCs w:val="22"/>
                <w:highlight w:val="none"/>
              </w:rPr>
            </w:pPr>
          </w:p>
        </w:tc>
        <w:tc>
          <w:tcPr>
            <w:tcW w:w="1068" w:type="dxa"/>
            <w:noWrap w:val="0"/>
            <w:vAlign w:val="center"/>
          </w:tcPr>
          <w:p w14:paraId="17EE3DF8">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4AE91C21">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6D0F8871">
            <w:pPr>
              <w:topLinePunct/>
              <w:jc w:val="center"/>
              <w:rPr>
                <w:rFonts w:hint="eastAsia" w:ascii="仿宋" w:hAnsi="仿宋" w:eastAsia="仿宋" w:cs="仿宋"/>
                <w:color w:val="auto"/>
                <w:sz w:val="22"/>
                <w:szCs w:val="22"/>
                <w:highlight w:val="none"/>
              </w:rPr>
            </w:pPr>
          </w:p>
        </w:tc>
      </w:tr>
      <w:tr w14:paraId="20D5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3608" w:type="dxa"/>
            <w:gridSpan w:val="3"/>
            <w:noWrap w:val="0"/>
            <w:vAlign w:val="center"/>
          </w:tcPr>
          <w:p w14:paraId="1B121271">
            <w:pPr>
              <w:topLinePunct/>
              <w:jc w:val="center"/>
              <w:rPr>
                <w:rFonts w:hint="eastAsia" w:ascii="仿宋" w:hAnsi="仿宋" w:eastAsia="仿宋" w:cs="仿宋"/>
                <w:color w:val="auto"/>
                <w:sz w:val="22"/>
                <w:szCs w:val="22"/>
                <w:highlight w:val="none"/>
              </w:rPr>
            </w:pPr>
          </w:p>
        </w:tc>
        <w:tc>
          <w:tcPr>
            <w:tcW w:w="1068" w:type="dxa"/>
            <w:noWrap w:val="0"/>
            <w:vAlign w:val="center"/>
          </w:tcPr>
          <w:p w14:paraId="4DD946C7">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47BE37ED">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735E5416">
            <w:pPr>
              <w:topLinePunct/>
              <w:jc w:val="center"/>
              <w:rPr>
                <w:rFonts w:hint="eastAsia" w:ascii="仿宋" w:hAnsi="仿宋" w:eastAsia="仿宋" w:cs="仿宋"/>
                <w:color w:val="auto"/>
                <w:sz w:val="22"/>
                <w:szCs w:val="22"/>
                <w:highlight w:val="none"/>
              </w:rPr>
            </w:pPr>
          </w:p>
        </w:tc>
      </w:tr>
      <w:tr w14:paraId="6D6A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3608" w:type="dxa"/>
            <w:gridSpan w:val="3"/>
            <w:noWrap w:val="0"/>
            <w:vAlign w:val="center"/>
          </w:tcPr>
          <w:p w14:paraId="70E6D091">
            <w:pPr>
              <w:topLinePunct/>
              <w:jc w:val="center"/>
              <w:rPr>
                <w:rFonts w:hint="eastAsia" w:ascii="仿宋" w:hAnsi="仿宋" w:eastAsia="仿宋" w:cs="仿宋"/>
                <w:color w:val="auto"/>
                <w:sz w:val="22"/>
                <w:szCs w:val="22"/>
                <w:highlight w:val="none"/>
              </w:rPr>
            </w:pPr>
          </w:p>
        </w:tc>
        <w:tc>
          <w:tcPr>
            <w:tcW w:w="1068" w:type="dxa"/>
            <w:noWrap w:val="0"/>
            <w:vAlign w:val="center"/>
          </w:tcPr>
          <w:p w14:paraId="3B4A3AEF">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4A48FC14">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213D3CDD">
            <w:pPr>
              <w:topLinePunct/>
              <w:jc w:val="center"/>
              <w:rPr>
                <w:rFonts w:hint="eastAsia" w:ascii="仿宋" w:hAnsi="仿宋" w:eastAsia="仿宋" w:cs="仿宋"/>
                <w:color w:val="auto"/>
                <w:sz w:val="22"/>
                <w:szCs w:val="22"/>
                <w:highlight w:val="none"/>
              </w:rPr>
            </w:pPr>
          </w:p>
        </w:tc>
      </w:tr>
      <w:tr w14:paraId="6C6B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3608" w:type="dxa"/>
            <w:gridSpan w:val="3"/>
            <w:noWrap w:val="0"/>
            <w:vAlign w:val="center"/>
          </w:tcPr>
          <w:p w14:paraId="4FDD1B3C">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投标产品制造商名称</w:t>
            </w:r>
          </w:p>
        </w:tc>
        <w:tc>
          <w:tcPr>
            <w:tcW w:w="5392" w:type="dxa"/>
            <w:gridSpan w:val="7"/>
            <w:noWrap w:val="0"/>
            <w:vAlign w:val="center"/>
          </w:tcPr>
          <w:p w14:paraId="6F331297">
            <w:pPr>
              <w:topLinePunct/>
              <w:jc w:val="center"/>
              <w:rPr>
                <w:rFonts w:hint="eastAsia" w:ascii="仿宋" w:hAnsi="仿宋" w:eastAsia="仿宋" w:cs="仿宋"/>
                <w:color w:val="auto"/>
                <w:sz w:val="22"/>
                <w:szCs w:val="22"/>
                <w:highlight w:val="none"/>
              </w:rPr>
            </w:pPr>
          </w:p>
        </w:tc>
      </w:tr>
      <w:tr w14:paraId="4E5A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3608" w:type="dxa"/>
            <w:gridSpan w:val="3"/>
            <w:noWrap w:val="0"/>
            <w:vAlign w:val="center"/>
          </w:tcPr>
          <w:p w14:paraId="39A14461">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投标产品制造商需具有的资质证书</w:t>
            </w:r>
          </w:p>
        </w:tc>
        <w:tc>
          <w:tcPr>
            <w:tcW w:w="1068" w:type="dxa"/>
            <w:noWrap w:val="0"/>
            <w:vAlign w:val="center"/>
          </w:tcPr>
          <w:p w14:paraId="0F6F057E">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等级</w:t>
            </w:r>
          </w:p>
        </w:tc>
        <w:tc>
          <w:tcPr>
            <w:tcW w:w="1701" w:type="dxa"/>
            <w:gridSpan w:val="3"/>
            <w:noWrap w:val="0"/>
            <w:vAlign w:val="center"/>
          </w:tcPr>
          <w:p w14:paraId="177CA58A">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类型</w:t>
            </w:r>
          </w:p>
        </w:tc>
        <w:tc>
          <w:tcPr>
            <w:tcW w:w="2623" w:type="dxa"/>
            <w:gridSpan w:val="3"/>
            <w:noWrap w:val="0"/>
            <w:vAlign w:val="center"/>
          </w:tcPr>
          <w:p w14:paraId="63084878">
            <w:pPr>
              <w:topLinePun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证书号</w:t>
            </w:r>
          </w:p>
        </w:tc>
      </w:tr>
      <w:tr w14:paraId="16A8D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trPr>
        <w:tc>
          <w:tcPr>
            <w:tcW w:w="3608" w:type="dxa"/>
            <w:gridSpan w:val="3"/>
            <w:noWrap w:val="0"/>
            <w:vAlign w:val="center"/>
          </w:tcPr>
          <w:p w14:paraId="2D0150CF">
            <w:pPr>
              <w:topLinePunct/>
              <w:jc w:val="center"/>
              <w:rPr>
                <w:rFonts w:hint="eastAsia" w:ascii="仿宋" w:hAnsi="仿宋" w:eastAsia="仿宋" w:cs="仿宋"/>
                <w:color w:val="auto"/>
                <w:sz w:val="22"/>
                <w:szCs w:val="22"/>
                <w:highlight w:val="none"/>
              </w:rPr>
            </w:pPr>
          </w:p>
        </w:tc>
        <w:tc>
          <w:tcPr>
            <w:tcW w:w="1068" w:type="dxa"/>
            <w:noWrap w:val="0"/>
            <w:vAlign w:val="center"/>
          </w:tcPr>
          <w:p w14:paraId="452CA00E">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05986AE3">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4228B5EE">
            <w:pPr>
              <w:topLinePunct/>
              <w:jc w:val="center"/>
              <w:rPr>
                <w:rFonts w:hint="eastAsia" w:ascii="仿宋" w:hAnsi="仿宋" w:eastAsia="仿宋" w:cs="仿宋"/>
                <w:color w:val="auto"/>
                <w:sz w:val="22"/>
                <w:szCs w:val="22"/>
                <w:highlight w:val="none"/>
              </w:rPr>
            </w:pPr>
          </w:p>
        </w:tc>
      </w:tr>
      <w:tr w14:paraId="7D8E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3608" w:type="dxa"/>
            <w:gridSpan w:val="3"/>
            <w:noWrap w:val="0"/>
            <w:vAlign w:val="center"/>
          </w:tcPr>
          <w:p w14:paraId="14B8A6DF">
            <w:pPr>
              <w:topLinePunct/>
              <w:jc w:val="center"/>
              <w:rPr>
                <w:rFonts w:hint="eastAsia" w:ascii="仿宋" w:hAnsi="仿宋" w:eastAsia="仿宋" w:cs="仿宋"/>
                <w:color w:val="auto"/>
                <w:sz w:val="22"/>
                <w:szCs w:val="22"/>
                <w:highlight w:val="none"/>
              </w:rPr>
            </w:pPr>
          </w:p>
        </w:tc>
        <w:tc>
          <w:tcPr>
            <w:tcW w:w="1068" w:type="dxa"/>
            <w:noWrap w:val="0"/>
            <w:vAlign w:val="center"/>
          </w:tcPr>
          <w:p w14:paraId="6741DCB6">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14D458DC">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41DF60E9">
            <w:pPr>
              <w:topLinePunct/>
              <w:jc w:val="center"/>
              <w:rPr>
                <w:rFonts w:hint="eastAsia" w:ascii="仿宋" w:hAnsi="仿宋" w:eastAsia="仿宋" w:cs="仿宋"/>
                <w:color w:val="auto"/>
                <w:sz w:val="22"/>
                <w:szCs w:val="22"/>
                <w:highlight w:val="none"/>
              </w:rPr>
            </w:pPr>
          </w:p>
        </w:tc>
      </w:tr>
      <w:tr w14:paraId="483B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3608" w:type="dxa"/>
            <w:gridSpan w:val="3"/>
            <w:noWrap w:val="0"/>
            <w:vAlign w:val="center"/>
          </w:tcPr>
          <w:p w14:paraId="38E55CA0">
            <w:pPr>
              <w:topLinePunct/>
              <w:jc w:val="center"/>
              <w:rPr>
                <w:rFonts w:hint="eastAsia" w:ascii="仿宋" w:hAnsi="仿宋" w:eastAsia="仿宋" w:cs="仿宋"/>
                <w:color w:val="auto"/>
                <w:sz w:val="22"/>
                <w:szCs w:val="22"/>
                <w:highlight w:val="none"/>
              </w:rPr>
            </w:pPr>
          </w:p>
        </w:tc>
        <w:tc>
          <w:tcPr>
            <w:tcW w:w="1068" w:type="dxa"/>
            <w:noWrap w:val="0"/>
            <w:vAlign w:val="center"/>
          </w:tcPr>
          <w:p w14:paraId="73D9D2A2">
            <w:pPr>
              <w:topLinePunct/>
              <w:jc w:val="center"/>
              <w:rPr>
                <w:rFonts w:hint="eastAsia" w:ascii="仿宋" w:hAnsi="仿宋" w:eastAsia="仿宋" w:cs="仿宋"/>
                <w:color w:val="auto"/>
                <w:sz w:val="22"/>
                <w:szCs w:val="22"/>
                <w:highlight w:val="none"/>
              </w:rPr>
            </w:pPr>
          </w:p>
        </w:tc>
        <w:tc>
          <w:tcPr>
            <w:tcW w:w="1701" w:type="dxa"/>
            <w:gridSpan w:val="3"/>
            <w:noWrap w:val="0"/>
            <w:vAlign w:val="center"/>
          </w:tcPr>
          <w:p w14:paraId="30DE6884">
            <w:pPr>
              <w:topLinePunct/>
              <w:jc w:val="center"/>
              <w:rPr>
                <w:rFonts w:hint="eastAsia" w:ascii="仿宋" w:hAnsi="仿宋" w:eastAsia="仿宋" w:cs="仿宋"/>
                <w:color w:val="auto"/>
                <w:sz w:val="22"/>
                <w:szCs w:val="22"/>
                <w:highlight w:val="none"/>
              </w:rPr>
            </w:pPr>
          </w:p>
        </w:tc>
        <w:tc>
          <w:tcPr>
            <w:tcW w:w="2623" w:type="dxa"/>
            <w:gridSpan w:val="3"/>
            <w:noWrap w:val="0"/>
            <w:vAlign w:val="center"/>
          </w:tcPr>
          <w:p w14:paraId="28CD259D">
            <w:pPr>
              <w:topLinePunct/>
              <w:jc w:val="center"/>
              <w:rPr>
                <w:rFonts w:hint="eastAsia" w:ascii="仿宋" w:hAnsi="仿宋" w:eastAsia="仿宋" w:cs="仿宋"/>
                <w:color w:val="auto"/>
                <w:sz w:val="22"/>
                <w:szCs w:val="22"/>
                <w:highlight w:val="none"/>
              </w:rPr>
            </w:pPr>
          </w:p>
        </w:tc>
      </w:tr>
    </w:tbl>
    <w:p w14:paraId="691BB4B2">
      <w:pPr>
        <w:keepNext w:val="0"/>
        <w:keepLines w:val="0"/>
        <w:pageBreakBefore w:val="0"/>
        <w:widowControl w:val="0"/>
        <w:kinsoku/>
        <w:wordWrap/>
        <w:overflowPunct/>
        <w:topLinePunct w:val="0"/>
        <w:autoSpaceDE/>
        <w:autoSpaceDN/>
        <w:bidi w:val="0"/>
        <w:adjustRightInd w:val="0"/>
        <w:snapToGrid w:val="0"/>
        <w:spacing w:line="480" w:lineRule="exact"/>
        <w:ind w:left="0" w:hanging="660" w:hanging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说明：企业类型指大型、中型、小型、微型；上年营业收入、资产总额应与财务报表中的数据</w:t>
      </w:r>
    </w:p>
    <w:p w14:paraId="70DD0188">
      <w:pPr>
        <w:keepNext w:val="0"/>
        <w:keepLines w:val="0"/>
        <w:pageBreakBefore w:val="0"/>
        <w:widowControl w:val="0"/>
        <w:kinsoku/>
        <w:wordWrap/>
        <w:overflowPunct/>
        <w:topLinePunct w:val="0"/>
        <w:autoSpaceDE/>
        <w:autoSpaceDN/>
        <w:bidi w:val="0"/>
        <w:adjustRightInd w:val="0"/>
        <w:snapToGrid w:val="0"/>
        <w:spacing w:line="480" w:lineRule="exact"/>
        <w:ind w:left="0" w:hanging="660" w:hangingChars="3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一致， 金额单位为万元。</w:t>
      </w:r>
    </w:p>
    <w:p w14:paraId="025B9233">
      <w:pPr>
        <w:keepNext w:val="0"/>
        <w:keepLines w:val="0"/>
        <w:pageBreakBefore w:val="0"/>
        <w:widowControl w:val="0"/>
        <w:kinsoku/>
        <w:wordWrap/>
        <w:overflowPunct/>
        <w:topLinePunct w:val="0"/>
        <w:autoSpaceDE/>
        <w:autoSpaceDN/>
        <w:bidi w:val="0"/>
        <w:adjustRightInd w:val="0"/>
        <w:snapToGrid w:val="0"/>
        <w:spacing w:line="480" w:lineRule="exact"/>
        <w:ind w:left="0"/>
        <w:textAlignment w:val="auto"/>
        <w:rPr>
          <w:rFonts w:hint="eastAsia" w:ascii="仿宋" w:hAnsi="仿宋" w:eastAsia="仿宋" w:cs="仿宋"/>
          <w:color w:val="auto"/>
          <w:sz w:val="22"/>
          <w:szCs w:val="22"/>
          <w:highlight w:val="none"/>
        </w:rPr>
      </w:pPr>
      <w:r>
        <w:rPr>
          <w:rFonts w:hint="eastAsia" w:ascii="仿宋" w:hAnsi="仿宋" w:eastAsia="仿宋" w:cs="仿宋"/>
          <w:bCs/>
          <w:color w:val="auto"/>
          <w:sz w:val="22"/>
          <w:szCs w:val="22"/>
          <w:highlight w:val="none"/>
        </w:rPr>
        <w:t>投  标  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（盖单位章）</w:t>
      </w:r>
    </w:p>
    <w:p w14:paraId="38BD44E9">
      <w:pPr>
        <w:keepNext w:val="0"/>
        <w:keepLines w:val="0"/>
        <w:pageBreakBefore w:val="0"/>
        <w:widowControl w:val="0"/>
        <w:kinsoku/>
        <w:wordWrap/>
        <w:overflowPunct/>
        <w:topLinePunct w:val="0"/>
        <w:autoSpaceDE/>
        <w:autoSpaceDN/>
        <w:bidi w:val="0"/>
        <w:adjustRightInd w:val="0"/>
        <w:spacing w:line="480" w:lineRule="exact"/>
        <w:ind w:left="0"/>
        <w:jc w:val="left"/>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p>
    <w:p w14:paraId="7B264151">
      <w:pPr>
        <w:keepNext w:val="0"/>
        <w:keepLines w:val="0"/>
        <w:pageBreakBefore w:val="0"/>
        <w:widowControl w:val="0"/>
        <w:kinsoku/>
        <w:wordWrap/>
        <w:overflowPunct/>
        <w:topLinePunct w:val="0"/>
        <w:autoSpaceDE/>
        <w:autoSpaceDN/>
        <w:bidi w:val="0"/>
        <w:adjustRightInd w:val="0"/>
        <w:spacing w:line="480" w:lineRule="exact"/>
        <w:ind w:left="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 期:20</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年</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月</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日</w:t>
      </w:r>
    </w:p>
    <w:p w14:paraId="55E092A7">
      <w:pPr>
        <w:adjustRightInd w:val="0"/>
        <w:snapToGrid w:val="0"/>
        <w:spacing w:line="360" w:lineRule="auto"/>
        <w:jc w:val="center"/>
        <w:rPr>
          <w:rFonts w:hint="eastAsia" w:ascii="仿宋" w:hAnsi="仿宋" w:eastAsia="仿宋" w:cs="仿宋"/>
          <w:b/>
          <w:color w:val="auto"/>
          <w:sz w:val="36"/>
          <w:szCs w:val="36"/>
          <w:highlight w:val="none"/>
        </w:rPr>
      </w:pPr>
    </w:p>
    <w:p w14:paraId="446CF498">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bookmarkStart w:id="208" w:name="_Toc26477"/>
      <w:r>
        <w:rPr>
          <w:rFonts w:hint="eastAsia" w:ascii="仿宋" w:hAnsi="仿宋" w:eastAsia="仿宋" w:cs="仿宋"/>
          <w:b/>
          <w:color w:val="auto"/>
          <w:kern w:val="2"/>
          <w:sz w:val="32"/>
          <w:szCs w:val="32"/>
          <w:highlight w:val="none"/>
          <w:lang w:val="en-US" w:eastAsia="zh-CN" w:bidi="ar-SA"/>
        </w:rPr>
        <w:t>2.</w:t>
      </w:r>
      <w:bookmarkEnd w:id="208"/>
      <w:r>
        <w:rPr>
          <w:rFonts w:hint="eastAsia" w:ascii="仿宋" w:hAnsi="仿宋" w:eastAsia="仿宋" w:cs="仿宋"/>
          <w:b/>
          <w:color w:val="auto"/>
          <w:kern w:val="2"/>
          <w:sz w:val="32"/>
          <w:szCs w:val="32"/>
          <w:highlight w:val="none"/>
          <w:lang w:val="en-US" w:eastAsia="zh-CN" w:bidi="ar-SA"/>
        </w:rPr>
        <w:t>法定代表人身份证明书</w:t>
      </w:r>
    </w:p>
    <w:p w14:paraId="26EC9CEA">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投标人</w:t>
      </w:r>
      <w:r>
        <w:rPr>
          <w:rFonts w:hint="eastAsia" w:ascii="仿宋" w:hAnsi="仿宋" w:eastAsia="仿宋" w:cs="仿宋"/>
          <w:color w:val="auto"/>
          <w:kern w:val="0"/>
          <w:sz w:val="22"/>
          <w:szCs w:val="22"/>
          <w:highlight w:val="none"/>
        </w:rPr>
        <w:t>名称：</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 xml:space="preserve"> </w:t>
      </w:r>
    </w:p>
    <w:p w14:paraId="2433FCE2">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统一社会信用代码：</w:t>
      </w:r>
      <w:r>
        <w:rPr>
          <w:rFonts w:hint="eastAsia" w:ascii="仿宋" w:hAnsi="仿宋" w:eastAsia="仿宋" w:cs="仿宋"/>
          <w:color w:val="auto"/>
          <w:kern w:val="0"/>
          <w:sz w:val="22"/>
          <w:szCs w:val="22"/>
          <w:highlight w:val="none"/>
          <w:u w:val="single"/>
        </w:rPr>
        <w:t xml:space="preserve">                </w:t>
      </w:r>
    </w:p>
    <w:p w14:paraId="2A5DABE0">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姓名：</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 xml:space="preserve"> 性别：</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 xml:space="preserve"> 年龄：</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 xml:space="preserve"> 职务：</w:t>
      </w:r>
      <w:r>
        <w:rPr>
          <w:rFonts w:hint="eastAsia" w:ascii="仿宋" w:hAnsi="仿宋" w:eastAsia="仿宋" w:cs="仿宋"/>
          <w:color w:val="auto"/>
          <w:kern w:val="0"/>
          <w:sz w:val="22"/>
          <w:szCs w:val="22"/>
          <w:highlight w:val="none"/>
          <w:u w:val="single"/>
        </w:rPr>
        <w:t xml:space="preserve">             </w:t>
      </w:r>
    </w:p>
    <w:p w14:paraId="0C977DE8">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系</w:t>
      </w:r>
      <w:r>
        <w:rPr>
          <w:rFonts w:hint="eastAsia" w:ascii="仿宋" w:hAnsi="仿宋" w:eastAsia="仿宋" w:cs="仿宋"/>
          <w:color w:val="auto"/>
          <w:kern w:val="0"/>
          <w:sz w:val="22"/>
          <w:szCs w:val="22"/>
          <w:highlight w:val="none"/>
          <w:u w:val="single"/>
        </w:rPr>
        <w:t xml:space="preserve">                                </w:t>
      </w:r>
      <w:r>
        <w:rPr>
          <w:rFonts w:hint="eastAsia" w:ascii="仿宋" w:hAnsi="仿宋" w:eastAsia="仿宋" w:cs="仿宋"/>
          <w:color w:val="auto"/>
          <w:kern w:val="0"/>
          <w:sz w:val="22"/>
          <w:szCs w:val="22"/>
          <w:highlight w:val="none"/>
        </w:rPr>
        <w:t>（投标</w:t>
      </w:r>
      <w:r>
        <w:rPr>
          <w:rFonts w:hint="eastAsia" w:ascii="仿宋" w:hAnsi="仿宋" w:eastAsia="仿宋" w:cs="仿宋"/>
          <w:color w:val="auto"/>
          <w:sz w:val="22"/>
          <w:szCs w:val="22"/>
          <w:highlight w:val="none"/>
        </w:rPr>
        <w:t>人</w:t>
      </w:r>
      <w:r>
        <w:rPr>
          <w:rFonts w:hint="eastAsia" w:ascii="仿宋" w:hAnsi="仿宋" w:eastAsia="仿宋" w:cs="仿宋"/>
          <w:color w:val="auto"/>
          <w:kern w:val="0"/>
          <w:sz w:val="22"/>
          <w:szCs w:val="22"/>
          <w:highlight w:val="none"/>
        </w:rPr>
        <w:t>名称）的法定代表人。</w:t>
      </w:r>
    </w:p>
    <w:p w14:paraId="11F56B9F">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特此证明。</w:t>
      </w:r>
    </w:p>
    <w:p w14:paraId="23C5A979">
      <w:pPr>
        <w:keepNext w:val="0"/>
        <w:keepLines w:val="0"/>
        <w:pageBreakBefore w:val="0"/>
        <w:widowControl w:val="0"/>
        <w:kinsoku/>
        <w:wordWrap/>
        <w:overflowPunct/>
        <w:topLinePunct w:val="0"/>
        <w:autoSpaceDE w:val="0"/>
        <w:autoSpaceDN w:val="0"/>
        <w:bidi w:val="0"/>
        <w:adjustRightInd w:val="0"/>
        <w:snapToGrid w:val="0"/>
        <w:spacing w:line="480" w:lineRule="exact"/>
        <w:jc w:val="left"/>
        <w:textAlignment w:val="auto"/>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附：法定代表人身份证复印件</w:t>
      </w:r>
    </w:p>
    <w:tbl>
      <w:tblPr>
        <w:tblStyle w:val="23"/>
        <w:tblpPr w:leftFromText="180" w:rightFromText="180" w:vertAnchor="text" w:horzAnchor="margin" w:tblpXSpec="center" w:tblpY="104"/>
        <w:tblW w:w="0" w:type="auto"/>
        <w:tblInd w:w="-2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14:paraId="78D7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8840" w:type="dxa"/>
            <w:noWrap w:val="0"/>
            <w:vAlign w:val="center"/>
          </w:tcPr>
          <w:p w14:paraId="2BF99CE2">
            <w:pPr>
              <w:snapToGrid w:val="0"/>
              <w:spacing w:line="480" w:lineRule="auto"/>
              <w:jc w:val="center"/>
              <w:rPr>
                <w:rFonts w:hint="eastAsia" w:ascii="仿宋" w:hAnsi="仿宋" w:eastAsia="仿宋" w:cs="仿宋"/>
                <w:color w:val="auto"/>
                <w:szCs w:val="21"/>
                <w:highlight w:val="none"/>
              </w:rPr>
            </w:pPr>
          </w:p>
          <w:p w14:paraId="5D6B0247">
            <w:pPr>
              <w:snapToGrid w:val="0"/>
              <w:spacing w:line="480" w:lineRule="auto"/>
              <w:jc w:val="center"/>
              <w:rPr>
                <w:rFonts w:hint="eastAsia" w:ascii="仿宋" w:hAnsi="仿宋" w:eastAsia="仿宋" w:cs="仿宋"/>
                <w:color w:val="auto"/>
                <w:szCs w:val="21"/>
                <w:highlight w:val="none"/>
              </w:rPr>
            </w:pPr>
          </w:p>
          <w:p w14:paraId="1EEE9BB0">
            <w:pPr>
              <w:autoSpaceDE w:val="0"/>
              <w:autoSpaceDN w:val="0"/>
              <w:adjustRightInd w:val="0"/>
              <w:snapToGrid w:val="0"/>
              <w:spacing w:before="120" w:beforeLines="50" w:line="360" w:lineRule="auto"/>
              <w:jc w:val="center"/>
              <w:rPr>
                <w:rFonts w:hint="eastAsia" w:ascii="仿宋" w:hAnsi="仿宋" w:eastAsia="仿宋" w:cs="仿宋"/>
                <w:color w:val="auto"/>
                <w:kern w:val="0"/>
                <w:sz w:val="22"/>
                <w:szCs w:val="22"/>
                <w:highlight w:val="none"/>
              </w:rPr>
            </w:pPr>
            <w:r>
              <w:rPr>
                <w:rFonts w:hint="eastAsia" w:ascii="仿宋" w:hAnsi="仿宋" w:eastAsia="仿宋" w:cs="仿宋"/>
                <w:color w:val="auto"/>
                <w:sz w:val="22"/>
                <w:szCs w:val="22"/>
                <w:highlight w:val="none"/>
              </w:rPr>
              <w:t>法定代表人身份证复印件粘贴处</w:t>
            </w:r>
          </w:p>
          <w:p w14:paraId="4B5906F1">
            <w:pPr>
              <w:snapToGrid w:val="0"/>
              <w:spacing w:line="480" w:lineRule="auto"/>
              <w:jc w:val="center"/>
              <w:rPr>
                <w:rFonts w:hint="eastAsia" w:ascii="仿宋" w:hAnsi="仿宋" w:eastAsia="仿宋" w:cs="仿宋"/>
                <w:color w:val="auto"/>
                <w:szCs w:val="21"/>
                <w:highlight w:val="none"/>
              </w:rPr>
            </w:pPr>
          </w:p>
          <w:p w14:paraId="07DA936D">
            <w:pPr>
              <w:snapToGrid w:val="0"/>
              <w:spacing w:line="480" w:lineRule="auto"/>
              <w:jc w:val="center"/>
              <w:rPr>
                <w:rFonts w:hint="eastAsia" w:ascii="仿宋" w:hAnsi="仿宋" w:eastAsia="仿宋" w:cs="仿宋"/>
                <w:color w:val="auto"/>
                <w:szCs w:val="21"/>
                <w:highlight w:val="none"/>
              </w:rPr>
            </w:pPr>
          </w:p>
        </w:tc>
      </w:tr>
    </w:tbl>
    <w:p w14:paraId="611C4F33">
      <w:pPr>
        <w:adjustRightInd w:val="0"/>
        <w:snapToGrid w:val="0"/>
        <w:spacing w:line="360" w:lineRule="auto"/>
        <w:ind w:right="42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投标人名称：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（盖单位章）</w:t>
      </w:r>
    </w:p>
    <w:p w14:paraId="5F47FD25">
      <w:pPr>
        <w:adjustRightInd w:val="0"/>
        <w:snapToGrid w:val="0"/>
        <w:spacing w:line="360" w:lineRule="auto"/>
        <w:ind w:right="420"/>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日期：20  年  月  日</w:t>
      </w:r>
    </w:p>
    <w:p w14:paraId="142DD02A">
      <w:pPr>
        <w:adjustRightInd w:val="0"/>
        <w:snapToGrid w:val="0"/>
        <w:spacing w:line="360" w:lineRule="auto"/>
        <w:ind w:right="420"/>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说明：仅限法定代表人参加投标时提供</w:t>
      </w:r>
      <w:r>
        <w:rPr>
          <w:rFonts w:hint="eastAsia" w:ascii="仿宋" w:hAnsi="仿宋" w:eastAsia="仿宋" w:cs="仿宋"/>
          <w:color w:val="auto"/>
          <w:sz w:val="22"/>
          <w:szCs w:val="22"/>
          <w:highlight w:val="none"/>
          <w:lang w:eastAsia="zh-CN"/>
        </w:rPr>
        <w:t>。</w:t>
      </w:r>
    </w:p>
    <w:p w14:paraId="2AA6C811">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bookmarkStart w:id="209" w:name="_Toc9116"/>
      <w:r>
        <w:rPr>
          <w:rFonts w:hint="eastAsia" w:ascii="仿宋" w:hAnsi="仿宋" w:eastAsia="仿宋" w:cs="仿宋"/>
          <w:b/>
          <w:color w:val="auto"/>
          <w:kern w:val="2"/>
          <w:sz w:val="32"/>
          <w:szCs w:val="32"/>
          <w:highlight w:val="none"/>
          <w:lang w:val="en-US" w:eastAsia="zh-CN" w:bidi="ar-SA"/>
        </w:rPr>
        <w:t>3.</w:t>
      </w:r>
      <w:bookmarkEnd w:id="209"/>
      <w:r>
        <w:rPr>
          <w:rFonts w:hint="eastAsia" w:ascii="仿宋" w:hAnsi="仿宋" w:eastAsia="仿宋" w:cs="仿宋"/>
          <w:b/>
          <w:color w:val="auto"/>
          <w:kern w:val="2"/>
          <w:sz w:val="32"/>
          <w:szCs w:val="32"/>
          <w:highlight w:val="none"/>
          <w:lang w:val="en-US" w:eastAsia="zh-CN" w:bidi="ar-SA"/>
        </w:rPr>
        <w:t>授权委托书</w:t>
      </w:r>
    </w:p>
    <w:p w14:paraId="434CACD1">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本人</w:t>
      </w:r>
      <w:r>
        <w:rPr>
          <w:rFonts w:hint="eastAsia" w:ascii="仿宋" w:hAnsi="仿宋" w:eastAsia="仿宋" w:cs="仿宋"/>
          <w:color w:val="auto"/>
          <w:sz w:val="22"/>
          <w:szCs w:val="22"/>
          <w:highlight w:val="none"/>
          <w:u w:val="single"/>
          <w:lang w:val="zh-CN"/>
        </w:rPr>
        <w:t xml:space="preserve">          </w:t>
      </w:r>
      <w:r>
        <w:rPr>
          <w:rFonts w:hint="eastAsia" w:ascii="仿宋" w:hAnsi="仿宋" w:eastAsia="仿宋" w:cs="仿宋"/>
          <w:color w:val="auto"/>
          <w:sz w:val="22"/>
          <w:szCs w:val="22"/>
          <w:highlight w:val="none"/>
          <w:lang w:val="zh-CN"/>
        </w:rPr>
        <w:t>（姓名）系</w:t>
      </w:r>
      <w:r>
        <w:rPr>
          <w:rFonts w:hint="eastAsia" w:ascii="仿宋" w:hAnsi="仿宋" w:eastAsia="仿宋" w:cs="仿宋"/>
          <w:color w:val="auto"/>
          <w:sz w:val="22"/>
          <w:szCs w:val="22"/>
          <w:highlight w:val="none"/>
          <w:u w:val="single"/>
          <w:lang w:val="zh-CN"/>
        </w:rPr>
        <w:t xml:space="preserve">              </w:t>
      </w:r>
      <w:r>
        <w:rPr>
          <w:rFonts w:hint="eastAsia" w:ascii="仿宋" w:hAnsi="仿宋" w:eastAsia="仿宋" w:cs="仿宋"/>
          <w:color w:val="auto"/>
          <w:sz w:val="22"/>
          <w:szCs w:val="22"/>
          <w:highlight w:val="none"/>
          <w:lang w:val="zh-CN"/>
        </w:rPr>
        <w:t>（投标人名称）的法定代表人，现委托</w:t>
      </w:r>
      <w:r>
        <w:rPr>
          <w:rFonts w:hint="eastAsia" w:ascii="仿宋" w:hAnsi="仿宋" w:eastAsia="仿宋" w:cs="仿宋"/>
          <w:color w:val="auto"/>
          <w:sz w:val="22"/>
          <w:szCs w:val="22"/>
          <w:highlight w:val="none"/>
          <w:u w:val="single"/>
          <w:lang w:val="zh-CN"/>
        </w:rPr>
        <w:t xml:space="preserve">           </w:t>
      </w:r>
      <w:r>
        <w:rPr>
          <w:rFonts w:hint="eastAsia" w:ascii="仿宋" w:hAnsi="仿宋" w:eastAsia="仿宋" w:cs="仿宋"/>
          <w:color w:val="auto"/>
          <w:sz w:val="22"/>
          <w:szCs w:val="22"/>
          <w:highlight w:val="none"/>
          <w:lang w:val="zh-CN"/>
        </w:rPr>
        <w:t>（姓名）为我方代理人。代理人根据授权，以我方的名义签署、澄清确认、递交、撤回、修改</w:t>
      </w:r>
      <w:r>
        <w:rPr>
          <w:rFonts w:hint="eastAsia" w:ascii="仿宋" w:hAnsi="仿宋" w:eastAsia="仿宋" w:cs="仿宋"/>
          <w:color w:val="auto"/>
          <w:sz w:val="22"/>
          <w:szCs w:val="22"/>
          <w:highlight w:val="none"/>
          <w:u w:val="single"/>
          <w:lang w:val="zh-CN"/>
        </w:rPr>
        <w:t xml:space="preserve">         （采购项目</w:t>
      </w:r>
      <w:r>
        <w:rPr>
          <w:rFonts w:hint="eastAsia" w:ascii="仿宋" w:hAnsi="仿宋" w:eastAsia="仿宋" w:cs="仿宋"/>
          <w:color w:val="auto"/>
          <w:sz w:val="22"/>
          <w:szCs w:val="22"/>
          <w:highlight w:val="none"/>
          <w:u w:val="single"/>
          <w:lang w:val="en-US" w:eastAsia="zh-CN"/>
        </w:rPr>
        <w:t>名称</w:t>
      </w:r>
      <w:r>
        <w:rPr>
          <w:rFonts w:hint="eastAsia" w:ascii="仿宋" w:hAnsi="仿宋" w:eastAsia="仿宋" w:cs="仿宋"/>
          <w:color w:val="auto"/>
          <w:sz w:val="22"/>
          <w:szCs w:val="22"/>
          <w:highlight w:val="none"/>
          <w:u w:val="single"/>
          <w:lang w:val="zh-CN"/>
        </w:rPr>
        <w:t>）</w:t>
      </w:r>
      <w:r>
        <w:rPr>
          <w:rFonts w:hint="eastAsia" w:ascii="仿宋" w:hAnsi="仿宋" w:eastAsia="仿宋" w:cs="仿宋"/>
          <w:color w:val="auto"/>
          <w:sz w:val="22"/>
          <w:szCs w:val="22"/>
          <w:highlight w:val="none"/>
          <w:lang w:val="zh-CN"/>
        </w:rPr>
        <w:t>投标文件、签订合同和全权处理一切与之有关的事宜，</w:t>
      </w:r>
      <w:r>
        <w:rPr>
          <w:rFonts w:hint="eastAsia" w:ascii="仿宋" w:hAnsi="仿宋" w:eastAsia="仿宋" w:cs="仿宋"/>
          <w:color w:val="auto"/>
          <w:kern w:val="0"/>
          <w:sz w:val="22"/>
          <w:szCs w:val="22"/>
          <w:highlight w:val="none"/>
        </w:rPr>
        <w:t>其法律后果由我方承担。</w:t>
      </w:r>
    </w:p>
    <w:p w14:paraId="5C0F50BE">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zh-CN"/>
        </w:rPr>
        <w:t>委托期限</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年</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月</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日至</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年</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月</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zh-CN"/>
        </w:rPr>
        <w:t>日。</w:t>
      </w:r>
    </w:p>
    <w:p w14:paraId="154BA68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代理人无转委托权。</w:t>
      </w:r>
    </w:p>
    <w:p w14:paraId="0473F9AD">
      <w:pPr>
        <w:keepNext w:val="0"/>
        <w:keepLines w:val="0"/>
        <w:pageBreakBefore w:val="0"/>
        <w:widowControl w:val="0"/>
        <w:kinsoku/>
        <w:wordWrap/>
        <w:overflowPunct/>
        <w:topLinePunct w:val="0"/>
        <w:autoSpaceDE/>
        <w:autoSpaceDN/>
        <w:bidi w:val="0"/>
        <w:adjustRightInd/>
        <w:snapToGrid/>
        <w:spacing w:line="480" w:lineRule="exact"/>
        <w:ind w:firstLine="220" w:firstLineChars="100"/>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zh-CN"/>
        </w:rPr>
        <w:t>附：法定代表人身份证复印件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zh-CN"/>
        </w:rPr>
        <w:t>委托代理人身份证复印件</w:t>
      </w:r>
    </w:p>
    <w:tbl>
      <w:tblPr>
        <w:tblStyle w:val="23"/>
        <w:tblW w:w="0" w:type="auto"/>
        <w:tblInd w:w="359" w:type="dxa"/>
        <w:tblLayout w:type="fixed"/>
        <w:tblCellMar>
          <w:top w:w="0" w:type="dxa"/>
          <w:left w:w="108" w:type="dxa"/>
          <w:bottom w:w="0" w:type="dxa"/>
          <w:right w:w="108" w:type="dxa"/>
        </w:tblCellMar>
      </w:tblPr>
      <w:tblGrid>
        <w:gridCol w:w="4262"/>
        <w:gridCol w:w="3915"/>
      </w:tblGrid>
      <w:tr w14:paraId="765B0AC5">
        <w:tblPrEx>
          <w:tblCellMar>
            <w:top w:w="0" w:type="dxa"/>
            <w:left w:w="108" w:type="dxa"/>
            <w:bottom w:w="0" w:type="dxa"/>
            <w:right w:w="108" w:type="dxa"/>
          </w:tblCellMar>
        </w:tblPrEx>
        <w:trPr>
          <w:trHeight w:val="3117" w:hRule="atLeast"/>
        </w:trPr>
        <w:tc>
          <w:tcPr>
            <w:tcW w:w="4262" w:type="dxa"/>
            <w:tcBorders>
              <w:top w:val="single" w:color="auto" w:sz="6" w:space="0"/>
              <w:left w:val="single" w:color="auto" w:sz="6" w:space="0"/>
              <w:bottom w:val="single" w:color="auto" w:sz="6" w:space="0"/>
              <w:right w:val="single" w:color="auto" w:sz="6" w:space="0"/>
            </w:tcBorders>
            <w:noWrap w:val="0"/>
            <w:vAlign w:val="center"/>
          </w:tcPr>
          <w:p w14:paraId="0A381CFD">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center"/>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zh-CN"/>
              </w:rPr>
              <w:t>法定代表人身份证复印件</w:t>
            </w:r>
          </w:p>
        </w:tc>
        <w:tc>
          <w:tcPr>
            <w:tcW w:w="3915" w:type="dxa"/>
            <w:tcBorders>
              <w:top w:val="single" w:color="auto" w:sz="6" w:space="0"/>
              <w:left w:val="single" w:color="auto" w:sz="6" w:space="0"/>
              <w:bottom w:val="single" w:color="auto" w:sz="6" w:space="0"/>
              <w:right w:val="single" w:color="auto" w:sz="6" w:space="0"/>
            </w:tcBorders>
            <w:noWrap w:val="0"/>
            <w:vAlign w:val="center"/>
          </w:tcPr>
          <w:p w14:paraId="4EC1278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lang w:val="zh-CN"/>
              </w:rPr>
              <w:t>委托代理人身份证复印件</w:t>
            </w:r>
          </w:p>
        </w:tc>
      </w:tr>
    </w:tbl>
    <w:p w14:paraId="36458189">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p>
    <w:p w14:paraId="365D9DE0">
      <w:pPr>
        <w:keepNext w:val="0"/>
        <w:keepLines w:val="0"/>
        <w:pageBreakBefore w:val="0"/>
        <w:widowControl w:val="0"/>
        <w:kinsoku/>
        <w:wordWrap/>
        <w:overflowPunct/>
        <w:topLinePunct w:val="0"/>
        <w:autoSpaceDE/>
        <w:autoSpaceDN/>
        <w:bidi w:val="0"/>
        <w:adjustRightInd/>
        <w:snapToGrid/>
        <w:spacing w:line="480" w:lineRule="exact"/>
        <w:ind w:firstLine="2970" w:firstLineChars="13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rPr>
        <w:t xml:space="preserve">（盖单位章） </w:t>
      </w:r>
    </w:p>
    <w:p w14:paraId="69B0937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p>
    <w:p w14:paraId="3043B28F">
      <w:pPr>
        <w:keepNext w:val="0"/>
        <w:keepLines w:val="0"/>
        <w:pageBreakBefore w:val="0"/>
        <w:widowControl w:val="0"/>
        <w:kinsoku/>
        <w:wordWrap/>
        <w:overflowPunct/>
        <w:topLinePunct w:val="0"/>
        <w:autoSpaceDE/>
        <w:autoSpaceDN/>
        <w:bidi w:val="0"/>
        <w:adjustRightInd/>
        <w:snapToGrid/>
        <w:spacing w:line="480" w:lineRule="exact"/>
        <w:ind w:firstLine="2970" w:firstLineChars="13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法定代表人: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 xml:space="preserve">            </w:t>
      </w:r>
      <w:r>
        <w:rPr>
          <w:rFonts w:hint="eastAsia" w:ascii="仿宋" w:hAnsi="仿宋" w:eastAsia="仿宋" w:cs="仿宋"/>
          <w:color w:val="auto"/>
          <w:sz w:val="22"/>
          <w:szCs w:val="22"/>
          <w:highlight w:val="none"/>
        </w:rPr>
        <w:t>（签字）</w:t>
      </w:r>
    </w:p>
    <w:p w14:paraId="22586530">
      <w:pPr>
        <w:keepNext w:val="0"/>
        <w:keepLines w:val="0"/>
        <w:pageBreakBefore w:val="0"/>
        <w:widowControl w:val="0"/>
        <w:kinsoku/>
        <w:wordWrap/>
        <w:overflowPunct/>
        <w:topLinePunct w:val="0"/>
        <w:autoSpaceDE/>
        <w:autoSpaceDN/>
        <w:bidi w:val="0"/>
        <w:adjustRightInd/>
        <w:snapToGrid/>
        <w:spacing w:line="480" w:lineRule="exact"/>
        <w:ind w:firstLine="3630" w:firstLineChars="1650"/>
        <w:textAlignment w:val="auto"/>
        <w:rPr>
          <w:rFonts w:hint="eastAsia" w:ascii="仿宋" w:hAnsi="仿宋" w:eastAsia="仿宋" w:cs="仿宋"/>
          <w:color w:val="auto"/>
          <w:sz w:val="22"/>
          <w:szCs w:val="22"/>
          <w:highlight w:val="none"/>
        </w:rPr>
      </w:pPr>
    </w:p>
    <w:p w14:paraId="1B3026BE">
      <w:pPr>
        <w:keepNext w:val="0"/>
        <w:keepLines w:val="0"/>
        <w:pageBreakBefore w:val="0"/>
        <w:widowControl w:val="0"/>
        <w:kinsoku/>
        <w:wordWrap/>
        <w:overflowPunct/>
        <w:topLinePunct w:val="0"/>
        <w:autoSpaceDE/>
        <w:autoSpaceDN/>
        <w:bidi w:val="0"/>
        <w:adjustRightInd/>
        <w:snapToGrid/>
        <w:spacing w:line="480" w:lineRule="exact"/>
        <w:ind w:firstLine="2970" w:firstLineChars="1350"/>
        <w:jc w:val="left"/>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身 份 证 号：</w:t>
      </w:r>
      <w:r>
        <w:rPr>
          <w:rFonts w:hint="eastAsia" w:ascii="仿宋" w:hAnsi="仿宋" w:eastAsia="仿宋" w:cs="仿宋"/>
          <w:color w:val="auto"/>
          <w:sz w:val="22"/>
          <w:szCs w:val="22"/>
          <w:highlight w:val="none"/>
          <w:u w:val="single"/>
        </w:rPr>
        <w:t xml:space="preserve">                         </w:t>
      </w:r>
    </w:p>
    <w:p w14:paraId="37BFCAE6">
      <w:pPr>
        <w:keepNext w:val="0"/>
        <w:keepLines w:val="0"/>
        <w:pageBreakBefore w:val="0"/>
        <w:widowControl w:val="0"/>
        <w:kinsoku/>
        <w:wordWrap/>
        <w:overflowPunct/>
        <w:topLinePunct w:val="0"/>
        <w:autoSpaceDE/>
        <w:autoSpaceDN/>
        <w:bidi w:val="0"/>
        <w:adjustRightInd/>
        <w:snapToGrid/>
        <w:spacing w:line="480" w:lineRule="exact"/>
        <w:ind w:firstLine="3630" w:firstLineChars="1650"/>
        <w:textAlignment w:val="auto"/>
        <w:rPr>
          <w:rFonts w:hint="eastAsia" w:ascii="仿宋" w:hAnsi="仿宋" w:eastAsia="仿宋" w:cs="仿宋"/>
          <w:color w:val="auto"/>
          <w:sz w:val="22"/>
          <w:szCs w:val="22"/>
          <w:highlight w:val="none"/>
        </w:rPr>
      </w:pPr>
    </w:p>
    <w:p w14:paraId="749B7502">
      <w:pPr>
        <w:keepNext w:val="0"/>
        <w:keepLines w:val="0"/>
        <w:pageBreakBefore w:val="0"/>
        <w:widowControl w:val="0"/>
        <w:kinsoku/>
        <w:wordWrap/>
        <w:overflowPunct/>
        <w:topLinePunct w:val="0"/>
        <w:autoSpaceDE/>
        <w:autoSpaceDN/>
        <w:bidi w:val="0"/>
        <w:adjustRightInd/>
        <w:snapToGrid/>
        <w:spacing w:line="480" w:lineRule="exact"/>
        <w:ind w:firstLine="2970" w:firstLineChars="13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 xml:space="preserve">（签字）     </w:t>
      </w:r>
    </w:p>
    <w:p w14:paraId="1315808B">
      <w:pPr>
        <w:keepNext w:val="0"/>
        <w:keepLines w:val="0"/>
        <w:pageBreakBefore w:val="0"/>
        <w:widowControl w:val="0"/>
        <w:kinsoku/>
        <w:wordWrap/>
        <w:overflowPunct/>
        <w:topLinePunct w:val="0"/>
        <w:autoSpaceDE/>
        <w:autoSpaceDN/>
        <w:bidi w:val="0"/>
        <w:adjustRightInd/>
        <w:snapToGrid/>
        <w:spacing w:line="480" w:lineRule="exact"/>
        <w:ind w:firstLine="2970" w:firstLineChars="1350"/>
        <w:jc w:val="left"/>
        <w:textAlignment w:val="auto"/>
        <w:rPr>
          <w:rFonts w:hint="eastAsia" w:ascii="仿宋" w:hAnsi="仿宋" w:eastAsia="仿宋" w:cs="仿宋"/>
          <w:color w:val="auto"/>
          <w:sz w:val="22"/>
          <w:szCs w:val="22"/>
          <w:highlight w:val="none"/>
        </w:rPr>
      </w:pPr>
    </w:p>
    <w:p w14:paraId="23949DF6">
      <w:pPr>
        <w:keepNext w:val="0"/>
        <w:keepLines w:val="0"/>
        <w:pageBreakBefore w:val="0"/>
        <w:widowControl w:val="0"/>
        <w:kinsoku/>
        <w:wordWrap/>
        <w:overflowPunct/>
        <w:topLinePunct w:val="0"/>
        <w:autoSpaceDE/>
        <w:autoSpaceDN/>
        <w:bidi w:val="0"/>
        <w:adjustRightInd/>
        <w:snapToGrid/>
        <w:spacing w:line="480" w:lineRule="exact"/>
        <w:ind w:firstLine="2970" w:firstLineChars="1350"/>
        <w:jc w:val="left"/>
        <w:textAlignment w:val="auto"/>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身 份 证 号：</w:t>
      </w:r>
      <w:r>
        <w:rPr>
          <w:rFonts w:hint="eastAsia" w:ascii="仿宋" w:hAnsi="仿宋" w:eastAsia="仿宋" w:cs="仿宋"/>
          <w:color w:val="auto"/>
          <w:sz w:val="22"/>
          <w:szCs w:val="22"/>
          <w:highlight w:val="none"/>
          <w:u w:val="single"/>
        </w:rPr>
        <w:t xml:space="preserve">                               </w:t>
      </w:r>
    </w:p>
    <w:p w14:paraId="4180D8DC">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p>
    <w:p w14:paraId="3DDCE044">
      <w:pPr>
        <w:keepNext w:val="0"/>
        <w:keepLines w:val="0"/>
        <w:pageBreakBefore w:val="0"/>
        <w:widowControl w:val="0"/>
        <w:kinsoku/>
        <w:wordWrap/>
        <w:overflowPunct/>
        <w:topLinePunct w:val="0"/>
        <w:autoSpaceDE/>
        <w:autoSpaceDN/>
        <w:bidi w:val="0"/>
        <w:adjustRightInd/>
        <w:snapToGrid/>
        <w:spacing w:line="480" w:lineRule="exact"/>
        <w:ind w:firstLine="2860" w:firstLineChars="1300"/>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rPr>
        <w:t xml:space="preserve"> 授权委托日期：20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日</w:t>
      </w:r>
    </w:p>
    <w:p w14:paraId="43414347">
      <w:pPr>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lang w:val="zh-CN"/>
        </w:rPr>
      </w:pPr>
    </w:p>
    <w:p w14:paraId="5C60B4A2">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 w:hAnsi="仿宋" w:eastAsia="仿宋" w:cs="仿宋"/>
          <w:color w:val="auto"/>
          <w:sz w:val="22"/>
          <w:szCs w:val="22"/>
          <w:highlight w:val="none"/>
          <w:lang w:val="zh-CN"/>
        </w:rPr>
      </w:pPr>
      <w:r>
        <w:rPr>
          <w:rFonts w:hint="eastAsia" w:ascii="仿宋" w:hAnsi="仿宋" w:eastAsia="仿宋" w:cs="仿宋"/>
          <w:color w:val="auto"/>
          <w:sz w:val="22"/>
          <w:szCs w:val="22"/>
          <w:highlight w:val="none"/>
          <w:lang w:val="zh-CN"/>
        </w:rPr>
        <w:t>说明：本授权委托书有效期自开标之日起不得少于</w:t>
      </w:r>
      <w:r>
        <w:rPr>
          <w:rFonts w:hint="eastAsia" w:ascii="仿宋" w:hAnsi="仿宋" w:eastAsia="仿宋" w:cs="仿宋"/>
          <w:color w:val="auto"/>
          <w:sz w:val="22"/>
          <w:szCs w:val="22"/>
          <w:highlight w:val="none"/>
        </w:rPr>
        <w:t>90</w:t>
      </w:r>
      <w:r>
        <w:rPr>
          <w:rFonts w:hint="eastAsia" w:ascii="仿宋" w:hAnsi="仿宋" w:eastAsia="仿宋" w:cs="仿宋"/>
          <w:color w:val="auto"/>
          <w:sz w:val="22"/>
          <w:szCs w:val="22"/>
          <w:highlight w:val="none"/>
          <w:lang w:val="zh-CN"/>
        </w:rPr>
        <w:t>天，仅限委托代理人参加投标时提供。</w:t>
      </w:r>
    </w:p>
    <w:p w14:paraId="5E459626">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bookmarkStart w:id="210" w:name="_Toc28569"/>
      <w:r>
        <w:rPr>
          <w:rFonts w:hint="eastAsia" w:ascii="仿宋" w:hAnsi="仿宋" w:eastAsia="仿宋" w:cs="仿宋"/>
          <w:b/>
          <w:color w:val="auto"/>
          <w:kern w:val="2"/>
          <w:sz w:val="32"/>
          <w:szCs w:val="32"/>
          <w:highlight w:val="none"/>
          <w:lang w:val="en-US" w:eastAsia="zh-CN" w:bidi="ar-SA"/>
        </w:rPr>
        <w:t>4.</w:t>
      </w:r>
      <w:bookmarkEnd w:id="210"/>
      <w:r>
        <w:rPr>
          <w:rFonts w:hint="eastAsia" w:ascii="仿宋" w:hAnsi="仿宋" w:eastAsia="仿宋" w:cs="仿宋"/>
          <w:b/>
          <w:color w:val="auto"/>
          <w:kern w:val="2"/>
          <w:sz w:val="32"/>
          <w:szCs w:val="32"/>
          <w:highlight w:val="none"/>
          <w:lang w:val="en-US" w:eastAsia="zh-CN" w:bidi="ar-SA"/>
        </w:rPr>
        <w:t>投标人</w:t>
      </w:r>
      <w:r>
        <w:rPr>
          <w:rFonts w:hint="eastAsia" w:ascii="仿宋" w:hAnsi="仿宋" w:eastAsia="仿宋" w:cs="仿宋"/>
          <w:b/>
          <w:color w:val="auto"/>
          <w:kern w:val="2"/>
          <w:sz w:val="32"/>
          <w:szCs w:val="32"/>
          <w:highlight w:val="none"/>
          <w:lang w:val="zh-CN" w:eastAsia="zh-CN" w:bidi="ar-SA"/>
        </w:rPr>
        <w:t>营业执照</w:t>
      </w:r>
    </w:p>
    <w:p w14:paraId="18426B6E">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w:t>
      </w:r>
      <w:r>
        <w:rPr>
          <w:rFonts w:hint="eastAsia" w:ascii="仿宋" w:hAnsi="仿宋" w:eastAsia="仿宋" w:cs="仿宋"/>
          <w:color w:val="auto"/>
          <w:sz w:val="22"/>
          <w:szCs w:val="22"/>
          <w:highlight w:val="none"/>
          <w:lang w:val="en-US" w:eastAsia="zh-CN"/>
        </w:rPr>
        <w:t>投标人具有独立承担民事责任和履行合同能力，持有工商行政管理部门核发的有效期内营业执照；</w:t>
      </w:r>
    </w:p>
    <w:p w14:paraId="69125577">
      <w:pPr>
        <w:pStyle w:val="12"/>
        <w:adjustRightInd w:val="0"/>
        <w:snapToGrid w:val="0"/>
        <w:spacing w:line="360" w:lineRule="auto"/>
        <w:ind w:firstLine="420" w:firstLineChars="200"/>
        <w:rPr>
          <w:rFonts w:hint="eastAsia" w:ascii="仿宋" w:hAnsi="仿宋" w:eastAsia="仿宋" w:cs="仿宋"/>
          <w:color w:val="auto"/>
          <w:highlight w:val="none"/>
        </w:rPr>
      </w:pPr>
    </w:p>
    <w:p w14:paraId="754225D6">
      <w:pPr>
        <w:pStyle w:val="12"/>
        <w:adjustRightInd w:val="0"/>
        <w:snapToGrid w:val="0"/>
        <w:spacing w:line="360" w:lineRule="auto"/>
        <w:jc w:val="center"/>
        <w:rPr>
          <w:rFonts w:hint="eastAsia" w:ascii="仿宋" w:hAnsi="仿宋" w:eastAsia="仿宋" w:cs="仿宋"/>
          <w:b/>
          <w:color w:val="auto"/>
          <w:sz w:val="36"/>
          <w:szCs w:val="36"/>
          <w:highlight w:val="none"/>
        </w:rPr>
      </w:pPr>
    </w:p>
    <w:p w14:paraId="5A0235CD">
      <w:pPr>
        <w:pStyle w:val="12"/>
        <w:adjustRightInd w:val="0"/>
        <w:snapToGrid w:val="0"/>
        <w:spacing w:line="360" w:lineRule="auto"/>
        <w:jc w:val="center"/>
        <w:rPr>
          <w:rFonts w:hint="eastAsia" w:ascii="仿宋" w:hAnsi="仿宋" w:eastAsia="仿宋" w:cs="仿宋"/>
          <w:b/>
          <w:color w:val="auto"/>
          <w:sz w:val="36"/>
          <w:szCs w:val="36"/>
          <w:highlight w:val="none"/>
        </w:rPr>
      </w:pPr>
    </w:p>
    <w:p w14:paraId="6499F9EF">
      <w:pPr>
        <w:pStyle w:val="12"/>
        <w:adjustRightInd w:val="0"/>
        <w:snapToGrid w:val="0"/>
        <w:spacing w:line="360" w:lineRule="auto"/>
        <w:jc w:val="center"/>
        <w:rPr>
          <w:rFonts w:hint="eastAsia" w:ascii="仿宋" w:hAnsi="仿宋" w:eastAsia="仿宋" w:cs="仿宋"/>
          <w:b/>
          <w:color w:val="auto"/>
          <w:sz w:val="36"/>
          <w:szCs w:val="36"/>
          <w:highlight w:val="none"/>
        </w:rPr>
      </w:pPr>
    </w:p>
    <w:p w14:paraId="2A9F0A4F">
      <w:pPr>
        <w:pStyle w:val="12"/>
        <w:adjustRightInd w:val="0"/>
        <w:snapToGrid w:val="0"/>
        <w:spacing w:line="360" w:lineRule="auto"/>
        <w:jc w:val="center"/>
        <w:rPr>
          <w:rFonts w:hint="eastAsia" w:ascii="仿宋" w:hAnsi="仿宋" w:eastAsia="仿宋" w:cs="仿宋"/>
          <w:b/>
          <w:color w:val="auto"/>
          <w:sz w:val="36"/>
          <w:szCs w:val="36"/>
          <w:highlight w:val="none"/>
        </w:rPr>
      </w:pPr>
    </w:p>
    <w:p w14:paraId="7F54A1B5">
      <w:pPr>
        <w:pStyle w:val="12"/>
        <w:adjustRightInd w:val="0"/>
        <w:snapToGrid w:val="0"/>
        <w:spacing w:line="360" w:lineRule="auto"/>
        <w:jc w:val="center"/>
        <w:rPr>
          <w:rFonts w:hint="eastAsia" w:ascii="仿宋" w:hAnsi="仿宋" w:eastAsia="仿宋" w:cs="仿宋"/>
          <w:b/>
          <w:color w:val="auto"/>
          <w:sz w:val="36"/>
          <w:szCs w:val="36"/>
          <w:highlight w:val="none"/>
        </w:rPr>
      </w:pPr>
    </w:p>
    <w:p w14:paraId="3C9497E0">
      <w:pPr>
        <w:pStyle w:val="12"/>
        <w:adjustRightInd w:val="0"/>
        <w:snapToGrid w:val="0"/>
        <w:spacing w:line="360" w:lineRule="auto"/>
        <w:jc w:val="center"/>
        <w:rPr>
          <w:rFonts w:hint="eastAsia" w:ascii="仿宋" w:hAnsi="仿宋" w:eastAsia="仿宋" w:cs="仿宋"/>
          <w:b/>
          <w:color w:val="auto"/>
          <w:sz w:val="36"/>
          <w:szCs w:val="36"/>
          <w:highlight w:val="none"/>
        </w:rPr>
      </w:pPr>
    </w:p>
    <w:p w14:paraId="79FFFDA6">
      <w:pPr>
        <w:pStyle w:val="12"/>
        <w:adjustRightInd w:val="0"/>
        <w:snapToGrid w:val="0"/>
        <w:spacing w:line="360" w:lineRule="auto"/>
        <w:jc w:val="center"/>
        <w:rPr>
          <w:rFonts w:hint="eastAsia" w:ascii="仿宋" w:hAnsi="仿宋" w:eastAsia="仿宋" w:cs="仿宋"/>
          <w:b/>
          <w:color w:val="auto"/>
          <w:sz w:val="36"/>
          <w:szCs w:val="36"/>
          <w:highlight w:val="none"/>
        </w:rPr>
      </w:pPr>
    </w:p>
    <w:p w14:paraId="65073BDD">
      <w:pPr>
        <w:pStyle w:val="12"/>
        <w:adjustRightInd w:val="0"/>
        <w:snapToGrid w:val="0"/>
        <w:spacing w:line="360" w:lineRule="auto"/>
        <w:jc w:val="center"/>
        <w:rPr>
          <w:rFonts w:hint="eastAsia" w:ascii="仿宋" w:hAnsi="仿宋" w:eastAsia="仿宋" w:cs="仿宋"/>
          <w:b/>
          <w:color w:val="auto"/>
          <w:sz w:val="36"/>
          <w:szCs w:val="36"/>
          <w:highlight w:val="none"/>
        </w:rPr>
      </w:pPr>
    </w:p>
    <w:p w14:paraId="087AE004">
      <w:pPr>
        <w:pStyle w:val="12"/>
        <w:adjustRightInd w:val="0"/>
        <w:snapToGrid w:val="0"/>
        <w:spacing w:line="360" w:lineRule="auto"/>
        <w:jc w:val="center"/>
        <w:rPr>
          <w:rFonts w:hint="eastAsia" w:ascii="仿宋" w:hAnsi="仿宋" w:eastAsia="仿宋" w:cs="仿宋"/>
          <w:b/>
          <w:color w:val="auto"/>
          <w:sz w:val="36"/>
          <w:szCs w:val="36"/>
          <w:highlight w:val="none"/>
        </w:rPr>
      </w:pPr>
    </w:p>
    <w:p w14:paraId="4CC83A30">
      <w:pPr>
        <w:pStyle w:val="12"/>
        <w:adjustRightInd w:val="0"/>
        <w:snapToGrid w:val="0"/>
        <w:spacing w:line="360" w:lineRule="auto"/>
        <w:jc w:val="center"/>
        <w:rPr>
          <w:rFonts w:hint="eastAsia" w:ascii="仿宋" w:hAnsi="仿宋" w:eastAsia="仿宋" w:cs="仿宋"/>
          <w:b/>
          <w:color w:val="auto"/>
          <w:sz w:val="36"/>
          <w:szCs w:val="36"/>
          <w:highlight w:val="none"/>
        </w:rPr>
      </w:pPr>
    </w:p>
    <w:p w14:paraId="6A2BAD11">
      <w:pPr>
        <w:pStyle w:val="12"/>
        <w:adjustRightInd w:val="0"/>
        <w:snapToGrid w:val="0"/>
        <w:spacing w:line="360" w:lineRule="auto"/>
        <w:jc w:val="center"/>
        <w:rPr>
          <w:rFonts w:hint="eastAsia" w:ascii="仿宋" w:hAnsi="仿宋" w:eastAsia="仿宋" w:cs="仿宋"/>
          <w:b/>
          <w:color w:val="auto"/>
          <w:sz w:val="36"/>
          <w:szCs w:val="36"/>
          <w:highlight w:val="none"/>
        </w:rPr>
      </w:pPr>
    </w:p>
    <w:p w14:paraId="7846EF95">
      <w:pPr>
        <w:pStyle w:val="12"/>
        <w:adjustRightInd w:val="0"/>
        <w:snapToGrid w:val="0"/>
        <w:spacing w:line="360" w:lineRule="auto"/>
        <w:jc w:val="center"/>
        <w:rPr>
          <w:rFonts w:hint="eastAsia" w:ascii="仿宋" w:hAnsi="仿宋" w:eastAsia="仿宋" w:cs="仿宋"/>
          <w:b/>
          <w:color w:val="auto"/>
          <w:sz w:val="36"/>
          <w:szCs w:val="36"/>
          <w:highlight w:val="none"/>
        </w:rPr>
      </w:pPr>
    </w:p>
    <w:p w14:paraId="5A81D90E">
      <w:pPr>
        <w:pStyle w:val="12"/>
        <w:adjustRightInd w:val="0"/>
        <w:snapToGrid w:val="0"/>
        <w:spacing w:line="360" w:lineRule="auto"/>
        <w:jc w:val="center"/>
        <w:rPr>
          <w:rFonts w:hint="eastAsia" w:ascii="仿宋" w:hAnsi="仿宋" w:eastAsia="仿宋" w:cs="仿宋"/>
          <w:b/>
          <w:color w:val="auto"/>
          <w:sz w:val="36"/>
          <w:szCs w:val="36"/>
          <w:highlight w:val="none"/>
        </w:rPr>
      </w:pPr>
    </w:p>
    <w:p w14:paraId="0C4D6FA2">
      <w:pPr>
        <w:pStyle w:val="12"/>
        <w:adjustRightInd w:val="0"/>
        <w:snapToGrid w:val="0"/>
        <w:spacing w:line="360" w:lineRule="auto"/>
        <w:jc w:val="center"/>
        <w:rPr>
          <w:rFonts w:hint="eastAsia" w:ascii="仿宋" w:hAnsi="仿宋" w:eastAsia="仿宋" w:cs="仿宋"/>
          <w:b/>
          <w:color w:val="auto"/>
          <w:sz w:val="36"/>
          <w:szCs w:val="36"/>
          <w:highlight w:val="none"/>
        </w:rPr>
      </w:pPr>
    </w:p>
    <w:p w14:paraId="3802CF99">
      <w:pPr>
        <w:pStyle w:val="12"/>
        <w:adjustRightInd w:val="0"/>
        <w:snapToGrid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980432F">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bookmarkStart w:id="211" w:name="_Toc4088"/>
      <w:r>
        <w:rPr>
          <w:rFonts w:hint="eastAsia" w:ascii="仿宋" w:hAnsi="仿宋" w:eastAsia="仿宋" w:cs="仿宋"/>
          <w:b/>
          <w:color w:val="auto"/>
          <w:kern w:val="2"/>
          <w:sz w:val="32"/>
          <w:szCs w:val="32"/>
          <w:highlight w:val="none"/>
          <w:lang w:val="en-US" w:eastAsia="zh-CN" w:bidi="ar-SA"/>
        </w:rPr>
        <w:t>5.</w:t>
      </w:r>
      <w:bookmarkEnd w:id="211"/>
      <w:r>
        <w:rPr>
          <w:rFonts w:hint="eastAsia" w:ascii="仿宋" w:hAnsi="仿宋" w:eastAsia="仿宋" w:cs="仿宋"/>
          <w:b/>
          <w:color w:val="auto"/>
          <w:kern w:val="2"/>
          <w:sz w:val="32"/>
          <w:szCs w:val="32"/>
          <w:highlight w:val="none"/>
          <w:lang w:val="en-US" w:eastAsia="zh-CN" w:bidi="ar-SA"/>
        </w:rPr>
        <w:t>财务状况报告</w:t>
      </w:r>
    </w:p>
    <w:p w14:paraId="370179BE">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说明：</w:t>
      </w:r>
      <w:r>
        <w:rPr>
          <w:rFonts w:hint="eastAsia" w:ascii="仿宋" w:hAnsi="仿宋" w:eastAsia="仿宋" w:cs="仿宋"/>
          <w:color w:val="auto"/>
          <w:sz w:val="22"/>
          <w:szCs w:val="22"/>
          <w:highlight w:val="none"/>
          <w:lang w:val="en-US" w:eastAsia="zh-CN"/>
        </w:rPr>
        <w:t>投标人须提供2025年度财务审计报告（附带可查验二维码，二维码清晰有效，供资格审查小组现场扫码核查）(成立不足一年的投标人提供成立至今的财务报表，包含资产负债表、现金流量表、利润表)或银行出具的资信证明；</w:t>
      </w:r>
    </w:p>
    <w:p w14:paraId="11E1CB7A">
      <w:pPr>
        <w:pStyle w:val="12"/>
        <w:adjustRightInd w:val="0"/>
        <w:snapToGrid w:val="0"/>
        <w:spacing w:line="360" w:lineRule="auto"/>
        <w:jc w:val="left"/>
        <w:rPr>
          <w:rFonts w:hint="eastAsia" w:ascii="仿宋" w:hAnsi="仿宋" w:eastAsia="仿宋" w:cs="仿宋"/>
          <w:b/>
          <w:color w:val="auto"/>
          <w:sz w:val="24"/>
          <w:szCs w:val="24"/>
          <w:highlight w:val="none"/>
        </w:rPr>
      </w:pPr>
    </w:p>
    <w:p w14:paraId="5A345210">
      <w:pPr>
        <w:pStyle w:val="12"/>
        <w:adjustRightInd w:val="0"/>
        <w:snapToGrid w:val="0"/>
        <w:spacing w:line="360" w:lineRule="auto"/>
        <w:jc w:val="left"/>
        <w:rPr>
          <w:rFonts w:hint="eastAsia" w:ascii="仿宋" w:hAnsi="仿宋" w:eastAsia="仿宋" w:cs="仿宋"/>
          <w:b/>
          <w:color w:val="auto"/>
          <w:sz w:val="24"/>
          <w:szCs w:val="24"/>
          <w:highlight w:val="none"/>
        </w:rPr>
      </w:pPr>
    </w:p>
    <w:p w14:paraId="149D7F55">
      <w:pPr>
        <w:pStyle w:val="12"/>
        <w:adjustRightInd w:val="0"/>
        <w:snapToGrid w:val="0"/>
        <w:spacing w:line="360" w:lineRule="auto"/>
        <w:jc w:val="left"/>
        <w:rPr>
          <w:rFonts w:hint="eastAsia" w:ascii="仿宋" w:hAnsi="仿宋" w:eastAsia="仿宋" w:cs="仿宋"/>
          <w:b/>
          <w:color w:val="auto"/>
          <w:sz w:val="24"/>
          <w:szCs w:val="24"/>
          <w:highlight w:val="none"/>
        </w:rPr>
      </w:pPr>
    </w:p>
    <w:p w14:paraId="4A07C9C8">
      <w:pPr>
        <w:pStyle w:val="12"/>
        <w:adjustRightInd w:val="0"/>
        <w:snapToGrid w:val="0"/>
        <w:spacing w:line="360" w:lineRule="auto"/>
        <w:jc w:val="left"/>
        <w:rPr>
          <w:rFonts w:hint="eastAsia" w:ascii="仿宋" w:hAnsi="仿宋" w:eastAsia="仿宋" w:cs="仿宋"/>
          <w:b/>
          <w:color w:val="auto"/>
          <w:sz w:val="24"/>
          <w:szCs w:val="24"/>
          <w:highlight w:val="none"/>
        </w:rPr>
      </w:pPr>
    </w:p>
    <w:p w14:paraId="5BED8C28">
      <w:pPr>
        <w:pStyle w:val="12"/>
        <w:adjustRightInd w:val="0"/>
        <w:snapToGrid w:val="0"/>
        <w:spacing w:line="360" w:lineRule="auto"/>
        <w:jc w:val="left"/>
        <w:rPr>
          <w:rFonts w:hint="eastAsia" w:ascii="仿宋" w:hAnsi="仿宋" w:eastAsia="仿宋" w:cs="仿宋"/>
          <w:b/>
          <w:color w:val="auto"/>
          <w:sz w:val="24"/>
          <w:szCs w:val="24"/>
          <w:highlight w:val="none"/>
        </w:rPr>
      </w:pPr>
    </w:p>
    <w:p w14:paraId="3A3CB586">
      <w:pPr>
        <w:pStyle w:val="12"/>
        <w:adjustRightInd w:val="0"/>
        <w:snapToGrid w:val="0"/>
        <w:spacing w:line="360" w:lineRule="auto"/>
        <w:jc w:val="left"/>
        <w:rPr>
          <w:rFonts w:hint="eastAsia" w:ascii="仿宋" w:hAnsi="仿宋" w:eastAsia="仿宋" w:cs="仿宋"/>
          <w:b/>
          <w:color w:val="auto"/>
          <w:sz w:val="24"/>
          <w:szCs w:val="24"/>
          <w:highlight w:val="none"/>
        </w:rPr>
      </w:pPr>
    </w:p>
    <w:p w14:paraId="5E3DAB75">
      <w:pPr>
        <w:pStyle w:val="12"/>
        <w:adjustRightInd w:val="0"/>
        <w:snapToGrid w:val="0"/>
        <w:spacing w:line="360" w:lineRule="auto"/>
        <w:jc w:val="left"/>
        <w:rPr>
          <w:rFonts w:hint="eastAsia" w:ascii="仿宋" w:hAnsi="仿宋" w:eastAsia="仿宋" w:cs="仿宋"/>
          <w:b/>
          <w:color w:val="auto"/>
          <w:sz w:val="24"/>
          <w:szCs w:val="24"/>
          <w:highlight w:val="none"/>
        </w:rPr>
      </w:pPr>
    </w:p>
    <w:p w14:paraId="235C8B8D">
      <w:pPr>
        <w:pStyle w:val="12"/>
        <w:adjustRightInd w:val="0"/>
        <w:snapToGrid w:val="0"/>
        <w:spacing w:line="360" w:lineRule="auto"/>
        <w:jc w:val="left"/>
        <w:rPr>
          <w:rFonts w:hint="eastAsia" w:ascii="仿宋" w:hAnsi="仿宋" w:eastAsia="仿宋" w:cs="仿宋"/>
          <w:b/>
          <w:color w:val="auto"/>
          <w:sz w:val="24"/>
          <w:szCs w:val="24"/>
          <w:highlight w:val="none"/>
        </w:rPr>
      </w:pPr>
    </w:p>
    <w:p w14:paraId="0552D2C2">
      <w:pPr>
        <w:pStyle w:val="12"/>
        <w:adjustRightInd w:val="0"/>
        <w:snapToGrid w:val="0"/>
        <w:spacing w:line="360" w:lineRule="auto"/>
        <w:jc w:val="left"/>
        <w:rPr>
          <w:rFonts w:hint="eastAsia" w:ascii="仿宋" w:hAnsi="仿宋" w:eastAsia="仿宋" w:cs="仿宋"/>
          <w:b/>
          <w:color w:val="auto"/>
          <w:sz w:val="24"/>
          <w:szCs w:val="24"/>
          <w:highlight w:val="none"/>
        </w:rPr>
      </w:pPr>
    </w:p>
    <w:p w14:paraId="5F9D3433">
      <w:pPr>
        <w:pStyle w:val="12"/>
        <w:adjustRightInd w:val="0"/>
        <w:snapToGrid w:val="0"/>
        <w:spacing w:line="360" w:lineRule="auto"/>
        <w:jc w:val="left"/>
        <w:rPr>
          <w:rFonts w:hint="eastAsia" w:ascii="仿宋" w:hAnsi="仿宋" w:eastAsia="仿宋" w:cs="仿宋"/>
          <w:b/>
          <w:color w:val="auto"/>
          <w:sz w:val="24"/>
          <w:szCs w:val="24"/>
          <w:highlight w:val="none"/>
        </w:rPr>
      </w:pPr>
    </w:p>
    <w:p w14:paraId="70A5A5BB">
      <w:pPr>
        <w:pStyle w:val="12"/>
        <w:adjustRightInd w:val="0"/>
        <w:snapToGrid w:val="0"/>
        <w:spacing w:line="360" w:lineRule="auto"/>
        <w:jc w:val="left"/>
        <w:rPr>
          <w:rFonts w:hint="eastAsia" w:ascii="仿宋" w:hAnsi="仿宋" w:eastAsia="仿宋" w:cs="仿宋"/>
          <w:b/>
          <w:color w:val="auto"/>
          <w:sz w:val="24"/>
          <w:szCs w:val="24"/>
          <w:highlight w:val="none"/>
        </w:rPr>
      </w:pPr>
    </w:p>
    <w:p w14:paraId="186116E5">
      <w:pPr>
        <w:pStyle w:val="12"/>
        <w:adjustRightInd w:val="0"/>
        <w:snapToGrid w:val="0"/>
        <w:spacing w:line="360" w:lineRule="auto"/>
        <w:jc w:val="left"/>
        <w:rPr>
          <w:rFonts w:hint="eastAsia" w:ascii="仿宋" w:hAnsi="仿宋" w:eastAsia="仿宋" w:cs="仿宋"/>
          <w:b/>
          <w:color w:val="auto"/>
          <w:sz w:val="24"/>
          <w:szCs w:val="24"/>
          <w:highlight w:val="none"/>
        </w:rPr>
      </w:pPr>
    </w:p>
    <w:p w14:paraId="5B067EB3">
      <w:pPr>
        <w:pStyle w:val="12"/>
        <w:adjustRightInd w:val="0"/>
        <w:snapToGrid w:val="0"/>
        <w:spacing w:line="360" w:lineRule="auto"/>
        <w:jc w:val="left"/>
        <w:rPr>
          <w:rFonts w:hint="eastAsia" w:ascii="仿宋" w:hAnsi="仿宋" w:eastAsia="仿宋" w:cs="仿宋"/>
          <w:b/>
          <w:color w:val="auto"/>
          <w:sz w:val="24"/>
          <w:szCs w:val="24"/>
          <w:highlight w:val="none"/>
        </w:rPr>
      </w:pPr>
    </w:p>
    <w:p w14:paraId="02AC8B01">
      <w:pPr>
        <w:pStyle w:val="12"/>
        <w:adjustRightInd w:val="0"/>
        <w:snapToGrid w:val="0"/>
        <w:spacing w:line="360" w:lineRule="auto"/>
        <w:jc w:val="left"/>
        <w:rPr>
          <w:rFonts w:hint="eastAsia" w:ascii="仿宋" w:hAnsi="仿宋" w:eastAsia="仿宋" w:cs="仿宋"/>
          <w:b/>
          <w:color w:val="auto"/>
          <w:sz w:val="24"/>
          <w:szCs w:val="24"/>
          <w:highlight w:val="none"/>
        </w:rPr>
      </w:pPr>
    </w:p>
    <w:p w14:paraId="40936F69">
      <w:pPr>
        <w:pStyle w:val="12"/>
        <w:adjustRightInd w:val="0"/>
        <w:snapToGrid w:val="0"/>
        <w:spacing w:line="360" w:lineRule="auto"/>
        <w:jc w:val="left"/>
        <w:rPr>
          <w:rFonts w:hint="eastAsia" w:ascii="仿宋" w:hAnsi="仿宋" w:eastAsia="仿宋" w:cs="仿宋"/>
          <w:b/>
          <w:color w:val="auto"/>
          <w:sz w:val="24"/>
          <w:szCs w:val="24"/>
          <w:highlight w:val="none"/>
        </w:rPr>
      </w:pPr>
    </w:p>
    <w:p w14:paraId="6BC0C23B">
      <w:pPr>
        <w:pStyle w:val="12"/>
        <w:adjustRightInd w:val="0"/>
        <w:snapToGrid w:val="0"/>
        <w:spacing w:line="360" w:lineRule="auto"/>
        <w:jc w:val="left"/>
        <w:rPr>
          <w:rFonts w:hint="eastAsia" w:ascii="仿宋" w:hAnsi="仿宋" w:eastAsia="仿宋" w:cs="仿宋"/>
          <w:b/>
          <w:color w:val="auto"/>
          <w:sz w:val="24"/>
          <w:szCs w:val="24"/>
          <w:highlight w:val="none"/>
        </w:rPr>
      </w:pPr>
    </w:p>
    <w:p w14:paraId="242AF349">
      <w:pPr>
        <w:pStyle w:val="12"/>
        <w:adjustRightInd w:val="0"/>
        <w:snapToGrid w:val="0"/>
        <w:spacing w:line="360" w:lineRule="auto"/>
        <w:jc w:val="left"/>
        <w:rPr>
          <w:rFonts w:hint="eastAsia" w:ascii="仿宋" w:hAnsi="仿宋" w:eastAsia="仿宋" w:cs="仿宋"/>
          <w:b/>
          <w:color w:val="auto"/>
          <w:sz w:val="24"/>
          <w:szCs w:val="24"/>
          <w:highlight w:val="none"/>
        </w:rPr>
      </w:pPr>
    </w:p>
    <w:p w14:paraId="62B426CE">
      <w:pPr>
        <w:pStyle w:val="12"/>
        <w:adjustRightInd w:val="0"/>
        <w:snapToGrid w:val="0"/>
        <w:spacing w:line="360" w:lineRule="auto"/>
        <w:jc w:val="left"/>
        <w:rPr>
          <w:rFonts w:hint="eastAsia" w:ascii="仿宋" w:hAnsi="仿宋" w:eastAsia="仿宋" w:cs="仿宋"/>
          <w:b/>
          <w:color w:val="auto"/>
          <w:sz w:val="24"/>
          <w:szCs w:val="24"/>
          <w:highlight w:val="none"/>
        </w:rPr>
      </w:pPr>
    </w:p>
    <w:p w14:paraId="030D8F05">
      <w:pPr>
        <w:pStyle w:val="12"/>
        <w:adjustRightInd w:val="0"/>
        <w:snapToGrid w:val="0"/>
        <w:spacing w:line="360" w:lineRule="auto"/>
        <w:jc w:val="left"/>
        <w:rPr>
          <w:rFonts w:hint="eastAsia" w:ascii="仿宋" w:hAnsi="仿宋" w:eastAsia="仿宋" w:cs="仿宋"/>
          <w:b/>
          <w:color w:val="auto"/>
          <w:sz w:val="24"/>
          <w:szCs w:val="24"/>
          <w:highlight w:val="none"/>
        </w:rPr>
      </w:pPr>
    </w:p>
    <w:p w14:paraId="106DA41F">
      <w:pPr>
        <w:pStyle w:val="12"/>
        <w:adjustRightInd w:val="0"/>
        <w:snapToGrid w:val="0"/>
        <w:spacing w:line="360" w:lineRule="auto"/>
        <w:jc w:val="center"/>
        <w:rPr>
          <w:rFonts w:hint="eastAsia" w:ascii="仿宋" w:hAnsi="仿宋" w:eastAsia="仿宋" w:cs="仿宋"/>
          <w:b/>
          <w:color w:val="auto"/>
          <w:sz w:val="36"/>
          <w:szCs w:val="36"/>
          <w:highlight w:val="none"/>
        </w:rPr>
      </w:pPr>
    </w:p>
    <w:p w14:paraId="7EE6627A">
      <w:pPr>
        <w:rPr>
          <w:rFonts w:hint="eastAsia" w:ascii="仿宋" w:hAnsi="仿宋" w:eastAsia="仿宋" w:cs="仿宋"/>
          <w:b/>
          <w:color w:val="auto"/>
          <w:sz w:val="36"/>
          <w:szCs w:val="36"/>
          <w:highlight w:val="none"/>
        </w:rPr>
      </w:pPr>
    </w:p>
    <w:p w14:paraId="04DB6F6D">
      <w:pPr>
        <w:rPr>
          <w:rFonts w:hint="eastAsia" w:ascii="仿宋" w:hAnsi="仿宋" w:eastAsia="仿宋" w:cs="仿宋"/>
          <w:b/>
          <w:color w:val="auto"/>
          <w:sz w:val="36"/>
          <w:szCs w:val="36"/>
          <w:highlight w:val="none"/>
        </w:rPr>
      </w:pPr>
    </w:p>
    <w:p w14:paraId="15B4002B">
      <w:pPr>
        <w:pStyle w:val="12"/>
        <w:adjustRightInd w:val="0"/>
        <w:snapToGrid w:val="0"/>
        <w:spacing w:line="360" w:lineRule="auto"/>
        <w:jc w:val="center"/>
        <w:rPr>
          <w:rFonts w:hint="eastAsia" w:ascii="仿宋" w:hAnsi="仿宋" w:eastAsia="仿宋" w:cs="仿宋"/>
          <w:b/>
          <w:color w:val="auto"/>
          <w:sz w:val="36"/>
          <w:szCs w:val="36"/>
          <w:highlight w:val="none"/>
        </w:rPr>
      </w:pPr>
    </w:p>
    <w:p w14:paraId="4A6C7BE9">
      <w:pPr>
        <w:pStyle w:val="12"/>
        <w:adjustRightInd w:val="0"/>
        <w:snapToGrid w:val="0"/>
        <w:spacing w:line="360" w:lineRule="auto"/>
        <w:jc w:val="center"/>
        <w:rPr>
          <w:rFonts w:hint="eastAsia" w:ascii="仿宋" w:hAnsi="仿宋" w:eastAsia="仿宋" w:cs="仿宋"/>
          <w:b/>
          <w:color w:val="auto"/>
          <w:sz w:val="36"/>
          <w:szCs w:val="36"/>
          <w:highlight w:val="none"/>
        </w:rPr>
      </w:pPr>
    </w:p>
    <w:p w14:paraId="332040FC">
      <w:pPr>
        <w:rPr>
          <w:rFonts w:hint="eastAsia" w:ascii="仿宋" w:hAnsi="仿宋" w:eastAsia="仿宋" w:cs="仿宋"/>
          <w:b/>
          <w:color w:val="auto"/>
          <w:kern w:val="2"/>
          <w:sz w:val="32"/>
          <w:szCs w:val="32"/>
          <w:highlight w:val="none"/>
          <w:lang w:val="en-US" w:eastAsia="zh-CN" w:bidi="ar-SA"/>
        </w:rPr>
      </w:pPr>
      <w:bookmarkStart w:id="212" w:name="_Toc20487"/>
      <w:r>
        <w:rPr>
          <w:rFonts w:hint="eastAsia" w:ascii="仿宋" w:hAnsi="仿宋" w:eastAsia="仿宋" w:cs="仿宋"/>
          <w:b/>
          <w:color w:val="auto"/>
          <w:kern w:val="2"/>
          <w:sz w:val="32"/>
          <w:szCs w:val="32"/>
          <w:highlight w:val="none"/>
          <w:lang w:val="en-US" w:eastAsia="zh-CN" w:bidi="ar-SA"/>
        </w:rPr>
        <w:br w:type="page"/>
      </w:r>
    </w:p>
    <w:p w14:paraId="6F6EFACB">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6.</w:t>
      </w:r>
      <w:bookmarkEnd w:id="212"/>
      <w:r>
        <w:rPr>
          <w:rFonts w:hint="eastAsia" w:ascii="仿宋" w:hAnsi="仿宋" w:eastAsia="仿宋" w:cs="仿宋"/>
          <w:b/>
          <w:color w:val="auto"/>
          <w:kern w:val="2"/>
          <w:sz w:val="32"/>
          <w:szCs w:val="32"/>
          <w:highlight w:val="none"/>
          <w:lang w:val="en-US" w:eastAsia="zh-CN" w:bidi="ar-SA"/>
        </w:rPr>
        <w:t>税收缴纳证明</w:t>
      </w:r>
    </w:p>
    <w:p w14:paraId="61BF37F1">
      <w:pPr>
        <w:keepNext w:val="0"/>
        <w:keepLines w:val="0"/>
        <w:pageBreakBefore w:val="0"/>
        <w:widowControl w:val="0"/>
        <w:kinsoku/>
        <w:wordWrap/>
        <w:overflowPunct/>
        <w:topLinePunct w:val="0"/>
        <w:bidi w:val="0"/>
        <w:adjustRightInd/>
        <w:snapToGrid/>
        <w:spacing w:line="480" w:lineRule="exact"/>
        <w:ind w:left="0" w:right="0" w:rightChars="0"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rPr>
        <w:t>说明：</w:t>
      </w:r>
      <w:r>
        <w:rPr>
          <w:rFonts w:hint="eastAsia" w:ascii="仿宋" w:hAnsi="仿宋" w:eastAsia="仿宋" w:cs="仿宋"/>
          <w:color w:val="auto"/>
          <w:sz w:val="22"/>
          <w:szCs w:val="22"/>
          <w:highlight w:val="none"/>
          <w:lang w:val="en-US" w:eastAsia="zh-CN"/>
        </w:rPr>
        <w:t>投标人提供近半年内已缴纳的至少一个月的纳税证明或完税证明，纳税证明或完税证明上应有代收机构或税务机关的公章，依法免税的投标人应提供相关文件证明；</w:t>
      </w:r>
    </w:p>
    <w:p w14:paraId="7ABD4B5B">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p>
    <w:p w14:paraId="20BD34B8">
      <w:pPr>
        <w:pStyle w:val="12"/>
        <w:adjustRightInd w:val="0"/>
        <w:snapToGrid w:val="0"/>
        <w:spacing w:line="360" w:lineRule="auto"/>
        <w:ind w:firstLine="420" w:firstLineChars="200"/>
        <w:rPr>
          <w:rFonts w:hint="eastAsia" w:ascii="仿宋" w:hAnsi="仿宋" w:eastAsia="仿宋" w:cs="仿宋"/>
          <w:color w:val="auto"/>
          <w:highlight w:val="none"/>
        </w:rPr>
      </w:pPr>
    </w:p>
    <w:p w14:paraId="0B4CC239">
      <w:pPr>
        <w:pStyle w:val="12"/>
        <w:adjustRightInd w:val="0"/>
        <w:snapToGrid w:val="0"/>
        <w:spacing w:line="360" w:lineRule="auto"/>
        <w:ind w:firstLine="420" w:firstLineChars="200"/>
        <w:rPr>
          <w:rFonts w:hint="eastAsia" w:ascii="仿宋" w:hAnsi="仿宋" w:eastAsia="仿宋" w:cs="仿宋"/>
          <w:color w:val="auto"/>
          <w:highlight w:val="none"/>
        </w:rPr>
      </w:pPr>
    </w:p>
    <w:p w14:paraId="6E7126A8">
      <w:pPr>
        <w:pStyle w:val="12"/>
        <w:adjustRightInd w:val="0"/>
        <w:snapToGrid w:val="0"/>
        <w:spacing w:line="360" w:lineRule="auto"/>
        <w:jc w:val="left"/>
        <w:rPr>
          <w:rFonts w:hint="eastAsia" w:ascii="仿宋" w:hAnsi="仿宋" w:eastAsia="仿宋" w:cs="仿宋"/>
          <w:color w:val="auto"/>
          <w:sz w:val="24"/>
          <w:szCs w:val="24"/>
          <w:highlight w:val="none"/>
        </w:rPr>
      </w:pPr>
    </w:p>
    <w:p w14:paraId="10BC6FEC">
      <w:pPr>
        <w:pStyle w:val="12"/>
        <w:adjustRightInd w:val="0"/>
        <w:snapToGrid w:val="0"/>
        <w:spacing w:line="360" w:lineRule="auto"/>
        <w:jc w:val="left"/>
        <w:rPr>
          <w:rFonts w:hint="eastAsia" w:ascii="仿宋" w:hAnsi="仿宋" w:eastAsia="仿宋" w:cs="仿宋"/>
          <w:b/>
          <w:color w:val="auto"/>
          <w:sz w:val="24"/>
          <w:szCs w:val="24"/>
          <w:highlight w:val="none"/>
        </w:rPr>
      </w:pPr>
    </w:p>
    <w:p w14:paraId="283EA58C">
      <w:pPr>
        <w:pStyle w:val="12"/>
        <w:adjustRightInd w:val="0"/>
        <w:snapToGrid w:val="0"/>
        <w:spacing w:line="360" w:lineRule="auto"/>
        <w:jc w:val="left"/>
        <w:rPr>
          <w:rFonts w:hint="eastAsia" w:ascii="仿宋" w:hAnsi="仿宋" w:eastAsia="仿宋" w:cs="仿宋"/>
          <w:b/>
          <w:color w:val="auto"/>
          <w:sz w:val="24"/>
          <w:szCs w:val="24"/>
          <w:highlight w:val="none"/>
        </w:rPr>
      </w:pPr>
    </w:p>
    <w:p w14:paraId="6E7E5260">
      <w:pPr>
        <w:pStyle w:val="12"/>
        <w:adjustRightInd w:val="0"/>
        <w:snapToGrid w:val="0"/>
        <w:spacing w:line="360" w:lineRule="auto"/>
        <w:jc w:val="left"/>
        <w:rPr>
          <w:rFonts w:hint="eastAsia" w:ascii="仿宋" w:hAnsi="仿宋" w:eastAsia="仿宋" w:cs="仿宋"/>
          <w:b/>
          <w:color w:val="auto"/>
          <w:sz w:val="24"/>
          <w:szCs w:val="24"/>
          <w:highlight w:val="none"/>
        </w:rPr>
      </w:pPr>
    </w:p>
    <w:p w14:paraId="584CB963">
      <w:pPr>
        <w:pStyle w:val="12"/>
        <w:adjustRightInd w:val="0"/>
        <w:snapToGrid w:val="0"/>
        <w:spacing w:line="360" w:lineRule="auto"/>
        <w:jc w:val="left"/>
        <w:rPr>
          <w:rFonts w:hint="eastAsia" w:ascii="仿宋" w:hAnsi="仿宋" w:eastAsia="仿宋" w:cs="仿宋"/>
          <w:b/>
          <w:color w:val="auto"/>
          <w:sz w:val="24"/>
          <w:szCs w:val="24"/>
          <w:highlight w:val="none"/>
        </w:rPr>
      </w:pPr>
    </w:p>
    <w:p w14:paraId="53663993">
      <w:pPr>
        <w:pStyle w:val="12"/>
        <w:adjustRightInd w:val="0"/>
        <w:snapToGrid w:val="0"/>
        <w:spacing w:line="360" w:lineRule="auto"/>
        <w:jc w:val="left"/>
        <w:rPr>
          <w:rFonts w:hint="eastAsia" w:ascii="仿宋" w:hAnsi="仿宋" w:eastAsia="仿宋" w:cs="仿宋"/>
          <w:b/>
          <w:color w:val="auto"/>
          <w:sz w:val="24"/>
          <w:szCs w:val="24"/>
          <w:highlight w:val="none"/>
        </w:rPr>
      </w:pPr>
    </w:p>
    <w:p w14:paraId="649DC78C">
      <w:pPr>
        <w:pStyle w:val="12"/>
        <w:adjustRightInd w:val="0"/>
        <w:snapToGrid w:val="0"/>
        <w:spacing w:line="360" w:lineRule="auto"/>
        <w:jc w:val="left"/>
        <w:rPr>
          <w:rFonts w:hint="eastAsia" w:ascii="仿宋" w:hAnsi="仿宋" w:eastAsia="仿宋" w:cs="仿宋"/>
          <w:b/>
          <w:color w:val="auto"/>
          <w:sz w:val="24"/>
          <w:szCs w:val="24"/>
          <w:highlight w:val="none"/>
        </w:rPr>
      </w:pPr>
    </w:p>
    <w:p w14:paraId="7DBB205E">
      <w:pPr>
        <w:pStyle w:val="12"/>
        <w:adjustRightInd w:val="0"/>
        <w:snapToGrid w:val="0"/>
        <w:spacing w:line="360" w:lineRule="auto"/>
        <w:jc w:val="left"/>
        <w:rPr>
          <w:rFonts w:hint="eastAsia" w:ascii="仿宋" w:hAnsi="仿宋" w:eastAsia="仿宋" w:cs="仿宋"/>
          <w:b/>
          <w:color w:val="auto"/>
          <w:sz w:val="24"/>
          <w:szCs w:val="24"/>
          <w:highlight w:val="none"/>
        </w:rPr>
      </w:pPr>
    </w:p>
    <w:p w14:paraId="5AEBCCE2">
      <w:pPr>
        <w:pStyle w:val="12"/>
        <w:adjustRightInd w:val="0"/>
        <w:snapToGrid w:val="0"/>
        <w:spacing w:line="360" w:lineRule="auto"/>
        <w:jc w:val="left"/>
        <w:rPr>
          <w:rFonts w:hint="eastAsia" w:ascii="仿宋" w:hAnsi="仿宋" w:eastAsia="仿宋" w:cs="仿宋"/>
          <w:b/>
          <w:color w:val="auto"/>
          <w:sz w:val="24"/>
          <w:szCs w:val="24"/>
          <w:highlight w:val="none"/>
        </w:rPr>
      </w:pPr>
    </w:p>
    <w:p w14:paraId="408E90C5">
      <w:pPr>
        <w:pStyle w:val="12"/>
        <w:adjustRightInd w:val="0"/>
        <w:snapToGrid w:val="0"/>
        <w:spacing w:line="360" w:lineRule="auto"/>
        <w:jc w:val="left"/>
        <w:rPr>
          <w:rFonts w:hint="eastAsia" w:ascii="仿宋" w:hAnsi="仿宋" w:eastAsia="仿宋" w:cs="仿宋"/>
          <w:b/>
          <w:color w:val="auto"/>
          <w:sz w:val="24"/>
          <w:szCs w:val="24"/>
          <w:highlight w:val="none"/>
        </w:rPr>
        <w:sectPr>
          <w:headerReference r:id="rId10" w:type="default"/>
          <w:footerReference r:id="rId11" w:type="default"/>
          <w:pgSz w:w="11907" w:h="16840"/>
          <w:pgMar w:top="1440" w:right="1474" w:bottom="1440" w:left="1474" w:header="851" w:footer="992" w:gutter="0"/>
          <w:pgBorders>
            <w:top w:val="none" w:sz="0" w:space="0"/>
            <w:left w:val="none" w:sz="0" w:space="0"/>
            <w:bottom w:val="none" w:sz="0" w:space="0"/>
            <w:right w:val="none" w:sz="0" w:space="0"/>
          </w:pgBorders>
          <w:pgNumType w:fmt="decimal" w:start="1"/>
          <w:cols w:space="720" w:num="1"/>
        </w:sectPr>
      </w:pPr>
    </w:p>
    <w:p w14:paraId="2D605B00">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bookmarkStart w:id="213" w:name="_Toc25023"/>
      <w:r>
        <w:rPr>
          <w:rFonts w:hint="eastAsia" w:ascii="仿宋" w:hAnsi="仿宋" w:eastAsia="仿宋" w:cs="仿宋"/>
          <w:b/>
          <w:color w:val="auto"/>
          <w:kern w:val="2"/>
          <w:sz w:val="32"/>
          <w:szCs w:val="32"/>
          <w:highlight w:val="none"/>
          <w:lang w:val="en-US" w:eastAsia="zh-CN" w:bidi="ar-SA"/>
        </w:rPr>
        <w:t>7.</w:t>
      </w:r>
      <w:bookmarkEnd w:id="213"/>
      <w:r>
        <w:rPr>
          <w:rFonts w:hint="eastAsia" w:ascii="仿宋" w:hAnsi="仿宋" w:eastAsia="仿宋" w:cs="仿宋"/>
          <w:b/>
          <w:color w:val="auto"/>
          <w:kern w:val="2"/>
          <w:sz w:val="32"/>
          <w:szCs w:val="32"/>
          <w:highlight w:val="none"/>
          <w:lang w:val="en-US" w:eastAsia="zh-CN" w:bidi="ar-SA"/>
        </w:rPr>
        <w:t>社会保障资金缴纳证明</w:t>
      </w:r>
    </w:p>
    <w:p w14:paraId="66E3D024">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w:t>
      </w:r>
      <w:r>
        <w:rPr>
          <w:rFonts w:hint="eastAsia" w:ascii="仿宋" w:hAnsi="仿宋" w:eastAsia="仿宋" w:cs="仿宋"/>
          <w:color w:val="auto"/>
          <w:sz w:val="22"/>
          <w:szCs w:val="22"/>
          <w:highlight w:val="none"/>
          <w:lang w:val="en-US" w:eastAsia="zh-CN"/>
        </w:rPr>
        <w:t>投标人提供近半年内已缴存的至少一个月的社会保障资金缴存单据或社保机构开具的社会保险参保缴费情况证明，依法不需要缴纳社会保障资金的投标人应提供相关文件证明；</w:t>
      </w:r>
    </w:p>
    <w:p w14:paraId="0A5349DA">
      <w:pPr>
        <w:pStyle w:val="12"/>
        <w:adjustRightInd w:val="0"/>
        <w:snapToGrid w:val="0"/>
        <w:spacing w:line="360" w:lineRule="auto"/>
        <w:jc w:val="left"/>
        <w:rPr>
          <w:rFonts w:hint="eastAsia" w:ascii="仿宋" w:hAnsi="仿宋" w:eastAsia="仿宋" w:cs="仿宋"/>
          <w:b/>
          <w:color w:val="auto"/>
          <w:sz w:val="24"/>
          <w:szCs w:val="24"/>
          <w:highlight w:val="none"/>
        </w:rPr>
      </w:pPr>
    </w:p>
    <w:p w14:paraId="1795297F">
      <w:pPr>
        <w:pStyle w:val="12"/>
        <w:adjustRightInd w:val="0"/>
        <w:snapToGrid w:val="0"/>
        <w:spacing w:line="360" w:lineRule="auto"/>
        <w:jc w:val="left"/>
        <w:rPr>
          <w:rFonts w:hint="eastAsia" w:ascii="仿宋" w:hAnsi="仿宋" w:eastAsia="仿宋" w:cs="仿宋"/>
          <w:b/>
          <w:color w:val="auto"/>
          <w:sz w:val="24"/>
          <w:szCs w:val="24"/>
          <w:highlight w:val="none"/>
        </w:rPr>
      </w:pPr>
    </w:p>
    <w:p w14:paraId="4417DA55">
      <w:pPr>
        <w:pStyle w:val="12"/>
        <w:adjustRightInd w:val="0"/>
        <w:snapToGrid w:val="0"/>
        <w:spacing w:line="360" w:lineRule="auto"/>
        <w:jc w:val="left"/>
        <w:rPr>
          <w:rFonts w:hint="eastAsia" w:ascii="仿宋" w:hAnsi="仿宋" w:eastAsia="仿宋" w:cs="仿宋"/>
          <w:b/>
          <w:color w:val="auto"/>
          <w:sz w:val="24"/>
          <w:szCs w:val="24"/>
          <w:highlight w:val="none"/>
        </w:rPr>
      </w:pPr>
    </w:p>
    <w:p w14:paraId="3BAEB516">
      <w:pPr>
        <w:pStyle w:val="12"/>
        <w:adjustRightInd w:val="0"/>
        <w:snapToGrid w:val="0"/>
        <w:spacing w:line="360" w:lineRule="auto"/>
        <w:jc w:val="left"/>
        <w:rPr>
          <w:rFonts w:hint="eastAsia" w:ascii="仿宋" w:hAnsi="仿宋" w:eastAsia="仿宋" w:cs="仿宋"/>
          <w:b/>
          <w:color w:val="auto"/>
          <w:sz w:val="24"/>
          <w:szCs w:val="24"/>
          <w:highlight w:val="none"/>
        </w:rPr>
      </w:pPr>
    </w:p>
    <w:p w14:paraId="5B8CCDC9">
      <w:pPr>
        <w:pStyle w:val="12"/>
        <w:adjustRightInd w:val="0"/>
        <w:snapToGrid w:val="0"/>
        <w:spacing w:line="360" w:lineRule="auto"/>
        <w:jc w:val="left"/>
        <w:rPr>
          <w:rFonts w:hint="eastAsia" w:ascii="仿宋" w:hAnsi="仿宋" w:eastAsia="仿宋" w:cs="仿宋"/>
          <w:b/>
          <w:color w:val="auto"/>
          <w:sz w:val="24"/>
          <w:szCs w:val="24"/>
          <w:highlight w:val="none"/>
        </w:rPr>
      </w:pPr>
    </w:p>
    <w:p w14:paraId="1C100E1B">
      <w:pPr>
        <w:pStyle w:val="12"/>
        <w:adjustRightInd w:val="0"/>
        <w:snapToGrid w:val="0"/>
        <w:spacing w:line="360" w:lineRule="auto"/>
        <w:jc w:val="left"/>
        <w:rPr>
          <w:rFonts w:hint="eastAsia" w:ascii="仿宋" w:hAnsi="仿宋" w:eastAsia="仿宋" w:cs="仿宋"/>
          <w:b/>
          <w:color w:val="auto"/>
          <w:sz w:val="24"/>
          <w:szCs w:val="24"/>
          <w:highlight w:val="none"/>
        </w:rPr>
      </w:pPr>
    </w:p>
    <w:p w14:paraId="6F324F54">
      <w:pPr>
        <w:pStyle w:val="12"/>
        <w:adjustRightInd w:val="0"/>
        <w:snapToGrid w:val="0"/>
        <w:spacing w:line="360" w:lineRule="auto"/>
        <w:jc w:val="left"/>
        <w:rPr>
          <w:rFonts w:hint="eastAsia" w:ascii="仿宋" w:hAnsi="仿宋" w:eastAsia="仿宋" w:cs="仿宋"/>
          <w:b/>
          <w:color w:val="auto"/>
          <w:sz w:val="24"/>
          <w:szCs w:val="24"/>
          <w:highlight w:val="none"/>
        </w:rPr>
      </w:pPr>
    </w:p>
    <w:p w14:paraId="3BB9308A">
      <w:pPr>
        <w:pStyle w:val="12"/>
        <w:adjustRightInd w:val="0"/>
        <w:snapToGrid w:val="0"/>
        <w:spacing w:line="360" w:lineRule="auto"/>
        <w:jc w:val="left"/>
        <w:rPr>
          <w:rFonts w:hint="eastAsia" w:ascii="仿宋" w:hAnsi="仿宋" w:eastAsia="仿宋" w:cs="仿宋"/>
          <w:b/>
          <w:color w:val="auto"/>
          <w:sz w:val="24"/>
          <w:szCs w:val="24"/>
          <w:highlight w:val="none"/>
        </w:rPr>
      </w:pPr>
    </w:p>
    <w:p w14:paraId="37D7757B">
      <w:pPr>
        <w:pStyle w:val="12"/>
        <w:adjustRightInd w:val="0"/>
        <w:snapToGrid w:val="0"/>
        <w:spacing w:line="360" w:lineRule="auto"/>
        <w:jc w:val="center"/>
        <w:rPr>
          <w:rFonts w:hint="eastAsia" w:ascii="仿宋" w:hAnsi="仿宋" w:eastAsia="仿宋" w:cs="仿宋"/>
          <w:b/>
          <w:color w:val="auto"/>
          <w:sz w:val="36"/>
          <w:szCs w:val="36"/>
          <w:highlight w:val="none"/>
        </w:rPr>
      </w:pPr>
    </w:p>
    <w:p w14:paraId="6173BD7B">
      <w:pPr>
        <w:pStyle w:val="12"/>
        <w:adjustRightInd w:val="0"/>
        <w:snapToGrid w:val="0"/>
        <w:spacing w:line="360" w:lineRule="auto"/>
        <w:jc w:val="center"/>
        <w:rPr>
          <w:rFonts w:hint="eastAsia" w:ascii="仿宋" w:hAnsi="仿宋" w:eastAsia="仿宋" w:cs="仿宋"/>
          <w:b/>
          <w:color w:val="auto"/>
          <w:sz w:val="36"/>
          <w:szCs w:val="36"/>
          <w:highlight w:val="none"/>
        </w:rPr>
      </w:pPr>
    </w:p>
    <w:p w14:paraId="17A98E88">
      <w:pPr>
        <w:pStyle w:val="12"/>
        <w:adjustRightInd w:val="0"/>
        <w:snapToGrid w:val="0"/>
        <w:spacing w:line="360" w:lineRule="auto"/>
        <w:jc w:val="center"/>
        <w:rPr>
          <w:rFonts w:hint="eastAsia" w:ascii="仿宋" w:hAnsi="仿宋" w:eastAsia="仿宋" w:cs="仿宋"/>
          <w:b/>
          <w:color w:val="auto"/>
          <w:sz w:val="36"/>
          <w:szCs w:val="36"/>
          <w:highlight w:val="none"/>
        </w:rPr>
      </w:pPr>
    </w:p>
    <w:p w14:paraId="69FC9CCE">
      <w:pPr>
        <w:pStyle w:val="12"/>
        <w:adjustRightInd w:val="0"/>
        <w:snapToGrid w:val="0"/>
        <w:spacing w:line="360" w:lineRule="auto"/>
        <w:jc w:val="center"/>
        <w:rPr>
          <w:rFonts w:hint="eastAsia" w:ascii="仿宋" w:hAnsi="仿宋" w:eastAsia="仿宋" w:cs="仿宋"/>
          <w:b/>
          <w:color w:val="auto"/>
          <w:sz w:val="36"/>
          <w:szCs w:val="36"/>
          <w:highlight w:val="none"/>
        </w:rPr>
      </w:pPr>
    </w:p>
    <w:p w14:paraId="0E7D188A">
      <w:pPr>
        <w:rPr>
          <w:rFonts w:hint="eastAsia" w:ascii="仿宋" w:hAnsi="仿宋" w:eastAsia="仿宋" w:cs="仿宋"/>
          <w:b/>
          <w:color w:val="auto"/>
          <w:sz w:val="36"/>
          <w:szCs w:val="36"/>
          <w:highlight w:val="none"/>
        </w:rPr>
      </w:pPr>
    </w:p>
    <w:p w14:paraId="713B37F3">
      <w:pPr>
        <w:pStyle w:val="32"/>
        <w:rPr>
          <w:rFonts w:hint="eastAsia" w:ascii="仿宋" w:hAnsi="仿宋" w:eastAsia="仿宋" w:cs="仿宋"/>
          <w:b/>
          <w:color w:val="auto"/>
          <w:sz w:val="36"/>
          <w:szCs w:val="36"/>
          <w:highlight w:val="none"/>
        </w:rPr>
      </w:pPr>
    </w:p>
    <w:p w14:paraId="4ADB9C39">
      <w:pPr>
        <w:pStyle w:val="32"/>
        <w:rPr>
          <w:rFonts w:hint="eastAsia" w:ascii="仿宋" w:hAnsi="仿宋" w:eastAsia="仿宋" w:cs="仿宋"/>
          <w:b/>
          <w:color w:val="auto"/>
          <w:sz w:val="36"/>
          <w:szCs w:val="36"/>
          <w:highlight w:val="none"/>
        </w:rPr>
      </w:pPr>
    </w:p>
    <w:p w14:paraId="07C48C54">
      <w:pPr>
        <w:pStyle w:val="32"/>
        <w:rPr>
          <w:rFonts w:hint="eastAsia" w:ascii="仿宋" w:hAnsi="仿宋" w:eastAsia="仿宋" w:cs="仿宋"/>
          <w:b/>
          <w:color w:val="auto"/>
          <w:sz w:val="36"/>
          <w:szCs w:val="36"/>
          <w:highlight w:val="none"/>
        </w:rPr>
      </w:pPr>
    </w:p>
    <w:p w14:paraId="407EE850">
      <w:pPr>
        <w:pStyle w:val="32"/>
        <w:rPr>
          <w:rFonts w:hint="eastAsia" w:ascii="仿宋" w:hAnsi="仿宋" w:eastAsia="仿宋" w:cs="仿宋"/>
          <w:b/>
          <w:color w:val="auto"/>
          <w:sz w:val="36"/>
          <w:szCs w:val="36"/>
          <w:highlight w:val="none"/>
        </w:rPr>
      </w:pPr>
    </w:p>
    <w:p w14:paraId="2CC625A4">
      <w:pPr>
        <w:pStyle w:val="32"/>
        <w:rPr>
          <w:rFonts w:hint="eastAsia" w:ascii="仿宋" w:hAnsi="仿宋" w:eastAsia="仿宋" w:cs="仿宋"/>
          <w:b/>
          <w:color w:val="auto"/>
          <w:sz w:val="36"/>
          <w:szCs w:val="36"/>
          <w:highlight w:val="none"/>
        </w:rPr>
      </w:pPr>
    </w:p>
    <w:p w14:paraId="2A70ED84">
      <w:pPr>
        <w:pStyle w:val="32"/>
        <w:rPr>
          <w:rFonts w:hint="eastAsia" w:ascii="仿宋" w:hAnsi="仿宋" w:eastAsia="仿宋" w:cs="仿宋"/>
          <w:b/>
          <w:color w:val="auto"/>
          <w:sz w:val="36"/>
          <w:szCs w:val="36"/>
          <w:highlight w:val="none"/>
        </w:rPr>
      </w:pPr>
    </w:p>
    <w:p w14:paraId="12A2083F">
      <w:pPr>
        <w:pStyle w:val="12"/>
        <w:adjustRightInd w:val="0"/>
        <w:snapToGrid w:val="0"/>
        <w:spacing w:line="360" w:lineRule="auto"/>
        <w:jc w:val="center"/>
        <w:rPr>
          <w:rFonts w:hint="eastAsia" w:ascii="仿宋" w:hAnsi="仿宋" w:eastAsia="仿宋" w:cs="仿宋"/>
          <w:color w:val="auto"/>
          <w:szCs w:val="21"/>
          <w:highlight w:val="none"/>
          <w:lang w:val="en-US" w:eastAsia="zh-CN"/>
        </w:rPr>
      </w:pPr>
    </w:p>
    <w:p w14:paraId="7E05006A">
      <w:pPr>
        <w:rPr>
          <w:rFonts w:hint="eastAsia" w:ascii="仿宋" w:hAnsi="仿宋" w:eastAsia="仿宋" w:cs="仿宋"/>
          <w:color w:val="auto"/>
          <w:szCs w:val="21"/>
          <w:highlight w:val="none"/>
          <w:lang w:val="en-US" w:eastAsia="zh-CN"/>
        </w:rPr>
      </w:pPr>
    </w:p>
    <w:p w14:paraId="3991D173">
      <w:pPr>
        <w:rPr>
          <w:rFonts w:hint="eastAsia" w:ascii="仿宋" w:hAnsi="仿宋" w:eastAsia="仿宋" w:cs="仿宋"/>
          <w:b/>
          <w:color w:val="auto"/>
          <w:kern w:val="2"/>
          <w:sz w:val="32"/>
          <w:szCs w:val="32"/>
          <w:highlight w:val="none"/>
          <w:lang w:val="en-US" w:eastAsia="zh-CN" w:bidi="ar-SA"/>
        </w:rPr>
      </w:pPr>
      <w:bookmarkStart w:id="214" w:name="_Toc22172"/>
      <w:r>
        <w:rPr>
          <w:rFonts w:hint="eastAsia" w:ascii="仿宋" w:hAnsi="仿宋" w:eastAsia="仿宋" w:cs="仿宋"/>
          <w:b/>
          <w:color w:val="auto"/>
          <w:kern w:val="2"/>
          <w:sz w:val="32"/>
          <w:szCs w:val="32"/>
          <w:highlight w:val="none"/>
          <w:lang w:val="en-US" w:eastAsia="zh-CN" w:bidi="ar-SA"/>
        </w:rPr>
        <w:br w:type="page"/>
      </w:r>
    </w:p>
    <w:p w14:paraId="5F665891">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8.</w:t>
      </w:r>
      <w:bookmarkEnd w:id="214"/>
      <w:r>
        <w:rPr>
          <w:rFonts w:hint="eastAsia" w:ascii="仿宋" w:hAnsi="仿宋" w:eastAsia="仿宋" w:cs="仿宋"/>
          <w:b/>
          <w:color w:val="auto"/>
          <w:kern w:val="2"/>
          <w:sz w:val="32"/>
          <w:szCs w:val="32"/>
          <w:highlight w:val="none"/>
          <w:lang w:val="en-US" w:eastAsia="zh-CN" w:bidi="ar-SA"/>
        </w:rPr>
        <w:t>信用中国和中国政府采购网承诺函</w:t>
      </w:r>
    </w:p>
    <w:p w14:paraId="27D53E7C">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kern w:val="2"/>
          <w:sz w:val="22"/>
          <w:szCs w:val="22"/>
          <w:highlight w:val="none"/>
          <w:lang w:val="en-US" w:eastAsia="zh-CN" w:bidi="ar-SA"/>
        </w:rPr>
        <w:sectPr>
          <w:footerReference r:id="rId12" w:type="default"/>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sectPr>
      </w:pPr>
      <w:r>
        <w:rPr>
          <w:rFonts w:hint="eastAsia" w:ascii="仿宋" w:hAnsi="仿宋" w:eastAsia="仿宋" w:cs="仿宋"/>
          <w:color w:val="auto"/>
          <w:sz w:val="22"/>
          <w:szCs w:val="22"/>
          <w:highlight w:val="none"/>
        </w:rPr>
        <w:t>说明：</w:t>
      </w:r>
      <w:bookmarkStart w:id="215" w:name="_Toc23273"/>
      <w:r>
        <w:rPr>
          <w:rFonts w:hint="eastAsia" w:ascii="仿宋" w:hAnsi="仿宋" w:eastAsia="仿宋" w:cs="仿宋"/>
          <w:color w:val="auto"/>
          <w:kern w:val="2"/>
          <w:sz w:val="22"/>
          <w:szCs w:val="22"/>
          <w:highlight w:val="none"/>
          <w:lang w:val="en-US" w:eastAsia="zh-CN" w:bidi="ar-SA"/>
        </w:rPr>
        <w:t>投标人须书面承诺自身商业信誉良好，投标截止时间前未在“信用中国”列入失信被执行人、重大税收违法失信主体，未在中国政府采购网存在政府采购严重违法失信记录，无法律法规禁止参与政府采购的其他违法失信情形（注：1.投标文件无需附信用查询截图，由资格审查小组及采购代理机构现场统一核验；2.承诺函格式自拟并加盖公章；3.现场查实存在上述失信记录的，投标无效，相关损失与法律责任由投标人自行承担。）；</w:t>
      </w:r>
    </w:p>
    <w:p w14:paraId="5BFD16BA">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9.无重大违法记录声明</w:t>
      </w:r>
    </w:p>
    <w:p w14:paraId="0185CA4D">
      <w:pPr>
        <w:keepNext w:val="0"/>
        <w:keepLines w:val="0"/>
        <w:pageBreakBefore w:val="0"/>
        <w:widowControl w:val="0"/>
        <w:numPr>
          <w:ilvl w:val="0"/>
          <w:numId w:val="0"/>
        </w:numPr>
        <w:kinsoku/>
        <w:wordWrap/>
        <w:overflowPunct/>
        <w:topLinePunct w:val="0"/>
        <w:autoSpaceDE/>
        <w:autoSpaceDN/>
        <w:bidi w:val="0"/>
        <w:spacing w:line="480" w:lineRule="exact"/>
        <w:ind w:firstLine="440" w:firstLineChars="200"/>
        <w:jc w:val="left"/>
        <w:textAlignment w:val="auto"/>
        <w:outlineLvl w:val="1"/>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说明：投标人应具备良好的商业信誉，提供参加政府采购活动前3年内在经营活动中没有重大违法记录的书面声明；</w:t>
      </w:r>
    </w:p>
    <w:p w14:paraId="606CC422">
      <w:pPr>
        <w:pStyle w:val="12"/>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zh-CN" w:eastAsia="zh-CN"/>
        </w:rPr>
        <w:t>伊宁市教育局</w:t>
      </w:r>
      <w:r>
        <w:rPr>
          <w:rFonts w:hint="eastAsia" w:ascii="仿宋" w:hAnsi="仿宋" w:eastAsia="仿宋" w:cs="仿宋"/>
          <w:b/>
          <w:bCs/>
          <w:color w:val="auto"/>
          <w:sz w:val="22"/>
          <w:szCs w:val="22"/>
          <w:highlight w:val="none"/>
          <w:lang w:val="en-US" w:eastAsia="zh-CN"/>
        </w:rPr>
        <w:t>：</w:t>
      </w:r>
    </w:p>
    <w:p w14:paraId="5299D61B">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我公司参与招标文件</w:t>
      </w:r>
      <w:r>
        <w:rPr>
          <w:rFonts w:hint="eastAsia" w:ascii="仿宋" w:hAnsi="仿宋" w:eastAsia="仿宋" w:cs="仿宋"/>
          <w:color w:val="auto"/>
          <w:sz w:val="22"/>
          <w:szCs w:val="22"/>
          <w:highlight w:val="none"/>
          <w:u w:val="single"/>
          <w:lang w:val="en-US" w:eastAsia="zh-CN"/>
        </w:rPr>
        <w:t>项目编号</w:t>
      </w:r>
      <w:r>
        <w:rPr>
          <w:rFonts w:hint="eastAsia" w:ascii="仿宋" w:hAnsi="仿宋" w:eastAsia="仿宋" w:cs="仿宋"/>
          <w:color w:val="auto"/>
          <w:sz w:val="22"/>
          <w:szCs w:val="22"/>
          <w:highlight w:val="none"/>
          <w:lang w:val="en-US" w:eastAsia="zh-CN"/>
        </w:rPr>
        <w:t>为</w:t>
      </w:r>
      <w:r>
        <w:rPr>
          <w:rFonts w:hint="eastAsia" w:ascii="仿宋" w:hAnsi="仿宋" w:eastAsia="仿宋" w:cs="仿宋"/>
          <w:color w:val="auto"/>
          <w:sz w:val="22"/>
          <w:szCs w:val="22"/>
          <w:highlight w:val="none"/>
          <w:u w:val="single"/>
          <w:lang w:val="en-US" w:eastAsia="zh-CN"/>
        </w:rPr>
        <w:t xml:space="preserve"> 项目名称 </w:t>
      </w:r>
      <w:r>
        <w:rPr>
          <w:rFonts w:hint="eastAsia" w:ascii="仿宋" w:hAnsi="仿宋" w:eastAsia="仿宋" w:cs="仿宋"/>
          <w:color w:val="auto"/>
          <w:sz w:val="22"/>
          <w:szCs w:val="22"/>
          <w:highlight w:val="none"/>
          <w:lang w:val="en-US" w:eastAsia="zh-CN"/>
        </w:rPr>
        <w:t>的招标活动，我公司郑重声明：我公司参加本次招标活动前3年内，在经营活动中无重大违法记录，具备招标文件中规定的投标供应商资格条件。我公司对此声明负全部法律责任。</w:t>
      </w:r>
    </w:p>
    <w:p w14:paraId="0D06FF99">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特此声明！</w:t>
      </w:r>
    </w:p>
    <w:p w14:paraId="3C85594B">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承诺单位：  公司（公章）</w:t>
      </w:r>
    </w:p>
    <w:p w14:paraId="65D4AE49">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法定代表人签字或签章：                     </w:t>
      </w:r>
    </w:p>
    <w:p w14:paraId="2836D529">
      <w:pPr>
        <w:pStyle w:val="12"/>
        <w:keepNext w:val="0"/>
        <w:keepLines w:val="0"/>
        <w:pageBreakBefore w:val="0"/>
        <w:widowControl w:val="0"/>
        <w:kinsoku/>
        <w:wordWrap/>
        <w:overflowPunct/>
        <w:topLinePunct w:val="0"/>
        <w:autoSpaceDE/>
        <w:autoSpaceDN/>
        <w:bidi w:val="0"/>
        <w:adjustRightInd w:val="0"/>
        <w:snapToGrid w:val="0"/>
        <w:spacing w:line="480" w:lineRule="exact"/>
        <w:ind w:firstLine="3520" w:firstLineChars="16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法定代表人身份证号：</w:t>
      </w:r>
    </w:p>
    <w:p w14:paraId="7BEB1F88">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left"/>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20  年  月  日</w:t>
      </w:r>
    </w:p>
    <w:p w14:paraId="20F61BD9">
      <w:pPr>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color w:val="auto"/>
          <w:sz w:val="22"/>
          <w:szCs w:val="28"/>
          <w:highlight w:val="none"/>
          <w:lang w:val="en-US" w:eastAsia="zh-CN"/>
        </w:rPr>
        <w:sectPr>
          <w:pgSz w:w="11906" w:h="16838"/>
          <w:pgMar w:top="1429" w:right="1624" w:bottom="1495" w:left="1830" w:header="0" w:footer="1177" w:gutter="0"/>
          <w:pgNumType w:fmt="decimal"/>
          <w:cols w:space="720" w:num="1"/>
        </w:sectPr>
      </w:pPr>
    </w:p>
    <w:p w14:paraId="644789B6">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10.</w:t>
      </w:r>
      <w:bookmarkEnd w:id="215"/>
      <w:r>
        <w:rPr>
          <w:rFonts w:hint="eastAsia" w:ascii="仿宋" w:hAnsi="仿宋" w:eastAsia="仿宋" w:cs="仿宋"/>
          <w:b/>
          <w:color w:val="auto"/>
          <w:kern w:val="2"/>
          <w:sz w:val="32"/>
          <w:szCs w:val="32"/>
          <w:highlight w:val="none"/>
          <w:lang w:val="zh-CN" w:eastAsia="zh-CN" w:bidi="ar-SA"/>
        </w:rPr>
        <w:t>具备履行合同所必需的设备和专业技术能力的证明</w:t>
      </w:r>
    </w:p>
    <w:p w14:paraId="67D21144">
      <w:pPr>
        <w:pStyle w:val="7"/>
        <w:keepNext w:val="0"/>
        <w:keepLines w:val="0"/>
        <w:pageBreakBefore w:val="0"/>
        <w:widowControl w:val="0"/>
        <w:kinsoku/>
        <w:wordWrap/>
        <w:overflowPunct/>
        <w:topLinePunct w:val="0"/>
        <w:autoSpaceDE/>
        <w:autoSpaceDN/>
        <w:bidi w:val="0"/>
        <w:adjustRightInd/>
        <w:snapToGrid/>
        <w:spacing w:line="480" w:lineRule="exact"/>
        <w:ind w:firstLine="440" w:firstLineChars="200"/>
        <w:jc w:val="both"/>
        <w:textAlignment w:val="auto"/>
        <w:rPr>
          <w:rFonts w:hint="eastAsia" w:ascii="仿宋" w:hAnsi="仿宋" w:eastAsia="仿宋" w:cs="仿宋"/>
          <w:color w:val="auto"/>
          <w:kern w:val="2"/>
          <w:sz w:val="22"/>
          <w:szCs w:val="22"/>
          <w:highlight w:val="none"/>
          <w:lang w:val="zh-CN" w:eastAsia="zh-CN" w:bidi="ar-SA"/>
        </w:rPr>
      </w:pPr>
      <w:r>
        <w:rPr>
          <w:rFonts w:hint="eastAsia" w:ascii="仿宋" w:hAnsi="仿宋" w:eastAsia="仿宋" w:cs="仿宋"/>
          <w:color w:val="auto"/>
          <w:kern w:val="2"/>
          <w:sz w:val="22"/>
          <w:szCs w:val="22"/>
          <w:highlight w:val="none"/>
          <w:lang w:val="en-US" w:eastAsia="zh-CN" w:bidi="ar-SA"/>
        </w:rPr>
        <w:t>说明：</w:t>
      </w:r>
      <w:r>
        <w:rPr>
          <w:rFonts w:hint="eastAsia" w:ascii="仿宋" w:hAnsi="仿宋" w:eastAsia="仿宋" w:cs="仿宋"/>
          <w:color w:val="auto"/>
          <w:kern w:val="2"/>
          <w:sz w:val="22"/>
          <w:szCs w:val="22"/>
          <w:highlight w:val="none"/>
          <w:lang w:val="zh-CN" w:eastAsia="zh-CN" w:bidi="ar-SA"/>
        </w:rPr>
        <w:t>具备履行合同所必需的设备和专业技术能力的证明；</w:t>
      </w:r>
    </w:p>
    <w:p w14:paraId="6131AD20">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b/>
          <w:color w:val="auto"/>
          <w:kern w:val="0"/>
          <w:sz w:val="28"/>
          <w:szCs w:val="28"/>
          <w:highlight w:val="none"/>
          <w:lang w:val="zh-CN"/>
        </w:rPr>
      </w:pPr>
      <w:r>
        <w:rPr>
          <w:rFonts w:hint="eastAsia" w:ascii="仿宋" w:hAnsi="仿宋" w:eastAsia="仿宋" w:cs="仿宋"/>
          <w:b/>
          <w:color w:val="auto"/>
          <w:kern w:val="0"/>
          <w:sz w:val="28"/>
          <w:szCs w:val="28"/>
          <w:highlight w:val="none"/>
          <w:lang w:val="zh-CN"/>
        </w:rPr>
        <w:t>（一）完成本项目必须的设备清单</w:t>
      </w:r>
    </w:p>
    <w:p w14:paraId="178F0E09">
      <w:pPr>
        <w:pStyle w:val="7"/>
        <w:keepNext w:val="0"/>
        <w:keepLines w:val="0"/>
        <w:pageBreakBefore w:val="0"/>
        <w:widowControl w:val="0"/>
        <w:kinsoku/>
        <w:wordWrap/>
        <w:overflowPunct/>
        <w:topLinePunct w:val="0"/>
        <w:autoSpaceDE/>
        <w:autoSpaceDN/>
        <w:bidi w:val="0"/>
        <w:adjustRightInd/>
        <w:snapToGrid/>
        <w:spacing w:line="480" w:lineRule="exact"/>
        <w:ind w:firstLine="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投标人：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 xml:space="preserve">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采购项目编号：</w:t>
      </w:r>
      <w:r>
        <w:rPr>
          <w:rFonts w:hint="eastAsia" w:ascii="仿宋" w:hAnsi="仿宋" w:eastAsia="仿宋" w:cs="仿宋"/>
          <w:color w:val="auto"/>
          <w:sz w:val="22"/>
          <w:szCs w:val="22"/>
          <w:highlight w:val="none"/>
          <w:lang w:val="en-US" w:eastAsia="zh-CN"/>
        </w:rPr>
        <w:t xml:space="preserve">           </w:t>
      </w:r>
    </w:p>
    <w:tbl>
      <w:tblPr>
        <w:tblStyle w:val="2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41"/>
        <w:gridCol w:w="1445"/>
        <w:gridCol w:w="992"/>
        <w:gridCol w:w="2410"/>
        <w:gridCol w:w="1270"/>
      </w:tblGrid>
      <w:tr w14:paraId="3F32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35" w:type="dxa"/>
            <w:noWrap w:val="0"/>
            <w:vAlign w:val="center"/>
          </w:tcPr>
          <w:p w14:paraId="7F39C0C4">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序号</w:t>
            </w:r>
          </w:p>
        </w:tc>
        <w:tc>
          <w:tcPr>
            <w:tcW w:w="2241" w:type="dxa"/>
            <w:noWrap w:val="0"/>
            <w:vAlign w:val="center"/>
          </w:tcPr>
          <w:p w14:paraId="11936461">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设备名称</w:t>
            </w:r>
          </w:p>
        </w:tc>
        <w:tc>
          <w:tcPr>
            <w:tcW w:w="1445" w:type="dxa"/>
            <w:noWrap w:val="0"/>
            <w:vAlign w:val="center"/>
          </w:tcPr>
          <w:p w14:paraId="222A8238">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计量单位</w:t>
            </w:r>
          </w:p>
        </w:tc>
        <w:tc>
          <w:tcPr>
            <w:tcW w:w="992" w:type="dxa"/>
            <w:noWrap w:val="0"/>
            <w:vAlign w:val="center"/>
          </w:tcPr>
          <w:p w14:paraId="40B5758A">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数量</w:t>
            </w:r>
          </w:p>
        </w:tc>
        <w:tc>
          <w:tcPr>
            <w:tcW w:w="2410" w:type="dxa"/>
            <w:noWrap w:val="0"/>
            <w:vAlign w:val="center"/>
          </w:tcPr>
          <w:p w14:paraId="3D5F868B">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生产企业</w:t>
            </w:r>
          </w:p>
        </w:tc>
        <w:tc>
          <w:tcPr>
            <w:tcW w:w="1270" w:type="dxa"/>
            <w:noWrap w:val="0"/>
            <w:vAlign w:val="center"/>
          </w:tcPr>
          <w:p w14:paraId="18AE77A2">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使用年限</w:t>
            </w:r>
          </w:p>
        </w:tc>
      </w:tr>
      <w:tr w14:paraId="71AC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35" w:type="dxa"/>
            <w:noWrap w:val="0"/>
            <w:vAlign w:val="top"/>
          </w:tcPr>
          <w:p w14:paraId="671D7F7B">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662F2632">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460960FF">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57D83AD8">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03B680B9">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4B46DDF7">
            <w:pPr>
              <w:pStyle w:val="7"/>
              <w:ind w:firstLine="0"/>
              <w:jc w:val="left"/>
              <w:rPr>
                <w:rFonts w:hint="eastAsia" w:ascii="仿宋" w:hAnsi="仿宋" w:eastAsia="仿宋" w:cs="仿宋"/>
                <w:b/>
                <w:color w:val="auto"/>
                <w:sz w:val="22"/>
                <w:szCs w:val="22"/>
                <w:highlight w:val="none"/>
              </w:rPr>
            </w:pPr>
          </w:p>
        </w:tc>
      </w:tr>
      <w:tr w14:paraId="3373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5" w:type="dxa"/>
            <w:noWrap w:val="0"/>
            <w:vAlign w:val="top"/>
          </w:tcPr>
          <w:p w14:paraId="532C95D7">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5C5C894E">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226B22A2">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56DD2ECD">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17B73CFE">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2BC2A887">
            <w:pPr>
              <w:pStyle w:val="7"/>
              <w:ind w:firstLine="0"/>
              <w:jc w:val="left"/>
              <w:rPr>
                <w:rFonts w:hint="eastAsia" w:ascii="仿宋" w:hAnsi="仿宋" w:eastAsia="仿宋" w:cs="仿宋"/>
                <w:b/>
                <w:color w:val="auto"/>
                <w:sz w:val="22"/>
                <w:szCs w:val="22"/>
                <w:highlight w:val="none"/>
              </w:rPr>
            </w:pPr>
          </w:p>
        </w:tc>
      </w:tr>
      <w:tr w14:paraId="7277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35" w:type="dxa"/>
            <w:noWrap w:val="0"/>
            <w:vAlign w:val="top"/>
          </w:tcPr>
          <w:p w14:paraId="7514194D">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096038D1">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17420F48">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237855CC">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703ACA6A">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41655C03">
            <w:pPr>
              <w:pStyle w:val="7"/>
              <w:ind w:firstLine="0"/>
              <w:jc w:val="left"/>
              <w:rPr>
                <w:rFonts w:hint="eastAsia" w:ascii="仿宋" w:hAnsi="仿宋" w:eastAsia="仿宋" w:cs="仿宋"/>
                <w:b/>
                <w:color w:val="auto"/>
                <w:sz w:val="22"/>
                <w:szCs w:val="22"/>
                <w:highlight w:val="none"/>
              </w:rPr>
            </w:pPr>
          </w:p>
        </w:tc>
      </w:tr>
      <w:tr w14:paraId="0E37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5" w:type="dxa"/>
            <w:noWrap w:val="0"/>
            <w:vAlign w:val="top"/>
          </w:tcPr>
          <w:p w14:paraId="298D406C">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6CB65CB0">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3DD2DCEC">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3FC9D256">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1B000CCC">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08103AF2">
            <w:pPr>
              <w:pStyle w:val="7"/>
              <w:ind w:firstLine="0"/>
              <w:jc w:val="left"/>
              <w:rPr>
                <w:rFonts w:hint="eastAsia" w:ascii="仿宋" w:hAnsi="仿宋" w:eastAsia="仿宋" w:cs="仿宋"/>
                <w:b/>
                <w:color w:val="auto"/>
                <w:sz w:val="22"/>
                <w:szCs w:val="22"/>
                <w:highlight w:val="none"/>
              </w:rPr>
            </w:pPr>
          </w:p>
        </w:tc>
      </w:tr>
      <w:tr w14:paraId="7F056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noWrap w:val="0"/>
            <w:vAlign w:val="top"/>
          </w:tcPr>
          <w:p w14:paraId="258B77C2">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1746FC38">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6900A3A9">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06B41670">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6C3EDA13">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50753AAB">
            <w:pPr>
              <w:pStyle w:val="7"/>
              <w:ind w:firstLine="0"/>
              <w:jc w:val="left"/>
              <w:rPr>
                <w:rFonts w:hint="eastAsia" w:ascii="仿宋" w:hAnsi="仿宋" w:eastAsia="仿宋" w:cs="仿宋"/>
                <w:b/>
                <w:color w:val="auto"/>
                <w:sz w:val="22"/>
                <w:szCs w:val="22"/>
                <w:highlight w:val="none"/>
              </w:rPr>
            </w:pPr>
          </w:p>
        </w:tc>
      </w:tr>
      <w:tr w14:paraId="6219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noWrap w:val="0"/>
            <w:vAlign w:val="top"/>
          </w:tcPr>
          <w:p w14:paraId="243C0621">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780B1C13">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7C4700E3">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28EE4CD5">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61AFD999">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7F8FC232">
            <w:pPr>
              <w:pStyle w:val="7"/>
              <w:ind w:firstLine="0"/>
              <w:jc w:val="left"/>
              <w:rPr>
                <w:rFonts w:hint="eastAsia" w:ascii="仿宋" w:hAnsi="仿宋" w:eastAsia="仿宋" w:cs="仿宋"/>
                <w:b/>
                <w:color w:val="auto"/>
                <w:sz w:val="22"/>
                <w:szCs w:val="22"/>
                <w:highlight w:val="none"/>
              </w:rPr>
            </w:pPr>
          </w:p>
        </w:tc>
      </w:tr>
      <w:tr w14:paraId="48D2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noWrap w:val="0"/>
            <w:vAlign w:val="top"/>
          </w:tcPr>
          <w:p w14:paraId="3543C921">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5F597221">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7EBBB6C9">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78CFE282">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0FB7C04C">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6627DA17">
            <w:pPr>
              <w:pStyle w:val="7"/>
              <w:ind w:firstLine="0"/>
              <w:jc w:val="left"/>
              <w:rPr>
                <w:rFonts w:hint="eastAsia" w:ascii="仿宋" w:hAnsi="仿宋" w:eastAsia="仿宋" w:cs="仿宋"/>
                <w:b/>
                <w:color w:val="auto"/>
                <w:sz w:val="22"/>
                <w:szCs w:val="22"/>
                <w:highlight w:val="none"/>
              </w:rPr>
            </w:pPr>
          </w:p>
        </w:tc>
      </w:tr>
      <w:tr w14:paraId="0A3F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noWrap w:val="0"/>
            <w:vAlign w:val="top"/>
          </w:tcPr>
          <w:p w14:paraId="6494E2F4">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72D91D72">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0A8FEAA3">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332DAAC7">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22B6A0C6">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1BACF4E6">
            <w:pPr>
              <w:pStyle w:val="7"/>
              <w:ind w:firstLine="0"/>
              <w:jc w:val="left"/>
              <w:rPr>
                <w:rFonts w:hint="eastAsia" w:ascii="仿宋" w:hAnsi="仿宋" w:eastAsia="仿宋" w:cs="仿宋"/>
                <w:b/>
                <w:color w:val="auto"/>
                <w:sz w:val="22"/>
                <w:szCs w:val="22"/>
                <w:highlight w:val="none"/>
              </w:rPr>
            </w:pPr>
          </w:p>
        </w:tc>
      </w:tr>
      <w:tr w14:paraId="4964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35" w:type="dxa"/>
            <w:noWrap w:val="0"/>
            <w:vAlign w:val="top"/>
          </w:tcPr>
          <w:p w14:paraId="66629473">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48129AD3">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070F8A66">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49C7B88D">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773331AE">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683C6951">
            <w:pPr>
              <w:pStyle w:val="7"/>
              <w:ind w:firstLine="0"/>
              <w:jc w:val="left"/>
              <w:rPr>
                <w:rFonts w:hint="eastAsia" w:ascii="仿宋" w:hAnsi="仿宋" w:eastAsia="仿宋" w:cs="仿宋"/>
                <w:b/>
                <w:color w:val="auto"/>
                <w:sz w:val="22"/>
                <w:szCs w:val="22"/>
                <w:highlight w:val="none"/>
              </w:rPr>
            </w:pPr>
          </w:p>
        </w:tc>
      </w:tr>
      <w:tr w14:paraId="1903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72B0344E">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487DA78F">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1CB0CC63">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5AE10F15">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2FEE42B4">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0C10C62A">
            <w:pPr>
              <w:pStyle w:val="7"/>
              <w:ind w:firstLine="0"/>
              <w:jc w:val="left"/>
              <w:rPr>
                <w:rFonts w:hint="eastAsia" w:ascii="仿宋" w:hAnsi="仿宋" w:eastAsia="仿宋" w:cs="仿宋"/>
                <w:b/>
                <w:color w:val="auto"/>
                <w:sz w:val="22"/>
                <w:szCs w:val="22"/>
                <w:highlight w:val="none"/>
              </w:rPr>
            </w:pPr>
          </w:p>
        </w:tc>
      </w:tr>
      <w:tr w14:paraId="7F5B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411E5B00">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2EB00174">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2264509A">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03687409">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0817737A">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6500ECE4">
            <w:pPr>
              <w:pStyle w:val="7"/>
              <w:ind w:firstLine="0"/>
              <w:jc w:val="left"/>
              <w:rPr>
                <w:rFonts w:hint="eastAsia" w:ascii="仿宋" w:hAnsi="仿宋" w:eastAsia="仿宋" w:cs="仿宋"/>
                <w:b/>
                <w:color w:val="auto"/>
                <w:sz w:val="22"/>
                <w:szCs w:val="22"/>
                <w:highlight w:val="none"/>
              </w:rPr>
            </w:pPr>
          </w:p>
        </w:tc>
      </w:tr>
      <w:tr w14:paraId="43237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25BD7B81">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22E4D9AD">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45C00B1E">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4052AA3B">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3EEF4CB5">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2F9AD946">
            <w:pPr>
              <w:pStyle w:val="7"/>
              <w:ind w:firstLine="0"/>
              <w:jc w:val="left"/>
              <w:rPr>
                <w:rFonts w:hint="eastAsia" w:ascii="仿宋" w:hAnsi="仿宋" w:eastAsia="仿宋" w:cs="仿宋"/>
                <w:b/>
                <w:color w:val="auto"/>
                <w:sz w:val="22"/>
                <w:szCs w:val="22"/>
                <w:highlight w:val="none"/>
              </w:rPr>
            </w:pPr>
          </w:p>
        </w:tc>
      </w:tr>
      <w:tr w14:paraId="7D69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23515E12">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0EAAB73A">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6F8D447C">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3BFA1F22">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3232621C">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38241BEA">
            <w:pPr>
              <w:pStyle w:val="7"/>
              <w:ind w:firstLine="0"/>
              <w:jc w:val="left"/>
              <w:rPr>
                <w:rFonts w:hint="eastAsia" w:ascii="仿宋" w:hAnsi="仿宋" w:eastAsia="仿宋" w:cs="仿宋"/>
                <w:b/>
                <w:color w:val="auto"/>
                <w:sz w:val="22"/>
                <w:szCs w:val="22"/>
                <w:highlight w:val="none"/>
              </w:rPr>
            </w:pPr>
          </w:p>
        </w:tc>
      </w:tr>
      <w:tr w14:paraId="1B78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4A3DB9E0">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2DAB16EF">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4414A1C1">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3D21F1CA">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7EF93E60">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085C895E">
            <w:pPr>
              <w:pStyle w:val="7"/>
              <w:ind w:firstLine="0"/>
              <w:jc w:val="left"/>
              <w:rPr>
                <w:rFonts w:hint="eastAsia" w:ascii="仿宋" w:hAnsi="仿宋" w:eastAsia="仿宋" w:cs="仿宋"/>
                <w:b/>
                <w:color w:val="auto"/>
                <w:sz w:val="22"/>
                <w:szCs w:val="22"/>
                <w:highlight w:val="none"/>
              </w:rPr>
            </w:pPr>
          </w:p>
        </w:tc>
      </w:tr>
      <w:tr w14:paraId="67FF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noWrap w:val="0"/>
            <w:vAlign w:val="top"/>
          </w:tcPr>
          <w:p w14:paraId="129F2B22">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1CF60EFC">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6DFFE554">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5066719D">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77504C56">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1603D651">
            <w:pPr>
              <w:pStyle w:val="7"/>
              <w:ind w:firstLine="0"/>
              <w:jc w:val="left"/>
              <w:rPr>
                <w:rFonts w:hint="eastAsia" w:ascii="仿宋" w:hAnsi="仿宋" w:eastAsia="仿宋" w:cs="仿宋"/>
                <w:b/>
                <w:color w:val="auto"/>
                <w:sz w:val="22"/>
                <w:szCs w:val="22"/>
                <w:highlight w:val="none"/>
              </w:rPr>
            </w:pPr>
          </w:p>
        </w:tc>
      </w:tr>
      <w:tr w14:paraId="085F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5" w:type="dxa"/>
            <w:noWrap w:val="0"/>
            <w:vAlign w:val="top"/>
          </w:tcPr>
          <w:p w14:paraId="3F46FCAD">
            <w:pPr>
              <w:pStyle w:val="7"/>
              <w:ind w:firstLine="0"/>
              <w:jc w:val="left"/>
              <w:rPr>
                <w:rFonts w:hint="eastAsia" w:ascii="仿宋" w:hAnsi="仿宋" w:eastAsia="仿宋" w:cs="仿宋"/>
                <w:b/>
                <w:color w:val="auto"/>
                <w:sz w:val="22"/>
                <w:szCs w:val="22"/>
                <w:highlight w:val="none"/>
              </w:rPr>
            </w:pPr>
          </w:p>
        </w:tc>
        <w:tc>
          <w:tcPr>
            <w:tcW w:w="2241" w:type="dxa"/>
            <w:noWrap w:val="0"/>
            <w:vAlign w:val="top"/>
          </w:tcPr>
          <w:p w14:paraId="432EC0E3">
            <w:pPr>
              <w:pStyle w:val="7"/>
              <w:ind w:firstLine="0"/>
              <w:jc w:val="left"/>
              <w:rPr>
                <w:rFonts w:hint="eastAsia" w:ascii="仿宋" w:hAnsi="仿宋" w:eastAsia="仿宋" w:cs="仿宋"/>
                <w:b/>
                <w:color w:val="auto"/>
                <w:sz w:val="22"/>
                <w:szCs w:val="22"/>
                <w:highlight w:val="none"/>
              </w:rPr>
            </w:pPr>
          </w:p>
        </w:tc>
        <w:tc>
          <w:tcPr>
            <w:tcW w:w="1445" w:type="dxa"/>
            <w:noWrap w:val="0"/>
            <w:vAlign w:val="top"/>
          </w:tcPr>
          <w:p w14:paraId="6C26CF8F">
            <w:pPr>
              <w:pStyle w:val="7"/>
              <w:ind w:firstLine="0"/>
              <w:jc w:val="left"/>
              <w:rPr>
                <w:rFonts w:hint="eastAsia" w:ascii="仿宋" w:hAnsi="仿宋" w:eastAsia="仿宋" w:cs="仿宋"/>
                <w:b/>
                <w:color w:val="auto"/>
                <w:sz w:val="22"/>
                <w:szCs w:val="22"/>
                <w:highlight w:val="none"/>
              </w:rPr>
            </w:pPr>
          </w:p>
        </w:tc>
        <w:tc>
          <w:tcPr>
            <w:tcW w:w="992" w:type="dxa"/>
            <w:noWrap w:val="0"/>
            <w:vAlign w:val="top"/>
          </w:tcPr>
          <w:p w14:paraId="5DDD4E7F">
            <w:pPr>
              <w:pStyle w:val="7"/>
              <w:ind w:firstLine="0"/>
              <w:jc w:val="left"/>
              <w:rPr>
                <w:rFonts w:hint="eastAsia" w:ascii="仿宋" w:hAnsi="仿宋" w:eastAsia="仿宋" w:cs="仿宋"/>
                <w:b/>
                <w:color w:val="auto"/>
                <w:sz w:val="22"/>
                <w:szCs w:val="22"/>
                <w:highlight w:val="none"/>
              </w:rPr>
            </w:pPr>
          </w:p>
        </w:tc>
        <w:tc>
          <w:tcPr>
            <w:tcW w:w="2410" w:type="dxa"/>
            <w:noWrap w:val="0"/>
            <w:vAlign w:val="top"/>
          </w:tcPr>
          <w:p w14:paraId="0A9A87C7">
            <w:pPr>
              <w:pStyle w:val="7"/>
              <w:ind w:firstLine="0"/>
              <w:jc w:val="left"/>
              <w:rPr>
                <w:rFonts w:hint="eastAsia" w:ascii="仿宋" w:hAnsi="仿宋" w:eastAsia="仿宋" w:cs="仿宋"/>
                <w:b/>
                <w:color w:val="auto"/>
                <w:sz w:val="22"/>
                <w:szCs w:val="22"/>
                <w:highlight w:val="none"/>
              </w:rPr>
            </w:pPr>
          </w:p>
        </w:tc>
        <w:tc>
          <w:tcPr>
            <w:tcW w:w="1270" w:type="dxa"/>
            <w:noWrap w:val="0"/>
            <w:vAlign w:val="top"/>
          </w:tcPr>
          <w:p w14:paraId="71EE8684">
            <w:pPr>
              <w:pStyle w:val="7"/>
              <w:ind w:firstLine="0"/>
              <w:jc w:val="left"/>
              <w:rPr>
                <w:rFonts w:hint="eastAsia" w:ascii="仿宋" w:hAnsi="仿宋" w:eastAsia="仿宋" w:cs="仿宋"/>
                <w:b/>
                <w:color w:val="auto"/>
                <w:sz w:val="22"/>
                <w:szCs w:val="22"/>
                <w:highlight w:val="none"/>
              </w:rPr>
            </w:pPr>
          </w:p>
        </w:tc>
      </w:tr>
    </w:tbl>
    <w:p w14:paraId="1443FE05">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说明：设备可以填写单台设备，也可以填写成套设备。</w:t>
      </w:r>
    </w:p>
    <w:p w14:paraId="4E29F80E">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（盖单位章）</w:t>
      </w:r>
    </w:p>
    <w:p w14:paraId="4F11D674">
      <w:pPr>
        <w:keepNext w:val="0"/>
        <w:keepLines w:val="0"/>
        <w:pageBreakBefore w:val="0"/>
        <w:widowControl w:val="0"/>
        <w:kinsoku/>
        <w:wordWrap/>
        <w:overflowPunct/>
        <w:topLinePunct w:val="0"/>
        <w:autoSpaceDE/>
        <w:autoSpaceDN/>
        <w:bidi w:val="0"/>
        <w:snapToGrid/>
        <w:spacing w:line="480" w:lineRule="exact"/>
        <w:textAlignment w:val="auto"/>
        <w:outlineLvl w:val="1"/>
        <w:rPr>
          <w:rFonts w:hint="eastAsia" w:ascii="仿宋" w:hAnsi="仿宋" w:eastAsia="仿宋" w:cs="仿宋"/>
          <w:color w:val="auto"/>
          <w:sz w:val="22"/>
          <w:szCs w:val="22"/>
          <w:highlight w:val="none"/>
        </w:rPr>
      </w:pPr>
      <w:bookmarkStart w:id="216" w:name="_Toc17026"/>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bookmarkEnd w:id="216"/>
    </w:p>
    <w:p w14:paraId="525FCA34">
      <w:pPr>
        <w:keepNext w:val="0"/>
        <w:keepLines w:val="0"/>
        <w:pageBreakBefore w:val="0"/>
        <w:widowControl w:val="0"/>
        <w:kinsoku/>
        <w:wordWrap/>
        <w:overflowPunct/>
        <w:topLinePunct w:val="0"/>
        <w:autoSpaceDE/>
        <w:autoSpaceDN/>
        <w:bidi w:val="0"/>
        <w:snapToGrid/>
        <w:spacing w:line="480" w:lineRule="exact"/>
        <w:textAlignment w:val="auto"/>
        <w:outlineLvl w:val="1"/>
        <w:rPr>
          <w:rFonts w:hint="eastAsia" w:ascii="仿宋" w:hAnsi="仿宋" w:eastAsia="仿宋" w:cs="仿宋"/>
          <w:b/>
          <w:color w:val="auto"/>
          <w:sz w:val="22"/>
          <w:szCs w:val="22"/>
          <w:highlight w:val="none"/>
        </w:rPr>
      </w:pPr>
      <w:bookmarkStart w:id="217" w:name="_Toc5802"/>
      <w:r>
        <w:rPr>
          <w:rFonts w:hint="eastAsia" w:ascii="仿宋" w:hAnsi="仿宋" w:eastAsia="仿宋" w:cs="仿宋"/>
          <w:color w:val="auto"/>
          <w:sz w:val="22"/>
          <w:szCs w:val="22"/>
          <w:highlight w:val="none"/>
        </w:rPr>
        <w:t>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日</w:t>
      </w:r>
      <w:bookmarkEnd w:id="217"/>
    </w:p>
    <w:p w14:paraId="784C5EAD">
      <w:pPr>
        <w:pStyle w:val="7"/>
        <w:keepNext w:val="0"/>
        <w:keepLines w:val="0"/>
        <w:pageBreakBefore w:val="0"/>
        <w:widowControl w:val="0"/>
        <w:kinsoku/>
        <w:wordWrap/>
        <w:overflowPunct/>
        <w:topLinePunct w:val="0"/>
        <w:autoSpaceDE/>
        <w:autoSpaceDN/>
        <w:bidi w:val="0"/>
        <w:snapToGrid/>
        <w:spacing w:line="480" w:lineRule="exact"/>
        <w:ind w:firstLine="0"/>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r>
        <w:rPr>
          <w:rFonts w:hint="eastAsia" w:ascii="仿宋" w:hAnsi="仿宋" w:eastAsia="仿宋" w:cs="仿宋"/>
          <w:b/>
          <w:color w:val="auto"/>
          <w:kern w:val="0"/>
          <w:sz w:val="28"/>
          <w:szCs w:val="28"/>
          <w:highlight w:val="none"/>
          <w:lang w:val="zh-CN"/>
        </w:rPr>
        <w:t>（二）本项目组织实施人员</w:t>
      </w:r>
    </w:p>
    <w:p w14:paraId="791132BA">
      <w:pPr>
        <w:pStyle w:val="7"/>
        <w:spacing w:after="120" w:afterLines="50"/>
        <w:ind w:firstLine="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 w:val="22"/>
          <w:szCs w:val="22"/>
          <w:highlight w:val="none"/>
        </w:rPr>
        <w:t xml:space="preserve">投标人：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采购项目编号：</w:t>
      </w:r>
      <w:r>
        <w:rPr>
          <w:rFonts w:hint="eastAsia" w:ascii="仿宋" w:hAnsi="仿宋" w:eastAsia="仿宋" w:cs="仿宋"/>
          <w:color w:val="auto"/>
          <w:szCs w:val="21"/>
          <w:highlight w:val="none"/>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850"/>
        <w:gridCol w:w="1134"/>
        <w:gridCol w:w="1560"/>
        <w:gridCol w:w="1701"/>
        <w:gridCol w:w="1984"/>
        <w:gridCol w:w="987"/>
      </w:tblGrid>
      <w:tr w14:paraId="6C0C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175" w:type="dxa"/>
            <w:gridSpan w:val="7"/>
            <w:noWrap w:val="0"/>
            <w:vAlign w:val="center"/>
          </w:tcPr>
          <w:p w14:paraId="64354D2F">
            <w:pPr>
              <w:pStyle w:val="7"/>
              <w:ind w:firstLine="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1.项目负责人</w:t>
            </w:r>
          </w:p>
        </w:tc>
      </w:tr>
      <w:tr w14:paraId="1D5F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233C43D5">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姓名</w:t>
            </w:r>
          </w:p>
        </w:tc>
        <w:tc>
          <w:tcPr>
            <w:tcW w:w="850" w:type="dxa"/>
            <w:noWrap w:val="0"/>
            <w:vAlign w:val="center"/>
          </w:tcPr>
          <w:p w14:paraId="08A72C56">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年龄</w:t>
            </w:r>
          </w:p>
        </w:tc>
        <w:tc>
          <w:tcPr>
            <w:tcW w:w="1134" w:type="dxa"/>
            <w:noWrap w:val="0"/>
            <w:vAlign w:val="center"/>
          </w:tcPr>
          <w:p w14:paraId="5524C1E0">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职务</w:t>
            </w:r>
          </w:p>
        </w:tc>
        <w:tc>
          <w:tcPr>
            <w:tcW w:w="1560" w:type="dxa"/>
            <w:noWrap w:val="0"/>
            <w:vAlign w:val="center"/>
          </w:tcPr>
          <w:p w14:paraId="695CDA1E">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资格/职称</w:t>
            </w:r>
          </w:p>
        </w:tc>
        <w:tc>
          <w:tcPr>
            <w:tcW w:w="1701" w:type="dxa"/>
            <w:noWrap w:val="0"/>
            <w:vAlign w:val="top"/>
          </w:tcPr>
          <w:p w14:paraId="20731D27">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在本行业从业 工作年限</w:t>
            </w:r>
          </w:p>
        </w:tc>
        <w:tc>
          <w:tcPr>
            <w:tcW w:w="2971" w:type="dxa"/>
            <w:gridSpan w:val="2"/>
            <w:noWrap w:val="0"/>
            <w:vAlign w:val="center"/>
          </w:tcPr>
          <w:p w14:paraId="04F685D2">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主要工作业绩</w:t>
            </w:r>
          </w:p>
        </w:tc>
      </w:tr>
      <w:tr w14:paraId="0559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93F0DEC">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173FD73A">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22A099B5">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134F430A">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1D812429">
            <w:pPr>
              <w:pStyle w:val="7"/>
              <w:ind w:firstLine="0"/>
              <w:jc w:val="left"/>
              <w:rPr>
                <w:rFonts w:hint="eastAsia" w:ascii="仿宋" w:hAnsi="仿宋" w:eastAsia="仿宋" w:cs="仿宋"/>
                <w:b/>
                <w:color w:val="auto"/>
                <w:sz w:val="22"/>
                <w:szCs w:val="22"/>
                <w:highlight w:val="none"/>
              </w:rPr>
            </w:pPr>
          </w:p>
        </w:tc>
        <w:tc>
          <w:tcPr>
            <w:tcW w:w="2971" w:type="dxa"/>
            <w:gridSpan w:val="2"/>
            <w:noWrap w:val="0"/>
            <w:vAlign w:val="top"/>
          </w:tcPr>
          <w:p w14:paraId="79314894">
            <w:pPr>
              <w:pStyle w:val="7"/>
              <w:ind w:firstLine="0"/>
              <w:jc w:val="left"/>
              <w:rPr>
                <w:rFonts w:hint="eastAsia" w:ascii="仿宋" w:hAnsi="仿宋" w:eastAsia="仿宋" w:cs="仿宋"/>
                <w:b/>
                <w:color w:val="auto"/>
                <w:sz w:val="22"/>
                <w:szCs w:val="22"/>
                <w:highlight w:val="none"/>
              </w:rPr>
            </w:pPr>
          </w:p>
        </w:tc>
      </w:tr>
      <w:tr w14:paraId="4542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2CB7359">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2614F840">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64CF4070">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55ADFCC2">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1E167800">
            <w:pPr>
              <w:pStyle w:val="7"/>
              <w:ind w:firstLine="0"/>
              <w:jc w:val="left"/>
              <w:rPr>
                <w:rFonts w:hint="eastAsia" w:ascii="仿宋" w:hAnsi="仿宋" w:eastAsia="仿宋" w:cs="仿宋"/>
                <w:b/>
                <w:color w:val="auto"/>
                <w:sz w:val="22"/>
                <w:szCs w:val="22"/>
                <w:highlight w:val="none"/>
              </w:rPr>
            </w:pPr>
          </w:p>
        </w:tc>
        <w:tc>
          <w:tcPr>
            <w:tcW w:w="2971" w:type="dxa"/>
            <w:gridSpan w:val="2"/>
            <w:noWrap w:val="0"/>
            <w:vAlign w:val="top"/>
          </w:tcPr>
          <w:p w14:paraId="17CA8DD0">
            <w:pPr>
              <w:pStyle w:val="7"/>
              <w:ind w:firstLine="0"/>
              <w:jc w:val="left"/>
              <w:rPr>
                <w:rFonts w:hint="eastAsia" w:ascii="仿宋" w:hAnsi="仿宋" w:eastAsia="仿宋" w:cs="仿宋"/>
                <w:b/>
                <w:color w:val="auto"/>
                <w:sz w:val="22"/>
                <w:szCs w:val="22"/>
                <w:highlight w:val="none"/>
              </w:rPr>
            </w:pPr>
          </w:p>
        </w:tc>
      </w:tr>
      <w:tr w14:paraId="0546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175" w:type="dxa"/>
            <w:gridSpan w:val="7"/>
            <w:noWrap w:val="0"/>
            <w:vAlign w:val="center"/>
          </w:tcPr>
          <w:p w14:paraId="1E634BDC">
            <w:pPr>
              <w:pStyle w:val="7"/>
              <w:ind w:firstLine="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2.管理人员</w:t>
            </w:r>
          </w:p>
        </w:tc>
      </w:tr>
      <w:tr w14:paraId="0707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23C8090C">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姓名</w:t>
            </w:r>
          </w:p>
        </w:tc>
        <w:tc>
          <w:tcPr>
            <w:tcW w:w="850" w:type="dxa"/>
            <w:noWrap w:val="0"/>
            <w:vAlign w:val="center"/>
          </w:tcPr>
          <w:p w14:paraId="1E3E613E">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年龄</w:t>
            </w:r>
          </w:p>
        </w:tc>
        <w:tc>
          <w:tcPr>
            <w:tcW w:w="1134" w:type="dxa"/>
            <w:noWrap w:val="0"/>
            <w:vAlign w:val="center"/>
          </w:tcPr>
          <w:p w14:paraId="0424DE6F">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职务</w:t>
            </w:r>
          </w:p>
        </w:tc>
        <w:tc>
          <w:tcPr>
            <w:tcW w:w="1560" w:type="dxa"/>
            <w:noWrap w:val="0"/>
            <w:vAlign w:val="center"/>
          </w:tcPr>
          <w:p w14:paraId="765F1F6D">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资格/职称</w:t>
            </w:r>
          </w:p>
        </w:tc>
        <w:tc>
          <w:tcPr>
            <w:tcW w:w="1701" w:type="dxa"/>
            <w:noWrap w:val="0"/>
            <w:vAlign w:val="center"/>
          </w:tcPr>
          <w:p w14:paraId="09C90A5D">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在本行业从业 工作年限</w:t>
            </w:r>
          </w:p>
        </w:tc>
        <w:tc>
          <w:tcPr>
            <w:tcW w:w="1984" w:type="dxa"/>
            <w:noWrap w:val="0"/>
            <w:vAlign w:val="center"/>
          </w:tcPr>
          <w:p w14:paraId="21CB0222">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主要工作业绩</w:t>
            </w:r>
          </w:p>
        </w:tc>
        <w:tc>
          <w:tcPr>
            <w:tcW w:w="987" w:type="dxa"/>
            <w:noWrap w:val="0"/>
            <w:vAlign w:val="center"/>
          </w:tcPr>
          <w:p w14:paraId="4642DA45">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当前</w:t>
            </w:r>
          </w:p>
          <w:p w14:paraId="2BBD26C0">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分工</w:t>
            </w:r>
          </w:p>
        </w:tc>
      </w:tr>
      <w:tr w14:paraId="0DDE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4468231">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34305E69">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2ACF64A3">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1820DFCA">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2825C975">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14C69413">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64956333">
            <w:pPr>
              <w:pStyle w:val="7"/>
              <w:ind w:firstLine="0"/>
              <w:jc w:val="left"/>
              <w:rPr>
                <w:rFonts w:hint="eastAsia" w:ascii="仿宋" w:hAnsi="仿宋" w:eastAsia="仿宋" w:cs="仿宋"/>
                <w:b/>
                <w:color w:val="auto"/>
                <w:sz w:val="22"/>
                <w:szCs w:val="22"/>
                <w:highlight w:val="none"/>
              </w:rPr>
            </w:pPr>
          </w:p>
        </w:tc>
      </w:tr>
      <w:tr w14:paraId="5EFF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6DB10EA">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0E0D75BA">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5290F809">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3EDEAED9">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74A50B10">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3A5C185A">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1B26E228">
            <w:pPr>
              <w:pStyle w:val="7"/>
              <w:ind w:firstLine="0"/>
              <w:jc w:val="left"/>
              <w:rPr>
                <w:rFonts w:hint="eastAsia" w:ascii="仿宋" w:hAnsi="仿宋" w:eastAsia="仿宋" w:cs="仿宋"/>
                <w:b/>
                <w:color w:val="auto"/>
                <w:sz w:val="22"/>
                <w:szCs w:val="22"/>
                <w:highlight w:val="none"/>
              </w:rPr>
            </w:pPr>
          </w:p>
        </w:tc>
      </w:tr>
      <w:tr w14:paraId="7BA5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4078E85F">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452ACFC8">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37E62EA1">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688DB88A">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19F1FD7D">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46C7D000">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0E450799">
            <w:pPr>
              <w:pStyle w:val="7"/>
              <w:ind w:firstLine="0"/>
              <w:jc w:val="left"/>
              <w:rPr>
                <w:rFonts w:hint="eastAsia" w:ascii="仿宋" w:hAnsi="仿宋" w:eastAsia="仿宋" w:cs="仿宋"/>
                <w:b/>
                <w:color w:val="auto"/>
                <w:sz w:val="22"/>
                <w:szCs w:val="22"/>
                <w:highlight w:val="none"/>
              </w:rPr>
            </w:pPr>
          </w:p>
        </w:tc>
      </w:tr>
      <w:tr w14:paraId="37D8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68DDE78">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0E96731C">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2263BE17">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18A78A94">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40845292">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18BDCC99">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030B6361">
            <w:pPr>
              <w:pStyle w:val="7"/>
              <w:ind w:firstLine="0"/>
              <w:jc w:val="left"/>
              <w:rPr>
                <w:rFonts w:hint="eastAsia" w:ascii="仿宋" w:hAnsi="仿宋" w:eastAsia="仿宋" w:cs="仿宋"/>
                <w:b/>
                <w:color w:val="auto"/>
                <w:sz w:val="22"/>
                <w:szCs w:val="22"/>
                <w:highlight w:val="none"/>
              </w:rPr>
            </w:pPr>
          </w:p>
        </w:tc>
      </w:tr>
      <w:tr w14:paraId="2625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5" w:type="dxa"/>
            <w:gridSpan w:val="7"/>
            <w:noWrap w:val="0"/>
            <w:vAlign w:val="top"/>
          </w:tcPr>
          <w:p w14:paraId="166F82D1">
            <w:pPr>
              <w:pStyle w:val="7"/>
              <w:ind w:firstLine="0"/>
              <w:jc w:val="left"/>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3.技术人员</w:t>
            </w:r>
          </w:p>
        </w:tc>
      </w:tr>
      <w:tr w14:paraId="7BCA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4F3F7465">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姓名</w:t>
            </w:r>
          </w:p>
        </w:tc>
        <w:tc>
          <w:tcPr>
            <w:tcW w:w="850" w:type="dxa"/>
            <w:noWrap w:val="0"/>
            <w:vAlign w:val="center"/>
          </w:tcPr>
          <w:p w14:paraId="0BB3D12B">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年龄</w:t>
            </w:r>
          </w:p>
        </w:tc>
        <w:tc>
          <w:tcPr>
            <w:tcW w:w="1134" w:type="dxa"/>
            <w:noWrap w:val="0"/>
            <w:vAlign w:val="center"/>
          </w:tcPr>
          <w:p w14:paraId="1F24895D">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职务</w:t>
            </w:r>
          </w:p>
        </w:tc>
        <w:tc>
          <w:tcPr>
            <w:tcW w:w="1560" w:type="dxa"/>
            <w:noWrap w:val="0"/>
            <w:vAlign w:val="center"/>
          </w:tcPr>
          <w:p w14:paraId="06815FD6">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资格/职称</w:t>
            </w:r>
          </w:p>
        </w:tc>
        <w:tc>
          <w:tcPr>
            <w:tcW w:w="1701" w:type="dxa"/>
            <w:noWrap w:val="0"/>
            <w:vAlign w:val="center"/>
          </w:tcPr>
          <w:p w14:paraId="7F9BB50B">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在本行业从业 工作年限</w:t>
            </w:r>
          </w:p>
        </w:tc>
        <w:tc>
          <w:tcPr>
            <w:tcW w:w="1984" w:type="dxa"/>
            <w:noWrap w:val="0"/>
            <w:vAlign w:val="center"/>
          </w:tcPr>
          <w:p w14:paraId="3B4C4710">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主要工作业绩</w:t>
            </w:r>
          </w:p>
        </w:tc>
        <w:tc>
          <w:tcPr>
            <w:tcW w:w="987" w:type="dxa"/>
            <w:noWrap w:val="0"/>
            <w:vAlign w:val="center"/>
          </w:tcPr>
          <w:p w14:paraId="7DCD9549">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当前</w:t>
            </w:r>
          </w:p>
          <w:p w14:paraId="7461E03B">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分工</w:t>
            </w:r>
          </w:p>
        </w:tc>
      </w:tr>
      <w:tr w14:paraId="1807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2B63A23">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7033157D">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15F038B2">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02E620E0">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02636CC0">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4FC3ACD0">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000B91AA">
            <w:pPr>
              <w:pStyle w:val="7"/>
              <w:ind w:firstLine="0"/>
              <w:jc w:val="left"/>
              <w:rPr>
                <w:rFonts w:hint="eastAsia" w:ascii="仿宋" w:hAnsi="仿宋" w:eastAsia="仿宋" w:cs="仿宋"/>
                <w:b/>
                <w:color w:val="auto"/>
                <w:sz w:val="22"/>
                <w:szCs w:val="22"/>
                <w:highlight w:val="none"/>
              </w:rPr>
            </w:pPr>
          </w:p>
        </w:tc>
      </w:tr>
      <w:tr w14:paraId="6C2B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1A39EDE">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16260250">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271A7A52">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13D264AE">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376F2183">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4C0EBBD2">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18721A0C">
            <w:pPr>
              <w:pStyle w:val="7"/>
              <w:ind w:firstLine="0"/>
              <w:jc w:val="left"/>
              <w:rPr>
                <w:rFonts w:hint="eastAsia" w:ascii="仿宋" w:hAnsi="仿宋" w:eastAsia="仿宋" w:cs="仿宋"/>
                <w:b/>
                <w:color w:val="auto"/>
                <w:sz w:val="22"/>
                <w:szCs w:val="22"/>
                <w:highlight w:val="none"/>
              </w:rPr>
            </w:pPr>
          </w:p>
        </w:tc>
      </w:tr>
      <w:tr w14:paraId="28AE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6052A2E">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7FEB20CF">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2A36A489">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51AA9E68">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25AA3414">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26D0887B">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154ABB9A">
            <w:pPr>
              <w:pStyle w:val="7"/>
              <w:ind w:firstLine="0"/>
              <w:jc w:val="left"/>
              <w:rPr>
                <w:rFonts w:hint="eastAsia" w:ascii="仿宋" w:hAnsi="仿宋" w:eastAsia="仿宋" w:cs="仿宋"/>
                <w:b/>
                <w:color w:val="auto"/>
                <w:sz w:val="22"/>
                <w:szCs w:val="22"/>
                <w:highlight w:val="none"/>
              </w:rPr>
            </w:pPr>
          </w:p>
        </w:tc>
      </w:tr>
      <w:tr w14:paraId="0E4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23F8297">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36B26F46">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0B74FB7A">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0AE53711">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4EF377AC">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36E6E30C">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4F57C1C9">
            <w:pPr>
              <w:pStyle w:val="7"/>
              <w:ind w:firstLine="0"/>
              <w:jc w:val="left"/>
              <w:rPr>
                <w:rFonts w:hint="eastAsia" w:ascii="仿宋" w:hAnsi="仿宋" w:eastAsia="仿宋" w:cs="仿宋"/>
                <w:b/>
                <w:color w:val="auto"/>
                <w:sz w:val="22"/>
                <w:szCs w:val="22"/>
                <w:highlight w:val="none"/>
              </w:rPr>
            </w:pPr>
          </w:p>
        </w:tc>
      </w:tr>
      <w:tr w14:paraId="7F7A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175" w:type="dxa"/>
            <w:gridSpan w:val="7"/>
            <w:noWrap w:val="0"/>
            <w:vAlign w:val="center"/>
          </w:tcPr>
          <w:p w14:paraId="5E59D91C">
            <w:pPr>
              <w:pStyle w:val="7"/>
              <w:ind w:firstLine="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3.辅助人员</w:t>
            </w:r>
          </w:p>
        </w:tc>
      </w:tr>
      <w:tr w14:paraId="4227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center"/>
          </w:tcPr>
          <w:p w14:paraId="689EA341">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姓名</w:t>
            </w:r>
          </w:p>
        </w:tc>
        <w:tc>
          <w:tcPr>
            <w:tcW w:w="850" w:type="dxa"/>
            <w:noWrap w:val="0"/>
            <w:vAlign w:val="center"/>
          </w:tcPr>
          <w:p w14:paraId="4D6EAEE6">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年龄</w:t>
            </w:r>
          </w:p>
        </w:tc>
        <w:tc>
          <w:tcPr>
            <w:tcW w:w="1134" w:type="dxa"/>
            <w:noWrap w:val="0"/>
            <w:vAlign w:val="center"/>
          </w:tcPr>
          <w:p w14:paraId="5F84BD2C">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职务</w:t>
            </w:r>
          </w:p>
        </w:tc>
        <w:tc>
          <w:tcPr>
            <w:tcW w:w="1560" w:type="dxa"/>
            <w:noWrap w:val="0"/>
            <w:vAlign w:val="center"/>
          </w:tcPr>
          <w:p w14:paraId="0AB661FD">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资格/职称</w:t>
            </w:r>
          </w:p>
        </w:tc>
        <w:tc>
          <w:tcPr>
            <w:tcW w:w="1701" w:type="dxa"/>
            <w:noWrap w:val="0"/>
            <w:vAlign w:val="center"/>
          </w:tcPr>
          <w:p w14:paraId="40F625AE">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在本行业从业 工作年限</w:t>
            </w:r>
          </w:p>
        </w:tc>
        <w:tc>
          <w:tcPr>
            <w:tcW w:w="1984" w:type="dxa"/>
            <w:noWrap w:val="0"/>
            <w:vAlign w:val="center"/>
          </w:tcPr>
          <w:p w14:paraId="2FE8524F">
            <w:pPr>
              <w:pStyle w:val="7"/>
              <w:ind w:firstLine="0"/>
              <w:jc w:val="center"/>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主要工作业绩</w:t>
            </w:r>
          </w:p>
        </w:tc>
        <w:tc>
          <w:tcPr>
            <w:tcW w:w="987" w:type="dxa"/>
            <w:noWrap w:val="0"/>
            <w:vAlign w:val="center"/>
          </w:tcPr>
          <w:p w14:paraId="7E39382F">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当前</w:t>
            </w:r>
          </w:p>
          <w:p w14:paraId="2E04B997">
            <w:pPr>
              <w:pStyle w:val="7"/>
              <w:ind w:firstLine="0"/>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分工</w:t>
            </w:r>
          </w:p>
        </w:tc>
      </w:tr>
      <w:tr w14:paraId="081F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5420DB1">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428B8DC4">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1A89E875">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3E9488F8">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4420FA2C">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64F1C945">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4EA8D3E6">
            <w:pPr>
              <w:pStyle w:val="7"/>
              <w:ind w:firstLine="0"/>
              <w:jc w:val="left"/>
              <w:rPr>
                <w:rFonts w:hint="eastAsia" w:ascii="仿宋" w:hAnsi="仿宋" w:eastAsia="仿宋" w:cs="仿宋"/>
                <w:b/>
                <w:color w:val="auto"/>
                <w:sz w:val="22"/>
                <w:szCs w:val="22"/>
                <w:highlight w:val="none"/>
              </w:rPr>
            </w:pPr>
          </w:p>
        </w:tc>
      </w:tr>
      <w:tr w14:paraId="1FA7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51D2AE9">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0A56AB40">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396E4519">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7336F383">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26F327F7">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7A161F17">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75D83222">
            <w:pPr>
              <w:pStyle w:val="7"/>
              <w:ind w:firstLine="0"/>
              <w:jc w:val="left"/>
              <w:rPr>
                <w:rFonts w:hint="eastAsia" w:ascii="仿宋" w:hAnsi="仿宋" w:eastAsia="仿宋" w:cs="仿宋"/>
                <w:b/>
                <w:color w:val="auto"/>
                <w:sz w:val="22"/>
                <w:szCs w:val="22"/>
                <w:highlight w:val="none"/>
              </w:rPr>
            </w:pPr>
          </w:p>
        </w:tc>
      </w:tr>
      <w:tr w14:paraId="4C83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FC5A86D">
            <w:pPr>
              <w:pStyle w:val="7"/>
              <w:ind w:firstLine="0"/>
              <w:jc w:val="left"/>
              <w:rPr>
                <w:rFonts w:hint="eastAsia" w:ascii="仿宋" w:hAnsi="仿宋" w:eastAsia="仿宋" w:cs="仿宋"/>
                <w:b/>
                <w:color w:val="auto"/>
                <w:sz w:val="22"/>
                <w:szCs w:val="22"/>
                <w:highlight w:val="none"/>
              </w:rPr>
            </w:pPr>
          </w:p>
        </w:tc>
        <w:tc>
          <w:tcPr>
            <w:tcW w:w="850" w:type="dxa"/>
            <w:noWrap w:val="0"/>
            <w:vAlign w:val="top"/>
          </w:tcPr>
          <w:p w14:paraId="50D1EFF3">
            <w:pPr>
              <w:pStyle w:val="7"/>
              <w:ind w:firstLine="0"/>
              <w:jc w:val="left"/>
              <w:rPr>
                <w:rFonts w:hint="eastAsia" w:ascii="仿宋" w:hAnsi="仿宋" w:eastAsia="仿宋" w:cs="仿宋"/>
                <w:b/>
                <w:color w:val="auto"/>
                <w:sz w:val="22"/>
                <w:szCs w:val="22"/>
                <w:highlight w:val="none"/>
              </w:rPr>
            </w:pPr>
          </w:p>
        </w:tc>
        <w:tc>
          <w:tcPr>
            <w:tcW w:w="1134" w:type="dxa"/>
            <w:noWrap w:val="0"/>
            <w:vAlign w:val="top"/>
          </w:tcPr>
          <w:p w14:paraId="05F4CF42">
            <w:pPr>
              <w:pStyle w:val="7"/>
              <w:ind w:firstLine="0"/>
              <w:jc w:val="left"/>
              <w:rPr>
                <w:rFonts w:hint="eastAsia" w:ascii="仿宋" w:hAnsi="仿宋" w:eastAsia="仿宋" w:cs="仿宋"/>
                <w:b/>
                <w:color w:val="auto"/>
                <w:sz w:val="22"/>
                <w:szCs w:val="22"/>
                <w:highlight w:val="none"/>
              </w:rPr>
            </w:pPr>
          </w:p>
        </w:tc>
        <w:tc>
          <w:tcPr>
            <w:tcW w:w="1560" w:type="dxa"/>
            <w:noWrap w:val="0"/>
            <w:vAlign w:val="top"/>
          </w:tcPr>
          <w:p w14:paraId="0D2855AB">
            <w:pPr>
              <w:pStyle w:val="7"/>
              <w:ind w:firstLine="0"/>
              <w:jc w:val="left"/>
              <w:rPr>
                <w:rFonts w:hint="eastAsia" w:ascii="仿宋" w:hAnsi="仿宋" w:eastAsia="仿宋" w:cs="仿宋"/>
                <w:b/>
                <w:color w:val="auto"/>
                <w:sz w:val="22"/>
                <w:szCs w:val="22"/>
                <w:highlight w:val="none"/>
              </w:rPr>
            </w:pPr>
          </w:p>
        </w:tc>
        <w:tc>
          <w:tcPr>
            <w:tcW w:w="1701" w:type="dxa"/>
            <w:noWrap w:val="0"/>
            <w:vAlign w:val="top"/>
          </w:tcPr>
          <w:p w14:paraId="7DD1496A">
            <w:pPr>
              <w:pStyle w:val="7"/>
              <w:ind w:firstLine="0"/>
              <w:jc w:val="left"/>
              <w:rPr>
                <w:rFonts w:hint="eastAsia" w:ascii="仿宋" w:hAnsi="仿宋" w:eastAsia="仿宋" w:cs="仿宋"/>
                <w:b/>
                <w:color w:val="auto"/>
                <w:sz w:val="22"/>
                <w:szCs w:val="22"/>
                <w:highlight w:val="none"/>
              </w:rPr>
            </w:pPr>
          </w:p>
        </w:tc>
        <w:tc>
          <w:tcPr>
            <w:tcW w:w="1984" w:type="dxa"/>
            <w:noWrap w:val="0"/>
            <w:vAlign w:val="top"/>
          </w:tcPr>
          <w:p w14:paraId="415E2817">
            <w:pPr>
              <w:pStyle w:val="7"/>
              <w:ind w:firstLine="0"/>
              <w:jc w:val="left"/>
              <w:rPr>
                <w:rFonts w:hint="eastAsia" w:ascii="仿宋" w:hAnsi="仿宋" w:eastAsia="仿宋" w:cs="仿宋"/>
                <w:b/>
                <w:color w:val="auto"/>
                <w:sz w:val="22"/>
                <w:szCs w:val="22"/>
                <w:highlight w:val="none"/>
              </w:rPr>
            </w:pPr>
          </w:p>
        </w:tc>
        <w:tc>
          <w:tcPr>
            <w:tcW w:w="987" w:type="dxa"/>
            <w:noWrap w:val="0"/>
            <w:vAlign w:val="top"/>
          </w:tcPr>
          <w:p w14:paraId="05A92E38">
            <w:pPr>
              <w:pStyle w:val="7"/>
              <w:ind w:firstLine="0"/>
              <w:jc w:val="left"/>
              <w:rPr>
                <w:rFonts w:hint="eastAsia" w:ascii="仿宋" w:hAnsi="仿宋" w:eastAsia="仿宋" w:cs="仿宋"/>
                <w:b/>
                <w:color w:val="auto"/>
                <w:sz w:val="22"/>
                <w:szCs w:val="22"/>
                <w:highlight w:val="none"/>
              </w:rPr>
            </w:pPr>
          </w:p>
        </w:tc>
      </w:tr>
    </w:tbl>
    <w:p w14:paraId="42AF829A">
      <w:pPr>
        <w:pStyle w:val="7"/>
        <w:keepNext w:val="0"/>
        <w:keepLines w:val="0"/>
        <w:pageBreakBefore w:val="0"/>
        <w:widowControl w:val="0"/>
        <w:kinsoku/>
        <w:wordWrap/>
        <w:overflowPunct/>
        <w:topLinePunct w:val="0"/>
        <w:autoSpaceDE/>
        <w:autoSpaceDN/>
        <w:bidi w:val="0"/>
        <w:snapToGrid/>
        <w:spacing w:line="480" w:lineRule="exact"/>
        <w:ind w:firstLine="0"/>
        <w:jc w:val="left"/>
        <w:textAlignment w:val="auto"/>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说明：1.职务是指在本单位所担任的职务。2.除表（一）（二）外，需要补充的证明材料可另纸说明。</w:t>
      </w:r>
    </w:p>
    <w:p w14:paraId="6AB086A4">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（盖单位章）</w:t>
      </w:r>
    </w:p>
    <w:p w14:paraId="02265624">
      <w:pPr>
        <w:keepNext w:val="0"/>
        <w:keepLines w:val="0"/>
        <w:pageBreakBefore w:val="0"/>
        <w:widowControl w:val="0"/>
        <w:kinsoku/>
        <w:wordWrap/>
        <w:overflowPunct/>
        <w:topLinePunct w:val="0"/>
        <w:autoSpaceDE/>
        <w:autoSpaceDN/>
        <w:bidi w:val="0"/>
        <w:snapToGrid/>
        <w:spacing w:line="480" w:lineRule="exact"/>
        <w:textAlignment w:val="auto"/>
        <w:outlineLvl w:val="1"/>
        <w:rPr>
          <w:rFonts w:hint="eastAsia" w:ascii="仿宋" w:hAnsi="仿宋" w:eastAsia="仿宋" w:cs="仿宋"/>
          <w:color w:val="auto"/>
          <w:sz w:val="22"/>
          <w:szCs w:val="22"/>
          <w:highlight w:val="none"/>
        </w:rPr>
      </w:pPr>
      <w:bookmarkStart w:id="218" w:name="_Toc10"/>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bookmarkEnd w:id="218"/>
      <w:bookmarkStart w:id="219" w:name="_Toc15948"/>
    </w:p>
    <w:p w14:paraId="1777F21B">
      <w:pPr>
        <w:keepNext w:val="0"/>
        <w:keepLines w:val="0"/>
        <w:pageBreakBefore w:val="0"/>
        <w:widowControl w:val="0"/>
        <w:kinsoku/>
        <w:wordWrap/>
        <w:overflowPunct/>
        <w:topLinePunct w:val="0"/>
        <w:autoSpaceDE/>
        <w:autoSpaceDN/>
        <w:bidi w:val="0"/>
        <w:snapToGrid/>
        <w:spacing w:line="480" w:lineRule="exact"/>
        <w:textAlignment w:val="auto"/>
        <w:outlineLvl w:val="1"/>
        <w:rPr>
          <w:rFonts w:hint="eastAsia" w:ascii="仿宋" w:hAnsi="仿宋" w:eastAsia="仿宋" w:cs="仿宋"/>
          <w:b/>
          <w:color w:val="auto"/>
          <w:sz w:val="22"/>
          <w:szCs w:val="22"/>
          <w:highlight w:val="none"/>
        </w:rPr>
      </w:pPr>
      <w:r>
        <w:rPr>
          <w:rFonts w:hint="eastAsia" w:ascii="仿宋" w:hAnsi="仿宋" w:eastAsia="仿宋" w:cs="仿宋"/>
          <w:color w:val="auto"/>
          <w:sz w:val="22"/>
          <w:szCs w:val="22"/>
          <w:highlight w:val="none"/>
        </w:rPr>
        <w:t>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bookmarkEnd w:id="219"/>
    </w:p>
    <w:p w14:paraId="0CC43838">
      <w:pPr>
        <w:pStyle w:val="7"/>
        <w:ind w:firstLine="0"/>
        <w:jc w:val="center"/>
        <w:rPr>
          <w:rFonts w:hint="eastAsia" w:ascii="仿宋" w:hAnsi="仿宋" w:eastAsia="仿宋" w:cs="仿宋"/>
          <w:b/>
          <w:color w:val="auto"/>
          <w:sz w:val="36"/>
          <w:szCs w:val="36"/>
          <w:highlight w:val="none"/>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sectPr>
      </w:pPr>
    </w:p>
    <w:p w14:paraId="5599924A">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b/>
          <w:color w:val="auto"/>
          <w:kern w:val="2"/>
          <w:sz w:val="28"/>
          <w:szCs w:val="28"/>
          <w:highlight w:val="none"/>
          <w:lang w:val="en-US" w:eastAsia="zh-CN" w:bidi="ar-SA"/>
        </w:rPr>
        <w:t>（三）履约声明函</w:t>
      </w:r>
    </w:p>
    <w:p w14:paraId="0612FD16">
      <w:pPr>
        <w:pStyle w:val="12"/>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仿宋"/>
          <w:b/>
          <w:bCs/>
          <w:color w:val="auto"/>
          <w:kern w:val="2"/>
          <w:sz w:val="22"/>
          <w:szCs w:val="22"/>
          <w:highlight w:val="none"/>
          <w:lang w:val="zh-CN" w:eastAsia="zh-CN" w:bidi="ar-SA"/>
        </w:rPr>
        <w:t>伊宁市教育局</w:t>
      </w:r>
      <w:r>
        <w:rPr>
          <w:rFonts w:hint="eastAsia" w:ascii="仿宋" w:hAnsi="仿宋" w:eastAsia="仿宋" w:cs="仿宋"/>
          <w:b/>
          <w:bCs/>
          <w:color w:val="auto"/>
          <w:kern w:val="2"/>
          <w:sz w:val="22"/>
          <w:szCs w:val="22"/>
          <w:highlight w:val="none"/>
          <w:lang w:val="en-US" w:eastAsia="zh-CN" w:bidi="ar-SA"/>
        </w:rPr>
        <w:t>：</w:t>
      </w:r>
    </w:p>
    <w:p w14:paraId="4A803099">
      <w:pPr>
        <w:spacing w:line="460" w:lineRule="exact"/>
        <w:ind w:firstLine="440" w:firstLineChars="200"/>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我公司自愿参与项目名称为 </w:t>
      </w:r>
      <w:r>
        <w:rPr>
          <w:rFonts w:hint="eastAsia" w:ascii="仿宋" w:hAnsi="仿宋" w:eastAsia="仿宋" w:cs="仿宋"/>
          <w:color w:val="auto"/>
          <w:kern w:val="2"/>
          <w:sz w:val="22"/>
          <w:szCs w:val="22"/>
          <w:highlight w:val="none"/>
          <w:u w:val="single"/>
          <w:lang w:val="en-US" w:eastAsia="zh-CN" w:bidi="ar-SA"/>
        </w:rPr>
        <w:t xml:space="preserve">             </w:t>
      </w:r>
      <w:r>
        <w:rPr>
          <w:rFonts w:hint="eastAsia" w:ascii="仿宋" w:hAnsi="仿宋" w:eastAsia="仿宋" w:cs="仿宋"/>
          <w:color w:val="auto"/>
          <w:kern w:val="2"/>
          <w:sz w:val="22"/>
          <w:szCs w:val="22"/>
          <w:highlight w:val="none"/>
          <w:u w:val="none"/>
          <w:lang w:val="en-US" w:eastAsia="zh-CN" w:bidi="ar-SA"/>
        </w:rPr>
        <w:t>，</w:t>
      </w:r>
      <w:r>
        <w:rPr>
          <w:rFonts w:hint="eastAsia" w:ascii="仿宋" w:hAnsi="仿宋" w:eastAsia="仿宋" w:cs="仿宋"/>
          <w:color w:val="auto"/>
          <w:kern w:val="2"/>
          <w:sz w:val="22"/>
          <w:szCs w:val="22"/>
          <w:highlight w:val="none"/>
          <w:lang w:val="en-US" w:eastAsia="zh-CN" w:bidi="ar-SA"/>
        </w:rPr>
        <w:t xml:space="preserve">项目编号为 </w:t>
      </w:r>
      <w:r>
        <w:rPr>
          <w:rFonts w:hint="eastAsia" w:ascii="仿宋" w:hAnsi="仿宋" w:eastAsia="仿宋" w:cs="仿宋"/>
          <w:color w:val="auto"/>
          <w:kern w:val="2"/>
          <w:sz w:val="22"/>
          <w:szCs w:val="22"/>
          <w:highlight w:val="none"/>
          <w:u w:val="single"/>
          <w:lang w:val="en-US" w:eastAsia="zh-CN" w:bidi="ar-SA"/>
        </w:rPr>
        <w:t xml:space="preserve">           </w:t>
      </w:r>
      <w:r>
        <w:rPr>
          <w:rFonts w:hint="eastAsia" w:ascii="仿宋" w:hAnsi="仿宋" w:eastAsia="仿宋" w:cs="仿宋"/>
          <w:color w:val="auto"/>
          <w:kern w:val="2"/>
          <w:sz w:val="22"/>
          <w:szCs w:val="22"/>
          <w:highlight w:val="none"/>
          <w:lang w:val="en-US" w:eastAsia="zh-CN" w:bidi="ar-SA"/>
        </w:rPr>
        <w:t>项目的政府采购活动，我公司郑重声明：我方具有履行该项目合同的设备和专业技术能力,胜任本项目的服务工作。如本声明失实,我方自愿承担被取消中标资格等责任。</w:t>
      </w:r>
    </w:p>
    <w:p w14:paraId="33798923">
      <w:pPr>
        <w:pStyle w:val="66"/>
        <w:spacing w:line="460" w:lineRule="exact"/>
        <w:ind w:firstLine="440" w:firstLineChars="200"/>
        <w:jc w:val="both"/>
        <w:outlineLvl w:val="1"/>
        <w:rPr>
          <w:rFonts w:hint="eastAsia" w:ascii="仿宋" w:hAnsi="仿宋" w:eastAsia="仿宋" w:cs="仿宋"/>
          <w:color w:val="auto"/>
          <w:kern w:val="2"/>
          <w:sz w:val="22"/>
          <w:szCs w:val="22"/>
          <w:highlight w:val="none"/>
          <w:lang w:val="en-US" w:eastAsia="zh-CN" w:bidi="ar-SA"/>
        </w:rPr>
      </w:pPr>
      <w:bookmarkStart w:id="220" w:name="_Toc11421"/>
      <w:bookmarkStart w:id="221" w:name="_Toc3851"/>
      <w:bookmarkStart w:id="222" w:name="_Toc12593"/>
      <w:bookmarkStart w:id="223" w:name="_Toc9367"/>
      <w:r>
        <w:rPr>
          <w:rFonts w:hint="eastAsia" w:ascii="仿宋" w:hAnsi="仿宋" w:eastAsia="仿宋" w:cs="仿宋"/>
          <w:color w:val="auto"/>
          <w:kern w:val="2"/>
          <w:sz w:val="22"/>
          <w:szCs w:val="22"/>
          <w:highlight w:val="none"/>
          <w:lang w:val="en-US" w:eastAsia="zh-CN" w:bidi="ar-SA"/>
        </w:rPr>
        <w:t>特此声明</w:t>
      </w:r>
      <w:bookmarkEnd w:id="220"/>
      <w:bookmarkEnd w:id="221"/>
      <w:bookmarkEnd w:id="222"/>
      <w:bookmarkEnd w:id="223"/>
      <w:r>
        <w:rPr>
          <w:rFonts w:hint="eastAsia" w:ascii="仿宋" w:hAnsi="仿宋" w:eastAsia="仿宋" w:cs="仿宋"/>
          <w:color w:val="auto"/>
          <w:kern w:val="2"/>
          <w:sz w:val="22"/>
          <w:szCs w:val="22"/>
          <w:highlight w:val="none"/>
          <w:lang w:val="en-US" w:eastAsia="zh-CN" w:bidi="ar-SA"/>
        </w:rPr>
        <w:t>！</w:t>
      </w:r>
    </w:p>
    <w:p w14:paraId="0479C796">
      <w:pPr>
        <w:pStyle w:val="66"/>
        <w:spacing w:line="440" w:lineRule="exact"/>
        <w:jc w:val="center"/>
        <w:outlineLvl w:val="1"/>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           </w:t>
      </w:r>
    </w:p>
    <w:p w14:paraId="387F1A75">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承诺单位：  公司（公章）</w:t>
      </w:r>
    </w:p>
    <w:p w14:paraId="2BF48A1D">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法定代表人签字或签章：                     </w:t>
      </w:r>
    </w:p>
    <w:p w14:paraId="260DED9D">
      <w:pPr>
        <w:pStyle w:val="12"/>
        <w:keepNext w:val="0"/>
        <w:keepLines w:val="0"/>
        <w:pageBreakBefore w:val="0"/>
        <w:widowControl w:val="0"/>
        <w:kinsoku/>
        <w:wordWrap/>
        <w:overflowPunct/>
        <w:topLinePunct w:val="0"/>
        <w:autoSpaceDE/>
        <w:autoSpaceDN/>
        <w:bidi w:val="0"/>
        <w:adjustRightInd w:val="0"/>
        <w:snapToGrid w:val="0"/>
        <w:spacing w:line="480" w:lineRule="exact"/>
        <w:ind w:firstLine="5060" w:firstLineChars="2300"/>
        <w:jc w:val="both"/>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法定代表人身份证号：</w:t>
      </w:r>
    </w:p>
    <w:p w14:paraId="6D2613A9">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jc w:val="center"/>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 xml:space="preserve">                     20  年  月  日</w:t>
      </w:r>
    </w:p>
    <w:p w14:paraId="44687658">
      <w:pPr>
        <w:rPr>
          <w:rFonts w:hint="eastAsia" w:ascii="仿宋" w:hAnsi="仿宋" w:eastAsia="仿宋" w:cs="仿宋"/>
          <w:color w:val="auto"/>
          <w:highlight w:val="none"/>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sectPr>
      </w:pPr>
    </w:p>
    <w:p w14:paraId="4491D5A3">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bookmarkStart w:id="224" w:name="_Toc9832"/>
      <w:r>
        <w:rPr>
          <w:rFonts w:hint="eastAsia" w:ascii="仿宋" w:hAnsi="仿宋" w:eastAsia="仿宋" w:cs="仿宋"/>
          <w:b/>
          <w:color w:val="auto"/>
          <w:kern w:val="2"/>
          <w:sz w:val="32"/>
          <w:szCs w:val="32"/>
          <w:highlight w:val="none"/>
          <w:lang w:val="en-US" w:eastAsia="zh-CN" w:bidi="ar-SA"/>
        </w:rPr>
        <w:t>11.</w:t>
      </w:r>
      <w:bookmarkEnd w:id="224"/>
      <w:r>
        <w:rPr>
          <w:rFonts w:hint="eastAsia" w:ascii="仿宋" w:hAnsi="仿宋" w:eastAsia="仿宋" w:cs="仿宋"/>
          <w:b/>
          <w:color w:val="auto"/>
          <w:kern w:val="2"/>
          <w:sz w:val="32"/>
          <w:szCs w:val="32"/>
          <w:highlight w:val="none"/>
          <w:lang w:val="en-US" w:eastAsia="zh-CN" w:bidi="ar-SA"/>
        </w:rPr>
        <w:t>提供投标人享受政府采购优惠政策的证明材料</w:t>
      </w:r>
    </w:p>
    <w:p w14:paraId="562DA51C">
      <w:pPr>
        <w:pStyle w:val="12"/>
        <w:keepNext w:val="0"/>
        <w:keepLines w:val="0"/>
        <w:pageBreakBefore w:val="0"/>
        <w:widowControl w:val="0"/>
        <w:kinsoku/>
        <w:wordWrap/>
        <w:overflowPunct/>
        <w:topLinePunct w:val="0"/>
        <w:autoSpaceDE/>
        <w:autoSpaceDN/>
        <w:bidi w:val="0"/>
        <w:adjustRightInd w:val="0"/>
        <w:snapToGrid w:val="0"/>
        <w:spacing w:line="480" w:lineRule="exact"/>
        <w:ind w:firstLine="442" w:firstLineChars="200"/>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说明：本项目不专门面向中小企业采购；</w:t>
      </w:r>
    </w:p>
    <w:p w14:paraId="5298B32C">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（1）中小企业声明函格式见附件</w:t>
      </w:r>
      <w:r>
        <w:rPr>
          <w:rFonts w:hint="eastAsia" w:ascii="仿宋" w:hAnsi="仿宋" w:eastAsia="仿宋" w:cs="仿宋"/>
          <w:color w:val="auto"/>
          <w:sz w:val="22"/>
          <w:szCs w:val="22"/>
          <w:highlight w:val="none"/>
          <w:lang w:val="en-US" w:eastAsia="zh-CN"/>
        </w:rPr>
        <w:t>1</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lang w:val="zh-CN" w:eastAsia="zh-CN"/>
        </w:rPr>
        <w:t>本项目专门面向中小企业采购</w:t>
      </w:r>
      <w:r>
        <w:rPr>
          <w:rFonts w:hint="eastAsia" w:ascii="仿宋" w:hAnsi="仿宋" w:eastAsia="仿宋" w:cs="仿宋"/>
          <w:color w:val="auto"/>
          <w:sz w:val="22"/>
          <w:szCs w:val="22"/>
          <w:highlight w:val="none"/>
          <w:lang w:val="en-US" w:eastAsia="zh-CN"/>
        </w:rPr>
        <w:t>，投标人需提供《中小企业声明函》，</w:t>
      </w:r>
      <w:r>
        <w:rPr>
          <w:rFonts w:hint="eastAsia" w:ascii="仿宋" w:hAnsi="仿宋" w:eastAsia="仿宋" w:cs="仿宋"/>
          <w:color w:val="auto"/>
          <w:sz w:val="22"/>
          <w:szCs w:val="22"/>
          <w:highlight w:val="none"/>
        </w:rPr>
        <w:t>小微企业可提供该附件）</w:t>
      </w:r>
    </w:p>
    <w:p w14:paraId="1606E6F6">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（2）残疾人福利性单位声明函格式见附件</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；（非残疾人福利企业可不提供该附件）</w:t>
      </w:r>
    </w:p>
    <w:p w14:paraId="15F0701D">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（3）监狱企业证明文件见附件</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；（非监狱企业可不提供该附件）</w:t>
      </w:r>
    </w:p>
    <w:p w14:paraId="1866197E">
      <w:pPr>
        <w:pStyle w:val="41"/>
        <w:spacing w:line="400" w:lineRule="exact"/>
        <w:rPr>
          <w:rFonts w:hint="eastAsia" w:ascii="仿宋" w:hAnsi="仿宋" w:eastAsia="仿宋" w:cs="仿宋"/>
          <w:b/>
          <w:color w:val="auto"/>
          <w:sz w:val="28"/>
          <w:szCs w:val="28"/>
          <w:highlight w:val="none"/>
        </w:rPr>
      </w:pPr>
    </w:p>
    <w:p w14:paraId="27ECA94A">
      <w:pPr>
        <w:pStyle w:val="41"/>
        <w:spacing w:line="400" w:lineRule="exact"/>
        <w:rPr>
          <w:rFonts w:hint="eastAsia" w:ascii="仿宋" w:hAnsi="仿宋" w:eastAsia="仿宋" w:cs="仿宋"/>
          <w:b/>
          <w:color w:val="auto"/>
          <w:sz w:val="28"/>
          <w:szCs w:val="28"/>
          <w:highlight w:val="none"/>
        </w:rPr>
      </w:pPr>
    </w:p>
    <w:p w14:paraId="73CCEF3C">
      <w:pPr>
        <w:pStyle w:val="41"/>
        <w:spacing w:line="400" w:lineRule="exact"/>
        <w:rPr>
          <w:rFonts w:hint="eastAsia" w:ascii="仿宋" w:hAnsi="仿宋" w:eastAsia="仿宋" w:cs="仿宋"/>
          <w:b/>
          <w:color w:val="auto"/>
          <w:sz w:val="28"/>
          <w:szCs w:val="28"/>
          <w:highlight w:val="none"/>
        </w:rPr>
      </w:pPr>
    </w:p>
    <w:p w14:paraId="586EFC5A">
      <w:pPr>
        <w:pStyle w:val="41"/>
        <w:spacing w:line="400" w:lineRule="exact"/>
        <w:rPr>
          <w:rFonts w:hint="eastAsia" w:ascii="仿宋" w:hAnsi="仿宋" w:eastAsia="仿宋" w:cs="仿宋"/>
          <w:b/>
          <w:color w:val="auto"/>
          <w:sz w:val="28"/>
          <w:szCs w:val="28"/>
          <w:highlight w:val="none"/>
        </w:rPr>
      </w:pPr>
    </w:p>
    <w:p w14:paraId="399DA4B5">
      <w:pPr>
        <w:pStyle w:val="41"/>
        <w:spacing w:line="400" w:lineRule="exact"/>
        <w:rPr>
          <w:rFonts w:hint="eastAsia" w:ascii="仿宋" w:hAnsi="仿宋" w:eastAsia="仿宋" w:cs="仿宋"/>
          <w:b/>
          <w:color w:val="auto"/>
          <w:sz w:val="28"/>
          <w:szCs w:val="28"/>
          <w:highlight w:val="none"/>
        </w:rPr>
      </w:pPr>
    </w:p>
    <w:p w14:paraId="145FBE01">
      <w:pPr>
        <w:pStyle w:val="41"/>
        <w:spacing w:line="400" w:lineRule="exact"/>
        <w:rPr>
          <w:rFonts w:hint="eastAsia" w:ascii="仿宋" w:hAnsi="仿宋" w:eastAsia="仿宋" w:cs="仿宋"/>
          <w:b/>
          <w:color w:val="auto"/>
          <w:sz w:val="28"/>
          <w:szCs w:val="28"/>
          <w:highlight w:val="none"/>
        </w:rPr>
      </w:pPr>
    </w:p>
    <w:p w14:paraId="587CA4A1">
      <w:pPr>
        <w:pStyle w:val="41"/>
        <w:spacing w:line="400" w:lineRule="exact"/>
        <w:rPr>
          <w:rFonts w:hint="eastAsia" w:ascii="仿宋" w:hAnsi="仿宋" w:eastAsia="仿宋" w:cs="仿宋"/>
          <w:b/>
          <w:color w:val="auto"/>
          <w:sz w:val="28"/>
          <w:szCs w:val="28"/>
          <w:highlight w:val="none"/>
        </w:rPr>
      </w:pPr>
    </w:p>
    <w:p w14:paraId="5673FBF7">
      <w:pPr>
        <w:pStyle w:val="41"/>
        <w:spacing w:line="400" w:lineRule="exact"/>
        <w:rPr>
          <w:rFonts w:hint="eastAsia" w:ascii="仿宋" w:hAnsi="仿宋" w:eastAsia="仿宋" w:cs="仿宋"/>
          <w:b/>
          <w:color w:val="auto"/>
          <w:sz w:val="28"/>
          <w:szCs w:val="28"/>
          <w:highlight w:val="none"/>
        </w:rPr>
      </w:pPr>
    </w:p>
    <w:p w14:paraId="25F646D2">
      <w:pPr>
        <w:pStyle w:val="41"/>
        <w:spacing w:line="400" w:lineRule="exact"/>
        <w:rPr>
          <w:rFonts w:hint="eastAsia" w:ascii="仿宋" w:hAnsi="仿宋" w:eastAsia="仿宋" w:cs="仿宋"/>
          <w:b/>
          <w:color w:val="auto"/>
          <w:sz w:val="28"/>
          <w:szCs w:val="28"/>
          <w:highlight w:val="none"/>
        </w:rPr>
      </w:pPr>
    </w:p>
    <w:p w14:paraId="378175E1">
      <w:pPr>
        <w:pStyle w:val="41"/>
        <w:spacing w:line="400" w:lineRule="exact"/>
        <w:rPr>
          <w:rFonts w:hint="eastAsia" w:ascii="仿宋" w:hAnsi="仿宋" w:eastAsia="仿宋" w:cs="仿宋"/>
          <w:b/>
          <w:color w:val="auto"/>
          <w:sz w:val="28"/>
          <w:szCs w:val="28"/>
          <w:highlight w:val="none"/>
        </w:rPr>
      </w:pPr>
    </w:p>
    <w:p w14:paraId="39ED2349">
      <w:pPr>
        <w:pStyle w:val="41"/>
        <w:spacing w:line="400" w:lineRule="exact"/>
        <w:rPr>
          <w:rFonts w:hint="eastAsia" w:ascii="仿宋" w:hAnsi="仿宋" w:eastAsia="仿宋" w:cs="仿宋"/>
          <w:b/>
          <w:color w:val="auto"/>
          <w:sz w:val="28"/>
          <w:szCs w:val="28"/>
          <w:highlight w:val="none"/>
        </w:rPr>
      </w:pPr>
    </w:p>
    <w:p w14:paraId="3F85CBD0">
      <w:pPr>
        <w:pStyle w:val="41"/>
        <w:spacing w:line="400" w:lineRule="exact"/>
        <w:rPr>
          <w:rFonts w:hint="eastAsia" w:ascii="仿宋" w:hAnsi="仿宋" w:eastAsia="仿宋" w:cs="仿宋"/>
          <w:b/>
          <w:color w:val="auto"/>
          <w:sz w:val="28"/>
          <w:szCs w:val="28"/>
          <w:highlight w:val="none"/>
        </w:rPr>
      </w:pPr>
    </w:p>
    <w:p w14:paraId="2C7487FA">
      <w:pPr>
        <w:pStyle w:val="41"/>
        <w:spacing w:line="400" w:lineRule="exact"/>
        <w:rPr>
          <w:rFonts w:hint="eastAsia" w:ascii="仿宋" w:hAnsi="仿宋" w:eastAsia="仿宋" w:cs="仿宋"/>
          <w:b/>
          <w:color w:val="auto"/>
          <w:sz w:val="28"/>
          <w:szCs w:val="28"/>
          <w:highlight w:val="none"/>
        </w:rPr>
      </w:pPr>
    </w:p>
    <w:p w14:paraId="6D321303">
      <w:pPr>
        <w:pStyle w:val="41"/>
        <w:spacing w:line="400" w:lineRule="exact"/>
        <w:rPr>
          <w:rFonts w:hint="eastAsia" w:ascii="仿宋" w:hAnsi="仿宋" w:eastAsia="仿宋" w:cs="仿宋"/>
          <w:b/>
          <w:color w:val="auto"/>
          <w:sz w:val="28"/>
          <w:szCs w:val="28"/>
          <w:highlight w:val="none"/>
        </w:rPr>
      </w:pPr>
    </w:p>
    <w:p w14:paraId="760B689D">
      <w:pPr>
        <w:pStyle w:val="41"/>
        <w:spacing w:line="400" w:lineRule="exact"/>
        <w:rPr>
          <w:rFonts w:hint="eastAsia" w:ascii="仿宋" w:hAnsi="仿宋" w:eastAsia="仿宋" w:cs="仿宋"/>
          <w:b/>
          <w:color w:val="auto"/>
          <w:sz w:val="28"/>
          <w:szCs w:val="28"/>
          <w:highlight w:val="none"/>
        </w:rPr>
      </w:pPr>
    </w:p>
    <w:p w14:paraId="2D7B9017">
      <w:pPr>
        <w:pStyle w:val="41"/>
        <w:spacing w:line="400" w:lineRule="exact"/>
        <w:rPr>
          <w:rFonts w:hint="eastAsia" w:ascii="仿宋" w:hAnsi="仿宋" w:eastAsia="仿宋" w:cs="仿宋"/>
          <w:b/>
          <w:color w:val="auto"/>
          <w:sz w:val="28"/>
          <w:szCs w:val="28"/>
          <w:highlight w:val="none"/>
        </w:rPr>
      </w:pPr>
    </w:p>
    <w:p w14:paraId="4687B454">
      <w:pPr>
        <w:pStyle w:val="41"/>
        <w:spacing w:line="400" w:lineRule="exact"/>
        <w:rPr>
          <w:rFonts w:hint="eastAsia" w:ascii="仿宋" w:hAnsi="仿宋" w:eastAsia="仿宋" w:cs="仿宋"/>
          <w:b/>
          <w:color w:val="auto"/>
          <w:sz w:val="28"/>
          <w:szCs w:val="28"/>
          <w:highlight w:val="none"/>
        </w:rPr>
      </w:pPr>
    </w:p>
    <w:p w14:paraId="6BE9CB6A">
      <w:pPr>
        <w:pStyle w:val="41"/>
        <w:spacing w:line="400" w:lineRule="exact"/>
        <w:rPr>
          <w:rFonts w:hint="eastAsia" w:ascii="仿宋" w:hAnsi="仿宋" w:eastAsia="仿宋" w:cs="仿宋"/>
          <w:b/>
          <w:color w:val="auto"/>
          <w:sz w:val="28"/>
          <w:szCs w:val="28"/>
          <w:highlight w:val="none"/>
        </w:rPr>
      </w:pPr>
    </w:p>
    <w:p w14:paraId="5C7A11D5">
      <w:pPr>
        <w:pStyle w:val="41"/>
        <w:spacing w:line="400" w:lineRule="exact"/>
        <w:rPr>
          <w:rFonts w:hint="eastAsia" w:ascii="仿宋" w:hAnsi="仿宋" w:eastAsia="仿宋" w:cs="仿宋"/>
          <w:b/>
          <w:color w:val="auto"/>
          <w:sz w:val="28"/>
          <w:szCs w:val="28"/>
          <w:highlight w:val="none"/>
        </w:rPr>
      </w:pPr>
    </w:p>
    <w:p w14:paraId="3C184F2C">
      <w:pPr>
        <w:pStyle w:val="41"/>
        <w:spacing w:line="400" w:lineRule="exact"/>
        <w:rPr>
          <w:rFonts w:hint="eastAsia" w:ascii="仿宋" w:hAnsi="仿宋" w:eastAsia="仿宋" w:cs="仿宋"/>
          <w:b/>
          <w:color w:val="auto"/>
          <w:sz w:val="28"/>
          <w:szCs w:val="28"/>
          <w:highlight w:val="none"/>
        </w:rPr>
      </w:pPr>
    </w:p>
    <w:p w14:paraId="2DE9EBC1">
      <w:pPr>
        <w:pStyle w:val="41"/>
        <w:spacing w:line="400" w:lineRule="exact"/>
        <w:rPr>
          <w:rFonts w:hint="eastAsia" w:ascii="仿宋" w:hAnsi="仿宋" w:eastAsia="仿宋" w:cs="仿宋"/>
          <w:b/>
          <w:color w:val="auto"/>
          <w:sz w:val="28"/>
          <w:szCs w:val="28"/>
          <w:highlight w:val="none"/>
        </w:rPr>
      </w:pPr>
    </w:p>
    <w:p w14:paraId="20B02F09">
      <w:pPr>
        <w:pStyle w:val="41"/>
        <w:spacing w:line="400" w:lineRule="exact"/>
        <w:rPr>
          <w:rFonts w:hint="eastAsia" w:ascii="仿宋" w:hAnsi="仿宋" w:eastAsia="仿宋" w:cs="仿宋"/>
          <w:b/>
          <w:color w:val="auto"/>
          <w:sz w:val="28"/>
          <w:szCs w:val="28"/>
          <w:highlight w:val="none"/>
        </w:rPr>
      </w:pPr>
    </w:p>
    <w:p w14:paraId="609B1F26">
      <w:pPr>
        <w:pStyle w:val="41"/>
        <w:spacing w:line="400" w:lineRule="exact"/>
        <w:rPr>
          <w:rFonts w:hint="eastAsia" w:ascii="仿宋" w:hAnsi="仿宋" w:eastAsia="仿宋" w:cs="仿宋"/>
          <w:b/>
          <w:color w:val="auto"/>
          <w:sz w:val="28"/>
          <w:szCs w:val="28"/>
          <w:highlight w:val="none"/>
        </w:rPr>
      </w:pPr>
    </w:p>
    <w:p w14:paraId="353D07E3">
      <w:pPr>
        <w:pStyle w:val="41"/>
        <w:spacing w:line="400" w:lineRule="exact"/>
        <w:rPr>
          <w:rFonts w:hint="eastAsia" w:ascii="仿宋" w:hAnsi="仿宋" w:eastAsia="仿宋" w:cs="仿宋"/>
          <w:b/>
          <w:color w:val="auto"/>
          <w:sz w:val="28"/>
          <w:szCs w:val="28"/>
          <w:highlight w:val="none"/>
        </w:rPr>
      </w:pPr>
    </w:p>
    <w:p w14:paraId="54C9A810">
      <w:pPr>
        <w:pStyle w:val="41"/>
        <w:spacing w:line="400" w:lineRule="exact"/>
        <w:rPr>
          <w:rFonts w:hint="eastAsia" w:ascii="仿宋" w:hAnsi="仿宋" w:eastAsia="仿宋" w:cs="仿宋"/>
          <w:b/>
          <w:color w:val="auto"/>
          <w:sz w:val="28"/>
          <w:szCs w:val="28"/>
          <w:highlight w:val="none"/>
        </w:rPr>
      </w:pPr>
    </w:p>
    <w:p w14:paraId="67007DEE">
      <w:pPr>
        <w:pStyle w:val="41"/>
        <w:spacing w:line="400" w:lineRule="exact"/>
        <w:rPr>
          <w:rFonts w:hint="eastAsia" w:ascii="仿宋" w:hAnsi="仿宋" w:eastAsia="仿宋" w:cs="仿宋"/>
          <w:b/>
          <w:color w:val="auto"/>
          <w:sz w:val="28"/>
          <w:szCs w:val="28"/>
          <w:highlight w:val="none"/>
        </w:rPr>
      </w:pPr>
    </w:p>
    <w:p w14:paraId="1D7BC2D5">
      <w:pPr>
        <w:pStyle w:val="41"/>
        <w:spacing w:line="400" w:lineRule="exact"/>
        <w:rPr>
          <w:rFonts w:hint="eastAsia" w:ascii="仿宋" w:hAnsi="仿宋" w:eastAsia="仿宋" w:cs="仿宋"/>
          <w:b/>
          <w:color w:val="auto"/>
          <w:sz w:val="28"/>
          <w:szCs w:val="28"/>
          <w:highlight w:val="none"/>
        </w:rPr>
      </w:pPr>
    </w:p>
    <w:p w14:paraId="41BE8FF0">
      <w:pPr>
        <w:pStyle w:val="41"/>
        <w:keepNext w:val="0"/>
        <w:keepLines w:val="0"/>
        <w:pageBreakBefore w:val="0"/>
        <w:widowControl w:val="0"/>
        <w:kinsoku/>
        <w:wordWrap/>
        <w:overflowPunct/>
        <w:topLinePunct w:val="0"/>
        <w:autoSpaceDE/>
        <w:autoSpaceDN/>
        <w:bidi w:val="0"/>
        <w:spacing w:line="480" w:lineRule="exact"/>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附件</w:t>
      </w:r>
      <w:r>
        <w:rPr>
          <w:rFonts w:hint="eastAsia" w:ascii="仿宋" w:hAnsi="仿宋" w:eastAsia="仿宋" w:cs="仿宋"/>
          <w:b/>
          <w:bCs/>
          <w:color w:val="auto"/>
          <w:sz w:val="22"/>
          <w:szCs w:val="22"/>
          <w:highlight w:val="none"/>
          <w:lang w:val="en-US" w:eastAsia="zh-CN"/>
        </w:rPr>
        <w:t>1</w:t>
      </w:r>
      <w:r>
        <w:rPr>
          <w:rFonts w:hint="eastAsia" w:ascii="仿宋" w:hAnsi="仿宋" w:eastAsia="仿宋" w:cs="仿宋"/>
          <w:b/>
          <w:bCs/>
          <w:color w:val="auto"/>
          <w:sz w:val="22"/>
          <w:szCs w:val="22"/>
          <w:highlight w:val="none"/>
        </w:rPr>
        <w:t>：</w:t>
      </w:r>
    </w:p>
    <w:p w14:paraId="23D2C6BB">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kern w:val="0"/>
          <w:sz w:val="22"/>
          <w:szCs w:val="22"/>
          <w:highlight w:val="none"/>
        </w:rPr>
        <w:t>中小企业声明函</w:t>
      </w:r>
    </w:p>
    <w:p w14:paraId="6E75798E">
      <w:pPr>
        <w:keepNext w:val="0"/>
        <w:keepLines w:val="0"/>
        <w:pageBreakBefore w:val="0"/>
        <w:widowControl w:val="0"/>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 xml:space="preserve">本公司郑重声明，根据《政府采购促进中小企业发展管理办法》（财库〔2020〕46 号）的规定，本公司参加 </w:t>
      </w:r>
      <w:r>
        <w:rPr>
          <w:rFonts w:hint="eastAsia" w:ascii="仿宋" w:hAnsi="仿宋" w:eastAsia="仿宋" w:cs="仿宋"/>
          <w:color w:val="auto"/>
          <w:sz w:val="22"/>
          <w:szCs w:val="22"/>
          <w:highlight w:val="none"/>
          <w:u w:val="single"/>
        </w:rPr>
        <w:t xml:space="preserve">（单位名称） </w:t>
      </w:r>
      <w:r>
        <w:rPr>
          <w:rFonts w:hint="eastAsia" w:ascii="仿宋" w:hAnsi="仿宋" w:eastAsia="仿宋" w:cs="仿宋"/>
          <w:color w:val="auto"/>
          <w:sz w:val="22"/>
          <w:szCs w:val="22"/>
          <w:highlight w:val="none"/>
        </w:rPr>
        <w:t xml:space="preserve">的 </w:t>
      </w:r>
      <w:r>
        <w:rPr>
          <w:rFonts w:hint="eastAsia" w:ascii="仿宋" w:hAnsi="仿宋" w:eastAsia="仿宋" w:cs="仿宋"/>
          <w:color w:val="auto"/>
          <w:sz w:val="22"/>
          <w:szCs w:val="22"/>
          <w:highlight w:val="none"/>
          <w:u w:val="single"/>
        </w:rPr>
        <w:t xml:space="preserve">（项目名称） </w:t>
      </w:r>
      <w:r>
        <w:rPr>
          <w:rFonts w:hint="eastAsia" w:ascii="仿宋" w:hAnsi="仿宋" w:eastAsia="仿宋" w:cs="仿宋"/>
          <w:color w:val="auto"/>
          <w:sz w:val="22"/>
          <w:szCs w:val="22"/>
          <w:highlight w:val="none"/>
        </w:rPr>
        <w:t>采购活动，提供的货物全部由符合政策要求的中小企业制造。相关企业（含联合体中的中小企业、签订分包意向协议的中小企业）的具体情况如下：</w:t>
      </w:r>
    </w:p>
    <w:p w14:paraId="05EF2556">
      <w:pPr>
        <w:keepNext w:val="0"/>
        <w:keepLines w:val="0"/>
        <w:pageBreakBefore w:val="0"/>
        <w:widowControl w:val="0"/>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sz w:val="22"/>
          <w:szCs w:val="22"/>
          <w:highlight w:val="none"/>
        </w:rPr>
      </w:pPr>
      <w:bookmarkStart w:id="225" w:name="_Toc417911732"/>
      <w:bookmarkStart w:id="226" w:name="_Toc413748654"/>
      <w:bookmarkStart w:id="227" w:name="_Toc387147344"/>
      <w:bookmarkStart w:id="228" w:name="_Toc387658050"/>
      <w:bookmarkStart w:id="229" w:name="_Toc419811733"/>
      <w:r>
        <w:rPr>
          <w:rFonts w:hint="eastAsia" w:ascii="仿宋" w:hAnsi="仿宋" w:eastAsia="仿宋" w:cs="仿宋"/>
          <w:color w:val="auto"/>
          <w:sz w:val="22"/>
          <w:szCs w:val="22"/>
          <w:highlight w:val="none"/>
        </w:rPr>
        <w:t xml:space="preserve">1. </w:t>
      </w:r>
      <w:r>
        <w:rPr>
          <w:rFonts w:hint="eastAsia" w:ascii="仿宋" w:hAnsi="仿宋" w:eastAsia="仿宋" w:cs="仿宋"/>
          <w:color w:val="auto"/>
          <w:sz w:val="22"/>
          <w:szCs w:val="22"/>
          <w:highlight w:val="none"/>
          <w:u w:val="single"/>
        </w:rPr>
        <w:t xml:space="preserve">（标的名称） </w:t>
      </w:r>
      <w:r>
        <w:rPr>
          <w:rFonts w:hint="eastAsia" w:ascii="仿宋" w:hAnsi="仿宋" w:eastAsia="仿宋" w:cs="仿宋"/>
          <w:color w:val="auto"/>
          <w:sz w:val="22"/>
          <w:szCs w:val="22"/>
          <w:highlight w:val="none"/>
        </w:rPr>
        <w:t>，属于</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u w:val="single"/>
          <w:lang w:val="en-US" w:eastAsia="zh-CN"/>
        </w:rPr>
        <w:t>工业</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；制造商为</w:t>
      </w:r>
      <w:r>
        <w:rPr>
          <w:rFonts w:hint="eastAsia" w:ascii="仿宋" w:hAnsi="仿宋" w:eastAsia="仿宋" w:cs="仿宋"/>
          <w:color w:val="auto"/>
          <w:sz w:val="22"/>
          <w:szCs w:val="22"/>
          <w:highlight w:val="none"/>
          <w:u w:val="single"/>
        </w:rPr>
        <w:t xml:space="preserve"> （企业名称） </w:t>
      </w:r>
      <w:r>
        <w:rPr>
          <w:rFonts w:hint="eastAsia" w:ascii="仿宋" w:hAnsi="仿宋" w:eastAsia="仿宋" w:cs="仿宋"/>
          <w:color w:val="auto"/>
          <w:sz w:val="22"/>
          <w:szCs w:val="22"/>
          <w:highlight w:val="none"/>
        </w:rPr>
        <w:t>，从业人员</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人，营业收入为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万元，资产总额为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万元，属于</w:t>
      </w:r>
      <w:r>
        <w:rPr>
          <w:rFonts w:hint="eastAsia" w:ascii="仿宋" w:hAnsi="仿宋" w:eastAsia="仿宋" w:cs="仿宋"/>
          <w:color w:val="auto"/>
          <w:sz w:val="22"/>
          <w:szCs w:val="22"/>
          <w:highlight w:val="none"/>
          <w:u w:val="single"/>
        </w:rPr>
        <w:t xml:space="preserve"> （中型企业、小型企业、微型企业） </w:t>
      </w:r>
      <w:r>
        <w:rPr>
          <w:rFonts w:hint="eastAsia" w:ascii="仿宋" w:hAnsi="仿宋" w:eastAsia="仿宋" w:cs="仿宋"/>
          <w:color w:val="auto"/>
          <w:sz w:val="22"/>
          <w:szCs w:val="22"/>
          <w:highlight w:val="none"/>
        </w:rPr>
        <w:t>；</w:t>
      </w:r>
    </w:p>
    <w:p w14:paraId="37773CE5">
      <w:pPr>
        <w:keepNext w:val="0"/>
        <w:keepLines w:val="0"/>
        <w:pageBreakBefore w:val="0"/>
        <w:widowControl w:val="0"/>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w:t>
      </w:r>
      <w:r>
        <w:rPr>
          <w:rFonts w:hint="eastAsia" w:ascii="仿宋" w:hAnsi="仿宋" w:eastAsia="仿宋" w:cs="仿宋"/>
          <w:color w:val="auto"/>
          <w:sz w:val="22"/>
          <w:szCs w:val="22"/>
          <w:highlight w:val="none"/>
          <w:u w:val="single"/>
        </w:rPr>
        <w:t xml:space="preserve"> （标的名称） </w:t>
      </w:r>
      <w:r>
        <w:rPr>
          <w:rFonts w:hint="eastAsia" w:ascii="仿宋" w:hAnsi="仿宋" w:eastAsia="仿宋" w:cs="仿宋"/>
          <w:color w:val="auto"/>
          <w:sz w:val="22"/>
          <w:szCs w:val="22"/>
          <w:highlight w:val="none"/>
        </w:rPr>
        <w:t>，属于</w:t>
      </w:r>
      <w:r>
        <w:rPr>
          <w:rFonts w:hint="eastAsia" w:ascii="仿宋" w:hAnsi="仿宋" w:eastAsia="仿宋" w:cs="仿宋"/>
          <w:color w:val="auto"/>
          <w:sz w:val="22"/>
          <w:szCs w:val="22"/>
          <w:highlight w:val="none"/>
          <w:u w:val="single"/>
        </w:rPr>
        <w:t xml:space="preserve"> （采购文件中明确的所属行业） </w:t>
      </w:r>
      <w:r>
        <w:rPr>
          <w:rFonts w:hint="eastAsia" w:ascii="仿宋" w:hAnsi="仿宋" w:eastAsia="仿宋" w:cs="仿宋"/>
          <w:color w:val="auto"/>
          <w:sz w:val="22"/>
          <w:szCs w:val="22"/>
          <w:highlight w:val="none"/>
        </w:rPr>
        <w:t>；制造商为</w:t>
      </w:r>
      <w:r>
        <w:rPr>
          <w:rFonts w:hint="eastAsia" w:ascii="仿宋" w:hAnsi="仿宋" w:eastAsia="仿宋" w:cs="仿宋"/>
          <w:color w:val="auto"/>
          <w:sz w:val="22"/>
          <w:szCs w:val="22"/>
          <w:highlight w:val="none"/>
          <w:u w:val="single"/>
        </w:rPr>
        <w:t xml:space="preserve"> （企业名称） </w:t>
      </w:r>
      <w:r>
        <w:rPr>
          <w:rFonts w:hint="eastAsia" w:ascii="仿宋" w:hAnsi="仿宋" w:eastAsia="仿宋" w:cs="仿宋"/>
          <w:color w:val="auto"/>
          <w:sz w:val="22"/>
          <w:szCs w:val="22"/>
          <w:highlight w:val="none"/>
        </w:rPr>
        <w:t>，从业人员</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人，营业收入为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万元，资产总额为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万元，属于</w:t>
      </w:r>
      <w:r>
        <w:rPr>
          <w:rFonts w:hint="eastAsia" w:ascii="仿宋" w:hAnsi="仿宋" w:eastAsia="仿宋" w:cs="仿宋"/>
          <w:color w:val="auto"/>
          <w:sz w:val="22"/>
          <w:szCs w:val="22"/>
          <w:highlight w:val="none"/>
          <w:u w:val="single"/>
        </w:rPr>
        <w:t xml:space="preserve"> （中型企业、小型企业、微型企业） </w:t>
      </w:r>
      <w:r>
        <w:rPr>
          <w:rFonts w:hint="eastAsia" w:ascii="仿宋" w:hAnsi="仿宋" w:eastAsia="仿宋" w:cs="仿宋"/>
          <w:color w:val="auto"/>
          <w:sz w:val="22"/>
          <w:szCs w:val="22"/>
          <w:highlight w:val="none"/>
        </w:rPr>
        <w:t>；</w:t>
      </w:r>
    </w:p>
    <w:p w14:paraId="257112AE">
      <w:pPr>
        <w:keepNext w:val="0"/>
        <w:keepLines w:val="0"/>
        <w:pageBreakBefore w:val="0"/>
        <w:widowControl w:val="0"/>
        <w:kinsoku/>
        <w:wordWrap/>
        <w:overflowPunct/>
        <w:topLinePunct w:val="0"/>
        <w:autoSpaceDE/>
        <w:autoSpaceDN/>
        <w:bidi w:val="0"/>
        <w:spacing w:line="480" w:lineRule="exact"/>
        <w:ind w:firstLine="550" w:firstLineChars="25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p>
    <w:p w14:paraId="12BAE415">
      <w:pPr>
        <w:keepNext w:val="0"/>
        <w:keepLines w:val="0"/>
        <w:pageBreakBefore w:val="0"/>
        <w:widowControl w:val="0"/>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以上企业，不属于大企业的分支机构，不存在控股股东为大企业的情形，也不存在与大企业的负责人为同一人的情形。</w:t>
      </w:r>
    </w:p>
    <w:p w14:paraId="32E18E90">
      <w:pPr>
        <w:keepNext w:val="0"/>
        <w:keepLines w:val="0"/>
        <w:pageBreakBefore w:val="0"/>
        <w:widowControl w:val="0"/>
        <w:kinsoku/>
        <w:wordWrap/>
        <w:overflowPunct/>
        <w:topLinePunct w:val="0"/>
        <w:autoSpaceDE/>
        <w:autoSpaceDN/>
        <w:bidi w:val="0"/>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本企业对上述声明内容的真实性负责。如有虚假，将依法承担相应责任。</w:t>
      </w:r>
    </w:p>
    <w:p w14:paraId="4FE1D7F9">
      <w:pPr>
        <w:keepNext w:val="0"/>
        <w:keepLines w:val="0"/>
        <w:pageBreakBefore w:val="0"/>
        <w:widowControl w:val="0"/>
        <w:kinsoku/>
        <w:wordWrap/>
        <w:overflowPunct/>
        <w:topLinePunct w:val="0"/>
        <w:autoSpaceDE/>
        <w:autoSpaceDN/>
        <w:bidi w:val="0"/>
        <w:spacing w:line="480" w:lineRule="exact"/>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企业名称（盖章）：</w:t>
      </w:r>
    </w:p>
    <w:p w14:paraId="25E56481">
      <w:pPr>
        <w:keepNext w:val="0"/>
        <w:keepLines w:val="0"/>
        <w:pageBreakBefore w:val="0"/>
        <w:widowControl w:val="0"/>
        <w:kinsoku/>
        <w:wordWrap/>
        <w:overflowPunct/>
        <w:topLinePunct w:val="0"/>
        <w:autoSpaceDE/>
        <w:autoSpaceDN/>
        <w:bidi w:val="0"/>
        <w:spacing w:line="480" w:lineRule="exact"/>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                       日 期：</w:t>
      </w:r>
    </w:p>
    <w:bookmarkEnd w:id="225"/>
    <w:bookmarkEnd w:id="226"/>
    <w:bookmarkEnd w:id="227"/>
    <w:bookmarkEnd w:id="228"/>
    <w:bookmarkEnd w:id="229"/>
    <w:p w14:paraId="1E193FE7">
      <w:pPr>
        <w:adjustRightInd w:val="0"/>
        <w:snapToGrid w:val="0"/>
        <w:spacing w:line="360" w:lineRule="auto"/>
        <w:rPr>
          <w:rFonts w:hint="eastAsia" w:ascii="仿宋" w:hAnsi="仿宋" w:eastAsia="仿宋" w:cs="仿宋"/>
          <w:color w:val="auto"/>
          <w:sz w:val="28"/>
          <w:szCs w:val="28"/>
          <w:highlight w:val="none"/>
        </w:rPr>
      </w:pPr>
    </w:p>
    <w:p w14:paraId="4F724795">
      <w:pPr>
        <w:rPr>
          <w:rFonts w:hint="eastAsia" w:ascii="仿宋" w:hAnsi="仿宋" w:eastAsia="仿宋" w:cs="仿宋"/>
          <w:color w:val="auto"/>
          <w:highlight w:val="none"/>
        </w:rPr>
      </w:pPr>
    </w:p>
    <w:p w14:paraId="365143E5">
      <w:pPr>
        <w:adjustRightInd w:val="0"/>
        <w:snapToGrid w:val="0"/>
        <w:spacing w:line="360" w:lineRule="auto"/>
        <w:rPr>
          <w:rFonts w:hint="eastAsia" w:ascii="仿宋" w:hAnsi="仿宋" w:eastAsia="仿宋" w:cs="仿宋"/>
          <w:color w:val="auto"/>
          <w:sz w:val="28"/>
          <w:szCs w:val="28"/>
          <w:highlight w:val="none"/>
        </w:rPr>
      </w:pPr>
    </w:p>
    <w:p w14:paraId="5F34071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3D51EE11">
      <w:pPr>
        <w:keepNext w:val="0"/>
        <w:keepLines w:val="0"/>
        <w:pageBreakBefore w:val="0"/>
        <w:widowControl w:val="0"/>
        <w:kinsoku/>
        <w:wordWrap/>
        <w:overflowPunct/>
        <w:topLinePunct w:val="0"/>
        <w:autoSpaceDE/>
        <w:autoSpaceDN/>
        <w:bidi w:val="0"/>
        <w:adjustRightInd w:val="0"/>
        <w:snapToGrid w:val="0"/>
        <w:spacing w:line="480" w:lineRule="exact"/>
        <w:ind w:right="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附件</w:t>
      </w:r>
      <w:r>
        <w:rPr>
          <w:rFonts w:hint="eastAsia" w:ascii="仿宋" w:hAnsi="仿宋" w:eastAsia="仿宋" w:cs="仿宋"/>
          <w:b/>
          <w:bCs/>
          <w:color w:val="auto"/>
          <w:sz w:val="22"/>
          <w:szCs w:val="22"/>
          <w:highlight w:val="none"/>
          <w:lang w:val="en-US" w:eastAsia="zh-CN"/>
        </w:rPr>
        <w:t>2</w:t>
      </w:r>
      <w:r>
        <w:rPr>
          <w:rFonts w:hint="eastAsia" w:ascii="仿宋" w:hAnsi="仿宋" w:eastAsia="仿宋" w:cs="仿宋"/>
          <w:b/>
          <w:bCs/>
          <w:color w:val="auto"/>
          <w:sz w:val="22"/>
          <w:szCs w:val="22"/>
          <w:highlight w:val="none"/>
        </w:rPr>
        <w:t>：</w:t>
      </w:r>
    </w:p>
    <w:p w14:paraId="7A7691DA">
      <w:pPr>
        <w:keepNext w:val="0"/>
        <w:keepLines w:val="0"/>
        <w:pageBreakBefore w:val="0"/>
        <w:widowControl w:val="0"/>
        <w:kinsoku/>
        <w:wordWrap/>
        <w:overflowPunct/>
        <w:topLinePunct w:val="0"/>
        <w:autoSpaceDE/>
        <w:autoSpaceDN/>
        <w:bidi w:val="0"/>
        <w:spacing w:line="480" w:lineRule="exact"/>
        <w:ind w:right="0"/>
        <w:jc w:val="center"/>
        <w:textAlignment w:val="auto"/>
        <w:rPr>
          <w:rFonts w:hint="eastAsia" w:ascii="仿宋" w:hAnsi="仿宋" w:eastAsia="仿宋" w:cs="仿宋"/>
          <w:b/>
          <w:color w:val="auto"/>
          <w:spacing w:val="6"/>
          <w:sz w:val="22"/>
          <w:szCs w:val="22"/>
          <w:highlight w:val="none"/>
        </w:rPr>
      </w:pPr>
      <w:bookmarkStart w:id="230" w:name="OLE_LINK14"/>
      <w:bookmarkStart w:id="231" w:name="OLE_LINK13"/>
      <w:r>
        <w:rPr>
          <w:rFonts w:hint="eastAsia" w:ascii="仿宋" w:hAnsi="仿宋" w:eastAsia="仿宋" w:cs="仿宋"/>
          <w:b/>
          <w:color w:val="auto"/>
          <w:spacing w:val="6"/>
          <w:sz w:val="22"/>
          <w:szCs w:val="22"/>
          <w:highlight w:val="none"/>
        </w:rPr>
        <w:t>残疾人福利性单位声明函</w:t>
      </w:r>
      <w:bookmarkEnd w:id="230"/>
      <w:bookmarkEnd w:id="231"/>
    </w:p>
    <w:p w14:paraId="536B8E35">
      <w:pPr>
        <w:keepNext w:val="0"/>
        <w:keepLines w:val="0"/>
        <w:pageBreakBefore w:val="0"/>
        <w:widowControl w:val="0"/>
        <w:kinsoku/>
        <w:wordWrap/>
        <w:overflowPunct/>
        <w:topLinePunct w:val="0"/>
        <w:autoSpaceDE/>
        <w:autoSpaceDN/>
        <w:bidi w:val="0"/>
        <w:spacing w:line="480" w:lineRule="exact"/>
        <w:ind w:right="0" w:firstLine="464" w:firstLineChars="200"/>
        <w:textAlignment w:val="auto"/>
        <w:rPr>
          <w:rFonts w:hint="eastAsia"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rPr>
        <w:t>本单位郑重声明，根据《财政部 民政部 中国残疾人联合会关于促进残疾人就业政府采购政策的通知》（财库</w:t>
      </w:r>
      <w:r>
        <w:rPr>
          <w:rFonts w:hint="eastAsia" w:ascii="仿宋" w:hAnsi="仿宋" w:eastAsia="仿宋" w:cs="仿宋"/>
          <w:color w:val="auto"/>
          <w:sz w:val="22"/>
          <w:szCs w:val="22"/>
          <w:highlight w:val="none"/>
        </w:rPr>
        <w:t>〔2017〕 141</w:t>
      </w:r>
      <w:r>
        <w:rPr>
          <w:rFonts w:hint="eastAsia" w:ascii="仿宋" w:hAnsi="仿宋" w:eastAsia="仿宋" w:cs="仿宋"/>
          <w:color w:val="auto"/>
          <w:spacing w:val="6"/>
          <w:sz w:val="22"/>
          <w:szCs w:val="2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4FA292A">
      <w:pPr>
        <w:keepNext w:val="0"/>
        <w:keepLines w:val="0"/>
        <w:pageBreakBefore w:val="0"/>
        <w:widowControl w:val="0"/>
        <w:kinsoku/>
        <w:wordWrap/>
        <w:overflowPunct/>
        <w:topLinePunct w:val="0"/>
        <w:autoSpaceDE/>
        <w:autoSpaceDN/>
        <w:bidi w:val="0"/>
        <w:spacing w:line="480" w:lineRule="exact"/>
        <w:ind w:right="0" w:firstLine="464" w:firstLineChars="200"/>
        <w:textAlignment w:val="auto"/>
        <w:rPr>
          <w:rFonts w:hint="eastAsia"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rPr>
        <w:t>本单位对上述声明的真实性负责。如有虚假，将依法承担相应责任。</w:t>
      </w:r>
    </w:p>
    <w:p w14:paraId="6EF45B6A">
      <w:pPr>
        <w:keepNext w:val="0"/>
        <w:keepLines w:val="0"/>
        <w:pageBreakBefore w:val="0"/>
        <w:widowControl w:val="0"/>
        <w:kinsoku/>
        <w:wordWrap/>
        <w:overflowPunct/>
        <w:topLinePunct w:val="0"/>
        <w:autoSpaceDE/>
        <w:autoSpaceDN/>
        <w:bidi w:val="0"/>
        <w:spacing w:line="480" w:lineRule="exact"/>
        <w:ind w:right="0" w:firstLine="464" w:firstLineChars="200"/>
        <w:textAlignment w:val="auto"/>
        <w:rPr>
          <w:rFonts w:hint="eastAsia" w:ascii="仿宋" w:hAnsi="仿宋" w:eastAsia="仿宋" w:cs="仿宋"/>
          <w:color w:val="auto"/>
          <w:spacing w:val="6"/>
          <w:sz w:val="22"/>
          <w:szCs w:val="22"/>
          <w:highlight w:val="none"/>
        </w:rPr>
      </w:pPr>
    </w:p>
    <w:p w14:paraId="740DEB98">
      <w:pPr>
        <w:keepNext w:val="0"/>
        <w:keepLines w:val="0"/>
        <w:pageBreakBefore w:val="0"/>
        <w:widowControl w:val="0"/>
        <w:kinsoku/>
        <w:wordWrap/>
        <w:overflowPunct/>
        <w:topLinePunct w:val="0"/>
        <w:autoSpaceDE/>
        <w:autoSpaceDN/>
        <w:bidi w:val="0"/>
        <w:spacing w:line="480" w:lineRule="exact"/>
        <w:ind w:right="0" w:firstLine="464" w:firstLineChars="200"/>
        <w:textAlignment w:val="auto"/>
        <w:rPr>
          <w:rFonts w:hint="eastAsia" w:ascii="仿宋" w:hAnsi="仿宋" w:eastAsia="仿宋" w:cs="仿宋"/>
          <w:color w:val="auto"/>
          <w:spacing w:val="6"/>
          <w:sz w:val="22"/>
          <w:szCs w:val="22"/>
          <w:highlight w:val="none"/>
        </w:rPr>
      </w:pPr>
    </w:p>
    <w:p w14:paraId="615281F4">
      <w:pPr>
        <w:keepNext w:val="0"/>
        <w:keepLines w:val="0"/>
        <w:pageBreakBefore w:val="0"/>
        <w:widowControl w:val="0"/>
        <w:tabs>
          <w:tab w:val="left" w:pos="4860"/>
        </w:tabs>
        <w:kinsoku/>
        <w:wordWrap/>
        <w:overflowPunct/>
        <w:topLinePunct w:val="0"/>
        <w:autoSpaceDE/>
        <w:autoSpaceDN/>
        <w:bidi w:val="0"/>
        <w:spacing w:line="480" w:lineRule="exact"/>
        <w:ind w:right="0" w:firstLine="464" w:firstLineChars="200"/>
        <w:jc w:val="center"/>
        <w:textAlignment w:val="auto"/>
        <w:rPr>
          <w:rFonts w:hint="eastAsia"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rPr>
        <w:t xml:space="preserve">                          单位名称：</w:t>
      </w:r>
      <w:r>
        <w:rPr>
          <w:rFonts w:hint="eastAsia" w:ascii="仿宋" w:hAnsi="仿宋" w:eastAsia="仿宋" w:cs="仿宋"/>
          <w:color w:val="auto"/>
          <w:spacing w:val="6"/>
          <w:sz w:val="22"/>
          <w:szCs w:val="22"/>
          <w:highlight w:val="none"/>
          <w:u w:val="single"/>
        </w:rPr>
        <w:t xml:space="preserve">              </w:t>
      </w:r>
      <w:r>
        <w:rPr>
          <w:rFonts w:hint="eastAsia" w:ascii="仿宋" w:hAnsi="仿宋" w:eastAsia="仿宋" w:cs="仿宋"/>
          <w:color w:val="auto"/>
          <w:spacing w:val="6"/>
          <w:sz w:val="22"/>
          <w:szCs w:val="22"/>
          <w:highlight w:val="none"/>
        </w:rPr>
        <w:t>（盖单位章）：</w:t>
      </w:r>
    </w:p>
    <w:p w14:paraId="1AF71DA3">
      <w:pPr>
        <w:keepNext w:val="0"/>
        <w:keepLines w:val="0"/>
        <w:pageBreakBefore w:val="0"/>
        <w:widowControl w:val="0"/>
        <w:tabs>
          <w:tab w:val="left" w:pos="4860"/>
        </w:tabs>
        <w:kinsoku/>
        <w:wordWrap/>
        <w:overflowPunct/>
        <w:topLinePunct w:val="0"/>
        <w:autoSpaceDE/>
        <w:autoSpaceDN/>
        <w:bidi w:val="0"/>
        <w:spacing w:line="480" w:lineRule="exact"/>
        <w:ind w:right="0"/>
        <w:jc w:val="both"/>
        <w:textAlignment w:val="auto"/>
        <w:rPr>
          <w:rFonts w:hint="eastAsia" w:ascii="仿宋" w:hAnsi="仿宋" w:eastAsia="仿宋" w:cs="仿宋"/>
          <w:color w:val="auto"/>
          <w:spacing w:val="6"/>
          <w:sz w:val="22"/>
          <w:szCs w:val="22"/>
          <w:highlight w:val="none"/>
        </w:rPr>
      </w:pPr>
      <w:r>
        <w:rPr>
          <w:rFonts w:hint="eastAsia" w:ascii="仿宋" w:hAnsi="仿宋" w:eastAsia="仿宋" w:cs="仿宋"/>
          <w:color w:val="auto"/>
          <w:spacing w:val="6"/>
          <w:sz w:val="22"/>
          <w:szCs w:val="22"/>
          <w:highlight w:val="none"/>
        </w:rPr>
        <w:t xml:space="preserve"> </w:t>
      </w:r>
    </w:p>
    <w:p w14:paraId="1D39418D">
      <w:pPr>
        <w:keepNext w:val="0"/>
        <w:keepLines w:val="0"/>
        <w:pageBreakBefore w:val="0"/>
        <w:widowControl w:val="0"/>
        <w:tabs>
          <w:tab w:val="left" w:pos="4860"/>
        </w:tabs>
        <w:kinsoku/>
        <w:wordWrap/>
        <w:overflowPunct/>
        <w:topLinePunct w:val="0"/>
        <w:autoSpaceDE/>
        <w:autoSpaceDN/>
        <w:bidi w:val="0"/>
        <w:spacing w:line="480" w:lineRule="exact"/>
        <w:ind w:right="0" w:firstLine="464" w:firstLineChars="20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pacing w:val="6"/>
          <w:sz w:val="22"/>
          <w:szCs w:val="22"/>
          <w:highlight w:val="none"/>
        </w:rPr>
        <w:t xml:space="preserve">               日     期：    年   月  日</w:t>
      </w:r>
    </w:p>
    <w:p w14:paraId="5FACDA1D">
      <w:pPr>
        <w:adjustRightInd w:val="0"/>
        <w:snapToGrid w:val="0"/>
        <w:spacing w:line="360" w:lineRule="auto"/>
        <w:rPr>
          <w:rFonts w:hint="eastAsia" w:ascii="仿宋" w:hAnsi="仿宋" w:eastAsia="仿宋" w:cs="仿宋"/>
          <w:b/>
          <w:color w:val="auto"/>
          <w:sz w:val="24"/>
          <w:highlight w:val="none"/>
        </w:rPr>
      </w:pPr>
    </w:p>
    <w:p w14:paraId="661137B8">
      <w:pPr>
        <w:adjustRightInd w:val="0"/>
        <w:snapToGrid w:val="0"/>
        <w:spacing w:before="50" w:line="360" w:lineRule="auto"/>
        <w:jc w:val="center"/>
        <w:rPr>
          <w:rFonts w:hint="eastAsia" w:ascii="仿宋" w:hAnsi="仿宋" w:eastAsia="仿宋" w:cs="仿宋"/>
          <w:b/>
          <w:color w:val="auto"/>
          <w:sz w:val="36"/>
          <w:szCs w:val="36"/>
          <w:highlight w:val="none"/>
        </w:rPr>
      </w:pPr>
    </w:p>
    <w:p w14:paraId="0B421971">
      <w:pPr>
        <w:adjustRightInd w:val="0"/>
        <w:snapToGrid w:val="0"/>
        <w:spacing w:before="50" w:line="360" w:lineRule="auto"/>
        <w:jc w:val="center"/>
        <w:rPr>
          <w:rFonts w:hint="eastAsia" w:ascii="仿宋" w:hAnsi="仿宋" w:eastAsia="仿宋" w:cs="仿宋"/>
          <w:b/>
          <w:color w:val="auto"/>
          <w:sz w:val="36"/>
          <w:szCs w:val="36"/>
          <w:highlight w:val="none"/>
        </w:rPr>
      </w:pPr>
    </w:p>
    <w:p w14:paraId="4DA381D4">
      <w:pPr>
        <w:adjustRightInd w:val="0"/>
        <w:snapToGrid w:val="0"/>
        <w:spacing w:before="50" w:line="360" w:lineRule="auto"/>
        <w:jc w:val="center"/>
        <w:rPr>
          <w:rFonts w:hint="eastAsia" w:ascii="仿宋" w:hAnsi="仿宋" w:eastAsia="仿宋" w:cs="仿宋"/>
          <w:b/>
          <w:color w:val="auto"/>
          <w:sz w:val="36"/>
          <w:szCs w:val="36"/>
          <w:highlight w:val="none"/>
        </w:rPr>
      </w:pPr>
    </w:p>
    <w:p w14:paraId="469DE19B">
      <w:pPr>
        <w:adjustRightInd w:val="0"/>
        <w:snapToGrid w:val="0"/>
        <w:spacing w:before="50" w:line="360" w:lineRule="auto"/>
        <w:jc w:val="center"/>
        <w:rPr>
          <w:rFonts w:hint="eastAsia" w:ascii="仿宋" w:hAnsi="仿宋" w:eastAsia="仿宋" w:cs="仿宋"/>
          <w:b/>
          <w:color w:val="auto"/>
          <w:sz w:val="36"/>
          <w:szCs w:val="36"/>
          <w:highlight w:val="none"/>
        </w:rPr>
      </w:pPr>
    </w:p>
    <w:p w14:paraId="40582C18">
      <w:pPr>
        <w:adjustRightInd w:val="0"/>
        <w:snapToGrid w:val="0"/>
        <w:spacing w:before="50" w:line="360" w:lineRule="auto"/>
        <w:jc w:val="center"/>
        <w:rPr>
          <w:rFonts w:hint="eastAsia" w:ascii="仿宋" w:hAnsi="仿宋" w:eastAsia="仿宋" w:cs="仿宋"/>
          <w:b/>
          <w:color w:val="auto"/>
          <w:sz w:val="36"/>
          <w:szCs w:val="36"/>
          <w:highlight w:val="none"/>
        </w:rPr>
      </w:pPr>
    </w:p>
    <w:p w14:paraId="520CCBAD">
      <w:pPr>
        <w:adjustRightInd w:val="0"/>
        <w:snapToGrid w:val="0"/>
        <w:spacing w:before="50" w:line="360" w:lineRule="auto"/>
        <w:jc w:val="center"/>
        <w:rPr>
          <w:rFonts w:hint="eastAsia" w:ascii="仿宋" w:hAnsi="仿宋" w:eastAsia="仿宋" w:cs="仿宋"/>
          <w:b/>
          <w:color w:val="auto"/>
          <w:sz w:val="36"/>
          <w:szCs w:val="36"/>
          <w:highlight w:val="none"/>
        </w:rPr>
      </w:pPr>
    </w:p>
    <w:p w14:paraId="635EA9D4">
      <w:pPr>
        <w:adjustRightInd w:val="0"/>
        <w:snapToGrid w:val="0"/>
        <w:spacing w:line="360" w:lineRule="exact"/>
        <w:ind w:firstLine="525" w:firstLineChars="250"/>
        <w:rPr>
          <w:rFonts w:hint="eastAsia" w:ascii="仿宋" w:hAnsi="仿宋" w:eastAsia="仿宋" w:cs="仿宋"/>
          <w:color w:val="auto"/>
          <w:szCs w:val="21"/>
          <w:highlight w:val="none"/>
        </w:rPr>
      </w:pPr>
    </w:p>
    <w:p w14:paraId="77C8035B">
      <w:pPr>
        <w:adjustRightInd w:val="0"/>
        <w:snapToGrid w:val="0"/>
        <w:spacing w:before="50" w:line="360" w:lineRule="auto"/>
        <w:ind w:firstLine="1050" w:firstLineChars="500"/>
        <w:rPr>
          <w:rFonts w:hint="eastAsia" w:ascii="仿宋" w:hAnsi="仿宋" w:eastAsia="仿宋" w:cs="仿宋"/>
          <w:color w:val="auto"/>
          <w:szCs w:val="21"/>
          <w:highlight w:val="none"/>
        </w:rPr>
      </w:pPr>
    </w:p>
    <w:p w14:paraId="36B55572">
      <w:pPr>
        <w:adjustRightInd w:val="0"/>
        <w:snapToGrid w:val="0"/>
        <w:spacing w:line="360" w:lineRule="auto"/>
        <w:rPr>
          <w:rFonts w:hint="eastAsia" w:ascii="仿宋" w:hAnsi="仿宋" w:eastAsia="仿宋" w:cs="仿宋"/>
          <w:b/>
          <w:color w:val="auto"/>
          <w:sz w:val="28"/>
          <w:szCs w:val="28"/>
          <w:highlight w:val="none"/>
        </w:rPr>
      </w:pPr>
    </w:p>
    <w:p w14:paraId="1D344BBE">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8"/>
          <w:szCs w:val="28"/>
          <w:highlight w:val="none"/>
        </w:rPr>
        <w:br w:type="page"/>
      </w:r>
      <w:r>
        <w:rPr>
          <w:rFonts w:hint="eastAsia" w:ascii="仿宋" w:hAnsi="仿宋" w:eastAsia="仿宋" w:cs="仿宋"/>
          <w:b/>
          <w:color w:val="auto"/>
          <w:sz w:val="22"/>
          <w:szCs w:val="22"/>
          <w:highlight w:val="none"/>
        </w:rPr>
        <w:t>附件</w:t>
      </w:r>
      <w:r>
        <w:rPr>
          <w:rFonts w:hint="eastAsia" w:ascii="仿宋" w:hAnsi="仿宋" w:eastAsia="仿宋" w:cs="仿宋"/>
          <w:b/>
          <w:color w:val="auto"/>
          <w:sz w:val="22"/>
          <w:szCs w:val="22"/>
          <w:highlight w:val="none"/>
          <w:lang w:val="en-US" w:eastAsia="zh-CN"/>
        </w:rPr>
        <w:t>3</w:t>
      </w:r>
      <w:r>
        <w:rPr>
          <w:rFonts w:hint="eastAsia" w:ascii="仿宋" w:hAnsi="仿宋" w:eastAsia="仿宋" w:cs="仿宋"/>
          <w:b/>
          <w:color w:val="auto"/>
          <w:sz w:val="22"/>
          <w:szCs w:val="22"/>
          <w:highlight w:val="none"/>
        </w:rPr>
        <w:t>：</w:t>
      </w:r>
    </w:p>
    <w:p w14:paraId="6A35051E">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监狱企业证明文件</w:t>
      </w:r>
    </w:p>
    <w:p w14:paraId="22AC361D">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bCs/>
          <w:color w:val="auto"/>
          <w:sz w:val="22"/>
          <w:szCs w:val="22"/>
          <w:highlight w:val="none"/>
          <w:lang w:eastAsia="zh-CN"/>
        </w:rPr>
      </w:pPr>
      <w:r>
        <w:rPr>
          <w:rFonts w:hint="eastAsia" w:ascii="仿宋" w:hAnsi="仿宋" w:eastAsia="仿宋" w:cs="仿宋"/>
          <w:color w:val="auto"/>
          <w:sz w:val="22"/>
          <w:szCs w:val="22"/>
          <w:highlight w:val="none"/>
        </w:rPr>
        <w:t>说明：</w:t>
      </w:r>
      <w:bookmarkStart w:id="232" w:name="_Toc16865"/>
      <w:r>
        <w:rPr>
          <w:rFonts w:hint="eastAsia" w:ascii="仿宋" w:hAnsi="仿宋" w:eastAsia="仿宋" w:cs="仿宋"/>
          <w:bCs/>
          <w:color w:val="auto"/>
          <w:sz w:val="22"/>
          <w:szCs w:val="22"/>
          <w:highlight w:val="none"/>
        </w:rPr>
        <w:t>无格式要求，由出具监狱企业证明的单位自行拟定</w:t>
      </w:r>
      <w:bookmarkEnd w:id="232"/>
      <w:r>
        <w:rPr>
          <w:rFonts w:hint="eastAsia" w:ascii="仿宋" w:hAnsi="仿宋" w:eastAsia="仿宋" w:cs="仿宋"/>
          <w:bCs/>
          <w:color w:val="auto"/>
          <w:sz w:val="22"/>
          <w:szCs w:val="22"/>
          <w:highlight w:val="none"/>
          <w:lang w:eastAsia="zh-CN"/>
        </w:rPr>
        <w:t>。</w:t>
      </w:r>
    </w:p>
    <w:p w14:paraId="357C33AA">
      <w:pPr>
        <w:adjustRightInd w:val="0"/>
        <w:snapToGrid w:val="0"/>
        <w:spacing w:before="50" w:line="360" w:lineRule="auto"/>
        <w:jc w:val="left"/>
        <w:rPr>
          <w:rFonts w:hint="eastAsia" w:ascii="仿宋" w:hAnsi="仿宋" w:eastAsia="仿宋" w:cs="仿宋"/>
          <w:b/>
          <w:color w:val="auto"/>
          <w:sz w:val="28"/>
          <w:szCs w:val="28"/>
          <w:highlight w:val="none"/>
        </w:rPr>
      </w:pPr>
    </w:p>
    <w:p w14:paraId="28C503F0">
      <w:pPr>
        <w:adjustRightInd w:val="0"/>
        <w:snapToGrid w:val="0"/>
        <w:spacing w:before="50" w:line="360" w:lineRule="auto"/>
        <w:jc w:val="left"/>
        <w:rPr>
          <w:rFonts w:hint="eastAsia" w:ascii="仿宋" w:hAnsi="仿宋" w:eastAsia="仿宋" w:cs="仿宋"/>
          <w:b/>
          <w:color w:val="auto"/>
          <w:sz w:val="28"/>
          <w:szCs w:val="28"/>
          <w:highlight w:val="none"/>
        </w:rPr>
      </w:pPr>
    </w:p>
    <w:p w14:paraId="2729B38B">
      <w:pPr>
        <w:adjustRightInd w:val="0"/>
        <w:snapToGrid w:val="0"/>
        <w:spacing w:before="50" w:line="360" w:lineRule="auto"/>
        <w:jc w:val="left"/>
        <w:rPr>
          <w:rFonts w:hint="eastAsia" w:ascii="仿宋" w:hAnsi="仿宋" w:eastAsia="仿宋" w:cs="仿宋"/>
          <w:b/>
          <w:color w:val="auto"/>
          <w:sz w:val="28"/>
          <w:szCs w:val="28"/>
          <w:highlight w:val="none"/>
        </w:rPr>
      </w:pPr>
    </w:p>
    <w:p w14:paraId="260A1CE4">
      <w:pPr>
        <w:adjustRightInd w:val="0"/>
        <w:snapToGrid w:val="0"/>
        <w:spacing w:line="360" w:lineRule="auto"/>
        <w:ind w:firstLine="525" w:firstLineChars="250"/>
        <w:rPr>
          <w:rFonts w:hint="eastAsia" w:ascii="仿宋" w:hAnsi="仿宋" w:eastAsia="仿宋" w:cs="仿宋"/>
          <w:bCs/>
          <w:color w:val="auto"/>
          <w:szCs w:val="21"/>
          <w:highlight w:val="none"/>
        </w:rPr>
      </w:pPr>
    </w:p>
    <w:p w14:paraId="6448227A">
      <w:pPr>
        <w:adjustRightInd w:val="0"/>
        <w:snapToGrid w:val="0"/>
        <w:spacing w:line="360" w:lineRule="auto"/>
        <w:ind w:firstLine="525" w:firstLineChars="250"/>
        <w:rPr>
          <w:rFonts w:hint="eastAsia" w:ascii="仿宋" w:hAnsi="仿宋" w:eastAsia="仿宋" w:cs="仿宋"/>
          <w:bCs/>
          <w:color w:val="auto"/>
          <w:szCs w:val="21"/>
          <w:highlight w:val="none"/>
        </w:rPr>
      </w:pPr>
    </w:p>
    <w:p w14:paraId="20D6BB59">
      <w:pPr>
        <w:adjustRightInd w:val="0"/>
        <w:snapToGrid w:val="0"/>
        <w:spacing w:line="360" w:lineRule="auto"/>
        <w:ind w:firstLine="525" w:firstLineChars="250"/>
        <w:rPr>
          <w:rFonts w:hint="eastAsia" w:ascii="仿宋" w:hAnsi="仿宋" w:eastAsia="仿宋" w:cs="仿宋"/>
          <w:bCs/>
          <w:color w:val="auto"/>
          <w:szCs w:val="21"/>
          <w:highlight w:val="none"/>
        </w:rPr>
      </w:pPr>
    </w:p>
    <w:p w14:paraId="0F687A56">
      <w:pPr>
        <w:adjustRightInd w:val="0"/>
        <w:snapToGrid w:val="0"/>
        <w:spacing w:line="360" w:lineRule="auto"/>
        <w:ind w:firstLine="525" w:firstLineChars="250"/>
        <w:rPr>
          <w:rFonts w:hint="eastAsia" w:ascii="仿宋" w:hAnsi="仿宋" w:eastAsia="仿宋" w:cs="仿宋"/>
          <w:bCs/>
          <w:color w:val="auto"/>
          <w:szCs w:val="21"/>
          <w:highlight w:val="none"/>
        </w:rPr>
      </w:pPr>
    </w:p>
    <w:p w14:paraId="17D5B337">
      <w:pPr>
        <w:adjustRightInd w:val="0"/>
        <w:snapToGrid w:val="0"/>
        <w:spacing w:line="360" w:lineRule="auto"/>
        <w:ind w:firstLine="525" w:firstLineChars="250"/>
        <w:rPr>
          <w:rFonts w:hint="eastAsia" w:ascii="仿宋" w:hAnsi="仿宋" w:eastAsia="仿宋" w:cs="仿宋"/>
          <w:bCs/>
          <w:color w:val="auto"/>
          <w:szCs w:val="21"/>
          <w:highlight w:val="none"/>
        </w:rPr>
      </w:pPr>
    </w:p>
    <w:p w14:paraId="4502F46B">
      <w:pPr>
        <w:adjustRightInd w:val="0"/>
        <w:snapToGrid w:val="0"/>
        <w:spacing w:line="360" w:lineRule="auto"/>
        <w:ind w:firstLine="525" w:firstLineChars="250"/>
        <w:rPr>
          <w:rFonts w:hint="eastAsia" w:ascii="仿宋" w:hAnsi="仿宋" w:eastAsia="仿宋" w:cs="仿宋"/>
          <w:bCs/>
          <w:color w:val="auto"/>
          <w:szCs w:val="21"/>
          <w:highlight w:val="none"/>
        </w:rPr>
      </w:pPr>
    </w:p>
    <w:p w14:paraId="7C4C72A8">
      <w:pPr>
        <w:adjustRightInd w:val="0"/>
        <w:snapToGrid w:val="0"/>
        <w:spacing w:line="360" w:lineRule="auto"/>
        <w:ind w:firstLine="525" w:firstLineChars="250"/>
        <w:rPr>
          <w:rFonts w:hint="eastAsia" w:ascii="仿宋" w:hAnsi="仿宋" w:eastAsia="仿宋" w:cs="仿宋"/>
          <w:bCs/>
          <w:color w:val="auto"/>
          <w:szCs w:val="21"/>
          <w:highlight w:val="none"/>
        </w:rPr>
      </w:pPr>
    </w:p>
    <w:p w14:paraId="37702527">
      <w:pPr>
        <w:adjustRightInd w:val="0"/>
        <w:snapToGrid w:val="0"/>
        <w:spacing w:line="360" w:lineRule="auto"/>
        <w:ind w:firstLine="525" w:firstLineChars="250"/>
        <w:rPr>
          <w:rFonts w:hint="eastAsia" w:ascii="仿宋" w:hAnsi="仿宋" w:eastAsia="仿宋" w:cs="仿宋"/>
          <w:bCs/>
          <w:color w:val="auto"/>
          <w:szCs w:val="21"/>
          <w:highlight w:val="none"/>
        </w:rPr>
      </w:pPr>
    </w:p>
    <w:p w14:paraId="15FC622E">
      <w:pPr>
        <w:adjustRightInd w:val="0"/>
        <w:snapToGrid w:val="0"/>
        <w:spacing w:line="360" w:lineRule="auto"/>
        <w:ind w:firstLine="525" w:firstLineChars="250"/>
        <w:rPr>
          <w:rFonts w:hint="eastAsia" w:ascii="仿宋" w:hAnsi="仿宋" w:eastAsia="仿宋" w:cs="仿宋"/>
          <w:bCs/>
          <w:color w:val="auto"/>
          <w:szCs w:val="21"/>
          <w:highlight w:val="none"/>
        </w:rPr>
      </w:pPr>
    </w:p>
    <w:p w14:paraId="72D766D2">
      <w:pPr>
        <w:adjustRightInd w:val="0"/>
        <w:snapToGrid w:val="0"/>
        <w:spacing w:line="360" w:lineRule="auto"/>
        <w:ind w:firstLine="525" w:firstLineChars="250"/>
        <w:rPr>
          <w:rFonts w:hint="eastAsia" w:ascii="仿宋" w:hAnsi="仿宋" w:eastAsia="仿宋" w:cs="仿宋"/>
          <w:bCs/>
          <w:color w:val="auto"/>
          <w:szCs w:val="21"/>
          <w:highlight w:val="none"/>
        </w:rPr>
      </w:pPr>
    </w:p>
    <w:p w14:paraId="542A02D8">
      <w:pPr>
        <w:adjustRightInd w:val="0"/>
        <w:snapToGrid w:val="0"/>
        <w:spacing w:line="360" w:lineRule="auto"/>
        <w:ind w:firstLine="525" w:firstLineChars="250"/>
        <w:rPr>
          <w:rFonts w:hint="eastAsia" w:ascii="仿宋" w:hAnsi="仿宋" w:eastAsia="仿宋" w:cs="仿宋"/>
          <w:bCs/>
          <w:color w:val="auto"/>
          <w:szCs w:val="21"/>
          <w:highlight w:val="none"/>
        </w:rPr>
      </w:pPr>
    </w:p>
    <w:p w14:paraId="61436B9F">
      <w:pPr>
        <w:adjustRightInd w:val="0"/>
        <w:snapToGrid w:val="0"/>
        <w:spacing w:line="360" w:lineRule="auto"/>
        <w:ind w:firstLine="525" w:firstLineChars="250"/>
        <w:rPr>
          <w:rFonts w:hint="eastAsia" w:ascii="仿宋" w:hAnsi="仿宋" w:eastAsia="仿宋" w:cs="仿宋"/>
          <w:bCs/>
          <w:color w:val="auto"/>
          <w:szCs w:val="21"/>
          <w:highlight w:val="none"/>
        </w:rPr>
      </w:pPr>
    </w:p>
    <w:p w14:paraId="67C2DF82">
      <w:pPr>
        <w:adjustRightInd w:val="0"/>
        <w:snapToGrid w:val="0"/>
        <w:spacing w:line="360" w:lineRule="auto"/>
        <w:ind w:firstLine="525" w:firstLineChars="250"/>
        <w:rPr>
          <w:rFonts w:hint="eastAsia" w:ascii="仿宋" w:hAnsi="仿宋" w:eastAsia="仿宋" w:cs="仿宋"/>
          <w:bCs/>
          <w:color w:val="auto"/>
          <w:szCs w:val="21"/>
          <w:highlight w:val="none"/>
        </w:rPr>
      </w:pPr>
    </w:p>
    <w:p w14:paraId="20E3DA74">
      <w:pPr>
        <w:adjustRightInd w:val="0"/>
        <w:snapToGrid w:val="0"/>
        <w:spacing w:line="360" w:lineRule="auto"/>
        <w:ind w:firstLine="525" w:firstLineChars="250"/>
        <w:rPr>
          <w:rFonts w:hint="eastAsia" w:ascii="仿宋" w:hAnsi="仿宋" w:eastAsia="仿宋" w:cs="仿宋"/>
          <w:bCs/>
          <w:color w:val="auto"/>
          <w:szCs w:val="21"/>
          <w:highlight w:val="none"/>
        </w:rPr>
      </w:pPr>
    </w:p>
    <w:p w14:paraId="67C86C0E">
      <w:pPr>
        <w:adjustRightInd w:val="0"/>
        <w:snapToGrid w:val="0"/>
        <w:spacing w:line="360" w:lineRule="auto"/>
        <w:ind w:firstLine="525" w:firstLineChars="250"/>
        <w:rPr>
          <w:rFonts w:hint="eastAsia" w:ascii="仿宋" w:hAnsi="仿宋" w:eastAsia="仿宋" w:cs="仿宋"/>
          <w:bCs/>
          <w:color w:val="auto"/>
          <w:szCs w:val="21"/>
          <w:highlight w:val="none"/>
        </w:rPr>
      </w:pPr>
    </w:p>
    <w:p w14:paraId="5C35179C">
      <w:pPr>
        <w:adjustRightInd w:val="0"/>
        <w:snapToGrid w:val="0"/>
        <w:spacing w:line="360" w:lineRule="auto"/>
        <w:ind w:firstLine="525" w:firstLineChars="250"/>
        <w:rPr>
          <w:rFonts w:hint="eastAsia" w:ascii="仿宋" w:hAnsi="仿宋" w:eastAsia="仿宋" w:cs="仿宋"/>
          <w:bCs/>
          <w:color w:val="auto"/>
          <w:szCs w:val="21"/>
          <w:highlight w:val="none"/>
        </w:rPr>
      </w:pPr>
    </w:p>
    <w:p w14:paraId="6ECE1373">
      <w:pPr>
        <w:adjustRightInd w:val="0"/>
        <w:snapToGrid w:val="0"/>
        <w:spacing w:line="360" w:lineRule="auto"/>
        <w:ind w:firstLine="525" w:firstLineChars="250"/>
        <w:rPr>
          <w:rFonts w:hint="eastAsia" w:ascii="仿宋" w:hAnsi="仿宋" w:eastAsia="仿宋" w:cs="仿宋"/>
          <w:bCs/>
          <w:color w:val="auto"/>
          <w:szCs w:val="21"/>
          <w:highlight w:val="none"/>
        </w:rPr>
      </w:pPr>
    </w:p>
    <w:p w14:paraId="4A4C4F2D">
      <w:pPr>
        <w:adjustRightInd w:val="0"/>
        <w:snapToGrid w:val="0"/>
        <w:spacing w:after="120" w:afterLines="50" w:line="360" w:lineRule="auto"/>
        <w:jc w:val="center"/>
        <w:rPr>
          <w:rFonts w:hint="eastAsia" w:ascii="仿宋" w:hAnsi="仿宋" w:eastAsia="仿宋" w:cs="仿宋"/>
          <w:b/>
          <w:bCs/>
          <w:color w:val="auto"/>
          <w:sz w:val="36"/>
          <w:szCs w:val="36"/>
          <w:highlight w:val="none"/>
        </w:rPr>
      </w:pPr>
    </w:p>
    <w:p w14:paraId="4E6F8E9A">
      <w:pPr>
        <w:adjustRightInd w:val="0"/>
        <w:snapToGrid w:val="0"/>
        <w:spacing w:after="120" w:afterLines="50" w:line="360" w:lineRule="auto"/>
        <w:jc w:val="center"/>
        <w:rPr>
          <w:rFonts w:hint="eastAsia" w:ascii="仿宋" w:hAnsi="仿宋" w:eastAsia="仿宋" w:cs="仿宋"/>
          <w:b/>
          <w:bCs/>
          <w:color w:val="auto"/>
          <w:sz w:val="36"/>
          <w:szCs w:val="36"/>
          <w:highlight w:val="none"/>
        </w:rPr>
      </w:pPr>
    </w:p>
    <w:p w14:paraId="1C44DA0C">
      <w:pPr>
        <w:adjustRightInd w:val="0"/>
        <w:snapToGrid w:val="0"/>
        <w:spacing w:after="120" w:afterLines="50" w:line="360" w:lineRule="auto"/>
        <w:jc w:val="center"/>
        <w:rPr>
          <w:rFonts w:hint="eastAsia" w:ascii="仿宋" w:hAnsi="仿宋" w:eastAsia="仿宋" w:cs="仿宋"/>
          <w:b/>
          <w:bCs/>
          <w:color w:val="auto"/>
          <w:sz w:val="36"/>
          <w:szCs w:val="36"/>
          <w:highlight w:val="none"/>
        </w:rPr>
      </w:pPr>
    </w:p>
    <w:p w14:paraId="0F9929C0">
      <w:pPr>
        <w:adjustRightInd w:val="0"/>
        <w:snapToGrid w:val="0"/>
        <w:spacing w:after="120" w:afterLines="50" w:line="360" w:lineRule="auto"/>
        <w:jc w:val="center"/>
        <w:rPr>
          <w:rFonts w:hint="eastAsia" w:ascii="仿宋" w:hAnsi="仿宋" w:eastAsia="仿宋" w:cs="仿宋"/>
          <w:b/>
          <w:bCs/>
          <w:color w:val="auto"/>
          <w:sz w:val="36"/>
          <w:szCs w:val="36"/>
          <w:highlight w:val="none"/>
        </w:rPr>
      </w:pPr>
    </w:p>
    <w:p w14:paraId="6F3AA7E6">
      <w:pPr>
        <w:adjustRightInd w:val="0"/>
        <w:snapToGrid w:val="0"/>
        <w:spacing w:after="120" w:afterLines="50" w:line="360" w:lineRule="auto"/>
        <w:jc w:val="center"/>
        <w:rPr>
          <w:rFonts w:hint="eastAsia" w:ascii="仿宋" w:hAnsi="仿宋" w:eastAsia="仿宋" w:cs="仿宋"/>
          <w:b/>
          <w:bCs/>
          <w:color w:val="auto"/>
          <w:sz w:val="36"/>
          <w:szCs w:val="36"/>
          <w:highlight w:val="none"/>
        </w:rPr>
      </w:pPr>
    </w:p>
    <w:p w14:paraId="1F8ED4DE">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12.投标保证金凭证</w:t>
      </w:r>
    </w:p>
    <w:p w14:paraId="17DC0E39">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说明：投标人提供足额缴纳投标保证金凭证或金融机构担保机构机构出具的保函。</w:t>
      </w:r>
    </w:p>
    <w:p w14:paraId="35C04C74">
      <w:pPr>
        <w:tabs>
          <w:tab w:val="left" w:pos="3600"/>
        </w:tabs>
        <w:adjustRightInd w:val="0"/>
        <w:snapToGrid w:val="0"/>
        <w:jc w:val="center"/>
        <w:rPr>
          <w:rFonts w:hint="eastAsia" w:ascii="仿宋" w:hAnsi="仿宋" w:eastAsia="仿宋" w:cs="仿宋"/>
          <w:color w:val="auto"/>
          <w:highlight w:val="none"/>
        </w:rPr>
      </w:pPr>
    </w:p>
    <w:p w14:paraId="4D1486E9">
      <w:pPr>
        <w:tabs>
          <w:tab w:val="left" w:pos="3600"/>
        </w:tabs>
        <w:adjustRightInd w:val="0"/>
        <w:snapToGrid w:val="0"/>
        <w:rPr>
          <w:rFonts w:hint="eastAsia" w:ascii="仿宋" w:hAnsi="仿宋" w:eastAsia="仿宋" w:cs="仿宋"/>
          <w:color w:val="auto"/>
          <w:highlight w:val="none"/>
        </w:rPr>
      </w:pPr>
    </w:p>
    <w:p w14:paraId="60392491">
      <w:pPr>
        <w:tabs>
          <w:tab w:val="left" w:pos="3600"/>
        </w:tabs>
        <w:adjustRightInd w:val="0"/>
        <w:snapToGrid w:val="0"/>
        <w:rPr>
          <w:rFonts w:hint="eastAsia" w:ascii="仿宋" w:hAnsi="仿宋" w:eastAsia="仿宋" w:cs="仿宋"/>
          <w:color w:val="auto"/>
          <w:highlight w:val="none"/>
        </w:rPr>
      </w:pPr>
    </w:p>
    <w:p w14:paraId="266D56DC">
      <w:pPr>
        <w:tabs>
          <w:tab w:val="left" w:pos="3600"/>
        </w:tabs>
        <w:adjustRightInd w:val="0"/>
        <w:snapToGrid w:val="0"/>
        <w:rPr>
          <w:rFonts w:hint="eastAsia" w:ascii="仿宋" w:hAnsi="仿宋" w:eastAsia="仿宋" w:cs="仿宋"/>
          <w:color w:val="auto"/>
          <w:highlight w:val="none"/>
        </w:rPr>
      </w:pPr>
    </w:p>
    <w:p w14:paraId="14C2D5A7">
      <w:pPr>
        <w:tabs>
          <w:tab w:val="left" w:pos="3600"/>
        </w:tabs>
        <w:adjustRightInd w:val="0"/>
        <w:snapToGrid w:val="0"/>
        <w:rPr>
          <w:rFonts w:hint="eastAsia" w:ascii="仿宋" w:hAnsi="仿宋" w:eastAsia="仿宋" w:cs="仿宋"/>
          <w:color w:val="auto"/>
          <w:highlight w:val="none"/>
        </w:rPr>
      </w:pPr>
    </w:p>
    <w:p w14:paraId="4EAF8727">
      <w:pPr>
        <w:tabs>
          <w:tab w:val="left" w:pos="3600"/>
        </w:tabs>
        <w:adjustRightInd w:val="0"/>
        <w:snapToGrid w:val="0"/>
        <w:jc w:val="left"/>
        <w:rPr>
          <w:rFonts w:hint="eastAsia" w:ascii="仿宋" w:hAnsi="仿宋" w:eastAsia="仿宋" w:cs="仿宋"/>
          <w:color w:val="auto"/>
          <w:highlight w:val="none"/>
        </w:rPr>
      </w:pPr>
    </w:p>
    <w:p w14:paraId="65F22A3C">
      <w:pPr>
        <w:tabs>
          <w:tab w:val="left" w:pos="3600"/>
        </w:tabs>
        <w:adjustRightInd w:val="0"/>
        <w:snapToGrid w:val="0"/>
        <w:jc w:val="left"/>
        <w:rPr>
          <w:rFonts w:hint="eastAsia" w:ascii="仿宋" w:hAnsi="仿宋" w:eastAsia="仿宋" w:cs="仿宋"/>
          <w:color w:val="auto"/>
          <w:highlight w:val="none"/>
        </w:rPr>
      </w:pPr>
    </w:p>
    <w:p w14:paraId="5FC9AFB4">
      <w:pPr>
        <w:tabs>
          <w:tab w:val="left" w:pos="3600"/>
        </w:tabs>
        <w:adjustRightInd w:val="0"/>
        <w:snapToGrid w:val="0"/>
        <w:jc w:val="left"/>
        <w:rPr>
          <w:rFonts w:hint="eastAsia" w:ascii="仿宋" w:hAnsi="仿宋" w:eastAsia="仿宋" w:cs="仿宋"/>
          <w:color w:val="auto"/>
          <w:highlight w:val="none"/>
        </w:rPr>
      </w:pPr>
    </w:p>
    <w:p w14:paraId="46FD5C64">
      <w:pPr>
        <w:tabs>
          <w:tab w:val="left" w:pos="3600"/>
        </w:tabs>
        <w:adjustRightInd w:val="0"/>
        <w:snapToGrid w:val="0"/>
        <w:jc w:val="left"/>
        <w:rPr>
          <w:rFonts w:hint="eastAsia" w:ascii="仿宋" w:hAnsi="仿宋" w:eastAsia="仿宋" w:cs="仿宋"/>
          <w:color w:val="auto"/>
          <w:highlight w:val="none"/>
        </w:rPr>
      </w:pPr>
    </w:p>
    <w:p w14:paraId="3E3CDFCC">
      <w:pPr>
        <w:jc w:val="left"/>
        <w:rPr>
          <w:rFonts w:hint="eastAsia" w:ascii="仿宋" w:hAnsi="仿宋" w:eastAsia="仿宋" w:cs="仿宋"/>
          <w:b/>
          <w:bCs/>
          <w:color w:val="auto"/>
          <w:sz w:val="36"/>
          <w:szCs w:val="36"/>
          <w:highlight w:val="none"/>
        </w:rPr>
      </w:pPr>
    </w:p>
    <w:p w14:paraId="4C25F165">
      <w:pPr>
        <w:jc w:val="left"/>
        <w:rPr>
          <w:rFonts w:hint="eastAsia" w:ascii="仿宋" w:hAnsi="仿宋" w:eastAsia="仿宋" w:cs="仿宋"/>
          <w:b/>
          <w:bCs/>
          <w:color w:val="auto"/>
          <w:sz w:val="36"/>
          <w:szCs w:val="36"/>
          <w:highlight w:val="none"/>
        </w:rPr>
      </w:pPr>
    </w:p>
    <w:p w14:paraId="37C7689C">
      <w:pPr>
        <w:jc w:val="left"/>
        <w:rPr>
          <w:rFonts w:hint="eastAsia" w:ascii="仿宋" w:hAnsi="仿宋" w:eastAsia="仿宋" w:cs="仿宋"/>
          <w:b/>
          <w:bCs/>
          <w:color w:val="auto"/>
          <w:sz w:val="36"/>
          <w:szCs w:val="36"/>
          <w:highlight w:val="none"/>
        </w:rPr>
      </w:pPr>
    </w:p>
    <w:p w14:paraId="63F991B8">
      <w:pPr>
        <w:jc w:val="left"/>
        <w:rPr>
          <w:rFonts w:hint="eastAsia" w:ascii="仿宋" w:hAnsi="仿宋" w:eastAsia="仿宋" w:cs="仿宋"/>
          <w:b/>
          <w:bCs/>
          <w:color w:val="auto"/>
          <w:sz w:val="36"/>
          <w:szCs w:val="36"/>
          <w:highlight w:val="none"/>
        </w:rPr>
      </w:pPr>
    </w:p>
    <w:p w14:paraId="7047170A">
      <w:pPr>
        <w:pStyle w:val="41"/>
        <w:spacing w:line="400" w:lineRule="exact"/>
        <w:jc w:val="left"/>
        <w:rPr>
          <w:rFonts w:hint="eastAsia" w:ascii="仿宋" w:hAnsi="仿宋" w:eastAsia="仿宋" w:cs="仿宋"/>
          <w:color w:val="auto"/>
          <w:sz w:val="24"/>
          <w:szCs w:val="24"/>
          <w:highlight w:val="none"/>
        </w:rPr>
      </w:pPr>
    </w:p>
    <w:p w14:paraId="0F0514F7">
      <w:pPr>
        <w:pStyle w:val="41"/>
        <w:spacing w:line="400" w:lineRule="exact"/>
        <w:jc w:val="left"/>
        <w:rPr>
          <w:rFonts w:hint="eastAsia" w:ascii="仿宋" w:hAnsi="仿宋" w:eastAsia="仿宋" w:cs="仿宋"/>
          <w:color w:val="auto"/>
          <w:sz w:val="24"/>
          <w:szCs w:val="24"/>
          <w:highlight w:val="none"/>
        </w:rPr>
      </w:pPr>
    </w:p>
    <w:p w14:paraId="4C94E2FB">
      <w:pPr>
        <w:pStyle w:val="41"/>
        <w:spacing w:line="400" w:lineRule="exact"/>
        <w:jc w:val="center"/>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投标保证金</w:t>
      </w:r>
      <w:r>
        <w:rPr>
          <w:rFonts w:hint="eastAsia" w:ascii="仿宋" w:hAnsi="仿宋" w:eastAsia="仿宋" w:cs="仿宋"/>
          <w:color w:val="auto"/>
          <w:sz w:val="22"/>
          <w:szCs w:val="22"/>
          <w:highlight w:val="none"/>
          <w:lang w:eastAsia="zh-CN"/>
        </w:rPr>
        <w:t>凭证</w:t>
      </w:r>
    </w:p>
    <w:p w14:paraId="715E63E2">
      <w:pPr>
        <w:pStyle w:val="41"/>
        <w:spacing w:line="400" w:lineRule="exact"/>
        <w:jc w:val="center"/>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复印件粘贴处</w:t>
      </w:r>
    </w:p>
    <w:p w14:paraId="433E1231">
      <w:pPr>
        <w:jc w:val="left"/>
        <w:rPr>
          <w:rFonts w:hint="eastAsia" w:ascii="仿宋" w:hAnsi="仿宋" w:eastAsia="仿宋" w:cs="仿宋"/>
          <w:b/>
          <w:bCs/>
          <w:color w:val="auto"/>
          <w:sz w:val="36"/>
          <w:szCs w:val="36"/>
          <w:highlight w:val="none"/>
        </w:rPr>
      </w:pPr>
    </w:p>
    <w:p w14:paraId="050DA31A">
      <w:pPr>
        <w:rPr>
          <w:rFonts w:hint="eastAsia" w:ascii="仿宋" w:hAnsi="仿宋" w:eastAsia="仿宋" w:cs="仿宋"/>
          <w:b/>
          <w:bCs/>
          <w:color w:val="auto"/>
          <w:sz w:val="36"/>
          <w:szCs w:val="36"/>
          <w:highlight w:val="none"/>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sectPr>
      </w:pPr>
      <w:r>
        <w:rPr>
          <w:rFonts w:hint="eastAsia" w:ascii="仿宋" w:hAnsi="仿宋" w:eastAsia="仿宋" w:cs="仿宋"/>
          <w:b/>
          <w:bCs/>
          <w:color w:val="auto"/>
          <w:sz w:val="36"/>
          <w:szCs w:val="36"/>
          <w:highlight w:val="none"/>
        </w:rPr>
        <w:br w:type="page"/>
      </w:r>
    </w:p>
    <w:p w14:paraId="66CFD547">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jc w:val="center"/>
        <w:textAlignment w:val="auto"/>
        <w:outlineLvl w:val="1"/>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13.特定资格要求</w:t>
      </w:r>
    </w:p>
    <w:p w14:paraId="6D512FCB">
      <w:pPr>
        <w:pStyle w:val="7"/>
        <w:keepNext w:val="0"/>
        <w:keepLines w:val="0"/>
        <w:pageBreakBefore w:val="0"/>
        <w:widowControl w:val="0"/>
        <w:kinsoku/>
        <w:wordWrap/>
        <w:overflowPunct/>
        <w:topLinePunct w:val="0"/>
        <w:autoSpaceDE/>
        <w:autoSpaceDN/>
        <w:bidi w:val="0"/>
        <w:spacing w:line="480" w:lineRule="exact"/>
        <w:ind w:left="0" w:leftChars="0" w:firstLine="440" w:firstLineChars="200"/>
        <w:jc w:val="left"/>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说明：/</w:t>
      </w:r>
    </w:p>
    <w:p w14:paraId="14B00DE5">
      <w:pPr>
        <w:pStyle w:val="7"/>
        <w:ind w:firstLine="0"/>
        <w:jc w:val="center"/>
        <w:rPr>
          <w:rFonts w:hint="eastAsia" w:ascii="仿宋" w:hAnsi="仿宋" w:eastAsia="仿宋" w:cs="仿宋"/>
          <w:b/>
          <w:bCs/>
          <w:color w:val="auto"/>
          <w:sz w:val="36"/>
          <w:szCs w:val="36"/>
          <w:highlight w:val="none"/>
        </w:rPr>
      </w:pPr>
    </w:p>
    <w:p w14:paraId="654DF1E3">
      <w:pPr>
        <w:pStyle w:val="7"/>
        <w:ind w:firstLine="0"/>
        <w:jc w:val="center"/>
        <w:rPr>
          <w:rFonts w:hint="eastAsia" w:ascii="仿宋" w:hAnsi="仿宋" w:eastAsia="仿宋" w:cs="仿宋"/>
          <w:b/>
          <w:bCs/>
          <w:color w:val="auto"/>
          <w:sz w:val="36"/>
          <w:szCs w:val="36"/>
          <w:highlight w:val="none"/>
        </w:rPr>
      </w:pPr>
    </w:p>
    <w:p w14:paraId="56DB6428">
      <w:pPr>
        <w:pStyle w:val="7"/>
        <w:ind w:firstLine="0"/>
        <w:jc w:val="center"/>
        <w:rPr>
          <w:rFonts w:hint="eastAsia" w:ascii="仿宋" w:hAnsi="仿宋" w:eastAsia="仿宋" w:cs="仿宋"/>
          <w:b/>
          <w:bCs/>
          <w:color w:val="auto"/>
          <w:sz w:val="36"/>
          <w:szCs w:val="36"/>
          <w:highlight w:val="none"/>
        </w:rPr>
      </w:pPr>
    </w:p>
    <w:p w14:paraId="29C4FAC6">
      <w:pPr>
        <w:pStyle w:val="7"/>
        <w:ind w:firstLine="0"/>
        <w:jc w:val="center"/>
        <w:rPr>
          <w:rFonts w:hint="eastAsia" w:ascii="仿宋" w:hAnsi="仿宋" w:eastAsia="仿宋" w:cs="仿宋"/>
          <w:b/>
          <w:bCs/>
          <w:color w:val="auto"/>
          <w:sz w:val="36"/>
          <w:szCs w:val="36"/>
          <w:highlight w:val="none"/>
        </w:rPr>
      </w:pPr>
    </w:p>
    <w:p w14:paraId="419AB41A">
      <w:pPr>
        <w:pStyle w:val="7"/>
        <w:ind w:firstLine="0"/>
        <w:jc w:val="center"/>
        <w:rPr>
          <w:rFonts w:hint="eastAsia" w:ascii="仿宋" w:hAnsi="仿宋" w:eastAsia="仿宋" w:cs="仿宋"/>
          <w:b/>
          <w:bCs/>
          <w:color w:val="auto"/>
          <w:sz w:val="36"/>
          <w:szCs w:val="36"/>
          <w:highlight w:val="none"/>
        </w:rPr>
      </w:pPr>
    </w:p>
    <w:p w14:paraId="00DEC147">
      <w:pPr>
        <w:pStyle w:val="7"/>
        <w:ind w:firstLine="0"/>
        <w:jc w:val="center"/>
        <w:rPr>
          <w:rFonts w:hint="eastAsia" w:ascii="仿宋" w:hAnsi="仿宋" w:eastAsia="仿宋" w:cs="仿宋"/>
          <w:b/>
          <w:bCs/>
          <w:color w:val="auto"/>
          <w:sz w:val="36"/>
          <w:szCs w:val="36"/>
          <w:highlight w:val="none"/>
        </w:rPr>
      </w:pPr>
    </w:p>
    <w:p w14:paraId="7D72218E">
      <w:pPr>
        <w:pStyle w:val="7"/>
        <w:ind w:firstLine="0"/>
        <w:jc w:val="center"/>
        <w:rPr>
          <w:rFonts w:hint="eastAsia" w:ascii="仿宋" w:hAnsi="仿宋" w:eastAsia="仿宋" w:cs="仿宋"/>
          <w:b/>
          <w:bCs/>
          <w:color w:val="auto"/>
          <w:sz w:val="36"/>
          <w:szCs w:val="36"/>
          <w:highlight w:val="none"/>
        </w:rPr>
      </w:pPr>
    </w:p>
    <w:p w14:paraId="78BE73AE">
      <w:pPr>
        <w:pStyle w:val="7"/>
        <w:ind w:firstLine="0"/>
        <w:jc w:val="center"/>
        <w:rPr>
          <w:rFonts w:hint="eastAsia" w:ascii="仿宋" w:hAnsi="仿宋" w:eastAsia="仿宋" w:cs="仿宋"/>
          <w:b/>
          <w:bCs/>
          <w:color w:val="auto"/>
          <w:sz w:val="36"/>
          <w:szCs w:val="36"/>
          <w:highlight w:val="none"/>
        </w:rPr>
      </w:pPr>
    </w:p>
    <w:p w14:paraId="1BF07CBA">
      <w:pPr>
        <w:pStyle w:val="7"/>
        <w:ind w:firstLine="0"/>
        <w:jc w:val="center"/>
        <w:rPr>
          <w:rFonts w:hint="eastAsia" w:ascii="仿宋" w:hAnsi="仿宋" w:eastAsia="仿宋" w:cs="仿宋"/>
          <w:b/>
          <w:bCs/>
          <w:color w:val="auto"/>
          <w:sz w:val="36"/>
          <w:szCs w:val="36"/>
          <w:highlight w:val="none"/>
        </w:rPr>
      </w:pPr>
    </w:p>
    <w:p w14:paraId="6CCC085E">
      <w:pPr>
        <w:pStyle w:val="7"/>
        <w:ind w:firstLine="0"/>
        <w:jc w:val="center"/>
        <w:rPr>
          <w:rFonts w:hint="eastAsia" w:ascii="仿宋" w:hAnsi="仿宋" w:eastAsia="仿宋" w:cs="仿宋"/>
          <w:b/>
          <w:bCs/>
          <w:color w:val="auto"/>
          <w:sz w:val="36"/>
          <w:szCs w:val="36"/>
          <w:highlight w:val="none"/>
        </w:rPr>
      </w:pPr>
    </w:p>
    <w:p w14:paraId="65A17CAF">
      <w:pPr>
        <w:pStyle w:val="7"/>
        <w:ind w:firstLine="0"/>
        <w:jc w:val="center"/>
        <w:rPr>
          <w:rFonts w:hint="eastAsia" w:ascii="仿宋" w:hAnsi="仿宋" w:eastAsia="仿宋" w:cs="仿宋"/>
          <w:b/>
          <w:bCs/>
          <w:color w:val="auto"/>
          <w:sz w:val="36"/>
          <w:szCs w:val="36"/>
          <w:highlight w:val="none"/>
        </w:rPr>
      </w:pPr>
    </w:p>
    <w:p w14:paraId="45A0B433">
      <w:pPr>
        <w:pStyle w:val="7"/>
        <w:ind w:firstLine="0"/>
        <w:jc w:val="center"/>
        <w:rPr>
          <w:rFonts w:hint="eastAsia" w:ascii="仿宋" w:hAnsi="仿宋" w:eastAsia="仿宋" w:cs="仿宋"/>
          <w:b/>
          <w:bCs/>
          <w:color w:val="auto"/>
          <w:sz w:val="36"/>
          <w:szCs w:val="36"/>
          <w:highlight w:val="none"/>
        </w:rPr>
      </w:pPr>
    </w:p>
    <w:p w14:paraId="5DBA93D4">
      <w:pPr>
        <w:pStyle w:val="7"/>
        <w:ind w:firstLine="0"/>
        <w:jc w:val="center"/>
        <w:rPr>
          <w:rFonts w:hint="eastAsia" w:ascii="仿宋" w:hAnsi="仿宋" w:eastAsia="仿宋" w:cs="仿宋"/>
          <w:b/>
          <w:bCs/>
          <w:color w:val="auto"/>
          <w:sz w:val="36"/>
          <w:szCs w:val="36"/>
          <w:highlight w:val="none"/>
        </w:rPr>
      </w:pPr>
    </w:p>
    <w:p w14:paraId="77069CAF">
      <w:pPr>
        <w:pStyle w:val="7"/>
        <w:ind w:firstLine="0"/>
        <w:jc w:val="center"/>
        <w:rPr>
          <w:rFonts w:hint="eastAsia" w:ascii="仿宋" w:hAnsi="仿宋" w:eastAsia="仿宋" w:cs="仿宋"/>
          <w:b/>
          <w:bCs/>
          <w:color w:val="auto"/>
          <w:sz w:val="36"/>
          <w:szCs w:val="36"/>
          <w:highlight w:val="none"/>
        </w:rPr>
      </w:pPr>
    </w:p>
    <w:p w14:paraId="071CEEEA">
      <w:pPr>
        <w:pStyle w:val="7"/>
        <w:ind w:firstLine="0"/>
        <w:jc w:val="center"/>
        <w:rPr>
          <w:rFonts w:hint="eastAsia" w:ascii="仿宋" w:hAnsi="仿宋" w:eastAsia="仿宋" w:cs="仿宋"/>
          <w:b/>
          <w:bCs/>
          <w:color w:val="auto"/>
          <w:sz w:val="36"/>
          <w:szCs w:val="36"/>
          <w:highlight w:val="none"/>
        </w:rPr>
      </w:pPr>
    </w:p>
    <w:p w14:paraId="6BEB4737">
      <w:pPr>
        <w:pStyle w:val="7"/>
        <w:ind w:firstLine="0"/>
        <w:jc w:val="center"/>
        <w:rPr>
          <w:rFonts w:hint="eastAsia" w:ascii="仿宋" w:hAnsi="仿宋" w:eastAsia="仿宋" w:cs="仿宋"/>
          <w:b/>
          <w:bCs/>
          <w:color w:val="auto"/>
          <w:sz w:val="36"/>
          <w:szCs w:val="36"/>
          <w:highlight w:val="none"/>
        </w:rPr>
      </w:pPr>
    </w:p>
    <w:p w14:paraId="154B589C">
      <w:pPr>
        <w:pStyle w:val="7"/>
        <w:ind w:firstLine="0"/>
        <w:jc w:val="center"/>
        <w:rPr>
          <w:rFonts w:hint="eastAsia" w:ascii="仿宋" w:hAnsi="仿宋" w:eastAsia="仿宋" w:cs="仿宋"/>
          <w:b/>
          <w:bCs/>
          <w:color w:val="auto"/>
          <w:sz w:val="36"/>
          <w:szCs w:val="36"/>
          <w:highlight w:val="none"/>
        </w:rPr>
      </w:pPr>
    </w:p>
    <w:p w14:paraId="7B28C84B">
      <w:pPr>
        <w:pStyle w:val="7"/>
        <w:ind w:firstLine="0"/>
        <w:jc w:val="center"/>
        <w:rPr>
          <w:rFonts w:hint="eastAsia" w:ascii="仿宋" w:hAnsi="仿宋" w:eastAsia="仿宋" w:cs="仿宋"/>
          <w:b/>
          <w:bCs/>
          <w:color w:val="auto"/>
          <w:sz w:val="36"/>
          <w:szCs w:val="36"/>
          <w:highlight w:val="none"/>
        </w:rPr>
      </w:pPr>
    </w:p>
    <w:p w14:paraId="5773101D">
      <w:pPr>
        <w:pStyle w:val="7"/>
        <w:ind w:firstLine="0"/>
        <w:jc w:val="center"/>
        <w:rPr>
          <w:rFonts w:hint="eastAsia" w:ascii="仿宋" w:hAnsi="仿宋" w:eastAsia="仿宋" w:cs="仿宋"/>
          <w:b/>
          <w:bCs/>
          <w:color w:val="auto"/>
          <w:sz w:val="36"/>
          <w:szCs w:val="36"/>
          <w:highlight w:val="none"/>
        </w:rPr>
      </w:pPr>
    </w:p>
    <w:p w14:paraId="20C4313D">
      <w:pPr>
        <w:pStyle w:val="7"/>
        <w:ind w:firstLine="0"/>
        <w:jc w:val="center"/>
        <w:rPr>
          <w:rFonts w:hint="eastAsia" w:ascii="仿宋" w:hAnsi="仿宋" w:eastAsia="仿宋" w:cs="仿宋"/>
          <w:b/>
          <w:bCs/>
          <w:color w:val="auto"/>
          <w:sz w:val="36"/>
          <w:szCs w:val="36"/>
          <w:highlight w:val="none"/>
        </w:rPr>
      </w:pPr>
    </w:p>
    <w:p w14:paraId="71CC1EB3">
      <w:pPr>
        <w:pStyle w:val="7"/>
        <w:ind w:firstLine="0"/>
        <w:jc w:val="center"/>
        <w:rPr>
          <w:rFonts w:hint="eastAsia" w:ascii="仿宋" w:hAnsi="仿宋" w:eastAsia="仿宋" w:cs="仿宋"/>
          <w:b/>
          <w:bCs/>
          <w:color w:val="auto"/>
          <w:sz w:val="36"/>
          <w:szCs w:val="36"/>
          <w:highlight w:val="none"/>
        </w:rPr>
      </w:pPr>
    </w:p>
    <w:p w14:paraId="5F27FE7B">
      <w:pPr>
        <w:pStyle w:val="7"/>
        <w:ind w:firstLine="0"/>
        <w:jc w:val="center"/>
        <w:rPr>
          <w:rFonts w:hint="eastAsia" w:ascii="仿宋" w:hAnsi="仿宋" w:eastAsia="仿宋" w:cs="仿宋"/>
          <w:b/>
          <w:bCs/>
          <w:color w:val="auto"/>
          <w:sz w:val="36"/>
          <w:szCs w:val="36"/>
          <w:highlight w:val="none"/>
        </w:rPr>
      </w:pPr>
    </w:p>
    <w:p w14:paraId="2C26BDDF">
      <w:pPr>
        <w:pStyle w:val="7"/>
        <w:ind w:firstLine="0"/>
        <w:jc w:val="center"/>
        <w:rPr>
          <w:rFonts w:hint="eastAsia" w:ascii="仿宋" w:hAnsi="仿宋" w:eastAsia="仿宋" w:cs="仿宋"/>
          <w:b/>
          <w:bCs/>
          <w:color w:val="auto"/>
          <w:sz w:val="36"/>
          <w:szCs w:val="36"/>
          <w:highlight w:val="none"/>
        </w:rPr>
      </w:pPr>
    </w:p>
    <w:p w14:paraId="501B9A4C">
      <w:pPr>
        <w:pStyle w:val="7"/>
        <w:ind w:firstLine="0"/>
        <w:jc w:val="center"/>
        <w:rPr>
          <w:rFonts w:hint="eastAsia" w:ascii="仿宋" w:hAnsi="仿宋" w:eastAsia="仿宋" w:cs="仿宋"/>
          <w:b/>
          <w:bCs/>
          <w:color w:val="auto"/>
          <w:sz w:val="36"/>
          <w:szCs w:val="36"/>
          <w:highlight w:val="none"/>
        </w:rPr>
      </w:pPr>
    </w:p>
    <w:p w14:paraId="1FDE02C1">
      <w:pPr>
        <w:pStyle w:val="7"/>
        <w:ind w:firstLine="0"/>
        <w:jc w:val="center"/>
        <w:rPr>
          <w:rFonts w:hint="eastAsia" w:ascii="仿宋" w:hAnsi="仿宋" w:eastAsia="仿宋" w:cs="仿宋"/>
          <w:b/>
          <w:bCs/>
          <w:color w:val="auto"/>
          <w:sz w:val="36"/>
          <w:szCs w:val="36"/>
          <w:highlight w:val="none"/>
        </w:rPr>
      </w:pPr>
    </w:p>
    <w:p w14:paraId="04B89DFF">
      <w:pPr>
        <w:pStyle w:val="7"/>
        <w:ind w:firstLine="0"/>
        <w:jc w:val="center"/>
        <w:rPr>
          <w:rFonts w:hint="eastAsia" w:ascii="仿宋" w:hAnsi="仿宋" w:eastAsia="仿宋" w:cs="仿宋"/>
          <w:b/>
          <w:bCs/>
          <w:color w:val="auto"/>
          <w:sz w:val="36"/>
          <w:szCs w:val="36"/>
          <w:highlight w:val="none"/>
        </w:rPr>
      </w:pPr>
    </w:p>
    <w:p w14:paraId="277B6E1C">
      <w:pP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br w:type="page"/>
      </w:r>
    </w:p>
    <w:p w14:paraId="6A3B07AE">
      <w:pPr>
        <w:pStyle w:val="7"/>
        <w:ind w:firstLine="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（商务技术部分）</w:t>
      </w:r>
    </w:p>
    <w:p w14:paraId="5A63BC95">
      <w:pPr>
        <w:pStyle w:val="7"/>
        <w:rPr>
          <w:rFonts w:hint="eastAsia" w:ascii="仿宋" w:hAnsi="仿宋" w:eastAsia="仿宋" w:cs="仿宋"/>
          <w:color w:val="auto"/>
          <w:sz w:val="28"/>
          <w:szCs w:val="28"/>
          <w:highlight w:val="none"/>
        </w:rPr>
      </w:pPr>
    </w:p>
    <w:p w14:paraId="135BF7A8">
      <w:pPr>
        <w:pStyle w:val="7"/>
        <w:rPr>
          <w:rFonts w:hint="eastAsia" w:ascii="仿宋" w:hAnsi="仿宋" w:eastAsia="仿宋" w:cs="仿宋"/>
          <w:color w:val="auto"/>
          <w:sz w:val="28"/>
          <w:szCs w:val="28"/>
          <w:highlight w:val="none"/>
        </w:rPr>
      </w:pPr>
    </w:p>
    <w:p w14:paraId="79DDF087">
      <w:pPr>
        <w:pStyle w:val="7"/>
        <w:rPr>
          <w:rFonts w:hint="eastAsia" w:ascii="仿宋" w:hAnsi="仿宋" w:eastAsia="仿宋" w:cs="仿宋"/>
          <w:color w:val="auto"/>
          <w:sz w:val="28"/>
          <w:szCs w:val="28"/>
          <w:highlight w:val="none"/>
        </w:rPr>
      </w:pPr>
    </w:p>
    <w:p w14:paraId="53C6416B">
      <w:pPr>
        <w:pStyle w:val="7"/>
        <w:rPr>
          <w:rFonts w:hint="eastAsia" w:ascii="仿宋" w:hAnsi="仿宋" w:eastAsia="仿宋" w:cs="仿宋"/>
          <w:color w:val="auto"/>
          <w:sz w:val="28"/>
          <w:szCs w:val="28"/>
          <w:highlight w:val="none"/>
        </w:rPr>
      </w:pPr>
    </w:p>
    <w:p w14:paraId="57DF70F0">
      <w:pPr>
        <w:pStyle w:val="7"/>
        <w:rPr>
          <w:rFonts w:hint="eastAsia" w:ascii="仿宋" w:hAnsi="仿宋" w:eastAsia="仿宋" w:cs="仿宋"/>
          <w:color w:val="auto"/>
          <w:sz w:val="28"/>
          <w:szCs w:val="28"/>
          <w:highlight w:val="none"/>
        </w:rPr>
      </w:pPr>
    </w:p>
    <w:p w14:paraId="0DBD29D9">
      <w:pPr>
        <w:pStyle w:val="7"/>
        <w:rPr>
          <w:rFonts w:hint="eastAsia" w:ascii="仿宋" w:hAnsi="仿宋" w:eastAsia="仿宋" w:cs="仿宋"/>
          <w:color w:val="auto"/>
          <w:sz w:val="28"/>
          <w:szCs w:val="28"/>
          <w:highlight w:val="none"/>
        </w:rPr>
      </w:pPr>
    </w:p>
    <w:p w14:paraId="77CDE865">
      <w:pPr>
        <w:pStyle w:val="7"/>
        <w:rPr>
          <w:rFonts w:hint="eastAsia" w:ascii="仿宋" w:hAnsi="仿宋" w:eastAsia="仿宋" w:cs="仿宋"/>
          <w:color w:val="auto"/>
          <w:sz w:val="28"/>
          <w:szCs w:val="28"/>
          <w:highlight w:val="none"/>
        </w:rPr>
      </w:pPr>
    </w:p>
    <w:p w14:paraId="1ED4DC30">
      <w:pPr>
        <w:pStyle w:val="7"/>
        <w:spacing w:before="120" w:beforeLines="50"/>
        <w:ind w:firstLine="1630" w:firstLineChars="580"/>
        <w:rPr>
          <w:rFonts w:hint="eastAsia" w:ascii="仿宋" w:hAnsi="仿宋" w:eastAsia="仿宋" w:cs="仿宋"/>
          <w:b/>
          <w:color w:val="auto"/>
          <w:sz w:val="28"/>
          <w:szCs w:val="28"/>
          <w:highlight w:val="none"/>
        </w:rPr>
      </w:pPr>
    </w:p>
    <w:p w14:paraId="4652364E">
      <w:pPr>
        <w:pStyle w:val="7"/>
        <w:spacing w:before="120" w:beforeLines="50"/>
        <w:ind w:firstLine="1630" w:firstLineChars="580"/>
        <w:rPr>
          <w:rFonts w:hint="eastAsia" w:ascii="仿宋" w:hAnsi="仿宋" w:eastAsia="仿宋" w:cs="仿宋"/>
          <w:b/>
          <w:color w:val="auto"/>
          <w:sz w:val="28"/>
          <w:szCs w:val="28"/>
          <w:highlight w:val="none"/>
        </w:rPr>
      </w:pPr>
    </w:p>
    <w:p w14:paraId="060CF13F">
      <w:pPr>
        <w:pStyle w:val="7"/>
        <w:spacing w:before="120" w:beforeLines="50" w:after="120" w:afterLines="50"/>
        <w:ind w:firstLine="0"/>
        <w:jc w:val="center"/>
        <w:rPr>
          <w:rFonts w:hint="eastAsia" w:ascii="仿宋" w:hAnsi="仿宋" w:eastAsia="仿宋" w:cs="仿宋"/>
          <w:b/>
          <w:color w:val="auto"/>
          <w:sz w:val="44"/>
          <w:szCs w:val="44"/>
          <w:highlight w:val="none"/>
        </w:rPr>
      </w:pPr>
    </w:p>
    <w:p w14:paraId="60E9A2EC">
      <w:pPr>
        <w:pStyle w:val="7"/>
        <w:spacing w:before="120" w:beforeLines="50" w:after="120" w:afterLines="50"/>
        <w:ind w:firstLine="0"/>
        <w:jc w:val="center"/>
        <w:rPr>
          <w:rFonts w:hint="eastAsia" w:ascii="仿宋" w:hAnsi="仿宋" w:eastAsia="仿宋" w:cs="仿宋"/>
          <w:b/>
          <w:color w:val="auto"/>
          <w:sz w:val="44"/>
          <w:szCs w:val="44"/>
          <w:highlight w:val="none"/>
        </w:rPr>
      </w:pPr>
    </w:p>
    <w:p w14:paraId="12F7046F">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6A817292">
      <w:pPr>
        <w:pStyle w:val="7"/>
        <w:keepNext w:val="0"/>
        <w:keepLines w:val="0"/>
        <w:pageBreakBefore w:val="0"/>
        <w:widowControl w:val="0"/>
        <w:kinsoku/>
        <w:wordWrap/>
        <w:overflowPunct/>
        <w:topLinePunct w:val="0"/>
        <w:autoSpaceDE/>
        <w:autoSpaceDN/>
        <w:bidi w:val="0"/>
        <w:adjustRightInd/>
        <w:snapToGrid/>
        <w:spacing w:line="480" w:lineRule="exact"/>
        <w:ind w:firstLine="0"/>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目  录</w:t>
      </w:r>
    </w:p>
    <w:p w14:paraId="774E9265">
      <w:pPr>
        <w:pStyle w:val="7"/>
        <w:keepNext w:val="0"/>
        <w:keepLines w:val="0"/>
        <w:pageBreakBefore w:val="0"/>
        <w:widowControl w:val="0"/>
        <w:kinsoku/>
        <w:wordWrap/>
        <w:overflowPunct/>
        <w:topLinePunct w:val="0"/>
        <w:autoSpaceDE/>
        <w:autoSpaceDN/>
        <w:bidi w:val="0"/>
        <w:adjustRightInd/>
        <w:snapToGrid/>
        <w:spacing w:line="480" w:lineRule="exact"/>
        <w:ind w:firstLine="1392" w:firstLineChars="580"/>
        <w:textAlignment w:val="auto"/>
        <w:rPr>
          <w:rFonts w:hint="eastAsia" w:ascii="仿宋" w:hAnsi="仿宋" w:eastAsia="仿宋" w:cs="仿宋"/>
          <w:color w:val="auto"/>
          <w:sz w:val="24"/>
          <w:szCs w:val="24"/>
          <w:highlight w:val="none"/>
        </w:rPr>
      </w:pPr>
    </w:p>
    <w:p w14:paraId="462E3AD4">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一、投标函 ……………………………………………………………页码</w:t>
      </w:r>
    </w:p>
    <w:p w14:paraId="4604B917">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二、开标一览表 ………………………………………………………页码</w:t>
      </w:r>
    </w:p>
    <w:p w14:paraId="792DFC8C">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三、</w:t>
      </w:r>
      <w:r>
        <w:rPr>
          <w:rFonts w:hint="eastAsia" w:ascii="仿宋" w:hAnsi="仿宋" w:eastAsia="仿宋" w:cs="仿宋"/>
          <w:bCs/>
          <w:color w:val="auto"/>
          <w:sz w:val="22"/>
          <w:szCs w:val="22"/>
          <w:highlight w:val="none"/>
        </w:rPr>
        <w:t xml:space="preserve">货物（产品）分项报价表 </w:t>
      </w:r>
      <w:r>
        <w:rPr>
          <w:rFonts w:hint="eastAsia" w:ascii="仿宋" w:hAnsi="仿宋" w:eastAsia="仿宋" w:cs="仿宋"/>
          <w:color w:val="auto"/>
          <w:sz w:val="22"/>
          <w:szCs w:val="22"/>
          <w:highlight w:val="none"/>
        </w:rPr>
        <w:t>………………………………………页码</w:t>
      </w:r>
    </w:p>
    <w:p w14:paraId="62B7AFB1">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四</w:t>
      </w:r>
      <w:r>
        <w:rPr>
          <w:rFonts w:hint="eastAsia" w:ascii="仿宋" w:hAnsi="仿宋" w:eastAsia="仿宋" w:cs="仿宋"/>
          <w:color w:val="auto"/>
          <w:sz w:val="22"/>
          <w:szCs w:val="22"/>
          <w:highlight w:val="none"/>
        </w:rPr>
        <w:t>、货物说明一览表 …………………………………………………页码</w:t>
      </w:r>
    </w:p>
    <w:p w14:paraId="3009DC79">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五</w:t>
      </w:r>
      <w:r>
        <w:rPr>
          <w:rFonts w:hint="eastAsia" w:ascii="仿宋" w:hAnsi="仿宋" w:eastAsia="仿宋" w:cs="仿宋"/>
          <w:color w:val="auto"/>
          <w:sz w:val="22"/>
          <w:szCs w:val="22"/>
          <w:highlight w:val="none"/>
        </w:rPr>
        <w:t>、商务</w:t>
      </w:r>
      <w:r>
        <w:rPr>
          <w:rFonts w:hint="eastAsia" w:ascii="仿宋" w:hAnsi="仿宋" w:eastAsia="仿宋" w:cs="仿宋"/>
          <w:color w:val="auto"/>
          <w:sz w:val="22"/>
          <w:szCs w:val="22"/>
          <w:highlight w:val="none"/>
          <w:lang w:val="en-US" w:eastAsia="zh-CN"/>
        </w:rPr>
        <w:t>条款</w:t>
      </w:r>
      <w:r>
        <w:rPr>
          <w:rFonts w:hint="eastAsia" w:ascii="仿宋" w:hAnsi="仿宋" w:eastAsia="仿宋" w:cs="仿宋"/>
          <w:color w:val="auto"/>
          <w:sz w:val="22"/>
          <w:szCs w:val="22"/>
          <w:highlight w:val="none"/>
        </w:rPr>
        <w:t>偏离表 …………………………………………………页码</w:t>
      </w:r>
    </w:p>
    <w:p w14:paraId="3D678800">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六</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 xml:space="preserve">技术文件 </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根据本项目评分标准顺序编写</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…………………页码</w:t>
      </w:r>
    </w:p>
    <w:p w14:paraId="379A723A">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七</w:t>
      </w:r>
      <w:r>
        <w:rPr>
          <w:rFonts w:hint="eastAsia" w:ascii="仿宋" w:hAnsi="仿宋" w:eastAsia="仿宋" w:cs="仿宋"/>
          <w:color w:val="auto"/>
          <w:sz w:val="22"/>
          <w:szCs w:val="22"/>
          <w:highlight w:val="none"/>
        </w:rPr>
        <w:t>、承诺文件 …………………………………………………………页码</w:t>
      </w:r>
    </w:p>
    <w:p w14:paraId="4E82ADA4">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八</w:t>
      </w:r>
      <w:r>
        <w:rPr>
          <w:rFonts w:hint="eastAsia" w:ascii="仿宋" w:hAnsi="仿宋" w:eastAsia="仿宋" w:cs="仿宋"/>
          <w:color w:val="auto"/>
          <w:sz w:val="22"/>
          <w:szCs w:val="22"/>
          <w:highlight w:val="none"/>
        </w:rPr>
        <w:t>、售后服务文件 ……………………………………………………页码</w:t>
      </w:r>
    </w:p>
    <w:p w14:paraId="53629723">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九</w:t>
      </w:r>
      <w:r>
        <w:rPr>
          <w:rFonts w:hint="eastAsia" w:ascii="仿宋" w:hAnsi="仿宋" w:eastAsia="仿宋" w:cs="仿宋"/>
          <w:color w:val="auto"/>
          <w:sz w:val="22"/>
          <w:szCs w:val="22"/>
          <w:highlight w:val="none"/>
        </w:rPr>
        <w:t>、其他证明材料 ……………………………………………………页码</w:t>
      </w:r>
    </w:p>
    <w:p w14:paraId="1DAF91E2">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十、</w:t>
      </w:r>
      <w:r>
        <w:rPr>
          <w:rFonts w:hint="eastAsia" w:ascii="仿宋" w:hAnsi="仿宋" w:eastAsia="仿宋" w:cs="仿宋"/>
          <w:bCs/>
          <w:color w:val="auto"/>
          <w:kern w:val="0"/>
          <w:sz w:val="22"/>
          <w:szCs w:val="22"/>
          <w:highlight w:val="none"/>
        </w:rPr>
        <w:t xml:space="preserve">技术规格偏离表 </w:t>
      </w:r>
      <w:r>
        <w:rPr>
          <w:rFonts w:hint="eastAsia" w:ascii="仿宋" w:hAnsi="仿宋" w:eastAsia="仿宋" w:cs="仿宋"/>
          <w:color w:val="auto"/>
          <w:sz w:val="22"/>
          <w:szCs w:val="22"/>
          <w:highlight w:val="none"/>
        </w:rPr>
        <w:t>…………………………………………………页码</w:t>
      </w:r>
    </w:p>
    <w:p w14:paraId="574BE36F">
      <w:pPr>
        <w:pStyle w:val="7"/>
        <w:keepNext w:val="0"/>
        <w:keepLines w:val="0"/>
        <w:pageBreakBefore w:val="0"/>
        <w:widowControl w:val="0"/>
        <w:kinsoku/>
        <w:wordWrap/>
        <w:overflowPunct/>
        <w:topLinePunct w:val="0"/>
        <w:autoSpaceDE/>
        <w:autoSpaceDN/>
        <w:bidi w:val="0"/>
        <w:adjustRightInd/>
        <w:snapToGrid/>
        <w:spacing w:line="480" w:lineRule="exact"/>
        <w:ind w:firstLine="1276" w:firstLineChars="58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十</w:t>
      </w:r>
      <w:r>
        <w:rPr>
          <w:rFonts w:hint="eastAsia" w:ascii="仿宋" w:hAnsi="仿宋" w:eastAsia="仿宋" w:cs="仿宋"/>
          <w:color w:val="auto"/>
          <w:sz w:val="22"/>
          <w:szCs w:val="22"/>
          <w:highlight w:val="none"/>
          <w:lang w:val="en-US" w:eastAsia="zh-CN"/>
        </w:rPr>
        <w:t>一</w:t>
      </w:r>
      <w:r>
        <w:rPr>
          <w:rFonts w:hint="eastAsia" w:ascii="仿宋" w:hAnsi="仿宋" w:eastAsia="仿宋" w:cs="仿宋"/>
          <w:color w:val="auto"/>
          <w:sz w:val="22"/>
          <w:szCs w:val="22"/>
          <w:highlight w:val="none"/>
        </w:rPr>
        <w:t>、投标人认为有必要补充说明的事项……………</w:t>
      </w:r>
      <w:bookmarkEnd w:id="205"/>
      <w:r>
        <w:rPr>
          <w:rFonts w:hint="eastAsia" w:ascii="仿宋" w:hAnsi="仿宋" w:eastAsia="仿宋" w:cs="仿宋"/>
          <w:color w:val="auto"/>
          <w:sz w:val="22"/>
          <w:szCs w:val="22"/>
          <w:highlight w:val="none"/>
        </w:rPr>
        <w:t>………………页码</w:t>
      </w:r>
    </w:p>
    <w:p w14:paraId="53923B95">
      <w:pPr>
        <w:pStyle w:val="7"/>
        <w:keepNext w:val="0"/>
        <w:keepLines w:val="0"/>
        <w:pageBreakBefore w:val="0"/>
        <w:widowControl w:val="0"/>
        <w:kinsoku/>
        <w:wordWrap/>
        <w:overflowPunct/>
        <w:topLinePunct w:val="0"/>
        <w:autoSpaceDE/>
        <w:autoSpaceDN/>
        <w:bidi w:val="0"/>
        <w:adjustRightInd/>
        <w:snapToGrid/>
        <w:spacing w:line="480" w:lineRule="exact"/>
        <w:ind w:firstLine="1218" w:firstLineChars="580"/>
        <w:textAlignment w:val="auto"/>
        <w:rPr>
          <w:rFonts w:hint="eastAsia" w:ascii="仿宋" w:hAnsi="仿宋" w:eastAsia="仿宋" w:cs="仿宋"/>
          <w:color w:val="auto"/>
          <w:highlight w:val="none"/>
        </w:rPr>
      </w:pPr>
    </w:p>
    <w:p w14:paraId="1DCB6C8D">
      <w:pPr>
        <w:pStyle w:val="7"/>
        <w:keepNext w:val="0"/>
        <w:keepLines w:val="0"/>
        <w:pageBreakBefore w:val="0"/>
        <w:widowControl w:val="0"/>
        <w:kinsoku/>
        <w:wordWrap/>
        <w:overflowPunct/>
        <w:topLinePunct w:val="0"/>
        <w:autoSpaceDE/>
        <w:autoSpaceDN/>
        <w:bidi w:val="0"/>
        <w:adjustRightInd/>
        <w:snapToGrid/>
        <w:spacing w:line="480" w:lineRule="exact"/>
        <w:ind w:firstLine="1218" w:firstLineChars="580"/>
        <w:textAlignment w:val="auto"/>
        <w:rPr>
          <w:rFonts w:hint="eastAsia" w:ascii="仿宋" w:hAnsi="仿宋" w:eastAsia="仿宋" w:cs="仿宋"/>
          <w:color w:val="auto"/>
          <w:highlight w:val="none"/>
        </w:rPr>
      </w:pPr>
    </w:p>
    <w:p w14:paraId="30203B49">
      <w:pPr>
        <w:pStyle w:val="7"/>
        <w:spacing w:before="120" w:beforeLines="50"/>
        <w:ind w:firstLine="1218" w:firstLineChars="580"/>
        <w:rPr>
          <w:rFonts w:hint="eastAsia" w:ascii="仿宋" w:hAnsi="仿宋" w:eastAsia="仿宋" w:cs="仿宋"/>
          <w:color w:val="auto"/>
          <w:highlight w:val="none"/>
        </w:rPr>
      </w:pPr>
    </w:p>
    <w:p w14:paraId="337A2998">
      <w:pPr>
        <w:pStyle w:val="7"/>
        <w:spacing w:before="120" w:beforeLines="50"/>
        <w:ind w:firstLine="1218" w:firstLineChars="580"/>
        <w:rPr>
          <w:rFonts w:hint="eastAsia" w:ascii="仿宋" w:hAnsi="仿宋" w:eastAsia="仿宋" w:cs="仿宋"/>
          <w:color w:val="auto"/>
          <w:highlight w:val="none"/>
        </w:rPr>
      </w:pPr>
    </w:p>
    <w:p w14:paraId="091B1E4F">
      <w:pPr>
        <w:pStyle w:val="7"/>
        <w:spacing w:before="120" w:beforeLines="50"/>
        <w:ind w:firstLine="1218" w:firstLineChars="580"/>
        <w:rPr>
          <w:rFonts w:hint="eastAsia" w:ascii="仿宋" w:hAnsi="仿宋" w:eastAsia="仿宋" w:cs="仿宋"/>
          <w:color w:val="auto"/>
          <w:highlight w:val="none"/>
        </w:rPr>
      </w:pPr>
    </w:p>
    <w:p w14:paraId="06D33F26">
      <w:pPr>
        <w:pStyle w:val="7"/>
        <w:spacing w:before="120" w:beforeLines="50"/>
        <w:ind w:firstLine="1218" w:firstLineChars="580"/>
        <w:rPr>
          <w:rFonts w:hint="eastAsia" w:ascii="仿宋" w:hAnsi="仿宋" w:eastAsia="仿宋" w:cs="仿宋"/>
          <w:color w:val="auto"/>
          <w:highlight w:val="none"/>
        </w:rPr>
      </w:pPr>
    </w:p>
    <w:p w14:paraId="19300F16">
      <w:pPr>
        <w:pStyle w:val="7"/>
        <w:spacing w:before="120" w:beforeLines="50"/>
        <w:ind w:firstLine="1218" w:firstLineChars="580"/>
        <w:rPr>
          <w:rFonts w:hint="eastAsia" w:ascii="仿宋" w:hAnsi="仿宋" w:eastAsia="仿宋" w:cs="仿宋"/>
          <w:color w:val="auto"/>
          <w:highlight w:val="none"/>
        </w:rPr>
      </w:pPr>
    </w:p>
    <w:p w14:paraId="26A44FFA">
      <w:pPr>
        <w:pStyle w:val="7"/>
        <w:spacing w:before="120" w:beforeLines="50"/>
        <w:ind w:firstLine="1218" w:firstLineChars="580"/>
        <w:rPr>
          <w:rFonts w:hint="eastAsia" w:ascii="仿宋" w:hAnsi="仿宋" w:eastAsia="仿宋" w:cs="仿宋"/>
          <w:color w:val="auto"/>
          <w:highlight w:val="none"/>
        </w:rPr>
      </w:pPr>
    </w:p>
    <w:p w14:paraId="113A3D57">
      <w:pPr>
        <w:pStyle w:val="7"/>
        <w:spacing w:before="120" w:beforeLines="50"/>
        <w:ind w:firstLine="1218" w:firstLineChars="580"/>
        <w:rPr>
          <w:rFonts w:hint="eastAsia" w:ascii="仿宋" w:hAnsi="仿宋" w:eastAsia="仿宋" w:cs="仿宋"/>
          <w:color w:val="auto"/>
          <w:highlight w:val="none"/>
        </w:rPr>
      </w:pPr>
    </w:p>
    <w:p w14:paraId="7EDC9E7A">
      <w:pPr>
        <w:pStyle w:val="7"/>
        <w:spacing w:before="120" w:beforeLines="50"/>
        <w:ind w:firstLine="1218" w:firstLineChars="580"/>
        <w:rPr>
          <w:rFonts w:hint="eastAsia" w:ascii="仿宋" w:hAnsi="仿宋" w:eastAsia="仿宋" w:cs="仿宋"/>
          <w:color w:val="auto"/>
          <w:highlight w:val="none"/>
        </w:rPr>
      </w:pPr>
    </w:p>
    <w:p w14:paraId="494C5927">
      <w:pPr>
        <w:pStyle w:val="7"/>
        <w:spacing w:before="120" w:beforeLines="50"/>
        <w:ind w:firstLine="1218" w:firstLineChars="580"/>
        <w:rPr>
          <w:rFonts w:hint="eastAsia" w:ascii="仿宋" w:hAnsi="仿宋" w:eastAsia="仿宋" w:cs="仿宋"/>
          <w:color w:val="auto"/>
          <w:highlight w:val="none"/>
        </w:rPr>
      </w:pPr>
    </w:p>
    <w:p w14:paraId="383B1E6E">
      <w:pPr>
        <w:pStyle w:val="7"/>
        <w:spacing w:before="120" w:beforeLines="50"/>
        <w:ind w:firstLine="1218" w:firstLineChars="580"/>
        <w:rPr>
          <w:rFonts w:hint="eastAsia" w:ascii="仿宋" w:hAnsi="仿宋" w:eastAsia="仿宋" w:cs="仿宋"/>
          <w:color w:val="auto"/>
          <w:highlight w:val="none"/>
        </w:rPr>
      </w:pPr>
    </w:p>
    <w:p w14:paraId="3F1185CC">
      <w:pPr>
        <w:pStyle w:val="7"/>
        <w:spacing w:before="120" w:beforeLines="50"/>
        <w:ind w:firstLine="1218" w:firstLineChars="580"/>
        <w:rPr>
          <w:rFonts w:hint="eastAsia" w:ascii="仿宋" w:hAnsi="仿宋" w:eastAsia="仿宋" w:cs="仿宋"/>
          <w:color w:val="auto"/>
          <w:highlight w:val="none"/>
        </w:rPr>
      </w:pPr>
    </w:p>
    <w:p w14:paraId="4486F9BA">
      <w:pPr>
        <w:rPr>
          <w:rFonts w:hint="eastAsia" w:ascii="仿宋" w:hAnsi="仿宋" w:eastAsia="仿宋" w:cs="仿宋"/>
          <w:color w:val="auto"/>
          <w:highlight w:val="none"/>
        </w:rPr>
      </w:pPr>
    </w:p>
    <w:p w14:paraId="7E9445B0">
      <w:pPr>
        <w:pStyle w:val="4"/>
        <w:rPr>
          <w:rFonts w:hint="eastAsia" w:ascii="仿宋" w:hAnsi="仿宋" w:eastAsia="仿宋" w:cs="仿宋"/>
          <w:color w:val="auto"/>
          <w:highlight w:val="none"/>
        </w:rPr>
      </w:pPr>
    </w:p>
    <w:p w14:paraId="367E18CC">
      <w:pPr>
        <w:pStyle w:val="7"/>
        <w:spacing w:before="120" w:beforeLines="50"/>
        <w:ind w:firstLine="1218" w:firstLineChars="580"/>
        <w:rPr>
          <w:rFonts w:hint="eastAsia" w:ascii="仿宋" w:hAnsi="仿宋" w:eastAsia="仿宋" w:cs="仿宋"/>
          <w:color w:val="auto"/>
          <w:highlight w:val="none"/>
        </w:rPr>
      </w:pPr>
    </w:p>
    <w:p w14:paraId="37215468">
      <w:pPr>
        <w:pStyle w:val="7"/>
        <w:spacing w:before="120" w:beforeLines="50"/>
        <w:ind w:firstLine="1218" w:firstLineChars="580"/>
        <w:rPr>
          <w:rFonts w:hint="eastAsia" w:ascii="仿宋" w:hAnsi="仿宋" w:eastAsia="仿宋" w:cs="仿宋"/>
          <w:color w:val="auto"/>
          <w:highlight w:val="none"/>
        </w:rPr>
      </w:pPr>
    </w:p>
    <w:p w14:paraId="14F15F4F">
      <w:pPr>
        <w:pStyle w:val="14"/>
        <w:keepNext w:val="0"/>
        <w:keepLines w:val="0"/>
        <w:pageBreakBefore w:val="0"/>
        <w:widowControl w:val="0"/>
        <w:numPr>
          <w:ilvl w:val="0"/>
          <w:numId w:val="0"/>
        </w:numPr>
        <w:kinsoku/>
        <w:wordWrap/>
        <w:overflowPunct/>
        <w:topLinePunct w:val="0"/>
        <w:autoSpaceDE/>
        <w:autoSpaceDN/>
        <w:bidi w:val="0"/>
        <w:spacing w:line="480" w:lineRule="exact"/>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一、</w:t>
      </w:r>
      <w:r>
        <w:rPr>
          <w:rFonts w:hint="eastAsia" w:ascii="仿宋" w:hAnsi="仿宋" w:eastAsia="仿宋" w:cs="仿宋"/>
          <w:b/>
          <w:color w:val="auto"/>
          <w:sz w:val="32"/>
          <w:szCs w:val="32"/>
          <w:highlight w:val="none"/>
        </w:rPr>
        <w:t>投 标 函</w:t>
      </w:r>
    </w:p>
    <w:p w14:paraId="124FD219">
      <w:pPr>
        <w:pStyle w:val="14"/>
        <w:keepNext w:val="0"/>
        <w:keepLines w:val="0"/>
        <w:pageBreakBefore w:val="0"/>
        <w:widowControl w:val="0"/>
        <w:kinsoku/>
        <w:wordWrap/>
        <w:overflowPunct/>
        <w:topLinePunct w:val="0"/>
        <w:autoSpaceDE/>
        <w:autoSpaceDN/>
        <w:bidi w:val="0"/>
        <w:spacing w:line="480" w:lineRule="exact"/>
        <w:ind w:firstLine="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val="en-US" w:eastAsia="zh-CN"/>
        </w:rPr>
        <w:t>伊宁市教育局</w:t>
      </w:r>
      <w:r>
        <w:rPr>
          <w:rFonts w:hint="eastAsia" w:ascii="仿宋" w:hAnsi="仿宋" w:eastAsia="仿宋" w:cs="仿宋"/>
          <w:bCs/>
          <w:color w:val="auto"/>
          <w:sz w:val="22"/>
          <w:szCs w:val="22"/>
          <w:highlight w:val="none"/>
        </w:rPr>
        <w:t>：</w:t>
      </w:r>
    </w:p>
    <w:p w14:paraId="30084FA4">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我方已仔细研究了</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项目名称)的招标文件（</w:t>
      </w:r>
      <w:r>
        <w:rPr>
          <w:rFonts w:hint="eastAsia" w:ascii="仿宋" w:hAnsi="仿宋" w:eastAsia="仿宋" w:cs="仿宋"/>
          <w:color w:val="auto"/>
          <w:sz w:val="22"/>
          <w:szCs w:val="22"/>
          <w:highlight w:val="none"/>
          <w:u w:val="single"/>
        </w:rPr>
        <w:t>采购项目编号</w:t>
      </w:r>
      <w:r>
        <w:rPr>
          <w:rFonts w:hint="eastAsia" w:ascii="仿宋" w:hAnsi="仿宋" w:eastAsia="仿宋" w:cs="仿宋"/>
          <w:color w:val="auto"/>
          <w:sz w:val="22"/>
          <w:szCs w:val="22"/>
          <w:highlight w:val="none"/>
        </w:rPr>
        <w:t>）的全部内容，知悉参加投标的风险，我方承诺接受招标文件的全部条款且无任何异议，</w:t>
      </w:r>
      <w:r>
        <w:rPr>
          <w:rFonts w:hint="eastAsia" w:ascii="仿宋" w:hAnsi="仿宋" w:eastAsia="仿宋" w:cs="仿宋"/>
          <w:bCs/>
          <w:color w:val="auto"/>
          <w:sz w:val="22"/>
          <w:szCs w:val="22"/>
          <w:highlight w:val="none"/>
        </w:rPr>
        <w:t>决定参加贵单位组织的本项目招标。</w:t>
      </w:r>
    </w:p>
    <w:p w14:paraId="1352863D">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一</w:t>
      </w:r>
      <w:r>
        <w:rPr>
          <w:rFonts w:hint="eastAsia" w:ascii="仿宋" w:hAnsi="仿宋" w:eastAsia="仿宋" w:cs="仿宋"/>
          <w:color w:val="auto"/>
          <w:sz w:val="22"/>
          <w:szCs w:val="22"/>
          <w:highlight w:val="none"/>
        </w:rPr>
        <w:t>、我方的投标总报价为人民币（大写）</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元 （￥</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w:t>
      </w:r>
      <w:r>
        <w:rPr>
          <w:rFonts w:hint="eastAsia" w:ascii="仿宋" w:hAnsi="仿宋" w:eastAsia="仿宋" w:cs="仿宋"/>
          <w:b w:val="0"/>
          <w:bCs/>
          <w:color w:val="auto"/>
          <w:kern w:val="2"/>
          <w:sz w:val="22"/>
          <w:szCs w:val="22"/>
          <w:highlight w:val="none"/>
          <w:lang w:val="en-US" w:eastAsia="zh-CN" w:bidi="ar-SA"/>
        </w:rPr>
        <w:t>合同履行期限</w:t>
      </w:r>
      <w:r>
        <w:rPr>
          <w:rFonts w:hint="eastAsia" w:ascii="仿宋" w:hAnsi="仿宋" w:eastAsia="仿宋" w:cs="仿宋"/>
          <w:color w:val="auto"/>
          <w:sz w:val="22"/>
          <w:szCs w:val="22"/>
          <w:highlight w:val="none"/>
        </w:rPr>
        <w:t>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t xml:space="preserve"> 投标有效期为</w:t>
      </w:r>
      <w:r>
        <w:rPr>
          <w:rFonts w:hint="eastAsia" w:ascii="仿宋" w:hAnsi="仿宋" w:eastAsia="仿宋" w:cs="仿宋"/>
          <w:color w:val="auto"/>
          <w:sz w:val="22"/>
          <w:szCs w:val="22"/>
          <w:highlight w:val="none"/>
          <w:lang w:val="zh-CN"/>
        </w:rPr>
        <w:t>投标截止日起90日历</w:t>
      </w:r>
      <w:r>
        <w:rPr>
          <w:rFonts w:hint="eastAsia" w:ascii="仿宋" w:hAnsi="仿宋" w:eastAsia="仿宋" w:cs="仿宋"/>
          <w:color w:val="auto"/>
          <w:sz w:val="22"/>
          <w:szCs w:val="22"/>
          <w:highlight w:val="none"/>
        </w:rPr>
        <w:t>日。</w:t>
      </w:r>
    </w:p>
    <w:p w14:paraId="1C166190">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eastAsia="zh-CN"/>
        </w:rPr>
        <w:t>二</w:t>
      </w:r>
      <w:r>
        <w:rPr>
          <w:rFonts w:hint="eastAsia" w:ascii="仿宋" w:hAnsi="仿宋" w:eastAsia="仿宋" w:cs="仿宋"/>
          <w:bCs/>
          <w:color w:val="auto"/>
          <w:sz w:val="22"/>
          <w:szCs w:val="22"/>
          <w:highlight w:val="none"/>
        </w:rPr>
        <w:t>、我方承诺除技术偏差表列出的偏差外，我方响应招标文件的全部要求。</w:t>
      </w:r>
    </w:p>
    <w:p w14:paraId="5B573099">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SA"/>
        </w:rPr>
        <w:t>三、我方愿意向贵方提供任何与本项采购有关的数据</w:t>
      </w:r>
      <w:r>
        <w:rPr>
          <w:rFonts w:hint="eastAsia" w:ascii="仿宋" w:hAnsi="仿宋" w:eastAsia="仿宋" w:cs="仿宋"/>
          <w:color w:val="auto"/>
          <w:sz w:val="22"/>
          <w:szCs w:val="22"/>
          <w:highlight w:val="none"/>
        </w:rPr>
        <w:t>、情况和技术</w:t>
      </w:r>
      <w:r>
        <w:rPr>
          <w:rFonts w:hint="eastAsia" w:ascii="仿宋" w:hAnsi="仿宋" w:eastAsia="仿宋" w:cs="仿宋"/>
          <w:color w:val="auto"/>
          <w:sz w:val="22"/>
          <w:szCs w:val="22"/>
          <w:highlight w:val="none"/>
          <w:lang w:val="en-US" w:eastAsia="zh-CN"/>
        </w:rPr>
        <w:t>服务</w:t>
      </w:r>
      <w:r>
        <w:rPr>
          <w:rFonts w:hint="eastAsia" w:ascii="仿宋" w:hAnsi="仿宋" w:eastAsia="仿宋" w:cs="仿宋"/>
          <w:color w:val="auto"/>
          <w:sz w:val="22"/>
          <w:szCs w:val="22"/>
          <w:highlight w:val="none"/>
        </w:rPr>
        <w:t>资料。若贵方需要，我方愿意提供我方作出的一切承诺的证明材料。</w:t>
      </w:r>
    </w:p>
    <w:p w14:paraId="78D82153">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四、我方承诺在招标文件规定的投标有效期内不撤销投标文件。</w:t>
      </w:r>
    </w:p>
    <w:p w14:paraId="79EBA1B6">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五、我方承诺无企业财产被查封、冻结或处于破产状态或严重亏损状态等情形存在。</w:t>
      </w:r>
    </w:p>
    <w:p w14:paraId="2B3C45C7">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六、我方承诺在投标过程中，保证不予其他单位围标、串标，不出让投标资格，不采取不正当手段诋毁、排挤其他投标人，不向采购人、采购代理机构、评标委员会成员行贿。</w:t>
      </w:r>
    </w:p>
    <w:p w14:paraId="68EB161C">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sz w:val="22"/>
          <w:szCs w:val="22"/>
          <w:highlight w:val="none"/>
          <w:lang w:val="en-US" w:eastAsia="zh-CN"/>
        </w:rPr>
        <w:t>七、我方承诺在投标时未列入政府采购严重违法失信行为记录名单、失信被执行人、重大税收违法失信主体</w:t>
      </w:r>
      <w:r>
        <w:rPr>
          <w:rFonts w:hint="eastAsia" w:ascii="仿宋" w:hAnsi="仿宋" w:eastAsia="仿宋" w:cs="仿宋"/>
          <w:color w:val="auto"/>
          <w:kern w:val="2"/>
          <w:sz w:val="22"/>
          <w:szCs w:val="22"/>
          <w:highlight w:val="none"/>
          <w:lang w:val="en-US" w:eastAsia="zh-CN" w:bidi="ar-SA"/>
        </w:rPr>
        <w:t>。</w:t>
      </w:r>
    </w:p>
    <w:p w14:paraId="525E458D">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八</w:t>
      </w:r>
      <w:r>
        <w:rPr>
          <w:rFonts w:hint="eastAsia" w:ascii="仿宋" w:hAnsi="仿宋" w:eastAsia="仿宋" w:cs="仿宋"/>
          <w:color w:val="auto"/>
          <w:sz w:val="22"/>
          <w:szCs w:val="22"/>
          <w:highlight w:val="none"/>
        </w:rPr>
        <w:t>、我方承诺遵守《中华人民共和国政府采购法》及其实施条例的有关规定，保证在获得中标资格后：</w:t>
      </w:r>
    </w:p>
    <w:p w14:paraId="37B40203">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1.在收到中标通知书后，在中标通知书规定的期限内与采购人签订合同；</w:t>
      </w:r>
    </w:p>
    <w:p w14:paraId="6DE062C9">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2.在签订合同时不向采购人提出附加条件；</w:t>
      </w:r>
    </w:p>
    <w:p w14:paraId="2D302A3C">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3.在合同规定期限内完成合同规定的全部义务；</w:t>
      </w:r>
      <w:r>
        <w:rPr>
          <w:rFonts w:hint="eastAsia" w:ascii="仿宋" w:hAnsi="仿宋" w:eastAsia="仿宋" w:cs="仿宋"/>
          <w:bCs/>
          <w:color w:val="auto"/>
          <w:sz w:val="22"/>
          <w:szCs w:val="22"/>
          <w:highlight w:val="none"/>
        </w:rPr>
        <w:t xml:space="preserve"> </w:t>
      </w:r>
    </w:p>
    <w:p w14:paraId="7CBFE33A">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4.</w:t>
      </w:r>
      <w:r>
        <w:rPr>
          <w:rFonts w:hint="eastAsia" w:ascii="仿宋" w:hAnsi="仿宋" w:eastAsia="仿宋" w:cs="仿宋"/>
          <w:bCs/>
          <w:color w:val="auto"/>
          <w:sz w:val="22"/>
          <w:szCs w:val="22"/>
          <w:highlight w:val="none"/>
        </w:rPr>
        <w:t>按照招标文件规定和标准向贵方交纳招标代理服务费；</w:t>
      </w:r>
    </w:p>
    <w:p w14:paraId="4DAB5516">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5.按照招标文件规定提交履约保证金。</w:t>
      </w:r>
    </w:p>
    <w:p w14:paraId="7479BEC0">
      <w:pPr>
        <w:pStyle w:val="12"/>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val="en-US" w:eastAsia="zh-CN"/>
        </w:rPr>
        <w:t>九</w:t>
      </w:r>
      <w:r>
        <w:rPr>
          <w:rFonts w:hint="eastAsia" w:ascii="仿宋" w:hAnsi="仿宋" w:eastAsia="仿宋" w:cs="仿宋"/>
          <w:color w:val="auto"/>
          <w:sz w:val="22"/>
          <w:szCs w:val="22"/>
          <w:highlight w:val="none"/>
        </w:rPr>
        <w:t>、我方完全理解并同意招标文件中有关不退还投标保证金条款所规定的情形。</w:t>
      </w:r>
    </w:p>
    <w:p w14:paraId="03B82E3F">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lang w:val="en-US" w:eastAsia="zh-CN"/>
        </w:rPr>
        <w:t>十</w:t>
      </w:r>
      <w:r>
        <w:rPr>
          <w:rFonts w:hint="eastAsia" w:ascii="仿宋" w:hAnsi="仿宋" w:eastAsia="仿宋" w:cs="仿宋"/>
          <w:color w:val="auto"/>
          <w:sz w:val="22"/>
          <w:szCs w:val="22"/>
          <w:highlight w:val="none"/>
        </w:rPr>
        <w:t>、</w:t>
      </w:r>
      <w:r>
        <w:rPr>
          <w:rFonts w:hint="eastAsia" w:ascii="仿宋" w:hAnsi="仿宋" w:eastAsia="仿宋" w:cs="仿宋"/>
          <w:bCs/>
          <w:color w:val="auto"/>
          <w:sz w:val="22"/>
          <w:szCs w:val="22"/>
          <w:highlight w:val="none"/>
        </w:rPr>
        <w:t>我方完全理解最低报价不是中标的唯一条件，并尊重评标委员会的评审结论和中标结果。</w:t>
      </w:r>
    </w:p>
    <w:p w14:paraId="5939700F">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val="en-US" w:eastAsia="zh-CN"/>
        </w:rPr>
        <w:t>十一</w:t>
      </w:r>
      <w:r>
        <w:rPr>
          <w:rFonts w:hint="eastAsia" w:ascii="仿宋" w:hAnsi="仿宋" w:eastAsia="仿宋" w:cs="仿宋"/>
          <w:bCs/>
          <w:color w:val="auto"/>
          <w:sz w:val="22"/>
          <w:szCs w:val="22"/>
          <w:highlight w:val="none"/>
        </w:rPr>
        <w:t>、</w:t>
      </w:r>
      <w:r>
        <w:rPr>
          <w:rFonts w:hint="eastAsia" w:ascii="仿宋" w:hAnsi="仿宋" w:eastAsia="仿宋" w:cs="仿宋"/>
          <w:color w:val="auto"/>
          <w:sz w:val="22"/>
          <w:szCs w:val="22"/>
          <w:highlight w:val="none"/>
        </w:rPr>
        <w:t>我方在此声明，所递交的投标文件及有关资料内容完整、真实和准确，且不存在第二章“投标人须知”第1.3.2条款规定的任何一种情形。否则，愿承担《中华人民共和国政府采购法》</w:t>
      </w:r>
      <w:r>
        <w:rPr>
          <w:rFonts w:hint="eastAsia" w:ascii="仿宋" w:hAnsi="仿宋" w:eastAsia="仿宋" w:cs="仿宋"/>
          <w:bCs/>
          <w:color w:val="auto"/>
          <w:sz w:val="22"/>
          <w:szCs w:val="22"/>
          <w:highlight w:val="none"/>
        </w:rPr>
        <w:t>第七十七条规定的法律责任。</w:t>
      </w:r>
    </w:p>
    <w:p w14:paraId="34CD1A5E">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lang w:val="en-US" w:eastAsia="zh-CN"/>
        </w:rPr>
        <w:t>十二</w:t>
      </w:r>
      <w:r>
        <w:rPr>
          <w:rFonts w:hint="eastAsia" w:ascii="仿宋" w:hAnsi="仿宋" w:eastAsia="仿宋" w:cs="仿宋"/>
          <w:bCs/>
          <w:color w:val="auto"/>
          <w:sz w:val="22"/>
          <w:szCs w:val="22"/>
          <w:highlight w:val="none"/>
        </w:rPr>
        <w:t>、</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（其他补充说明）。</w:t>
      </w:r>
    </w:p>
    <w:p w14:paraId="55B7230A">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十</w:t>
      </w:r>
      <w:r>
        <w:rPr>
          <w:rFonts w:hint="eastAsia" w:ascii="仿宋" w:hAnsi="仿宋" w:eastAsia="仿宋" w:cs="仿宋"/>
          <w:bCs/>
          <w:color w:val="auto"/>
          <w:sz w:val="22"/>
          <w:szCs w:val="22"/>
          <w:highlight w:val="none"/>
          <w:lang w:val="en-US" w:eastAsia="zh-CN"/>
        </w:rPr>
        <w:t>三</w:t>
      </w:r>
      <w:r>
        <w:rPr>
          <w:rFonts w:hint="eastAsia" w:ascii="仿宋" w:hAnsi="仿宋" w:eastAsia="仿宋" w:cs="仿宋"/>
          <w:bCs/>
          <w:color w:val="auto"/>
          <w:sz w:val="22"/>
          <w:szCs w:val="22"/>
          <w:highlight w:val="none"/>
        </w:rPr>
        <w:t>、有关本项目的所有函电，请按下列地址联系：</w:t>
      </w:r>
    </w:p>
    <w:p w14:paraId="1A6AB304">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 标 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（盖单位章）</w:t>
      </w:r>
    </w:p>
    <w:p w14:paraId="55162CB0">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法定代表人或委托代理人：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（签字）</w:t>
      </w:r>
    </w:p>
    <w:p w14:paraId="66933CFA">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通讯地址：</w:t>
      </w:r>
    </w:p>
    <w:p w14:paraId="0FB46E42">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邮政编码：</w:t>
      </w:r>
    </w:p>
    <w:p w14:paraId="60886EDF">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联系电话：</w:t>
      </w:r>
    </w:p>
    <w:p w14:paraId="324164CD">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传    真：</w:t>
      </w:r>
    </w:p>
    <w:p w14:paraId="043C9E96">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电子邮件：</w:t>
      </w:r>
    </w:p>
    <w:p w14:paraId="074EE45B">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开户银行:</w:t>
      </w:r>
    </w:p>
    <w:p w14:paraId="6DC352BE">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帐    号：</w:t>
      </w:r>
    </w:p>
    <w:p w14:paraId="1A3D9B82">
      <w:pPr>
        <w:pStyle w:val="14"/>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    期：20   年   月   日</w:t>
      </w:r>
    </w:p>
    <w:p w14:paraId="0216A9DD">
      <w:pPr>
        <w:spacing w:line="300" w:lineRule="atLeast"/>
        <w:outlineLvl w:val="9"/>
        <w:rPr>
          <w:rFonts w:hint="eastAsia" w:ascii="仿宋" w:hAnsi="仿宋" w:eastAsia="仿宋" w:cs="仿宋"/>
          <w:b/>
          <w:color w:val="auto"/>
          <w:sz w:val="28"/>
          <w:szCs w:val="28"/>
          <w:highlight w:val="none"/>
        </w:rPr>
      </w:pPr>
    </w:p>
    <w:p w14:paraId="5839E5A2">
      <w:pPr>
        <w:spacing w:line="300" w:lineRule="atLeast"/>
        <w:outlineLvl w:val="9"/>
        <w:rPr>
          <w:rFonts w:hint="eastAsia" w:ascii="仿宋" w:hAnsi="仿宋" w:eastAsia="仿宋" w:cs="仿宋"/>
          <w:b/>
          <w:color w:val="auto"/>
          <w:sz w:val="28"/>
          <w:szCs w:val="28"/>
          <w:highlight w:val="none"/>
        </w:rPr>
      </w:pPr>
    </w:p>
    <w:p w14:paraId="1EA15868">
      <w:pPr>
        <w:spacing w:line="300" w:lineRule="atLeast"/>
        <w:outlineLvl w:val="9"/>
        <w:rPr>
          <w:rFonts w:hint="eastAsia" w:ascii="仿宋" w:hAnsi="仿宋" w:eastAsia="仿宋" w:cs="仿宋"/>
          <w:b/>
          <w:color w:val="auto"/>
          <w:sz w:val="28"/>
          <w:szCs w:val="28"/>
          <w:highlight w:val="none"/>
        </w:rPr>
      </w:pPr>
    </w:p>
    <w:p w14:paraId="1E5CEA83">
      <w:pPr>
        <w:spacing w:line="300" w:lineRule="atLeast"/>
        <w:outlineLvl w:val="9"/>
        <w:rPr>
          <w:rFonts w:hint="eastAsia" w:ascii="仿宋" w:hAnsi="仿宋" w:eastAsia="仿宋" w:cs="仿宋"/>
          <w:b/>
          <w:color w:val="auto"/>
          <w:sz w:val="28"/>
          <w:szCs w:val="28"/>
          <w:highlight w:val="none"/>
        </w:rPr>
      </w:pPr>
    </w:p>
    <w:p w14:paraId="48E40EE6">
      <w:pPr>
        <w:spacing w:line="300" w:lineRule="atLeast"/>
        <w:outlineLvl w:val="9"/>
        <w:rPr>
          <w:rFonts w:hint="eastAsia" w:ascii="仿宋" w:hAnsi="仿宋" w:eastAsia="仿宋" w:cs="仿宋"/>
          <w:b/>
          <w:color w:val="auto"/>
          <w:sz w:val="28"/>
          <w:szCs w:val="28"/>
          <w:highlight w:val="none"/>
        </w:rPr>
      </w:pPr>
    </w:p>
    <w:p w14:paraId="2F93FD33">
      <w:pPr>
        <w:spacing w:line="300" w:lineRule="atLeast"/>
        <w:outlineLvl w:val="9"/>
        <w:rPr>
          <w:rFonts w:hint="eastAsia" w:ascii="仿宋" w:hAnsi="仿宋" w:eastAsia="仿宋" w:cs="仿宋"/>
          <w:b/>
          <w:color w:val="auto"/>
          <w:sz w:val="28"/>
          <w:szCs w:val="28"/>
          <w:highlight w:val="none"/>
        </w:rPr>
      </w:pPr>
    </w:p>
    <w:p w14:paraId="630B4435">
      <w:pPr>
        <w:spacing w:line="300" w:lineRule="atLeast"/>
        <w:outlineLvl w:val="9"/>
        <w:rPr>
          <w:rFonts w:hint="eastAsia" w:ascii="仿宋" w:hAnsi="仿宋" w:eastAsia="仿宋" w:cs="仿宋"/>
          <w:b/>
          <w:color w:val="auto"/>
          <w:sz w:val="28"/>
          <w:szCs w:val="28"/>
          <w:highlight w:val="none"/>
        </w:rPr>
      </w:pPr>
    </w:p>
    <w:p w14:paraId="481D5ECF">
      <w:pPr>
        <w:spacing w:line="300" w:lineRule="atLeast"/>
        <w:outlineLvl w:val="9"/>
        <w:rPr>
          <w:rFonts w:hint="eastAsia" w:ascii="仿宋" w:hAnsi="仿宋" w:eastAsia="仿宋" w:cs="仿宋"/>
          <w:b/>
          <w:color w:val="auto"/>
          <w:sz w:val="28"/>
          <w:szCs w:val="28"/>
          <w:highlight w:val="none"/>
        </w:rPr>
      </w:pPr>
    </w:p>
    <w:p w14:paraId="69C219BC">
      <w:pPr>
        <w:spacing w:line="300" w:lineRule="atLeast"/>
        <w:outlineLvl w:val="9"/>
        <w:rPr>
          <w:rFonts w:hint="eastAsia" w:ascii="仿宋" w:hAnsi="仿宋" w:eastAsia="仿宋" w:cs="仿宋"/>
          <w:b/>
          <w:color w:val="auto"/>
          <w:sz w:val="28"/>
          <w:szCs w:val="28"/>
          <w:highlight w:val="none"/>
        </w:rPr>
      </w:pPr>
    </w:p>
    <w:p w14:paraId="2D0E787F">
      <w:pPr>
        <w:spacing w:line="300" w:lineRule="atLeast"/>
        <w:outlineLvl w:val="9"/>
        <w:rPr>
          <w:rFonts w:hint="eastAsia" w:ascii="仿宋" w:hAnsi="仿宋" w:eastAsia="仿宋" w:cs="仿宋"/>
          <w:b/>
          <w:color w:val="auto"/>
          <w:sz w:val="28"/>
          <w:szCs w:val="28"/>
          <w:highlight w:val="none"/>
        </w:rPr>
      </w:pPr>
    </w:p>
    <w:p w14:paraId="552B9C6F">
      <w:pPr>
        <w:spacing w:line="300" w:lineRule="atLeast"/>
        <w:outlineLvl w:val="9"/>
        <w:rPr>
          <w:rFonts w:hint="eastAsia" w:ascii="仿宋" w:hAnsi="仿宋" w:eastAsia="仿宋" w:cs="仿宋"/>
          <w:b/>
          <w:color w:val="auto"/>
          <w:sz w:val="28"/>
          <w:szCs w:val="28"/>
          <w:highlight w:val="none"/>
        </w:rPr>
      </w:pPr>
    </w:p>
    <w:p w14:paraId="0A7CC512">
      <w:pPr>
        <w:spacing w:line="300" w:lineRule="atLeast"/>
        <w:outlineLvl w:val="9"/>
        <w:rPr>
          <w:rFonts w:hint="eastAsia" w:ascii="仿宋" w:hAnsi="仿宋" w:eastAsia="仿宋" w:cs="仿宋"/>
          <w:b/>
          <w:color w:val="auto"/>
          <w:sz w:val="28"/>
          <w:szCs w:val="28"/>
          <w:highlight w:val="none"/>
        </w:rPr>
      </w:pPr>
    </w:p>
    <w:p w14:paraId="779FB2EF">
      <w:pPr>
        <w:spacing w:line="300" w:lineRule="atLeast"/>
        <w:outlineLvl w:val="9"/>
        <w:rPr>
          <w:rFonts w:hint="eastAsia" w:ascii="仿宋" w:hAnsi="仿宋" w:eastAsia="仿宋" w:cs="仿宋"/>
          <w:b/>
          <w:color w:val="auto"/>
          <w:sz w:val="28"/>
          <w:szCs w:val="28"/>
          <w:highlight w:val="none"/>
        </w:rPr>
      </w:pPr>
    </w:p>
    <w:p w14:paraId="2C3FF2D9">
      <w:pPr>
        <w:spacing w:line="300" w:lineRule="atLeast"/>
        <w:outlineLvl w:val="9"/>
        <w:rPr>
          <w:rFonts w:hint="eastAsia" w:ascii="仿宋" w:hAnsi="仿宋" w:eastAsia="仿宋" w:cs="仿宋"/>
          <w:b/>
          <w:color w:val="auto"/>
          <w:sz w:val="28"/>
          <w:szCs w:val="28"/>
          <w:highlight w:val="none"/>
        </w:rPr>
      </w:pPr>
    </w:p>
    <w:p w14:paraId="6D5160D5">
      <w:pPr>
        <w:spacing w:line="300" w:lineRule="atLeast"/>
        <w:outlineLvl w:val="9"/>
        <w:rPr>
          <w:rFonts w:hint="eastAsia" w:ascii="仿宋" w:hAnsi="仿宋" w:eastAsia="仿宋" w:cs="仿宋"/>
          <w:b/>
          <w:color w:val="auto"/>
          <w:sz w:val="28"/>
          <w:szCs w:val="28"/>
          <w:highlight w:val="none"/>
        </w:rPr>
      </w:pPr>
    </w:p>
    <w:p w14:paraId="20D11F4C">
      <w:pPr>
        <w:spacing w:line="300" w:lineRule="atLeast"/>
        <w:outlineLvl w:val="9"/>
        <w:rPr>
          <w:rFonts w:hint="eastAsia" w:ascii="仿宋" w:hAnsi="仿宋" w:eastAsia="仿宋" w:cs="仿宋"/>
          <w:b/>
          <w:color w:val="auto"/>
          <w:sz w:val="28"/>
          <w:szCs w:val="28"/>
          <w:highlight w:val="none"/>
        </w:rPr>
      </w:pPr>
    </w:p>
    <w:p w14:paraId="0FC5DD28">
      <w:pPr>
        <w:spacing w:line="300" w:lineRule="atLeast"/>
        <w:outlineLvl w:val="9"/>
        <w:rPr>
          <w:rFonts w:hint="eastAsia" w:ascii="仿宋" w:hAnsi="仿宋" w:eastAsia="仿宋" w:cs="仿宋"/>
          <w:b/>
          <w:color w:val="auto"/>
          <w:sz w:val="28"/>
          <w:szCs w:val="28"/>
          <w:highlight w:val="none"/>
        </w:rPr>
      </w:pPr>
    </w:p>
    <w:p w14:paraId="63906BD8">
      <w:pPr>
        <w:spacing w:line="300" w:lineRule="atLeast"/>
        <w:outlineLvl w:val="9"/>
        <w:rPr>
          <w:rFonts w:hint="eastAsia" w:ascii="仿宋" w:hAnsi="仿宋" w:eastAsia="仿宋" w:cs="仿宋"/>
          <w:b/>
          <w:color w:val="auto"/>
          <w:sz w:val="28"/>
          <w:szCs w:val="28"/>
          <w:highlight w:val="none"/>
        </w:rPr>
      </w:pPr>
    </w:p>
    <w:p w14:paraId="440E7D75">
      <w:pPr>
        <w:spacing w:line="300" w:lineRule="atLeast"/>
        <w:outlineLvl w:val="9"/>
        <w:rPr>
          <w:rFonts w:hint="eastAsia" w:ascii="仿宋" w:hAnsi="仿宋" w:eastAsia="仿宋" w:cs="仿宋"/>
          <w:b/>
          <w:color w:val="auto"/>
          <w:sz w:val="28"/>
          <w:szCs w:val="28"/>
          <w:highlight w:val="none"/>
        </w:rPr>
      </w:pPr>
    </w:p>
    <w:p w14:paraId="4703B5DF">
      <w:pPr>
        <w:spacing w:line="300" w:lineRule="atLeast"/>
        <w:outlineLvl w:val="9"/>
        <w:rPr>
          <w:rFonts w:hint="eastAsia" w:ascii="仿宋" w:hAnsi="仿宋" w:eastAsia="仿宋" w:cs="仿宋"/>
          <w:b/>
          <w:color w:val="auto"/>
          <w:sz w:val="28"/>
          <w:szCs w:val="28"/>
          <w:highlight w:val="none"/>
        </w:rPr>
      </w:pPr>
    </w:p>
    <w:p w14:paraId="798C0971">
      <w:pPr>
        <w:spacing w:line="300" w:lineRule="atLeast"/>
        <w:outlineLvl w:val="9"/>
        <w:rPr>
          <w:rFonts w:hint="eastAsia" w:ascii="仿宋" w:hAnsi="仿宋" w:eastAsia="仿宋" w:cs="仿宋"/>
          <w:b/>
          <w:color w:val="auto"/>
          <w:sz w:val="28"/>
          <w:szCs w:val="28"/>
          <w:highlight w:val="none"/>
        </w:rPr>
      </w:pPr>
    </w:p>
    <w:p w14:paraId="5C1EE8DB">
      <w:pPr>
        <w:spacing w:line="400" w:lineRule="exact"/>
        <w:outlineLvl w:val="9"/>
        <w:rPr>
          <w:rFonts w:hint="eastAsia" w:ascii="仿宋" w:hAnsi="仿宋" w:eastAsia="仿宋" w:cs="仿宋"/>
          <w:b/>
          <w:color w:val="auto"/>
          <w:sz w:val="28"/>
          <w:szCs w:val="28"/>
          <w:highlight w:val="none"/>
        </w:rPr>
      </w:pPr>
    </w:p>
    <w:p w14:paraId="2EF87A13">
      <w:pPr>
        <w:pStyle w:val="14"/>
        <w:keepNext w:val="0"/>
        <w:keepLines w:val="0"/>
        <w:pageBreakBefore w:val="0"/>
        <w:widowControl w:val="0"/>
        <w:numPr>
          <w:ilvl w:val="0"/>
          <w:numId w:val="0"/>
        </w:numPr>
        <w:kinsoku/>
        <w:wordWrap/>
        <w:overflowPunct/>
        <w:topLinePunct w:val="0"/>
        <w:autoSpaceDE/>
        <w:autoSpaceDN/>
        <w:bidi w:val="0"/>
        <w:spacing w:line="480" w:lineRule="exact"/>
        <w:jc w:val="center"/>
        <w:textAlignment w:val="auto"/>
        <w:rPr>
          <w:rFonts w:hint="eastAsia" w:ascii="仿宋" w:hAnsi="仿宋" w:eastAsia="仿宋" w:cs="仿宋"/>
          <w:b/>
          <w:color w:val="auto"/>
          <w:sz w:val="32"/>
          <w:szCs w:val="32"/>
          <w:highlight w:val="none"/>
          <w:lang w:val="en-US" w:eastAsia="zh-CN"/>
        </w:rPr>
      </w:pPr>
      <w:bookmarkStart w:id="233" w:name="_Toc32010"/>
      <w:r>
        <w:rPr>
          <w:rFonts w:hint="eastAsia" w:ascii="仿宋" w:hAnsi="仿宋" w:eastAsia="仿宋" w:cs="仿宋"/>
          <w:b/>
          <w:color w:val="auto"/>
          <w:sz w:val="32"/>
          <w:szCs w:val="32"/>
          <w:highlight w:val="none"/>
          <w:lang w:val="en-US" w:eastAsia="zh-CN"/>
        </w:rPr>
        <w:t>二、开标一览表</w:t>
      </w:r>
      <w:bookmarkEnd w:id="233"/>
    </w:p>
    <w:p w14:paraId="01C25C15">
      <w:pPr>
        <w:keepNext w:val="0"/>
        <w:keepLines w:val="0"/>
        <w:kinsoku/>
        <w:wordWrap/>
        <w:overflowPunct/>
        <w:topLinePunct w:val="0"/>
        <w:autoSpaceDE/>
        <w:autoSpaceDN/>
        <w:bidi w:val="0"/>
        <w:snapToGrid w:val="0"/>
        <w:spacing w:line="480" w:lineRule="exact"/>
        <w:textAlignment w:val="auto"/>
        <w:outlineLvl w:val="1"/>
        <w:rPr>
          <w:rFonts w:hint="eastAsia" w:ascii="仿宋" w:hAnsi="仿宋" w:eastAsia="仿宋" w:cs="仿宋"/>
          <w:color w:val="auto"/>
          <w:sz w:val="22"/>
          <w:szCs w:val="22"/>
          <w:highlight w:val="none"/>
        </w:rPr>
      </w:pPr>
      <w:bookmarkStart w:id="234" w:name="_Toc16704"/>
      <w:r>
        <w:rPr>
          <w:rFonts w:hint="eastAsia" w:ascii="仿宋" w:hAnsi="仿宋" w:eastAsia="仿宋" w:cs="仿宋"/>
          <w:color w:val="auto"/>
          <w:sz w:val="22"/>
          <w:szCs w:val="22"/>
          <w:highlight w:val="none"/>
        </w:rPr>
        <w:t>采购项目编号：</w:t>
      </w:r>
      <w:bookmarkEnd w:id="234"/>
      <w:r>
        <w:rPr>
          <w:rFonts w:hint="eastAsia" w:ascii="仿宋" w:hAnsi="仿宋" w:eastAsia="仿宋" w:cs="仿宋"/>
          <w:color w:val="auto"/>
          <w:sz w:val="22"/>
          <w:szCs w:val="22"/>
          <w:highlight w:val="none"/>
        </w:rPr>
        <w:t xml:space="preserve">                                                    </w:t>
      </w:r>
    </w:p>
    <w:tbl>
      <w:tblPr>
        <w:tblStyle w:val="23"/>
        <w:tblW w:w="888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748"/>
        <w:gridCol w:w="2234"/>
        <w:gridCol w:w="1763"/>
      </w:tblGrid>
      <w:tr w14:paraId="4E8F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880" w:type="dxa"/>
            <w:gridSpan w:val="4"/>
            <w:noWrap/>
            <w:vAlign w:val="center"/>
          </w:tcPr>
          <w:p w14:paraId="0AD37CDB">
            <w:pPr>
              <w:keepNext w:val="0"/>
              <w:keepLines w:val="0"/>
              <w:widowControl/>
              <w:kinsoku/>
              <w:wordWrap/>
              <w:overflowPunct/>
              <w:topLinePunct w:val="0"/>
              <w:autoSpaceDE/>
              <w:autoSpaceDN/>
              <w:bidi w:val="0"/>
              <w:snapToGrid w:val="0"/>
              <w:spacing w:line="480" w:lineRule="exact"/>
              <w:ind w:left="0" w:leftChars="0"/>
              <w:jc w:val="left"/>
              <w:textAlignment w:val="auto"/>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rPr>
              <w:t>投标人名称：</w:t>
            </w:r>
          </w:p>
        </w:tc>
      </w:tr>
      <w:tr w14:paraId="4D78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135" w:type="dxa"/>
            <w:noWrap/>
            <w:vAlign w:val="center"/>
          </w:tcPr>
          <w:p w14:paraId="7981140C">
            <w:pPr>
              <w:keepNext w:val="0"/>
              <w:keepLines w:val="0"/>
              <w:widowControl/>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rPr>
              <w:t>项目名称</w:t>
            </w:r>
          </w:p>
        </w:tc>
        <w:tc>
          <w:tcPr>
            <w:tcW w:w="2748" w:type="dxa"/>
            <w:noWrap w:val="0"/>
            <w:vAlign w:val="center"/>
          </w:tcPr>
          <w:p w14:paraId="1BE864A9">
            <w:pPr>
              <w:keepNext w:val="0"/>
              <w:keepLines w:val="0"/>
              <w:widowControl/>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lang w:val="en-US" w:eastAsia="zh-CN"/>
              </w:rPr>
              <w:t>投标</w:t>
            </w:r>
            <w:r>
              <w:rPr>
                <w:rFonts w:hint="eastAsia" w:ascii="仿宋" w:hAnsi="仿宋" w:eastAsia="仿宋" w:cs="仿宋"/>
                <w:b w:val="0"/>
                <w:bCs w:val="0"/>
                <w:color w:val="auto"/>
                <w:kern w:val="0"/>
                <w:sz w:val="22"/>
                <w:szCs w:val="22"/>
                <w:highlight w:val="none"/>
              </w:rPr>
              <w:t>总报价（元）</w:t>
            </w:r>
          </w:p>
        </w:tc>
        <w:tc>
          <w:tcPr>
            <w:tcW w:w="2234" w:type="dxa"/>
            <w:noWrap w:val="0"/>
            <w:vAlign w:val="center"/>
          </w:tcPr>
          <w:p w14:paraId="7FEDACA1">
            <w:pPr>
              <w:keepNext w:val="0"/>
              <w:keepLines w:val="0"/>
              <w:widowControl/>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lang w:val="en-US" w:eastAsia="zh-CN"/>
              </w:rPr>
              <w:t>合同履行期限</w:t>
            </w:r>
          </w:p>
        </w:tc>
        <w:tc>
          <w:tcPr>
            <w:tcW w:w="1763" w:type="dxa"/>
            <w:noWrap w:val="0"/>
            <w:vAlign w:val="center"/>
          </w:tcPr>
          <w:p w14:paraId="16D5E5FF">
            <w:pPr>
              <w:keepNext w:val="0"/>
              <w:keepLines w:val="0"/>
              <w:widowControl/>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val="0"/>
                <w:bCs w:val="0"/>
                <w:color w:val="auto"/>
                <w:kern w:val="0"/>
                <w:sz w:val="22"/>
                <w:szCs w:val="22"/>
                <w:highlight w:val="none"/>
                <w:lang w:val="en-US" w:eastAsia="zh-CN"/>
              </w:rPr>
            </w:pPr>
            <w:r>
              <w:rPr>
                <w:rFonts w:hint="eastAsia" w:ascii="仿宋" w:hAnsi="仿宋" w:eastAsia="仿宋" w:cs="仿宋"/>
                <w:b w:val="0"/>
                <w:bCs w:val="0"/>
                <w:color w:val="auto"/>
                <w:kern w:val="0"/>
                <w:sz w:val="22"/>
                <w:szCs w:val="22"/>
                <w:highlight w:val="none"/>
                <w:lang w:val="en-US" w:eastAsia="zh-CN"/>
              </w:rPr>
              <w:t>质保期</w:t>
            </w:r>
          </w:p>
        </w:tc>
      </w:tr>
      <w:tr w14:paraId="3673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35" w:type="dxa"/>
            <w:noWrap/>
            <w:vAlign w:val="center"/>
          </w:tcPr>
          <w:p w14:paraId="37CAA05B">
            <w:pPr>
              <w:keepNext w:val="0"/>
              <w:keepLines w:val="0"/>
              <w:widowControl/>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val="0"/>
                <w:bCs w:val="0"/>
                <w:color w:val="auto"/>
                <w:kern w:val="0"/>
                <w:sz w:val="22"/>
                <w:szCs w:val="22"/>
                <w:highlight w:val="none"/>
              </w:rPr>
            </w:pPr>
          </w:p>
        </w:tc>
        <w:tc>
          <w:tcPr>
            <w:tcW w:w="2748" w:type="dxa"/>
            <w:noWrap/>
            <w:vAlign w:val="center"/>
          </w:tcPr>
          <w:p w14:paraId="6DA6AA8C">
            <w:pPr>
              <w:keepNext w:val="0"/>
              <w:keepLines w:val="0"/>
              <w:widowControl/>
              <w:kinsoku/>
              <w:wordWrap/>
              <w:overflowPunct/>
              <w:topLinePunct w:val="0"/>
              <w:autoSpaceDE/>
              <w:autoSpaceDN/>
              <w:bidi w:val="0"/>
              <w:snapToGrid w:val="0"/>
              <w:spacing w:line="480" w:lineRule="exact"/>
              <w:ind w:left="0" w:leftChars="0"/>
              <w:jc w:val="left"/>
              <w:textAlignment w:val="auto"/>
              <w:rPr>
                <w:rFonts w:hint="eastAsia" w:ascii="仿宋" w:hAnsi="仿宋" w:eastAsia="仿宋" w:cs="仿宋"/>
                <w:b w:val="0"/>
                <w:bCs w:val="0"/>
                <w:color w:val="auto"/>
                <w:kern w:val="0"/>
                <w:sz w:val="22"/>
                <w:szCs w:val="22"/>
                <w:highlight w:val="none"/>
              </w:rPr>
            </w:pPr>
          </w:p>
        </w:tc>
        <w:tc>
          <w:tcPr>
            <w:tcW w:w="2234" w:type="dxa"/>
            <w:noWrap/>
            <w:vAlign w:val="center"/>
          </w:tcPr>
          <w:p w14:paraId="1E91C1B6">
            <w:pPr>
              <w:keepNext w:val="0"/>
              <w:keepLines w:val="0"/>
              <w:widowControl/>
              <w:kinsoku/>
              <w:wordWrap/>
              <w:overflowPunct/>
              <w:topLinePunct w:val="0"/>
              <w:autoSpaceDE/>
              <w:autoSpaceDN/>
              <w:bidi w:val="0"/>
              <w:snapToGrid w:val="0"/>
              <w:spacing w:line="480" w:lineRule="exact"/>
              <w:ind w:left="0" w:leftChars="0"/>
              <w:jc w:val="left"/>
              <w:textAlignment w:val="auto"/>
              <w:rPr>
                <w:rFonts w:hint="eastAsia" w:ascii="仿宋" w:hAnsi="仿宋" w:eastAsia="仿宋" w:cs="仿宋"/>
                <w:b w:val="0"/>
                <w:bCs w:val="0"/>
                <w:color w:val="auto"/>
                <w:kern w:val="0"/>
                <w:sz w:val="22"/>
                <w:szCs w:val="22"/>
                <w:highlight w:val="none"/>
              </w:rPr>
            </w:pPr>
          </w:p>
        </w:tc>
        <w:tc>
          <w:tcPr>
            <w:tcW w:w="1763" w:type="dxa"/>
            <w:noWrap/>
            <w:vAlign w:val="center"/>
          </w:tcPr>
          <w:p w14:paraId="17B19917">
            <w:pPr>
              <w:keepNext w:val="0"/>
              <w:keepLines w:val="0"/>
              <w:widowControl/>
              <w:kinsoku/>
              <w:wordWrap/>
              <w:overflowPunct/>
              <w:topLinePunct w:val="0"/>
              <w:autoSpaceDE/>
              <w:autoSpaceDN/>
              <w:bidi w:val="0"/>
              <w:snapToGrid w:val="0"/>
              <w:spacing w:line="480" w:lineRule="exact"/>
              <w:ind w:left="0" w:leftChars="0"/>
              <w:jc w:val="left"/>
              <w:textAlignment w:val="auto"/>
              <w:rPr>
                <w:rFonts w:hint="eastAsia" w:ascii="仿宋" w:hAnsi="仿宋" w:eastAsia="仿宋" w:cs="仿宋"/>
                <w:b w:val="0"/>
                <w:bCs w:val="0"/>
                <w:color w:val="auto"/>
                <w:kern w:val="0"/>
                <w:sz w:val="22"/>
                <w:szCs w:val="22"/>
                <w:highlight w:val="none"/>
              </w:rPr>
            </w:pPr>
          </w:p>
        </w:tc>
      </w:tr>
      <w:tr w14:paraId="7928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880" w:type="dxa"/>
            <w:gridSpan w:val="4"/>
            <w:noWrap/>
            <w:vAlign w:val="center"/>
          </w:tcPr>
          <w:p w14:paraId="780D024E">
            <w:pPr>
              <w:keepNext w:val="0"/>
              <w:keepLines w:val="0"/>
              <w:widowControl/>
              <w:kinsoku/>
              <w:wordWrap/>
              <w:overflowPunct/>
              <w:topLinePunct w:val="0"/>
              <w:autoSpaceDE/>
              <w:autoSpaceDN/>
              <w:bidi w:val="0"/>
              <w:snapToGrid w:val="0"/>
              <w:spacing w:line="480" w:lineRule="exact"/>
              <w:ind w:left="0" w:leftChars="0"/>
              <w:jc w:val="left"/>
              <w:textAlignment w:val="auto"/>
              <w:rPr>
                <w:rFonts w:hint="eastAsia" w:ascii="仿宋" w:hAnsi="仿宋" w:eastAsia="仿宋" w:cs="仿宋"/>
                <w:b w:val="0"/>
                <w:bCs w:val="0"/>
                <w:color w:val="auto"/>
                <w:kern w:val="0"/>
                <w:sz w:val="22"/>
                <w:szCs w:val="22"/>
                <w:highlight w:val="none"/>
              </w:rPr>
            </w:pPr>
            <w:r>
              <w:rPr>
                <w:rFonts w:hint="eastAsia" w:ascii="仿宋" w:hAnsi="仿宋" w:eastAsia="仿宋" w:cs="仿宋"/>
                <w:b w:val="0"/>
                <w:bCs w:val="0"/>
                <w:color w:val="auto"/>
                <w:kern w:val="0"/>
                <w:sz w:val="22"/>
                <w:szCs w:val="22"/>
                <w:highlight w:val="none"/>
              </w:rPr>
              <w:t xml:space="preserve">总报价（大写）：                                           </w:t>
            </w:r>
          </w:p>
        </w:tc>
      </w:tr>
    </w:tbl>
    <w:p w14:paraId="5F3A23D0">
      <w:pPr>
        <w:keepNext w:val="0"/>
        <w:keepLines w:val="0"/>
        <w:kinsoku/>
        <w:wordWrap/>
        <w:overflowPunct/>
        <w:topLinePunct w:val="0"/>
        <w:autoSpaceDE/>
        <w:autoSpaceDN/>
        <w:bidi w:val="0"/>
        <w:snapToGrid w:val="0"/>
        <w:spacing w:line="480" w:lineRule="exact"/>
        <w:ind w:left="431" w:leftChars="0" w:hanging="431" w:hangingChars="196"/>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w:t>
      </w:r>
      <w:r>
        <w:rPr>
          <w:rFonts w:hint="eastAsia" w:ascii="仿宋" w:hAnsi="仿宋" w:eastAsia="仿宋" w:cs="仿宋"/>
          <w:b/>
          <w:color w:val="auto"/>
          <w:sz w:val="22"/>
          <w:szCs w:val="22"/>
          <w:highlight w:val="none"/>
        </w:rPr>
        <w:t>：</w:t>
      </w:r>
      <w:r>
        <w:rPr>
          <w:rFonts w:hint="eastAsia" w:ascii="仿宋" w:hAnsi="仿宋" w:eastAsia="仿宋" w:cs="仿宋"/>
          <w:color w:val="auto"/>
          <w:sz w:val="22"/>
          <w:szCs w:val="22"/>
          <w:highlight w:val="none"/>
        </w:rPr>
        <w:t>1.报价应按总报价填写，精确到小数点后两位，大小写不一致时，以大写为准；</w:t>
      </w:r>
      <w:bookmarkStart w:id="235" w:name="_Toc30777"/>
      <w:r>
        <w:rPr>
          <w:rFonts w:hint="eastAsia" w:ascii="仿宋" w:hAnsi="仿宋" w:eastAsia="仿宋" w:cs="仿宋"/>
          <w:color w:val="auto"/>
          <w:sz w:val="22"/>
          <w:szCs w:val="22"/>
          <w:highlight w:val="none"/>
        </w:rPr>
        <w:t>2.“开</w:t>
      </w:r>
    </w:p>
    <w:p w14:paraId="53C71085">
      <w:pPr>
        <w:keepNext w:val="0"/>
        <w:keepLines w:val="0"/>
        <w:kinsoku/>
        <w:wordWrap/>
        <w:overflowPunct/>
        <w:topLinePunct w:val="0"/>
        <w:autoSpaceDE/>
        <w:autoSpaceDN/>
        <w:bidi w:val="0"/>
        <w:snapToGrid w:val="0"/>
        <w:spacing w:line="480" w:lineRule="exact"/>
        <w:ind w:left="431" w:leftChars="0" w:hanging="431" w:hangingChars="196"/>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标一览表”以包为单位填写；</w:t>
      </w:r>
      <w:bookmarkEnd w:id="235"/>
      <w:r>
        <w:rPr>
          <w:rFonts w:hint="eastAsia" w:ascii="仿宋" w:hAnsi="仿宋" w:eastAsia="仿宋" w:cs="仿宋"/>
          <w:color w:val="auto"/>
          <w:sz w:val="22"/>
          <w:szCs w:val="22"/>
          <w:highlight w:val="none"/>
        </w:rPr>
        <w:t>3.有分包的，项目名称填写分包的项目名称，无分包的填写采购</w:t>
      </w:r>
    </w:p>
    <w:p w14:paraId="7008D88A">
      <w:pPr>
        <w:keepNext w:val="0"/>
        <w:keepLines w:val="0"/>
        <w:kinsoku/>
        <w:wordWrap/>
        <w:overflowPunct/>
        <w:topLinePunct w:val="0"/>
        <w:autoSpaceDE/>
        <w:autoSpaceDN/>
        <w:bidi w:val="0"/>
        <w:snapToGrid w:val="0"/>
        <w:spacing w:line="480" w:lineRule="exact"/>
        <w:ind w:left="431" w:leftChars="0" w:hanging="431" w:hangingChars="196"/>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项目名称；4.本表所列各项数据与投标文件其他地方表述不一致时，以本表为准；</w:t>
      </w:r>
    </w:p>
    <w:p w14:paraId="08248560">
      <w:pPr>
        <w:keepNext w:val="0"/>
        <w:keepLines w:val="0"/>
        <w:kinsoku/>
        <w:wordWrap/>
        <w:overflowPunct/>
        <w:topLinePunct w:val="0"/>
        <w:autoSpaceDE/>
        <w:autoSpaceDN/>
        <w:bidi w:val="0"/>
        <w:adjustRightInd w:val="0"/>
        <w:snapToGrid w:val="0"/>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（盖单位章）</w:t>
      </w:r>
    </w:p>
    <w:p w14:paraId="17478606">
      <w:pPr>
        <w:keepNext w:val="0"/>
        <w:keepLines w:val="0"/>
        <w:kinsoku/>
        <w:wordWrap/>
        <w:overflowPunct/>
        <w:topLinePunct w:val="0"/>
        <w:autoSpaceDE/>
        <w:autoSpaceDN/>
        <w:bidi w:val="0"/>
        <w:snapToGrid w:val="0"/>
        <w:spacing w:line="480" w:lineRule="exact"/>
        <w:textAlignment w:val="auto"/>
        <w:outlineLvl w:val="1"/>
        <w:rPr>
          <w:rFonts w:hint="eastAsia" w:ascii="仿宋" w:hAnsi="仿宋" w:eastAsia="仿宋" w:cs="仿宋"/>
          <w:color w:val="auto"/>
          <w:sz w:val="22"/>
          <w:szCs w:val="22"/>
          <w:highlight w:val="none"/>
        </w:rPr>
      </w:pPr>
      <w:bookmarkStart w:id="236" w:name="_Toc23148"/>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bookmarkEnd w:id="236"/>
    </w:p>
    <w:p w14:paraId="446F2D0C">
      <w:pPr>
        <w:keepNext w:val="0"/>
        <w:keepLines w:val="0"/>
        <w:kinsoku/>
        <w:wordWrap/>
        <w:overflowPunct/>
        <w:topLinePunct w:val="0"/>
        <w:autoSpaceDE/>
        <w:autoSpaceDN/>
        <w:bidi w:val="0"/>
        <w:snapToGrid w:val="0"/>
        <w:spacing w:line="480" w:lineRule="exact"/>
        <w:textAlignment w:val="auto"/>
        <w:outlineLvl w:val="1"/>
        <w:rPr>
          <w:rFonts w:hint="eastAsia" w:ascii="仿宋" w:hAnsi="仿宋" w:eastAsia="仿宋" w:cs="仿宋"/>
          <w:b/>
          <w:color w:val="auto"/>
          <w:sz w:val="22"/>
          <w:szCs w:val="22"/>
          <w:highlight w:val="none"/>
        </w:rPr>
      </w:pPr>
      <w:bookmarkStart w:id="237" w:name="_Toc10413"/>
      <w:r>
        <w:rPr>
          <w:rFonts w:hint="eastAsia" w:ascii="仿宋" w:hAnsi="仿宋" w:eastAsia="仿宋" w:cs="仿宋"/>
          <w:color w:val="auto"/>
          <w:sz w:val="22"/>
          <w:szCs w:val="22"/>
          <w:highlight w:val="none"/>
        </w:rPr>
        <w:t>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bookmarkEnd w:id="237"/>
    </w:p>
    <w:p w14:paraId="36C7B4E3">
      <w:pPr>
        <w:keepNext w:val="0"/>
        <w:keepLines w:val="0"/>
        <w:kinsoku/>
        <w:wordWrap/>
        <w:overflowPunct/>
        <w:topLinePunct w:val="0"/>
        <w:autoSpaceDE/>
        <w:autoSpaceDN/>
        <w:bidi w:val="0"/>
        <w:snapToGrid w:val="0"/>
        <w:spacing w:line="480" w:lineRule="exact"/>
        <w:ind w:left="0" w:leftChars="0"/>
        <w:textAlignment w:val="auto"/>
        <w:outlineLvl w:val="9"/>
        <w:rPr>
          <w:rFonts w:hint="eastAsia" w:ascii="仿宋" w:hAnsi="仿宋" w:eastAsia="仿宋" w:cs="仿宋"/>
          <w:b/>
          <w:color w:val="auto"/>
          <w:sz w:val="22"/>
          <w:szCs w:val="22"/>
          <w:highlight w:val="none"/>
        </w:rPr>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sectPr>
      </w:pPr>
    </w:p>
    <w:p w14:paraId="4551088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sz w:val="36"/>
          <w:szCs w:val="36"/>
          <w:highlight w:val="none"/>
        </w:rPr>
      </w:pPr>
      <w:bookmarkStart w:id="238" w:name="_Toc217446086"/>
      <w:r>
        <w:rPr>
          <w:rFonts w:hint="eastAsia" w:ascii="仿宋" w:hAnsi="仿宋" w:eastAsia="仿宋" w:cs="仿宋"/>
          <w:b/>
          <w:color w:val="auto"/>
          <w:kern w:val="2"/>
          <w:sz w:val="32"/>
          <w:szCs w:val="32"/>
          <w:highlight w:val="none"/>
          <w:lang w:val="en-US" w:eastAsia="zh-CN" w:bidi="ar-SA"/>
        </w:rPr>
        <w:t>三、货物（产品）分项报价表</w:t>
      </w:r>
    </w:p>
    <w:p w14:paraId="39A58913">
      <w:pPr>
        <w:keepNext w:val="0"/>
        <w:keepLines w:val="0"/>
        <w:pageBreakBefore w:val="0"/>
        <w:widowControl w:val="0"/>
        <w:kinsoku/>
        <w:wordWrap/>
        <w:overflowPunct/>
        <w:topLinePunct w:val="0"/>
        <w:autoSpaceDE/>
        <w:autoSpaceDN/>
        <w:bidi w:val="0"/>
        <w:adjustRightInd/>
        <w:snapToGrid/>
        <w:spacing w:line="480" w:lineRule="exact"/>
        <w:ind w:left="0" w:leftChars="0" w:firstLine="220" w:firstLineChars="1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投标人名称：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采购项目编码：</w:t>
      </w:r>
    </w:p>
    <w:tbl>
      <w:tblPr>
        <w:tblStyle w:val="23"/>
        <w:tblW w:w="13962"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843"/>
        <w:gridCol w:w="1924"/>
        <w:gridCol w:w="1591"/>
        <w:gridCol w:w="2071"/>
        <w:gridCol w:w="1346"/>
        <w:gridCol w:w="959"/>
        <w:gridCol w:w="1021"/>
        <w:gridCol w:w="1272"/>
        <w:gridCol w:w="1264"/>
      </w:tblGrid>
      <w:tr w14:paraId="5C08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671" w:type="dxa"/>
            <w:noWrap w:val="0"/>
            <w:vAlign w:val="center"/>
          </w:tcPr>
          <w:p w14:paraId="42C2DD3C">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序号</w:t>
            </w:r>
          </w:p>
        </w:tc>
        <w:tc>
          <w:tcPr>
            <w:tcW w:w="1843" w:type="dxa"/>
            <w:noWrap w:val="0"/>
            <w:vAlign w:val="center"/>
          </w:tcPr>
          <w:p w14:paraId="0B16978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货物名称</w:t>
            </w:r>
          </w:p>
        </w:tc>
        <w:tc>
          <w:tcPr>
            <w:tcW w:w="1924" w:type="dxa"/>
            <w:noWrap w:val="0"/>
            <w:vAlign w:val="center"/>
          </w:tcPr>
          <w:p w14:paraId="2B8625C9">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品牌</w:t>
            </w:r>
          </w:p>
        </w:tc>
        <w:tc>
          <w:tcPr>
            <w:tcW w:w="1591" w:type="dxa"/>
            <w:noWrap w:val="0"/>
            <w:vAlign w:val="center"/>
          </w:tcPr>
          <w:p w14:paraId="17A94D98">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型号规格</w:t>
            </w:r>
          </w:p>
        </w:tc>
        <w:tc>
          <w:tcPr>
            <w:tcW w:w="2071" w:type="dxa"/>
            <w:noWrap w:val="0"/>
            <w:vAlign w:val="center"/>
          </w:tcPr>
          <w:p w14:paraId="452B6500">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制造商</w:t>
            </w:r>
          </w:p>
        </w:tc>
        <w:tc>
          <w:tcPr>
            <w:tcW w:w="1346" w:type="dxa"/>
            <w:noWrap w:val="0"/>
            <w:vAlign w:val="center"/>
          </w:tcPr>
          <w:p w14:paraId="65ED4EED">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数量/单位</w:t>
            </w:r>
          </w:p>
        </w:tc>
        <w:tc>
          <w:tcPr>
            <w:tcW w:w="959" w:type="dxa"/>
            <w:noWrap w:val="0"/>
            <w:vAlign w:val="center"/>
          </w:tcPr>
          <w:p w14:paraId="3AAE1A5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单价（元）</w:t>
            </w:r>
          </w:p>
        </w:tc>
        <w:tc>
          <w:tcPr>
            <w:tcW w:w="1021" w:type="dxa"/>
            <w:noWrap w:val="0"/>
            <w:vAlign w:val="center"/>
          </w:tcPr>
          <w:p w14:paraId="5649A0D7">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报价（元）</w:t>
            </w:r>
          </w:p>
        </w:tc>
        <w:tc>
          <w:tcPr>
            <w:tcW w:w="1272" w:type="dxa"/>
            <w:noWrap w:val="0"/>
            <w:vAlign w:val="center"/>
          </w:tcPr>
          <w:p w14:paraId="12067E09">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中小</w:t>
            </w:r>
            <w:r>
              <w:rPr>
                <w:rFonts w:hint="eastAsia" w:ascii="仿宋" w:hAnsi="仿宋" w:eastAsia="仿宋" w:cs="仿宋"/>
                <w:b/>
                <w:color w:val="auto"/>
                <w:sz w:val="22"/>
                <w:szCs w:val="22"/>
                <w:highlight w:val="none"/>
              </w:rPr>
              <w:t>企业</w:t>
            </w:r>
          </w:p>
        </w:tc>
        <w:tc>
          <w:tcPr>
            <w:tcW w:w="1264" w:type="dxa"/>
            <w:noWrap w:val="0"/>
            <w:vAlign w:val="center"/>
          </w:tcPr>
          <w:p w14:paraId="538A9587">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备注</w:t>
            </w:r>
          </w:p>
        </w:tc>
      </w:tr>
      <w:tr w14:paraId="16FB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4625AC2C">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843" w:type="dxa"/>
            <w:noWrap w:val="0"/>
            <w:vAlign w:val="center"/>
          </w:tcPr>
          <w:p w14:paraId="1E7B1EDA">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924" w:type="dxa"/>
            <w:noWrap w:val="0"/>
            <w:vAlign w:val="top"/>
          </w:tcPr>
          <w:p w14:paraId="76559218">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591" w:type="dxa"/>
            <w:noWrap w:val="0"/>
            <w:vAlign w:val="top"/>
          </w:tcPr>
          <w:p w14:paraId="2FC608F7">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71" w:type="dxa"/>
            <w:noWrap w:val="0"/>
            <w:vAlign w:val="top"/>
          </w:tcPr>
          <w:p w14:paraId="7FA1BDF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346" w:type="dxa"/>
            <w:noWrap w:val="0"/>
            <w:vAlign w:val="top"/>
          </w:tcPr>
          <w:p w14:paraId="4C5B4ECF">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959" w:type="dxa"/>
            <w:noWrap w:val="0"/>
            <w:vAlign w:val="center"/>
          </w:tcPr>
          <w:p w14:paraId="345F203C">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021" w:type="dxa"/>
            <w:noWrap w:val="0"/>
            <w:vAlign w:val="top"/>
          </w:tcPr>
          <w:p w14:paraId="28B1D5DB">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72" w:type="dxa"/>
            <w:noWrap w:val="0"/>
            <w:vAlign w:val="top"/>
          </w:tcPr>
          <w:p w14:paraId="743F4453">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64" w:type="dxa"/>
            <w:noWrap w:val="0"/>
            <w:vAlign w:val="center"/>
          </w:tcPr>
          <w:p w14:paraId="76782975">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4DD8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7EB48729">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843" w:type="dxa"/>
            <w:noWrap w:val="0"/>
            <w:vAlign w:val="center"/>
          </w:tcPr>
          <w:p w14:paraId="31158758">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924" w:type="dxa"/>
            <w:noWrap w:val="0"/>
            <w:vAlign w:val="top"/>
          </w:tcPr>
          <w:p w14:paraId="599C89E2">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591" w:type="dxa"/>
            <w:noWrap w:val="0"/>
            <w:vAlign w:val="top"/>
          </w:tcPr>
          <w:p w14:paraId="653002A0">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71" w:type="dxa"/>
            <w:noWrap w:val="0"/>
            <w:vAlign w:val="top"/>
          </w:tcPr>
          <w:p w14:paraId="4E6E0E24">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346" w:type="dxa"/>
            <w:noWrap w:val="0"/>
            <w:vAlign w:val="top"/>
          </w:tcPr>
          <w:p w14:paraId="3379DE71">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959" w:type="dxa"/>
            <w:noWrap w:val="0"/>
            <w:vAlign w:val="center"/>
          </w:tcPr>
          <w:p w14:paraId="013A7F55">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021" w:type="dxa"/>
            <w:noWrap w:val="0"/>
            <w:vAlign w:val="top"/>
          </w:tcPr>
          <w:p w14:paraId="12A5A26C">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72" w:type="dxa"/>
            <w:noWrap w:val="0"/>
            <w:vAlign w:val="top"/>
          </w:tcPr>
          <w:p w14:paraId="2ABD2A99">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64" w:type="dxa"/>
            <w:noWrap w:val="0"/>
            <w:vAlign w:val="center"/>
          </w:tcPr>
          <w:p w14:paraId="13BF59C2">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793A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671" w:type="dxa"/>
            <w:noWrap w:val="0"/>
            <w:vAlign w:val="center"/>
          </w:tcPr>
          <w:p w14:paraId="544C44BA">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843" w:type="dxa"/>
            <w:noWrap w:val="0"/>
            <w:vAlign w:val="center"/>
          </w:tcPr>
          <w:p w14:paraId="5C60DA6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924" w:type="dxa"/>
            <w:noWrap w:val="0"/>
            <w:vAlign w:val="top"/>
          </w:tcPr>
          <w:p w14:paraId="48CB1611">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591" w:type="dxa"/>
            <w:noWrap w:val="0"/>
            <w:vAlign w:val="top"/>
          </w:tcPr>
          <w:p w14:paraId="0ECB8F6A">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71" w:type="dxa"/>
            <w:noWrap w:val="0"/>
            <w:vAlign w:val="top"/>
          </w:tcPr>
          <w:p w14:paraId="37E5B6EB">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346" w:type="dxa"/>
            <w:noWrap w:val="0"/>
            <w:vAlign w:val="top"/>
          </w:tcPr>
          <w:p w14:paraId="512CC68F">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959" w:type="dxa"/>
            <w:noWrap w:val="0"/>
            <w:vAlign w:val="center"/>
          </w:tcPr>
          <w:p w14:paraId="213A1B7B">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021" w:type="dxa"/>
            <w:noWrap w:val="0"/>
            <w:vAlign w:val="top"/>
          </w:tcPr>
          <w:p w14:paraId="65E48077">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72" w:type="dxa"/>
            <w:noWrap w:val="0"/>
            <w:vAlign w:val="top"/>
          </w:tcPr>
          <w:p w14:paraId="5F9A0502">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64" w:type="dxa"/>
            <w:noWrap w:val="0"/>
            <w:vAlign w:val="center"/>
          </w:tcPr>
          <w:p w14:paraId="48B382FB">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14B0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6320CA41">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843" w:type="dxa"/>
            <w:noWrap w:val="0"/>
            <w:vAlign w:val="center"/>
          </w:tcPr>
          <w:p w14:paraId="3CA77F01">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924" w:type="dxa"/>
            <w:noWrap w:val="0"/>
            <w:vAlign w:val="top"/>
          </w:tcPr>
          <w:p w14:paraId="326C7CAA">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591" w:type="dxa"/>
            <w:noWrap w:val="0"/>
            <w:vAlign w:val="top"/>
          </w:tcPr>
          <w:p w14:paraId="1B7BDB42">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71" w:type="dxa"/>
            <w:noWrap w:val="0"/>
            <w:vAlign w:val="top"/>
          </w:tcPr>
          <w:p w14:paraId="43AF6E6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346" w:type="dxa"/>
            <w:noWrap w:val="0"/>
            <w:vAlign w:val="top"/>
          </w:tcPr>
          <w:p w14:paraId="07C99060">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959" w:type="dxa"/>
            <w:noWrap w:val="0"/>
            <w:vAlign w:val="center"/>
          </w:tcPr>
          <w:p w14:paraId="26F4B58D">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021" w:type="dxa"/>
            <w:noWrap w:val="0"/>
            <w:vAlign w:val="top"/>
          </w:tcPr>
          <w:p w14:paraId="6F8B43F3">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72" w:type="dxa"/>
            <w:noWrap w:val="0"/>
            <w:vAlign w:val="top"/>
          </w:tcPr>
          <w:p w14:paraId="1B3865D4">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264" w:type="dxa"/>
            <w:noWrap w:val="0"/>
            <w:vAlign w:val="center"/>
          </w:tcPr>
          <w:p w14:paraId="320863FE">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6324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71" w:type="dxa"/>
            <w:noWrap w:val="0"/>
            <w:vAlign w:val="center"/>
          </w:tcPr>
          <w:p w14:paraId="257DC0C6">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843" w:type="dxa"/>
            <w:noWrap w:val="0"/>
            <w:vAlign w:val="center"/>
          </w:tcPr>
          <w:p w14:paraId="0739BCB1">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合计报价（大写）</w:t>
            </w:r>
          </w:p>
        </w:tc>
        <w:tc>
          <w:tcPr>
            <w:tcW w:w="7891" w:type="dxa"/>
            <w:gridSpan w:val="5"/>
            <w:noWrap w:val="0"/>
            <w:vAlign w:val="top"/>
          </w:tcPr>
          <w:p w14:paraId="36831F70">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557" w:type="dxa"/>
            <w:gridSpan w:val="3"/>
            <w:noWrap w:val="0"/>
            <w:vAlign w:val="center"/>
          </w:tcPr>
          <w:p w14:paraId="7C3F3F1C">
            <w:pPr>
              <w:keepNext w:val="0"/>
              <w:keepLines w:val="0"/>
              <w:pageBreakBefore w:val="0"/>
              <w:widowControl w:val="0"/>
              <w:kinsoku/>
              <w:wordWrap/>
              <w:overflowPunct/>
              <w:topLinePunct w:val="0"/>
              <w:autoSpaceDE/>
              <w:autoSpaceDN/>
              <w:bidi w:val="0"/>
              <w:adjustRightInd w:val="0"/>
              <w:snapToGrid w:val="0"/>
              <w:spacing w:line="480" w:lineRule="exact"/>
              <w:ind w:left="0" w:left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w:t>
            </w:r>
          </w:p>
        </w:tc>
      </w:tr>
    </w:tbl>
    <w:p w14:paraId="291A6C10">
      <w:pPr>
        <w:keepNext w:val="0"/>
        <w:keepLines w:val="0"/>
        <w:pageBreakBefore w:val="0"/>
        <w:widowControl w:val="0"/>
        <w:kinsoku/>
        <w:wordWrap/>
        <w:overflowPunct/>
        <w:topLinePunct w:val="0"/>
        <w:autoSpaceDE/>
        <w:autoSpaceDN/>
        <w:bidi w:val="0"/>
        <w:adjustRightInd w:val="0"/>
        <w:snapToGrid w:val="0"/>
        <w:spacing w:line="480" w:lineRule="exact"/>
        <w:ind w:firstLine="440" w:firstLineChars="200"/>
        <w:textAlignment w:val="auto"/>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说明：1.品牌和制造商指产品的品牌和生产厂商；</w:t>
      </w:r>
      <w:r>
        <w:rPr>
          <w:rFonts w:hint="eastAsia" w:ascii="仿宋" w:hAnsi="仿宋" w:eastAsia="仿宋" w:cs="仿宋"/>
          <w:color w:val="auto"/>
          <w:sz w:val="22"/>
          <w:szCs w:val="22"/>
          <w:highlight w:val="none"/>
          <w:lang w:eastAsia="zh-CN"/>
        </w:rPr>
        <w:t>中小</w:t>
      </w:r>
      <w:r>
        <w:rPr>
          <w:rFonts w:hint="eastAsia" w:ascii="仿宋" w:hAnsi="仿宋" w:eastAsia="仿宋" w:cs="仿宋"/>
          <w:color w:val="auto"/>
          <w:sz w:val="22"/>
          <w:szCs w:val="22"/>
          <w:highlight w:val="none"/>
        </w:rPr>
        <w:t>企业是指制造商为</w:t>
      </w:r>
      <w:r>
        <w:rPr>
          <w:rFonts w:hint="eastAsia" w:ascii="仿宋" w:hAnsi="仿宋" w:eastAsia="仿宋" w:cs="仿宋"/>
          <w:color w:val="auto"/>
          <w:kern w:val="0"/>
          <w:sz w:val="22"/>
          <w:szCs w:val="22"/>
          <w:highlight w:val="none"/>
        </w:rPr>
        <w:t xml:space="preserve"> “</w:t>
      </w:r>
      <w:r>
        <w:rPr>
          <w:rFonts w:hint="eastAsia" w:ascii="仿宋" w:hAnsi="仿宋" w:eastAsia="仿宋" w:cs="仿宋"/>
          <w:color w:val="auto"/>
          <w:kern w:val="0"/>
          <w:sz w:val="22"/>
          <w:szCs w:val="22"/>
          <w:highlight w:val="none"/>
          <w:lang w:val="en-US" w:eastAsia="zh-CN"/>
        </w:rPr>
        <w:t>中型、</w:t>
      </w:r>
      <w:r>
        <w:rPr>
          <w:rFonts w:hint="eastAsia" w:ascii="仿宋" w:hAnsi="仿宋" w:eastAsia="仿宋" w:cs="仿宋"/>
          <w:color w:val="auto"/>
          <w:kern w:val="0"/>
          <w:sz w:val="22"/>
          <w:szCs w:val="22"/>
          <w:highlight w:val="none"/>
        </w:rPr>
        <w:t>小型、微型</w:t>
      </w:r>
      <w:r>
        <w:rPr>
          <w:rFonts w:hint="eastAsia" w:ascii="仿宋" w:hAnsi="仿宋" w:eastAsia="仿宋" w:cs="仿宋"/>
          <w:color w:val="auto"/>
          <w:sz w:val="22"/>
          <w:szCs w:val="22"/>
          <w:highlight w:val="none"/>
        </w:rPr>
        <w:t>企业</w:t>
      </w:r>
      <w:r>
        <w:rPr>
          <w:rFonts w:hint="eastAsia" w:ascii="仿宋" w:hAnsi="仿宋" w:eastAsia="仿宋" w:cs="仿宋"/>
          <w:color w:val="auto"/>
          <w:kern w:val="0"/>
          <w:sz w:val="22"/>
          <w:szCs w:val="22"/>
          <w:highlight w:val="none"/>
        </w:rPr>
        <w:t>”；</w:t>
      </w:r>
      <w:r>
        <w:rPr>
          <w:rFonts w:hint="eastAsia" w:ascii="仿宋" w:hAnsi="仿宋" w:eastAsia="仿宋" w:cs="仿宋"/>
          <w:color w:val="auto"/>
          <w:sz w:val="22"/>
          <w:szCs w:val="22"/>
          <w:highlight w:val="none"/>
          <w:lang w:val="en-US" w:eastAsia="zh-CN"/>
        </w:rPr>
        <w:t>2</w:t>
      </w:r>
      <w:r>
        <w:rPr>
          <w:rFonts w:hint="eastAsia" w:ascii="仿宋" w:hAnsi="仿宋" w:eastAsia="仿宋" w:cs="仿宋"/>
          <w:color w:val="auto"/>
          <w:sz w:val="22"/>
          <w:szCs w:val="22"/>
          <w:highlight w:val="none"/>
        </w:rPr>
        <w:t>.投标人必须按“货物（产品）</w:t>
      </w:r>
      <w:r>
        <w:rPr>
          <w:rFonts w:hint="eastAsia" w:ascii="仿宋" w:hAnsi="仿宋" w:eastAsia="仿宋" w:cs="仿宋"/>
          <w:bCs/>
          <w:color w:val="auto"/>
          <w:sz w:val="22"/>
          <w:szCs w:val="22"/>
          <w:highlight w:val="none"/>
        </w:rPr>
        <w:t>分项报价表”的格式</w:t>
      </w:r>
      <w:r>
        <w:rPr>
          <w:rFonts w:hint="eastAsia" w:ascii="仿宋" w:hAnsi="仿宋" w:eastAsia="仿宋" w:cs="仿宋"/>
          <w:color w:val="auto"/>
          <w:sz w:val="22"/>
          <w:szCs w:val="22"/>
          <w:highlight w:val="none"/>
        </w:rPr>
        <w:t>详细报出投标总价的各个组成部分的报价，否则作无效投标处理；报价精确到小数点后两位；</w:t>
      </w:r>
      <w:r>
        <w:rPr>
          <w:rFonts w:hint="eastAsia" w:ascii="仿宋" w:hAnsi="仿宋" w:eastAsia="仿宋" w:cs="仿宋"/>
          <w:color w:val="auto"/>
          <w:sz w:val="22"/>
          <w:szCs w:val="22"/>
          <w:highlight w:val="none"/>
          <w:lang w:val="en-US" w:eastAsia="zh-CN"/>
        </w:rPr>
        <w:t>3</w:t>
      </w:r>
      <w:r>
        <w:rPr>
          <w:rFonts w:hint="eastAsia" w:ascii="仿宋" w:hAnsi="仿宋" w:eastAsia="仿宋" w:cs="仿宋"/>
          <w:color w:val="auto"/>
          <w:sz w:val="22"/>
          <w:szCs w:val="22"/>
          <w:highlight w:val="none"/>
        </w:rPr>
        <w:t>.本</w:t>
      </w:r>
      <w:r>
        <w:rPr>
          <w:rFonts w:hint="eastAsia" w:ascii="仿宋" w:hAnsi="仿宋" w:eastAsia="仿宋" w:cs="仿宋"/>
          <w:bCs/>
          <w:color w:val="auto"/>
          <w:sz w:val="22"/>
          <w:szCs w:val="22"/>
          <w:highlight w:val="none"/>
        </w:rPr>
        <w:t>表各分项报价合计应当与“开标一览表”总报价相等；</w:t>
      </w:r>
      <w:r>
        <w:rPr>
          <w:rFonts w:hint="eastAsia" w:ascii="仿宋" w:hAnsi="仿宋" w:eastAsia="仿宋" w:cs="仿宋"/>
          <w:color w:val="auto"/>
          <w:sz w:val="22"/>
          <w:szCs w:val="22"/>
          <w:highlight w:val="none"/>
        </w:rPr>
        <w:t>如果按单价计算的结果与报价不一致时，以单价为准修正报价与合计报价；</w:t>
      </w:r>
      <w:r>
        <w:rPr>
          <w:rFonts w:hint="eastAsia" w:ascii="仿宋" w:hAnsi="仿宋" w:eastAsia="仿宋" w:cs="仿宋"/>
          <w:color w:val="auto"/>
          <w:sz w:val="22"/>
          <w:szCs w:val="22"/>
          <w:highlight w:val="none"/>
          <w:lang w:val="en-US" w:eastAsia="zh-CN"/>
        </w:rPr>
        <w:t>4</w:t>
      </w:r>
      <w:r>
        <w:rPr>
          <w:rFonts w:hint="eastAsia" w:ascii="仿宋" w:hAnsi="仿宋" w:eastAsia="仿宋" w:cs="仿宋"/>
          <w:color w:val="auto"/>
          <w:sz w:val="22"/>
          <w:szCs w:val="22"/>
          <w:highlight w:val="none"/>
        </w:rPr>
        <w:t>.本表为多页的，每页均需由法定代表人或委托代理人签字并盖投标人单位章</w:t>
      </w:r>
      <w:r>
        <w:rPr>
          <w:rFonts w:hint="eastAsia" w:ascii="仿宋" w:hAnsi="仿宋" w:eastAsia="仿宋" w:cs="仿宋"/>
          <w:color w:val="auto"/>
          <w:sz w:val="22"/>
          <w:szCs w:val="22"/>
          <w:highlight w:val="none"/>
          <w:lang w:eastAsia="zh-CN"/>
        </w:rPr>
        <w:t>。</w:t>
      </w:r>
    </w:p>
    <w:p w14:paraId="2FD4584E">
      <w:pPr>
        <w:keepNext w:val="0"/>
        <w:keepLines w:val="0"/>
        <w:pageBreakBefore w:val="0"/>
        <w:widowControl w:val="0"/>
        <w:kinsoku/>
        <w:wordWrap/>
        <w:overflowPunct/>
        <w:topLinePunct w:val="0"/>
        <w:autoSpaceDE/>
        <w:autoSpaceDN/>
        <w:bidi w:val="0"/>
        <w:adjustRightInd w:val="0"/>
        <w:spacing w:line="480" w:lineRule="exact"/>
        <w:ind w:left="0" w:leftChars="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（盖单位章） </w:t>
      </w:r>
    </w:p>
    <w:p w14:paraId="1A4627C8">
      <w:pPr>
        <w:keepNext w:val="0"/>
        <w:keepLines w:val="0"/>
        <w:pageBreakBefore w:val="0"/>
        <w:widowControl w:val="0"/>
        <w:kinsoku/>
        <w:wordWrap/>
        <w:overflowPunct/>
        <w:topLinePunct w:val="0"/>
        <w:autoSpaceDE/>
        <w:autoSpaceDN/>
        <w:bidi w:val="0"/>
        <w:adjustRightInd w:val="0"/>
        <w:spacing w:line="480" w:lineRule="exact"/>
        <w:ind w:left="0" w:leftChars="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（签字） </w:t>
      </w:r>
    </w:p>
    <w:p w14:paraId="70C1593A">
      <w:pPr>
        <w:keepNext w:val="0"/>
        <w:keepLines w:val="0"/>
        <w:pageBreakBefore w:val="0"/>
        <w:widowControl w:val="0"/>
        <w:kinsoku/>
        <w:wordWrap/>
        <w:overflowPunct/>
        <w:topLinePunct w:val="0"/>
        <w:autoSpaceDE/>
        <w:autoSpaceDN/>
        <w:bidi w:val="0"/>
        <w:adjustRightInd w:val="0"/>
        <w:spacing w:line="480" w:lineRule="exact"/>
        <w:ind w:left="0" w:leftChars="0"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56A29B23">
      <w:pPr>
        <w:adjustRightInd w:val="0"/>
        <w:spacing w:before="360" w:beforeLines="150" w:line="360" w:lineRule="auto"/>
        <w:ind w:firstLine="420" w:firstLineChars="200"/>
        <w:jc w:val="left"/>
        <w:rPr>
          <w:rFonts w:hint="eastAsia" w:ascii="仿宋" w:hAnsi="仿宋" w:eastAsia="仿宋" w:cs="仿宋"/>
          <w:color w:val="auto"/>
          <w:szCs w:val="21"/>
          <w:highlight w:val="none"/>
        </w:rPr>
      </w:pPr>
    </w:p>
    <w:bookmarkEnd w:id="238"/>
    <w:p w14:paraId="48C774BB">
      <w:pPr>
        <w:spacing w:after="360" w:afterLines="150" w:line="400" w:lineRule="exact"/>
        <w:ind w:left="777" w:leftChars="86" w:hanging="596" w:hangingChars="165"/>
        <w:jc w:val="center"/>
        <w:rPr>
          <w:rFonts w:hint="eastAsia" w:ascii="仿宋" w:hAnsi="仿宋" w:eastAsia="仿宋" w:cs="仿宋"/>
          <w:b/>
          <w:bCs/>
          <w:color w:val="auto"/>
          <w:sz w:val="36"/>
          <w:szCs w:val="36"/>
          <w:highlight w:val="none"/>
          <w:lang w:val="en-US" w:eastAsia="zh-CN"/>
        </w:rPr>
      </w:pPr>
      <w:bookmarkStart w:id="239" w:name="_Toc217446087"/>
    </w:p>
    <w:p w14:paraId="46AFE70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四、货物产品说明一览表</w:t>
      </w:r>
    </w:p>
    <w:p w14:paraId="41286A61">
      <w:pPr>
        <w:pStyle w:val="7"/>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投标人名称: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采购项目编号：</w:t>
      </w:r>
    </w:p>
    <w:tbl>
      <w:tblPr>
        <w:tblStyle w:val="23"/>
        <w:tblpPr w:leftFromText="180" w:rightFromText="180" w:vertAnchor="text" w:horzAnchor="margin" w:tblpXSpec="center" w:tblpY="74"/>
        <w:tblW w:w="14255"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666"/>
        <w:gridCol w:w="1769"/>
        <w:gridCol w:w="1627"/>
        <w:gridCol w:w="3323"/>
        <w:gridCol w:w="1477"/>
        <w:gridCol w:w="1454"/>
        <w:gridCol w:w="2080"/>
      </w:tblGrid>
      <w:tr w14:paraId="584C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4" w:hRule="exact"/>
        </w:trPr>
        <w:tc>
          <w:tcPr>
            <w:tcW w:w="859" w:type="dxa"/>
            <w:noWrap w:val="0"/>
            <w:vAlign w:val="center"/>
          </w:tcPr>
          <w:p w14:paraId="6D40539E">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序号</w:t>
            </w:r>
          </w:p>
        </w:tc>
        <w:tc>
          <w:tcPr>
            <w:tcW w:w="1666" w:type="dxa"/>
            <w:noWrap w:val="0"/>
            <w:vAlign w:val="center"/>
          </w:tcPr>
          <w:p w14:paraId="458C943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产品名称</w:t>
            </w:r>
          </w:p>
        </w:tc>
        <w:tc>
          <w:tcPr>
            <w:tcW w:w="1769" w:type="dxa"/>
            <w:noWrap w:val="0"/>
            <w:vAlign w:val="center"/>
          </w:tcPr>
          <w:p w14:paraId="138C3CCA">
            <w:pPr>
              <w:keepNext w:val="0"/>
              <w:keepLines w:val="0"/>
              <w:pageBreakBefore w:val="0"/>
              <w:widowControl w:val="0"/>
              <w:kinsoku/>
              <w:wordWrap/>
              <w:overflowPunct/>
              <w:topLinePunct w:val="0"/>
              <w:autoSpaceDE/>
              <w:autoSpaceDN/>
              <w:bidi w:val="0"/>
              <w:snapToGrid w:val="0"/>
              <w:spacing w:line="480" w:lineRule="exact"/>
              <w:ind w:left="0" w:leftChars="0" w:firstLine="541" w:firstLineChars="245"/>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品牌</w:t>
            </w:r>
          </w:p>
        </w:tc>
        <w:tc>
          <w:tcPr>
            <w:tcW w:w="1627" w:type="dxa"/>
            <w:noWrap w:val="0"/>
            <w:vAlign w:val="center"/>
          </w:tcPr>
          <w:p w14:paraId="620D3527">
            <w:pPr>
              <w:keepNext w:val="0"/>
              <w:keepLines w:val="0"/>
              <w:pageBreakBefore w:val="0"/>
              <w:widowControl w:val="0"/>
              <w:kinsoku/>
              <w:wordWrap/>
              <w:overflowPunct/>
              <w:topLinePunct w:val="0"/>
              <w:autoSpaceDE/>
              <w:autoSpaceDN/>
              <w:bidi w:val="0"/>
              <w:snapToGrid w:val="0"/>
              <w:spacing w:line="480" w:lineRule="exact"/>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型号</w:t>
            </w:r>
          </w:p>
        </w:tc>
        <w:tc>
          <w:tcPr>
            <w:tcW w:w="3323" w:type="dxa"/>
            <w:noWrap w:val="0"/>
            <w:vAlign w:val="center"/>
          </w:tcPr>
          <w:p w14:paraId="3654554A">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规格、配置及主要技术参数</w:t>
            </w:r>
          </w:p>
        </w:tc>
        <w:tc>
          <w:tcPr>
            <w:tcW w:w="1477" w:type="dxa"/>
            <w:noWrap w:val="0"/>
            <w:vAlign w:val="center"/>
          </w:tcPr>
          <w:p w14:paraId="35CC9D85">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制造商</w:t>
            </w:r>
          </w:p>
        </w:tc>
        <w:tc>
          <w:tcPr>
            <w:tcW w:w="1454" w:type="dxa"/>
            <w:noWrap w:val="0"/>
            <w:vAlign w:val="center"/>
          </w:tcPr>
          <w:p w14:paraId="09261FA0">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数量</w:t>
            </w:r>
          </w:p>
        </w:tc>
        <w:tc>
          <w:tcPr>
            <w:tcW w:w="2080" w:type="dxa"/>
            <w:noWrap w:val="0"/>
            <w:vAlign w:val="center"/>
          </w:tcPr>
          <w:p w14:paraId="250064B3">
            <w:pPr>
              <w:keepNext w:val="0"/>
              <w:keepLines w:val="0"/>
              <w:pageBreakBefore w:val="0"/>
              <w:widowControl w:val="0"/>
              <w:kinsoku/>
              <w:wordWrap/>
              <w:overflowPunct/>
              <w:topLinePunct w:val="0"/>
              <w:autoSpaceDE/>
              <w:autoSpaceDN/>
              <w:bidi w:val="0"/>
              <w:snapToGrid w:val="0"/>
              <w:spacing w:line="480" w:lineRule="exact"/>
              <w:ind w:left="0" w:leftChars="0" w:firstLine="110" w:firstLineChars="50"/>
              <w:jc w:val="center"/>
              <w:textAlignment w:val="auto"/>
              <w:rPr>
                <w:rFonts w:hint="eastAsia" w:ascii="仿宋" w:hAnsi="仿宋" w:eastAsia="仿宋" w:cs="仿宋"/>
                <w:b/>
                <w:color w:val="auto"/>
                <w:sz w:val="22"/>
                <w:szCs w:val="22"/>
                <w:highlight w:val="none"/>
                <w:lang w:val="en-US" w:eastAsia="zh-CN"/>
              </w:rPr>
            </w:pPr>
            <w:r>
              <w:rPr>
                <w:rFonts w:hint="eastAsia" w:ascii="仿宋" w:hAnsi="仿宋" w:eastAsia="仿宋" w:cs="仿宋"/>
                <w:b/>
                <w:color w:val="auto"/>
                <w:sz w:val="22"/>
                <w:szCs w:val="22"/>
                <w:highlight w:val="none"/>
                <w:lang w:val="en-US" w:eastAsia="zh-CN"/>
              </w:rPr>
              <w:t>质保期</w:t>
            </w:r>
          </w:p>
        </w:tc>
      </w:tr>
      <w:tr w14:paraId="0F8F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2B4FBA7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1A08302F">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056B264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3B1CEB2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2B1093BA">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7B40A53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06D1422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09A13922">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1CCA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30199396">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6C48B788">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15E4A1F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4EB99145">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561B6013">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6D17753C">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49BF8FB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1B1A76FA">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14B2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7D895FC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368C04C0">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21EB34B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70BF5BA3">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425B3B05">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77C0238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496E22A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5024008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03C4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05ABF1C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7F08E8D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7CBA2F4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69B39F2A">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4F450E15">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28DEBBED">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170CD69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0D5CCC20">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2C44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1CDE016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05D120B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2E0AA1EF">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3B1C7B2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46498F4B">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2B9CF323">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48BD813E">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53D763D4">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6568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3BF1154C">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4677038E">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3F5DF8FF">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76D3FB0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4112CF0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40A3BC5C">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229E1206">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78552166">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2E65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859" w:type="dxa"/>
            <w:noWrap w:val="0"/>
            <w:vAlign w:val="center"/>
          </w:tcPr>
          <w:p w14:paraId="3BD0AA36">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75E4E228">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71826D4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1BBF993C">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38DAD57A">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0AADCFC3">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03AAB3F3">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6E44FC0F">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r w14:paraId="51C64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859" w:type="dxa"/>
            <w:noWrap w:val="0"/>
            <w:vAlign w:val="center"/>
          </w:tcPr>
          <w:p w14:paraId="0E832631">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66" w:type="dxa"/>
            <w:noWrap w:val="0"/>
            <w:vAlign w:val="center"/>
          </w:tcPr>
          <w:p w14:paraId="2A459407">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769" w:type="dxa"/>
            <w:noWrap w:val="0"/>
            <w:vAlign w:val="center"/>
          </w:tcPr>
          <w:p w14:paraId="0E263FD6">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627" w:type="dxa"/>
            <w:noWrap w:val="0"/>
            <w:vAlign w:val="top"/>
          </w:tcPr>
          <w:p w14:paraId="24477457">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3323" w:type="dxa"/>
            <w:noWrap w:val="0"/>
            <w:vAlign w:val="top"/>
          </w:tcPr>
          <w:p w14:paraId="7D8CB449">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77" w:type="dxa"/>
            <w:noWrap w:val="0"/>
            <w:vAlign w:val="top"/>
          </w:tcPr>
          <w:p w14:paraId="2AFABD27">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1454" w:type="dxa"/>
            <w:noWrap w:val="0"/>
            <w:vAlign w:val="center"/>
          </w:tcPr>
          <w:p w14:paraId="298C5457">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c>
          <w:tcPr>
            <w:tcW w:w="2080" w:type="dxa"/>
            <w:noWrap w:val="0"/>
            <w:vAlign w:val="center"/>
          </w:tcPr>
          <w:p w14:paraId="1CAE9F0F">
            <w:pPr>
              <w:keepNext w:val="0"/>
              <w:keepLines w:val="0"/>
              <w:pageBreakBefore w:val="0"/>
              <w:widowControl w:val="0"/>
              <w:kinsoku/>
              <w:wordWrap/>
              <w:overflowPunct/>
              <w:topLinePunct w:val="0"/>
              <w:autoSpaceDE/>
              <w:autoSpaceDN/>
              <w:bidi w:val="0"/>
              <w:snapToGrid w:val="0"/>
              <w:spacing w:line="480" w:lineRule="exact"/>
              <w:ind w:left="0" w:leftChars="0"/>
              <w:jc w:val="center"/>
              <w:textAlignment w:val="auto"/>
              <w:rPr>
                <w:rFonts w:hint="eastAsia" w:ascii="仿宋" w:hAnsi="仿宋" w:eastAsia="仿宋" w:cs="仿宋"/>
                <w:color w:val="auto"/>
                <w:sz w:val="22"/>
                <w:szCs w:val="22"/>
                <w:highlight w:val="none"/>
              </w:rPr>
            </w:pPr>
          </w:p>
        </w:tc>
      </w:tr>
    </w:tbl>
    <w:p w14:paraId="61124B01">
      <w:pPr>
        <w:pStyle w:val="7"/>
        <w:keepNext w:val="0"/>
        <w:keepLines w:val="0"/>
        <w:pageBreakBefore w:val="0"/>
        <w:widowControl w:val="0"/>
        <w:kinsoku/>
        <w:wordWrap/>
        <w:overflowPunct/>
        <w:topLinePunct w:val="0"/>
        <w:autoSpaceDE/>
        <w:autoSpaceDN/>
        <w:bidi w:val="0"/>
        <w:spacing w:line="480" w:lineRule="exact"/>
        <w:ind w:left="0" w:leftChars="0" w:firstLine="0" w:firstLineChars="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说明：1.本表须逐项填写，不得空缺；如空缺将视为没有实质性响应招标文件；2.货物各项详细技术性能可另页描述；若货物没有注册商标和具体型号须注明。</w:t>
      </w:r>
    </w:p>
    <w:p w14:paraId="7B98FA40">
      <w:pPr>
        <w:keepNext w:val="0"/>
        <w:keepLines w:val="0"/>
        <w:pageBreakBefore w:val="0"/>
        <w:widowControl w:val="0"/>
        <w:kinsoku/>
        <w:wordWrap/>
        <w:overflowPunct/>
        <w:topLinePunct w:val="0"/>
        <w:autoSpaceDE/>
        <w:autoSpaceDN/>
        <w:bidi w:val="0"/>
        <w:adjustRightInd w:val="0"/>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投 标 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（盖单位章）</w:t>
      </w:r>
    </w:p>
    <w:p w14:paraId="4BE36AD3">
      <w:pPr>
        <w:keepNext w:val="0"/>
        <w:keepLines w:val="0"/>
        <w:pageBreakBefore w:val="0"/>
        <w:widowControl w:val="0"/>
        <w:kinsoku/>
        <w:wordWrap/>
        <w:overflowPunct/>
        <w:topLinePunct w:val="0"/>
        <w:autoSpaceDE/>
        <w:autoSpaceDN/>
        <w:bidi w:val="0"/>
        <w:adjustRightInd w:val="0"/>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（签字） </w:t>
      </w:r>
    </w:p>
    <w:p w14:paraId="21944198">
      <w:pPr>
        <w:keepNext w:val="0"/>
        <w:keepLines w:val="0"/>
        <w:pageBreakBefore w:val="0"/>
        <w:widowControl w:val="0"/>
        <w:kinsoku/>
        <w:wordWrap/>
        <w:overflowPunct/>
        <w:topLinePunct w:val="0"/>
        <w:autoSpaceDE/>
        <w:autoSpaceDN/>
        <w:bidi w:val="0"/>
        <w:adjustRightInd w:val="0"/>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日期：20</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年</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月</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日</w:t>
      </w:r>
    </w:p>
    <w:p w14:paraId="73E153FF">
      <w:pPr>
        <w:keepNext w:val="0"/>
        <w:keepLines w:val="0"/>
        <w:pageBreakBefore w:val="0"/>
        <w:widowControl w:val="0"/>
        <w:kinsoku/>
        <w:wordWrap/>
        <w:overflowPunct/>
        <w:topLinePunct w:val="0"/>
        <w:autoSpaceDE/>
        <w:autoSpaceDN/>
        <w:bidi w:val="0"/>
        <w:adjustRightInd w:val="0"/>
        <w:spacing w:line="480" w:lineRule="exact"/>
        <w:ind w:left="0" w:leftChars="0" w:firstLine="880" w:firstLineChars="400"/>
        <w:jc w:val="left"/>
        <w:textAlignment w:val="auto"/>
        <w:rPr>
          <w:rFonts w:hint="eastAsia" w:ascii="仿宋" w:hAnsi="仿宋" w:eastAsia="仿宋" w:cs="仿宋"/>
          <w:bCs/>
          <w:color w:val="auto"/>
          <w:sz w:val="22"/>
          <w:szCs w:val="22"/>
          <w:highlight w:val="none"/>
        </w:rPr>
        <w:sectPr>
          <w:pgSz w:w="16840" w:h="11907" w:orient="landscape"/>
          <w:pgMar w:top="1474" w:right="1440" w:bottom="1474" w:left="1440"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239"/>
    <w:p w14:paraId="5E55E703">
      <w:pPr>
        <w:pStyle w:val="7"/>
        <w:keepNext w:val="0"/>
        <w:keepLines w:val="0"/>
        <w:pageBreakBefore w:val="0"/>
        <w:widowControl w:val="0"/>
        <w:numPr>
          <w:ilvl w:val="0"/>
          <w:numId w:val="10"/>
        </w:numPr>
        <w:kinsoku/>
        <w:wordWrap/>
        <w:overflowPunct/>
        <w:topLinePunct w:val="0"/>
        <w:autoSpaceDE/>
        <w:autoSpaceDN/>
        <w:bidi w:val="0"/>
        <w:spacing w:line="480" w:lineRule="exact"/>
        <w:ind w:left="0" w:leftChars="0" w:right="0" w:firstLine="0"/>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商务条款偏离表</w:t>
      </w:r>
    </w:p>
    <w:p w14:paraId="6AFC96F8">
      <w:pPr>
        <w:pStyle w:val="7"/>
        <w:keepNext w:val="0"/>
        <w:keepLines w:val="0"/>
        <w:pageBreakBefore w:val="0"/>
        <w:widowControl w:val="0"/>
        <w:numPr>
          <w:ilvl w:val="0"/>
          <w:numId w:val="0"/>
        </w:numPr>
        <w:kinsoku/>
        <w:wordWrap/>
        <w:overflowPunct/>
        <w:topLinePunct w:val="0"/>
        <w:autoSpaceDE/>
        <w:autoSpaceDN/>
        <w:bidi w:val="0"/>
        <w:spacing w:line="480" w:lineRule="exact"/>
        <w:ind w:leftChars="0" w:right="0" w:rightChars="0"/>
        <w:jc w:val="both"/>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 xml:space="preserve">投标人名称：                              </w:t>
      </w:r>
      <w:r>
        <w:rPr>
          <w:rFonts w:hint="eastAsia" w:ascii="仿宋" w:hAnsi="仿宋" w:eastAsia="仿宋" w:cs="仿宋"/>
          <w:color w:val="auto"/>
          <w:sz w:val="22"/>
          <w:szCs w:val="22"/>
          <w:highlight w:val="none"/>
          <w:lang w:val="en-US" w:eastAsia="zh-CN"/>
        </w:rPr>
        <w:t xml:space="preserve">                           </w:t>
      </w:r>
      <w:r>
        <w:rPr>
          <w:rFonts w:hint="eastAsia" w:ascii="仿宋" w:hAnsi="仿宋" w:eastAsia="仿宋" w:cs="仿宋"/>
          <w:color w:val="auto"/>
          <w:sz w:val="22"/>
          <w:szCs w:val="22"/>
          <w:highlight w:val="none"/>
        </w:rPr>
        <w:t>采购项目编号：</w:t>
      </w:r>
    </w:p>
    <w:tbl>
      <w:tblPr>
        <w:tblStyle w:val="2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448"/>
        <w:gridCol w:w="2975"/>
        <w:gridCol w:w="909"/>
        <w:gridCol w:w="1662"/>
        <w:gridCol w:w="858"/>
      </w:tblGrid>
      <w:tr w14:paraId="65D5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97" w:type="dxa"/>
            <w:noWrap w:val="0"/>
            <w:vAlign w:val="center"/>
          </w:tcPr>
          <w:p w14:paraId="0B985B1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序号</w:t>
            </w:r>
          </w:p>
        </w:tc>
        <w:tc>
          <w:tcPr>
            <w:tcW w:w="2448" w:type="dxa"/>
            <w:noWrap w:val="0"/>
            <w:vAlign w:val="center"/>
          </w:tcPr>
          <w:p w14:paraId="51CE747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招标文件</w:t>
            </w:r>
            <w:r>
              <w:rPr>
                <w:rFonts w:hint="eastAsia" w:ascii="仿宋" w:hAnsi="仿宋" w:eastAsia="仿宋" w:cs="仿宋"/>
                <w:b/>
                <w:bCs/>
                <w:color w:val="auto"/>
                <w:sz w:val="22"/>
                <w:szCs w:val="22"/>
                <w:highlight w:val="none"/>
              </w:rPr>
              <w:t>商务</w:t>
            </w:r>
            <w:r>
              <w:rPr>
                <w:rFonts w:hint="eastAsia" w:ascii="仿宋" w:hAnsi="仿宋" w:eastAsia="仿宋" w:cs="仿宋"/>
                <w:b/>
                <w:bCs/>
                <w:color w:val="auto"/>
                <w:sz w:val="22"/>
                <w:szCs w:val="22"/>
                <w:highlight w:val="none"/>
                <w:lang w:val="en-US" w:eastAsia="zh-CN"/>
              </w:rPr>
              <w:t>条款</w:t>
            </w:r>
            <w:r>
              <w:rPr>
                <w:rFonts w:hint="eastAsia" w:ascii="仿宋" w:hAnsi="仿宋" w:eastAsia="仿宋" w:cs="仿宋"/>
                <w:b/>
                <w:bCs/>
                <w:color w:val="auto"/>
                <w:sz w:val="22"/>
                <w:szCs w:val="22"/>
                <w:highlight w:val="none"/>
              </w:rPr>
              <w:t>要求</w:t>
            </w:r>
          </w:p>
        </w:tc>
        <w:tc>
          <w:tcPr>
            <w:tcW w:w="2975" w:type="dxa"/>
            <w:noWrap w:val="0"/>
            <w:vAlign w:val="center"/>
          </w:tcPr>
          <w:p w14:paraId="1F17DB5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投标</w:t>
            </w:r>
            <w:r>
              <w:rPr>
                <w:rFonts w:hint="eastAsia" w:ascii="仿宋" w:hAnsi="仿宋" w:eastAsia="仿宋" w:cs="仿宋"/>
                <w:b/>
                <w:bCs/>
                <w:color w:val="auto"/>
                <w:sz w:val="22"/>
                <w:szCs w:val="22"/>
                <w:highlight w:val="none"/>
              </w:rPr>
              <w:t>响应文件商务</w:t>
            </w:r>
            <w:r>
              <w:rPr>
                <w:rFonts w:hint="eastAsia" w:ascii="仿宋" w:hAnsi="仿宋" w:eastAsia="仿宋" w:cs="仿宋"/>
                <w:b/>
                <w:bCs/>
                <w:color w:val="auto"/>
                <w:sz w:val="22"/>
                <w:szCs w:val="22"/>
                <w:highlight w:val="none"/>
                <w:lang w:val="en-US" w:eastAsia="zh-CN"/>
              </w:rPr>
              <w:t>条款</w:t>
            </w:r>
            <w:r>
              <w:rPr>
                <w:rFonts w:hint="eastAsia" w:ascii="仿宋" w:hAnsi="仿宋" w:eastAsia="仿宋" w:cs="仿宋"/>
                <w:b/>
                <w:bCs/>
                <w:color w:val="auto"/>
                <w:sz w:val="22"/>
                <w:szCs w:val="22"/>
                <w:highlight w:val="none"/>
              </w:rPr>
              <w:t>响应</w:t>
            </w:r>
          </w:p>
        </w:tc>
        <w:tc>
          <w:tcPr>
            <w:tcW w:w="909" w:type="dxa"/>
            <w:noWrap w:val="0"/>
            <w:vAlign w:val="center"/>
          </w:tcPr>
          <w:p w14:paraId="425922A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偏离</w:t>
            </w:r>
          </w:p>
        </w:tc>
        <w:tc>
          <w:tcPr>
            <w:tcW w:w="1662" w:type="dxa"/>
            <w:noWrap w:val="0"/>
            <w:vAlign w:val="center"/>
          </w:tcPr>
          <w:p w14:paraId="5F9FDDD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偏离及其影响</w:t>
            </w:r>
          </w:p>
        </w:tc>
        <w:tc>
          <w:tcPr>
            <w:tcW w:w="858" w:type="dxa"/>
            <w:noWrap w:val="0"/>
            <w:vAlign w:val="center"/>
          </w:tcPr>
          <w:p w14:paraId="6B968C8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jc w:val="center"/>
              <w:textAlignment w:val="auto"/>
              <w:rPr>
                <w:rFonts w:hint="eastAsia" w:ascii="仿宋" w:hAnsi="仿宋" w:eastAsia="仿宋" w:cs="仿宋"/>
                <w:b/>
                <w:bCs/>
                <w:color w:val="auto"/>
                <w:sz w:val="22"/>
                <w:szCs w:val="22"/>
                <w:highlight w:val="none"/>
                <w:lang w:val="en-US" w:eastAsia="zh-CN"/>
              </w:rPr>
            </w:pPr>
            <w:r>
              <w:rPr>
                <w:rFonts w:hint="eastAsia" w:ascii="仿宋" w:hAnsi="仿宋" w:eastAsia="仿宋" w:cs="仿宋"/>
                <w:b/>
                <w:bCs/>
                <w:color w:val="auto"/>
                <w:sz w:val="22"/>
                <w:szCs w:val="22"/>
                <w:highlight w:val="none"/>
                <w:lang w:val="en-US" w:eastAsia="zh-CN"/>
              </w:rPr>
              <w:t>备注</w:t>
            </w:r>
          </w:p>
        </w:tc>
      </w:tr>
      <w:tr w14:paraId="51AE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BAB88E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64CACC6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5DEA8A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332DF8F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0ABD9D0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3198A90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45F4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2EED462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CD65266">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16403A5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390EDB1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79DE817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0C95A5C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6849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101DA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61D6A2D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4C7C865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1C6AF3C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3EF945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4788DB3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29CD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652E513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27973EC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0ADEBA1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73C8DD4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7F8F79B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6739DB5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794F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6AB0BC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2066FA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74DB5F6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79BB39A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000C9F9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56735FF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2524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5FC06C1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22BED34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16D3D2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6B3D3C4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3963CE4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7A80C69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67F9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1FD954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384B557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00F519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27BC791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0439D9C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616B7EA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2BA5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5CD3C3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3576EC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4076FA7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4D0E134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53C0397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67A7376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71B0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3FEC596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0352909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5FCDBE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70E4F96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427B521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45E1965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0DDE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48F631A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1EEBFE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0775F48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34895DD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60DB032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58BBF39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1902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64295C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03C5BA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361E5AF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5EABFD5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31B272C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5DED8F9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2C42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6F7CD2E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5716AFA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20D5E6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1DE3366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4E08B14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75E981C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17F3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03F514F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48E75EA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5CBBE6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62098DD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17921DF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158CC06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r w14:paraId="1A6C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noWrap w:val="0"/>
            <w:vAlign w:val="top"/>
          </w:tcPr>
          <w:p w14:paraId="12D0DF1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448" w:type="dxa"/>
            <w:noWrap w:val="0"/>
            <w:vAlign w:val="top"/>
          </w:tcPr>
          <w:p w14:paraId="7F38CD3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2975" w:type="dxa"/>
            <w:noWrap w:val="0"/>
            <w:vAlign w:val="top"/>
          </w:tcPr>
          <w:p w14:paraId="6F0F7A3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909" w:type="dxa"/>
            <w:noWrap w:val="0"/>
            <w:vAlign w:val="top"/>
          </w:tcPr>
          <w:p w14:paraId="2DF3F93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1662" w:type="dxa"/>
            <w:noWrap w:val="0"/>
            <w:vAlign w:val="top"/>
          </w:tcPr>
          <w:p w14:paraId="6833F9D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c>
          <w:tcPr>
            <w:tcW w:w="858" w:type="dxa"/>
            <w:noWrap w:val="0"/>
            <w:vAlign w:val="top"/>
          </w:tcPr>
          <w:p w14:paraId="221E4D6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textAlignment w:val="auto"/>
              <w:rPr>
                <w:rFonts w:hint="eastAsia" w:ascii="仿宋" w:hAnsi="仿宋" w:eastAsia="仿宋" w:cs="仿宋"/>
                <w:bCs/>
                <w:color w:val="auto"/>
                <w:sz w:val="22"/>
                <w:szCs w:val="22"/>
                <w:highlight w:val="none"/>
              </w:rPr>
            </w:pPr>
          </w:p>
        </w:tc>
      </w:tr>
    </w:tbl>
    <w:p w14:paraId="6AE00156">
      <w:pPr>
        <w:keepNext w:val="0"/>
        <w:keepLines w:val="0"/>
        <w:pageBreakBefore w:val="0"/>
        <w:widowControl w:val="0"/>
        <w:kinsoku/>
        <w:wordWrap/>
        <w:overflowPunct/>
        <w:topLinePunct w:val="0"/>
        <w:autoSpaceDE/>
        <w:autoSpaceDN/>
        <w:bidi w:val="0"/>
        <w:adjustRightInd/>
        <w:snapToGrid/>
        <w:spacing w:line="480" w:lineRule="exact"/>
        <w:ind w:left="660" w:leftChars="0" w:right="0" w:hanging="660" w:hangingChars="3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说明：</w:t>
      </w:r>
      <w:r>
        <w:rPr>
          <w:rFonts w:hint="eastAsia" w:ascii="仿宋" w:hAnsi="仿宋" w:eastAsia="仿宋" w:cs="仿宋"/>
          <w:b w:val="0"/>
          <w:bCs w:val="0"/>
          <w:color w:val="auto"/>
          <w:sz w:val="22"/>
          <w:szCs w:val="22"/>
          <w:highlight w:val="none"/>
          <w:lang w:val="en-US" w:eastAsia="zh-CN"/>
        </w:rPr>
        <w:t>1.本项目商务条款全部为重要指标（实质性要求），不得负偏离，供应商在响应文件中必须对</w:t>
      </w:r>
    </w:p>
    <w:p w14:paraId="5C564CD1">
      <w:pPr>
        <w:keepNext w:val="0"/>
        <w:keepLines w:val="0"/>
        <w:pageBreakBefore w:val="0"/>
        <w:widowControl w:val="0"/>
        <w:kinsoku/>
        <w:wordWrap/>
        <w:overflowPunct/>
        <w:topLinePunct w:val="0"/>
        <w:autoSpaceDE/>
        <w:autoSpaceDN/>
        <w:bidi w:val="0"/>
        <w:adjustRightInd/>
        <w:snapToGrid/>
        <w:spacing w:line="480" w:lineRule="exact"/>
        <w:ind w:left="660" w:leftChars="0" w:right="0" w:hanging="660" w:hangingChars="3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商务条款进行一一正面响应，并列明具体响应数值或内容，只注明符合、满足等无具体内容表述的，</w:t>
      </w:r>
    </w:p>
    <w:p w14:paraId="0739B490">
      <w:pPr>
        <w:keepNext w:val="0"/>
        <w:keepLines w:val="0"/>
        <w:pageBreakBefore w:val="0"/>
        <w:widowControl w:val="0"/>
        <w:kinsoku/>
        <w:wordWrap/>
        <w:overflowPunct/>
        <w:topLinePunct w:val="0"/>
        <w:autoSpaceDE/>
        <w:autoSpaceDN/>
        <w:bidi w:val="0"/>
        <w:adjustRightInd/>
        <w:snapToGrid/>
        <w:spacing w:line="480" w:lineRule="exact"/>
        <w:ind w:left="660" w:leftChars="0" w:right="0" w:hanging="660" w:hangingChars="3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将按照不“符合招标文件规定的实质性要求的”投标无效处理。在交货后，发现部分不能实现，甲方</w:t>
      </w:r>
    </w:p>
    <w:p w14:paraId="41BFF228">
      <w:pPr>
        <w:keepNext w:val="0"/>
        <w:keepLines w:val="0"/>
        <w:pageBreakBefore w:val="0"/>
        <w:widowControl w:val="0"/>
        <w:kinsoku/>
        <w:wordWrap/>
        <w:overflowPunct/>
        <w:topLinePunct w:val="0"/>
        <w:autoSpaceDE/>
        <w:autoSpaceDN/>
        <w:bidi w:val="0"/>
        <w:adjustRightInd/>
        <w:snapToGrid/>
        <w:spacing w:line="480" w:lineRule="exact"/>
        <w:ind w:left="660" w:leftChars="0" w:right="0" w:hanging="660" w:hangingChars="3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有权退货并索取赔偿。2.</w:t>
      </w:r>
      <w:r>
        <w:rPr>
          <w:rFonts w:hint="eastAsia" w:ascii="仿宋" w:hAnsi="仿宋" w:eastAsia="仿宋" w:cs="仿宋"/>
          <w:b w:val="0"/>
          <w:bCs w:val="0"/>
          <w:color w:val="auto"/>
          <w:sz w:val="22"/>
          <w:szCs w:val="22"/>
          <w:highlight w:val="none"/>
        </w:rPr>
        <w:t>投标人必须据实填写，不得虚假响应，否则将取消其投标或中标资格，并按</w:t>
      </w:r>
    </w:p>
    <w:p w14:paraId="6BC98590">
      <w:pPr>
        <w:keepNext w:val="0"/>
        <w:keepLines w:val="0"/>
        <w:pageBreakBefore w:val="0"/>
        <w:widowControl w:val="0"/>
        <w:kinsoku/>
        <w:wordWrap/>
        <w:overflowPunct/>
        <w:topLinePunct w:val="0"/>
        <w:autoSpaceDE/>
        <w:autoSpaceDN/>
        <w:bidi w:val="0"/>
        <w:adjustRightInd/>
        <w:snapToGrid/>
        <w:spacing w:line="480" w:lineRule="exact"/>
        <w:ind w:left="660" w:leftChars="0" w:right="0" w:hanging="660" w:hangingChars="3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有关规定进行处罚。</w:t>
      </w:r>
    </w:p>
    <w:p w14:paraId="7CCC52E3">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 标 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（盖单位章）</w:t>
      </w:r>
    </w:p>
    <w:p w14:paraId="347B0F06">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r>
        <w:rPr>
          <w:rFonts w:hint="eastAsia" w:ascii="仿宋" w:hAnsi="仿宋" w:eastAsia="仿宋" w:cs="仿宋"/>
          <w:bCs/>
          <w:color w:val="auto"/>
          <w:sz w:val="22"/>
          <w:szCs w:val="22"/>
          <w:highlight w:val="none"/>
        </w:rPr>
        <w:t xml:space="preserve">                </w:t>
      </w:r>
    </w:p>
    <w:p w14:paraId="5F7D50F2">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日期: 20</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年</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月</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日</w:t>
      </w:r>
    </w:p>
    <w:p w14:paraId="4EF369FB">
      <w:pPr>
        <w:keepNext w:val="0"/>
        <w:keepLines w:val="0"/>
        <w:pageBreakBefore w:val="0"/>
        <w:widowControl w:val="0"/>
        <w:numPr>
          <w:ilvl w:val="0"/>
          <w:numId w:val="0"/>
        </w:numPr>
        <w:kinsoku/>
        <w:wordWrap/>
        <w:overflowPunct/>
        <w:topLinePunct w:val="0"/>
        <w:autoSpaceDE/>
        <w:autoSpaceDN/>
        <w:bidi w:val="0"/>
        <w:adjustRightInd w:val="0"/>
        <w:spacing w:line="480" w:lineRule="exact"/>
        <w:jc w:val="center"/>
        <w:textAlignment w:val="auto"/>
        <w:rPr>
          <w:rFonts w:hint="eastAsia" w:ascii="仿宋" w:hAnsi="仿宋" w:eastAsia="仿宋" w:cs="仿宋"/>
          <w:b/>
          <w:bCs/>
          <w:color w:val="auto"/>
          <w:kern w:val="2"/>
          <w:sz w:val="22"/>
          <w:szCs w:val="22"/>
          <w:highlight w:val="none"/>
          <w:lang w:val="en-US" w:eastAsia="zh-CN" w:bidi="ar-SA"/>
        </w:rPr>
      </w:pPr>
    </w:p>
    <w:p w14:paraId="3284FFBB">
      <w:pPr>
        <w:keepNext w:val="0"/>
        <w:keepLines w:val="0"/>
        <w:pageBreakBefore w:val="0"/>
        <w:widowControl w:val="0"/>
        <w:numPr>
          <w:ilvl w:val="0"/>
          <w:numId w:val="0"/>
        </w:numPr>
        <w:kinsoku/>
        <w:wordWrap/>
        <w:overflowPunct/>
        <w:topLinePunct w:val="0"/>
        <w:autoSpaceDE/>
        <w:autoSpaceDN/>
        <w:bidi w:val="0"/>
        <w:adjustRightInd w:val="0"/>
        <w:spacing w:line="480" w:lineRule="exact"/>
        <w:jc w:val="center"/>
        <w:textAlignment w:val="auto"/>
        <w:rPr>
          <w:rFonts w:hint="eastAsia" w:ascii="仿宋" w:hAnsi="仿宋" w:eastAsia="仿宋" w:cs="仿宋"/>
          <w:b/>
          <w:bCs/>
          <w:color w:val="auto"/>
          <w:kern w:val="2"/>
          <w:sz w:val="22"/>
          <w:szCs w:val="22"/>
          <w:highlight w:val="none"/>
          <w:lang w:val="en-US" w:eastAsia="zh-CN" w:bidi="ar-SA"/>
        </w:rPr>
      </w:pPr>
    </w:p>
    <w:p w14:paraId="37398009">
      <w:pPr>
        <w:keepNext w:val="0"/>
        <w:keepLines w:val="0"/>
        <w:pageBreakBefore w:val="0"/>
        <w:widowControl w:val="0"/>
        <w:numPr>
          <w:ilvl w:val="0"/>
          <w:numId w:val="0"/>
        </w:numPr>
        <w:kinsoku/>
        <w:wordWrap/>
        <w:overflowPunct/>
        <w:topLinePunct w:val="0"/>
        <w:autoSpaceDE/>
        <w:autoSpaceDN/>
        <w:bidi w:val="0"/>
        <w:adjustRightInd w:val="0"/>
        <w:spacing w:line="480" w:lineRule="exact"/>
        <w:jc w:val="center"/>
        <w:textAlignment w:val="auto"/>
        <w:rPr>
          <w:rFonts w:hint="eastAsia" w:ascii="仿宋" w:hAnsi="仿宋" w:eastAsia="仿宋" w:cs="仿宋"/>
          <w:b/>
          <w:bCs/>
          <w:color w:val="auto"/>
          <w:kern w:val="2"/>
          <w:sz w:val="22"/>
          <w:szCs w:val="22"/>
          <w:highlight w:val="none"/>
          <w:lang w:val="en-US" w:eastAsia="zh-CN" w:bidi="ar-SA"/>
        </w:rPr>
      </w:pPr>
    </w:p>
    <w:p w14:paraId="05A0E4AE">
      <w:pPr>
        <w:keepNext w:val="0"/>
        <w:keepLines w:val="0"/>
        <w:pageBreakBefore w:val="0"/>
        <w:widowControl w:val="0"/>
        <w:numPr>
          <w:ilvl w:val="0"/>
          <w:numId w:val="0"/>
        </w:numPr>
        <w:kinsoku/>
        <w:wordWrap/>
        <w:overflowPunct/>
        <w:topLinePunct w:val="0"/>
        <w:autoSpaceDE/>
        <w:autoSpaceDN/>
        <w:bidi w:val="0"/>
        <w:adjustRightInd w:val="0"/>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六、技术文件（根据本项目评分标准顺序编写）</w:t>
      </w:r>
    </w:p>
    <w:p w14:paraId="1EFF8EA9">
      <w:pPr>
        <w:keepNext w:val="0"/>
        <w:keepLines w:val="0"/>
        <w:pageBreakBefore w:val="0"/>
        <w:widowControl w:val="0"/>
        <w:kinsoku/>
        <w:wordWrap/>
        <w:overflowPunct/>
        <w:topLinePunct w:val="0"/>
        <w:autoSpaceDE/>
        <w:autoSpaceDN/>
        <w:bidi w:val="0"/>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说明：格式自定。</w:t>
      </w:r>
    </w:p>
    <w:p w14:paraId="331150BC">
      <w:pPr>
        <w:keepNext w:val="0"/>
        <w:keepLines w:val="0"/>
        <w:pageBreakBefore w:val="0"/>
        <w:widowControl w:val="0"/>
        <w:numPr>
          <w:ilvl w:val="0"/>
          <w:numId w:val="11"/>
        </w:numPr>
        <w:kinsoku/>
        <w:wordWrap/>
        <w:overflowPunct/>
        <w:topLinePunct w:val="0"/>
        <w:autoSpaceDE/>
        <w:autoSpaceDN/>
        <w:bidi w:val="0"/>
        <w:adjustRightInd w:val="0"/>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kern w:val="2"/>
          <w:sz w:val="32"/>
          <w:szCs w:val="32"/>
          <w:highlight w:val="none"/>
          <w:lang w:val="en-US" w:eastAsia="zh-CN" w:bidi="ar-SA"/>
        </w:rPr>
        <w:t>承诺文件</w:t>
      </w:r>
    </w:p>
    <w:p w14:paraId="52E23EA0">
      <w:pPr>
        <w:keepNext w:val="0"/>
        <w:keepLines w:val="0"/>
        <w:pageBreakBefore w:val="0"/>
        <w:widowControl w:val="0"/>
        <w:kinsoku/>
        <w:wordWrap/>
        <w:overflowPunct/>
        <w:topLinePunct w:val="0"/>
        <w:autoSpaceDE/>
        <w:autoSpaceDN/>
        <w:bidi w:val="0"/>
        <w:adjustRightInd w:val="0"/>
        <w:snapToGrid/>
        <w:spacing w:line="480" w:lineRule="exact"/>
        <w:ind w:firstLine="440" w:firstLineChars="200"/>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说明：格式自定。投标人根据招标文件要求和采购需求，作出质量保证承诺和质保期服务计划。</w:t>
      </w:r>
    </w:p>
    <w:p w14:paraId="00FF26FF">
      <w:pPr>
        <w:adjustRightInd w:val="0"/>
        <w:spacing w:line="400" w:lineRule="exact"/>
        <w:jc w:val="left"/>
        <w:rPr>
          <w:rFonts w:hint="eastAsia" w:ascii="仿宋" w:hAnsi="仿宋" w:eastAsia="仿宋" w:cs="仿宋"/>
          <w:b/>
          <w:bCs/>
          <w:color w:val="auto"/>
          <w:sz w:val="36"/>
          <w:szCs w:val="36"/>
          <w:highlight w:val="none"/>
        </w:rPr>
      </w:pPr>
    </w:p>
    <w:p w14:paraId="5FEA3912">
      <w:pPr>
        <w:adjustRightInd w:val="0"/>
        <w:spacing w:line="400" w:lineRule="exact"/>
        <w:jc w:val="left"/>
        <w:rPr>
          <w:rFonts w:hint="eastAsia" w:ascii="仿宋" w:hAnsi="仿宋" w:eastAsia="仿宋" w:cs="仿宋"/>
          <w:b/>
          <w:bCs/>
          <w:color w:val="auto"/>
          <w:sz w:val="36"/>
          <w:szCs w:val="36"/>
          <w:highlight w:val="none"/>
        </w:rPr>
      </w:pPr>
    </w:p>
    <w:p w14:paraId="7C57A787">
      <w:pPr>
        <w:adjustRightInd w:val="0"/>
        <w:spacing w:line="400" w:lineRule="exact"/>
        <w:jc w:val="left"/>
        <w:rPr>
          <w:rFonts w:hint="eastAsia" w:ascii="仿宋" w:hAnsi="仿宋" w:eastAsia="仿宋" w:cs="仿宋"/>
          <w:b/>
          <w:bCs/>
          <w:color w:val="auto"/>
          <w:sz w:val="36"/>
          <w:szCs w:val="36"/>
          <w:highlight w:val="none"/>
        </w:rPr>
      </w:pPr>
    </w:p>
    <w:p w14:paraId="646487F7">
      <w:pPr>
        <w:adjustRightInd w:val="0"/>
        <w:spacing w:line="400" w:lineRule="exact"/>
        <w:jc w:val="left"/>
        <w:rPr>
          <w:rFonts w:hint="eastAsia" w:ascii="仿宋" w:hAnsi="仿宋" w:eastAsia="仿宋" w:cs="仿宋"/>
          <w:b/>
          <w:bCs/>
          <w:color w:val="auto"/>
          <w:sz w:val="36"/>
          <w:szCs w:val="36"/>
          <w:highlight w:val="none"/>
        </w:rPr>
      </w:pPr>
    </w:p>
    <w:p w14:paraId="10604CCE">
      <w:pPr>
        <w:adjustRightInd w:val="0"/>
        <w:spacing w:line="400" w:lineRule="exact"/>
        <w:jc w:val="left"/>
        <w:rPr>
          <w:rFonts w:hint="eastAsia" w:ascii="仿宋" w:hAnsi="仿宋" w:eastAsia="仿宋" w:cs="仿宋"/>
          <w:b/>
          <w:bCs/>
          <w:color w:val="auto"/>
          <w:sz w:val="36"/>
          <w:szCs w:val="36"/>
          <w:highlight w:val="none"/>
        </w:rPr>
      </w:pPr>
    </w:p>
    <w:p w14:paraId="1590AE9D">
      <w:pPr>
        <w:adjustRightInd w:val="0"/>
        <w:spacing w:line="400" w:lineRule="exact"/>
        <w:jc w:val="left"/>
        <w:rPr>
          <w:rFonts w:hint="eastAsia" w:ascii="仿宋" w:hAnsi="仿宋" w:eastAsia="仿宋" w:cs="仿宋"/>
          <w:b/>
          <w:bCs/>
          <w:color w:val="auto"/>
          <w:sz w:val="36"/>
          <w:szCs w:val="36"/>
          <w:highlight w:val="none"/>
        </w:rPr>
      </w:pPr>
    </w:p>
    <w:p w14:paraId="17C6B2DD">
      <w:pPr>
        <w:adjustRightInd w:val="0"/>
        <w:spacing w:line="400" w:lineRule="exact"/>
        <w:jc w:val="left"/>
        <w:rPr>
          <w:rFonts w:hint="eastAsia" w:ascii="仿宋" w:hAnsi="仿宋" w:eastAsia="仿宋" w:cs="仿宋"/>
          <w:b/>
          <w:bCs/>
          <w:color w:val="auto"/>
          <w:sz w:val="36"/>
          <w:szCs w:val="36"/>
          <w:highlight w:val="none"/>
        </w:rPr>
      </w:pPr>
    </w:p>
    <w:p w14:paraId="0B59D89D">
      <w:pPr>
        <w:adjustRightInd w:val="0"/>
        <w:spacing w:line="400" w:lineRule="exact"/>
        <w:jc w:val="left"/>
        <w:rPr>
          <w:rFonts w:hint="eastAsia" w:ascii="仿宋" w:hAnsi="仿宋" w:eastAsia="仿宋" w:cs="仿宋"/>
          <w:b/>
          <w:bCs/>
          <w:color w:val="auto"/>
          <w:sz w:val="36"/>
          <w:szCs w:val="36"/>
          <w:highlight w:val="none"/>
        </w:rPr>
      </w:pPr>
    </w:p>
    <w:p w14:paraId="6BD20CC0">
      <w:pPr>
        <w:adjustRightInd w:val="0"/>
        <w:spacing w:line="400" w:lineRule="exact"/>
        <w:jc w:val="left"/>
        <w:rPr>
          <w:rFonts w:hint="eastAsia" w:ascii="仿宋" w:hAnsi="仿宋" w:eastAsia="仿宋" w:cs="仿宋"/>
          <w:b/>
          <w:bCs/>
          <w:color w:val="auto"/>
          <w:sz w:val="36"/>
          <w:szCs w:val="36"/>
          <w:highlight w:val="none"/>
        </w:rPr>
      </w:pPr>
    </w:p>
    <w:p w14:paraId="535C9B13">
      <w:pPr>
        <w:adjustRightInd w:val="0"/>
        <w:spacing w:line="400" w:lineRule="exact"/>
        <w:jc w:val="left"/>
        <w:rPr>
          <w:rFonts w:hint="eastAsia" w:ascii="仿宋" w:hAnsi="仿宋" w:eastAsia="仿宋" w:cs="仿宋"/>
          <w:b/>
          <w:bCs/>
          <w:color w:val="auto"/>
          <w:sz w:val="36"/>
          <w:szCs w:val="36"/>
          <w:highlight w:val="none"/>
        </w:rPr>
      </w:pPr>
    </w:p>
    <w:p w14:paraId="454F673D">
      <w:pPr>
        <w:adjustRightInd w:val="0"/>
        <w:spacing w:line="400" w:lineRule="exact"/>
        <w:jc w:val="left"/>
        <w:rPr>
          <w:rFonts w:hint="eastAsia" w:ascii="仿宋" w:hAnsi="仿宋" w:eastAsia="仿宋" w:cs="仿宋"/>
          <w:b/>
          <w:bCs/>
          <w:color w:val="auto"/>
          <w:sz w:val="36"/>
          <w:szCs w:val="36"/>
          <w:highlight w:val="none"/>
        </w:rPr>
      </w:pPr>
    </w:p>
    <w:p w14:paraId="7CA00B9E">
      <w:pPr>
        <w:adjustRightInd w:val="0"/>
        <w:spacing w:line="400" w:lineRule="exact"/>
        <w:jc w:val="left"/>
        <w:rPr>
          <w:rFonts w:hint="eastAsia" w:ascii="仿宋" w:hAnsi="仿宋" w:eastAsia="仿宋" w:cs="仿宋"/>
          <w:b/>
          <w:bCs/>
          <w:color w:val="auto"/>
          <w:sz w:val="36"/>
          <w:szCs w:val="36"/>
          <w:highlight w:val="none"/>
        </w:rPr>
      </w:pPr>
    </w:p>
    <w:p w14:paraId="0D2D7164">
      <w:pPr>
        <w:adjustRightInd w:val="0"/>
        <w:spacing w:line="400" w:lineRule="exact"/>
        <w:jc w:val="left"/>
        <w:rPr>
          <w:rFonts w:hint="eastAsia" w:ascii="仿宋" w:hAnsi="仿宋" w:eastAsia="仿宋" w:cs="仿宋"/>
          <w:b/>
          <w:bCs/>
          <w:color w:val="auto"/>
          <w:sz w:val="36"/>
          <w:szCs w:val="36"/>
          <w:highlight w:val="none"/>
        </w:rPr>
      </w:pPr>
    </w:p>
    <w:p w14:paraId="0507FC8B">
      <w:pPr>
        <w:adjustRightInd w:val="0"/>
        <w:spacing w:line="400" w:lineRule="exact"/>
        <w:jc w:val="left"/>
        <w:rPr>
          <w:rFonts w:hint="eastAsia" w:ascii="仿宋" w:hAnsi="仿宋" w:eastAsia="仿宋" w:cs="仿宋"/>
          <w:b/>
          <w:bCs/>
          <w:color w:val="auto"/>
          <w:sz w:val="36"/>
          <w:szCs w:val="36"/>
          <w:highlight w:val="none"/>
        </w:rPr>
      </w:pPr>
    </w:p>
    <w:p w14:paraId="30B5E23D">
      <w:pPr>
        <w:adjustRightInd w:val="0"/>
        <w:spacing w:line="400" w:lineRule="exact"/>
        <w:jc w:val="left"/>
        <w:rPr>
          <w:rFonts w:hint="eastAsia" w:ascii="仿宋" w:hAnsi="仿宋" w:eastAsia="仿宋" w:cs="仿宋"/>
          <w:b/>
          <w:bCs/>
          <w:color w:val="auto"/>
          <w:sz w:val="36"/>
          <w:szCs w:val="36"/>
          <w:highlight w:val="none"/>
        </w:rPr>
      </w:pPr>
    </w:p>
    <w:p w14:paraId="24E6F4EB">
      <w:pPr>
        <w:adjustRightInd w:val="0"/>
        <w:spacing w:line="400" w:lineRule="exact"/>
        <w:jc w:val="left"/>
        <w:rPr>
          <w:rFonts w:hint="eastAsia" w:ascii="仿宋" w:hAnsi="仿宋" w:eastAsia="仿宋" w:cs="仿宋"/>
          <w:b/>
          <w:bCs/>
          <w:color w:val="auto"/>
          <w:sz w:val="36"/>
          <w:szCs w:val="36"/>
          <w:highlight w:val="none"/>
        </w:rPr>
      </w:pPr>
    </w:p>
    <w:p w14:paraId="4E1DE3B4">
      <w:pPr>
        <w:adjustRightInd w:val="0"/>
        <w:spacing w:line="400" w:lineRule="exact"/>
        <w:jc w:val="left"/>
        <w:rPr>
          <w:rFonts w:hint="eastAsia" w:ascii="仿宋" w:hAnsi="仿宋" w:eastAsia="仿宋" w:cs="仿宋"/>
          <w:b/>
          <w:bCs/>
          <w:color w:val="auto"/>
          <w:sz w:val="36"/>
          <w:szCs w:val="36"/>
          <w:highlight w:val="none"/>
        </w:rPr>
      </w:pPr>
    </w:p>
    <w:p w14:paraId="0CB2E4C7">
      <w:pPr>
        <w:adjustRightInd w:val="0"/>
        <w:spacing w:line="400" w:lineRule="exact"/>
        <w:jc w:val="left"/>
        <w:rPr>
          <w:rFonts w:hint="eastAsia" w:ascii="仿宋" w:hAnsi="仿宋" w:eastAsia="仿宋" w:cs="仿宋"/>
          <w:b/>
          <w:bCs/>
          <w:color w:val="auto"/>
          <w:sz w:val="36"/>
          <w:szCs w:val="36"/>
          <w:highlight w:val="none"/>
        </w:rPr>
      </w:pPr>
    </w:p>
    <w:p w14:paraId="6041365C">
      <w:pPr>
        <w:adjustRightInd w:val="0"/>
        <w:spacing w:line="400" w:lineRule="exact"/>
        <w:jc w:val="left"/>
        <w:rPr>
          <w:rFonts w:hint="eastAsia" w:ascii="仿宋" w:hAnsi="仿宋" w:eastAsia="仿宋" w:cs="仿宋"/>
          <w:b/>
          <w:bCs/>
          <w:color w:val="auto"/>
          <w:sz w:val="36"/>
          <w:szCs w:val="36"/>
          <w:highlight w:val="none"/>
        </w:rPr>
      </w:pPr>
    </w:p>
    <w:p w14:paraId="34405879">
      <w:pPr>
        <w:adjustRightInd w:val="0"/>
        <w:spacing w:line="400" w:lineRule="exact"/>
        <w:jc w:val="left"/>
        <w:rPr>
          <w:rFonts w:hint="eastAsia" w:ascii="仿宋" w:hAnsi="仿宋" w:eastAsia="仿宋" w:cs="仿宋"/>
          <w:b/>
          <w:bCs/>
          <w:color w:val="auto"/>
          <w:sz w:val="36"/>
          <w:szCs w:val="36"/>
          <w:highlight w:val="none"/>
        </w:rPr>
      </w:pPr>
    </w:p>
    <w:p w14:paraId="6263C571">
      <w:pPr>
        <w:adjustRightInd w:val="0"/>
        <w:spacing w:line="400" w:lineRule="exact"/>
        <w:jc w:val="left"/>
        <w:rPr>
          <w:rFonts w:hint="eastAsia" w:ascii="仿宋" w:hAnsi="仿宋" w:eastAsia="仿宋" w:cs="仿宋"/>
          <w:b/>
          <w:bCs/>
          <w:color w:val="auto"/>
          <w:sz w:val="36"/>
          <w:szCs w:val="36"/>
          <w:highlight w:val="none"/>
        </w:rPr>
      </w:pPr>
    </w:p>
    <w:p w14:paraId="7E3E5DE8">
      <w:pPr>
        <w:adjustRightInd w:val="0"/>
        <w:spacing w:line="400" w:lineRule="exact"/>
        <w:jc w:val="left"/>
        <w:rPr>
          <w:rFonts w:hint="eastAsia" w:ascii="仿宋" w:hAnsi="仿宋" w:eastAsia="仿宋" w:cs="仿宋"/>
          <w:b/>
          <w:bCs/>
          <w:color w:val="auto"/>
          <w:sz w:val="36"/>
          <w:szCs w:val="36"/>
          <w:highlight w:val="none"/>
        </w:rPr>
      </w:pPr>
    </w:p>
    <w:p w14:paraId="3C90F156">
      <w:pPr>
        <w:adjustRightInd w:val="0"/>
        <w:spacing w:line="400" w:lineRule="exact"/>
        <w:jc w:val="left"/>
        <w:rPr>
          <w:rFonts w:hint="eastAsia" w:ascii="仿宋" w:hAnsi="仿宋" w:eastAsia="仿宋" w:cs="仿宋"/>
          <w:b/>
          <w:bCs/>
          <w:color w:val="auto"/>
          <w:sz w:val="36"/>
          <w:szCs w:val="36"/>
          <w:highlight w:val="none"/>
        </w:rPr>
      </w:pPr>
    </w:p>
    <w:p w14:paraId="69BA51D5">
      <w:pPr>
        <w:adjustRightInd w:val="0"/>
        <w:spacing w:line="400" w:lineRule="exact"/>
        <w:jc w:val="left"/>
        <w:rPr>
          <w:rFonts w:hint="eastAsia" w:ascii="仿宋" w:hAnsi="仿宋" w:eastAsia="仿宋" w:cs="仿宋"/>
          <w:b/>
          <w:bCs/>
          <w:color w:val="auto"/>
          <w:sz w:val="36"/>
          <w:szCs w:val="36"/>
          <w:highlight w:val="none"/>
        </w:rPr>
      </w:pPr>
    </w:p>
    <w:p w14:paraId="1B92828B">
      <w:pPr>
        <w:adjustRightInd w:val="0"/>
        <w:spacing w:line="400" w:lineRule="exact"/>
        <w:jc w:val="left"/>
        <w:rPr>
          <w:rFonts w:hint="eastAsia" w:ascii="仿宋" w:hAnsi="仿宋" w:eastAsia="仿宋" w:cs="仿宋"/>
          <w:b/>
          <w:bCs/>
          <w:color w:val="auto"/>
          <w:sz w:val="36"/>
          <w:szCs w:val="36"/>
          <w:highlight w:val="none"/>
        </w:rPr>
      </w:pPr>
    </w:p>
    <w:p w14:paraId="3DA238EA">
      <w:pPr>
        <w:adjustRightInd w:val="0"/>
        <w:spacing w:line="400" w:lineRule="exact"/>
        <w:jc w:val="left"/>
        <w:rPr>
          <w:rFonts w:hint="eastAsia" w:ascii="仿宋" w:hAnsi="仿宋" w:eastAsia="仿宋" w:cs="仿宋"/>
          <w:b/>
          <w:bCs/>
          <w:color w:val="auto"/>
          <w:sz w:val="36"/>
          <w:szCs w:val="36"/>
          <w:highlight w:val="none"/>
        </w:rPr>
      </w:pPr>
    </w:p>
    <w:p w14:paraId="47AD1194">
      <w:pPr>
        <w:adjustRightInd w:val="0"/>
        <w:spacing w:line="400" w:lineRule="exact"/>
        <w:jc w:val="left"/>
        <w:rPr>
          <w:rFonts w:hint="eastAsia" w:ascii="仿宋" w:hAnsi="仿宋" w:eastAsia="仿宋" w:cs="仿宋"/>
          <w:b/>
          <w:bCs/>
          <w:color w:val="auto"/>
          <w:sz w:val="36"/>
          <w:szCs w:val="36"/>
          <w:highlight w:val="none"/>
        </w:rPr>
      </w:pPr>
    </w:p>
    <w:p w14:paraId="7016093E">
      <w:pPr>
        <w:adjustRightInd w:val="0"/>
        <w:spacing w:line="400" w:lineRule="exact"/>
        <w:jc w:val="left"/>
        <w:rPr>
          <w:rFonts w:hint="eastAsia" w:ascii="仿宋" w:hAnsi="仿宋" w:eastAsia="仿宋" w:cs="仿宋"/>
          <w:b/>
          <w:bCs/>
          <w:color w:val="auto"/>
          <w:sz w:val="36"/>
          <w:szCs w:val="36"/>
          <w:highlight w:val="none"/>
        </w:rPr>
      </w:pPr>
    </w:p>
    <w:p w14:paraId="4FE2E599">
      <w:pPr>
        <w:adjustRightInd w:val="0"/>
        <w:spacing w:line="400" w:lineRule="exact"/>
        <w:jc w:val="left"/>
        <w:rPr>
          <w:rFonts w:hint="eastAsia" w:ascii="仿宋" w:hAnsi="仿宋" w:eastAsia="仿宋" w:cs="仿宋"/>
          <w:b/>
          <w:bCs/>
          <w:color w:val="auto"/>
          <w:sz w:val="36"/>
          <w:szCs w:val="36"/>
          <w:highlight w:val="none"/>
        </w:rPr>
      </w:pPr>
    </w:p>
    <w:p w14:paraId="60A429EC">
      <w:pPr>
        <w:keepNext w:val="0"/>
        <w:keepLines w:val="0"/>
        <w:pageBreakBefore w:val="0"/>
        <w:widowControl w:val="0"/>
        <w:kinsoku/>
        <w:wordWrap/>
        <w:overflowPunct/>
        <w:topLinePunct w:val="0"/>
        <w:autoSpaceDE/>
        <w:autoSpaceDN/>
        <w:bidi w:val="0"/>
        <w:adjustRightInd w:val="0"/>
        <w:snapToGrid/>
        <w:spacing w:line="480" w:lineRule="exact"/>
        <w:jc w:val="center"/>
        <w:textAlignment w:val="auto"/>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r>
        <w:rPr>
          <w:rFonts w:hint="eastAsia" w:ascii="仿宋" w:hAnsi="仿宋" w:eastAsia="仿宋" w:cs="仿宋"/>
          <w:b/>
          <w:color w:val="auto"/>
          <w:kern w:val="2"/>
          <w:sz w:val="32"/>
          <w:szCs w:val="32"/>
          <w:highlight w:val="none"/>
          <w:lang w:val="en-US" w:eastAsia="zh-CN" w:bidi="ar-SA"/>
        </w:rPr>
        <w:t>八、售后服务文件</w:t>
      </w:r>
    </w:p>
    <w:p w14:paraId="1F27358D">
      <w:pPr>
        <w:keepNext w:val="0"/>
        <w:keepLines w:val="0"/>
        <w:pageBreakBefore w:val="0"/>
        <w:widowControl w:val="0"/>
        <w:kinsoku/>
        <w:wordWrap/>
        <w:overflowPunct/>
        <w:topLinePunct w:val="0"/>
        <w:autoSpaceDE/>
        <w:autoSpaceDN/>
        <w:bidi w:val="0"/>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1.投标人依据产品特性和需求，按招标文件要求自拟售后服务方案和培训计划。</w:t>
      </w:r>
    </w:p>
    <w:p w14:paraId="105D64F2">
      <w:pPr>
        <w:keepNext w:val="0"/>
        <w:keepLines w:val="0"/>
        <w:pageBreakBefore w:val="0"/>
        <w:widowControl w:val="0"/>
        <w:kinsoku/>
        <w:wordWrap/>
        <w:overflowPunct/>
        <w:topLinePunct w:val="0"/>
        <w:autoSpaceDE/>
        <w:autoSpaceDN/>
        <w:bidi w:val="0"/>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2.投标人应提供在售后服务中心证明材料或与合作方的协议书，这些服务中心和特约维修服务点的名称、地址、电话、联系人应在投标文件中一一列出（参考样式如下）。</w:t>
      </w:r>
    </w:p>
    <w:p w14:paraId="18F225F8">
      <w:pPr>
        <w:keepNext w:val="0"/>
        <w:keepLines w:val="0"/>
        <w:pageBreakBefore w:val="0"/>
        <w:widowControl w:val="0"/>
        <w:kinsoku/>
        <w:wordWrap/>
        <w:overflowPunct/>
        <w:topLinePunct w:val="0"/>
        <w:autoSpaceDE/>
        <w:autoSpaceDN/>
        <w:bidi w:val="0"/>
        <w:snapToGrid/>
        <w:spacing w:line="480" w:lineRule="exact"/>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货物（产品）售后服务点联系表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863"/>
        <w:gridCol w:w="1391"/>
        <w:gridCol w:w="1627"/>
        <w:gridCol w:w="2522"/>
      </w:tblGrid>
      <w:tr w14:paraId="3D97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2107" w:type="dxa"/>
            <w:noWrap w:val="0"/>
            <w:vAlign w:val="center"/>
          </w:tcPr>
          <w:p w14:paraId="7FE249D0">
            <w:pPr>
              <w:spacing w:line="480" w:lineRule="exact"/>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服务机构名称</w:t>
            </w:r>
          </w:p>
        </w:tc>
        <w:tc>
          <w:tcPr>
            <w:tcW w:w="1863" w:type="dxa"/>
            <w:noWrap w:val="0"/>
            <w:vAlign w:val="center"/>
          </w:tcPr>
          <w:p w14:paraId="09408AF8">
            <w:pPr>
              <w:spacing w:line="480" w:lineRule="exact"/>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所在地</w:t>
            </w:r>
          </w:p>
        </w:tc>
        <w:tc>
          <w:tcPr>
            <w:tcW w:w="1391" w:type="dxa"/>
            <w:noWrap w:val="0"/>
            <w:vAlign w:val="center"/>
          </w:tcPr>
          <w:p w14:paraId="392141B9">
            <w:pPr>
              <w:spacing w:line="480" w:lineRule="exact"/>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联系人</w:t>
            </w:r>
          </w:p>
        </w:tc>
        <w:tc>
          <w:tcPr>
            <w:tcW w:w="1627" w:type="dxa"/>
            <w:noWrap w:val="0"/>
            <w:vAlign w:val="center"/>
          </w:tcPr>
          <w:p w14:paraId="221342E1">
            <w:pPr>
              <w:spacing w:line="480" w:lineRule="exact"/>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联系电话</w:t>
            </w:r>
          </w:p>
        </w:tc>
        <w:tc>
          <w:tcPr>
            <w:tcW w:w="2522" w:type="dxa"/>
            <w:noWrap w:val="0"/>
            <w:vAlign w:val="center"/>
          </w:tcPr>
          <w:p w14:paraId="35603215">
            <w:pPr>
              <w:spacing w:line="480" w:lineRule="exact"/>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地 址</w:t>
            </w:r>
          </w:p>
        </w:tc>
      </w:tr>
      <w:tr w14:paraId="2802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107" w:type="dxa"/>
            <w:noWrap w:val="0"/>
            <w:vAlign w:val="center"/>
          </w:tcPr>
          <w:p w14:paraId="7F44F099">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3F239865">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7391654B">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6B1242F0">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2869E758">
            <w:pPr>
              <w:spacing w:line="480" w:lineRule="exact"/>
              <w:jc w:val="center"/>
              <w:rPr>
                <w:rFonts w:hint="eastAsia" w:ascii="仿宋" w:hAnsi="仿宋" w:eastAsia="仿宋" w:cs="仿宋"/>
                <w:color w:val="auto"/>
                <w:sz w:val="22"/>
                <w:szCs w:val="28"/>
                <w:highlight w:val="none"/>
              </w:rPr>
            </w:pPr>
          </w:p>
        </w:tc>
      </w:tr>
      <w:tr w14:paraId="0A39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07" w:type="dxa"/>
            <w:noWrap w:val="0"/>
            <w:vAlign w:val="center"/>
          </w:tcPr>
          <w:p w14:paraId="0EEDF700">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42A84FFC">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18C06DA2">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495D7FBE">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73A6CEF3">
            <w:pPr>
              <w:spacing w:line="480" w:lineRule="exact"/>
              <w:jc w:val="center"/>
              <w:rPr>
                <w:rFonts w:hint="eastAsia" w:ascii="仿宋" w:hAnsi="仿宋" w:eastAsia="仿宋" w:cs="仿宋"/>
                <w:color w:val="auto"/>
                <w:sz w:val="22"/>
                <w:szCs w:val="28"/>
                <w:highlight w:val="none"/>
              </w:rPr>
            </w:pPr>
          </w:p>
        </w:tc>
      </w:tr>
      <w:tr w14:paraId="56B3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07" w:type="dxa"/>
            <w:noWrap w:val="0"/>
            <w:vAlign w:val="center"/>
          </w:tcPr>
          <w:p w14:paraId="16A728A8">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01042322">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7B53D026">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3D10EC2E">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2A4B6ECC">
            <w:pPr>
              <w:spacing w:line="480" w:lineRule="exact"/>
              <w:jc w:val="center"/>
              <w:rPr>
                <w:rFonts w:hint="eastAsia" w:ascii="仿宋" w:hAnsi="仿宋" w:eastAsia="仿宋" w:cs="仿宋"/>
                <w:color w:val="auto"/>
                <w:sz w:val="22"/>
                <w:szCs w:val="28"/>
                <w:highlight w:val="none"/>
              </w:rPr>
            </w:pPr>
          </w:p>
        </w:tc>
      </w:tr>
      <w:tr w14:paraId="5821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7A6383FF">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4DB23FE0">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65DC8F67">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72B39B41">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06B4CF51">
            <w:pPr>
              <w:spacing w:line="480" w:lineRule="exact"/>
              <w:jc w:val="center"/>
              <w:rPr>
                <w:rFonts w:hint="eastAsia" w:ascii="仿宋" w:hAnsi="仿宋" w:eastAsia="仿宋" w:cs="仿宋"/>
                <w:color w:val="auto"/>
                <w:sz w:val="22"/>
                <w:szCs w:val="28"/>
                <w:highlight w:val="none"/>
              </w:rPr>
            </w:pPr>
          </w:p>
        </w:tc>
      </w:tr>
      <w:tr w14:paraId="6D70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158A63B7">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1087DDA2">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09C6F7AF">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665C7DCB">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2F84BF02">
            <w:pPr>
              <w:spacing w:line="480" w:lineRule="exact"/>
              <w:jc w:val="center"/>
              <w:rPr>
                <w:rFonts w:hint="eastAsia" w:ascii="仿宋" w:hAnsi="仿宋" w:eastAsia="仿宋" w:cs="仿宋"/>
                <w:color w:val="auto"/>
                <w:sz w:val="22"/>
                <w:szCs w:val="28"/>
                <w:highlight w:val="none"/>
              </w:rPr>
            </w:pPr>
          </w:p>
        </w:tc>
      </w:tr>
      <w:tr w14:paraId="1ABD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0650BD91">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0E717044">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698173DA">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2F28439D">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69CBCCEE">
            <w:pPr>
              <w:spacing w:line="480" w:lineRule="exact"/>
              <w:jc w:val="center"/>
              <w:rPr>
                <w:rFonts w:hint="eastAsia" w:ascii="仿宋" w:hAnsi="仿宋" w:eastAsia="仿宋" w:cs="仿宋"/>
                <w:color w:val="auto"/>
                <w:sz w:val="22"/>
                <w:szCs w:val="28"/>
                <w:highlight w:val="none"/>
              </w:rPr>
            </w:pPr>
          </w:p>
        </w:tc>
      </w:tr>
      <w:tr w14:paraId="582E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6345D46E">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5D4E7F42">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04642C7B">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14AC2E4C">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378DD29B">
            <w:pPr>
              <w:spacing w:line="480" w:lineRule="exact"/>
              <w:jc w:val="center"/>
              <w:rPr>
                <w:rFonts w:hint="eastAsia" w:ascii="仿宋" w:hAnsi="仿宋" w:eastAsia="仿宋" w:cs="仿宋"/>
                <w:color w:val="auto"/>
                <w:sz w:val="22"/>
                <w:szCs w:val="28"/>
                <w:highlight w:val="none"/>
              </w:rPr>
            </w:pPr>
          </w:p>
        </w:tc>
      </w:tr>
      <w:tr w14:paraId="346F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3401170D">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38FAFBE0">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2B0CC7BA">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466D0AFD">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77BFE725">
            <w:pPr>
              <w:spacing w:line="480" w:lineRule="exact"/>
              <w:jc w:val="center"/>
              <w:rPr>
                <w:rFonts w:hint="eastAsia" w:ascii="仿宋" w:hAnsi="仿宋" w:eastAsia="仿宋" w:cs="仿宋"/>
                <w:color w:val="auto"/>
                <w:sz w:val="22"/>
                <w:szCs w:val="28"/>
                <w:highlight w:val="none"/>
              </w:rPr>
            </w:pPr>
          </w:p>
        </w:tc>
      </w:tr>
      <w:tr w14:paraId="4FC0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0EFD19A3">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1B6C2F0C">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03085C71">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72C6F530">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5492DC5F">
            <w:pPr>
              <w:spacing w:line="480" w:lineRule="exact"/>
              <w:jc w:val="center"/>
              <w:rPr>
                <w:rFonts w:hint="eastAsia" w:ascii="仿宋" w:hAnsi="仿宋" w:eastAsia="仿宋" w:cs="仿宋"/>
                <w:color w:val="auto"/>
                <w:sz w:val="22"/>
                <w:szCs w:val="28"/>
                <w:highlight w:val="none"/>
              </w:rPr>
            </w:pPr>
          </w:p>
        </w:tc>
      </w:tr>
      <w:tr w14:paraId="1AE3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6DEA5557">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4DA68E01">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4BB9FCD9">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54F29E23">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2919AEE4">
            <w:pPr>
              <w:spacing w:line="480" w:lineRule="exact"/>
              <w:jc w:val="center"/>
              <w:rPr>
                <w:rFonts w:hint="eastAsia" w:ascii="仿宋" w:hAnsi="仿宋" w:eastAsia="仿宋" w:cs="仿宋"/>
                <w:color w:val="auto"/>
                <w:sz w:val="22"/>
                <w:szCs w:val="28"/>
                <w:highlight w:val="none"/>
              </w:rPr>
            </w:pPr>
          </w:p>
        </w:tc>
      </w:tr>
      <w:tr w14:paraId="6557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2ECED07A">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03E1BDFB">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7D9627F3">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403EACFC">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4253B585">
            <w:pPr>
              <w:spacing w:line="480" w:lineRule="exact"/>
              <w:jc w:val="center"/>
              <w:rPr>
                <w:rFonts w:hint="eastAsia" w:ascii="仿宋" w:hAnsi="仿宋" w:eastAsia="仿宋" w:cs="仿宋"/>
                <w:color w:val="auto"/>
                <w:sz w:val="22"/>
                <w:szCs w:val="28"/>
                <w:highlight w:val="none"/>
              </w:rPr>
            </w:pPr>
          </w:p>
        </w:tc>
      </w:tr>
      <w:tr w14:paraId="5E06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484868A8">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3DFFAF0A">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0C252EB8">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04C73908">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33E148DA">
            <w:pPr>
              <w:spacing w:line="480" w:lineRule="exact"/>
              <w:jc w:val="center"/>
              <w:rPr>
                <w:rFonts w:hint="eastAsia" w:ascii="仿宋" w:hAnsi="仿宋" w:eastAsia="仿宋" w:cs="仿宋"/>
                <w:color w:val="auto"/>
                <w:sz w:val="22"/>
                <w:szCs w:val="28"/>
                <w:highlight w:val="none"/>
              </w:rPr>
            </w:pPr>
          </w:p>
        </w:tc>
      </w:tr>
      <w:tr w14:paraId="2744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10396BBB">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2FE6E789">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79351681">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6092997D">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058E7140">
            <w:pPr>
              <w:spacing w:line="480" w:lineRule="exact"/>
              <w:jc w:val="center"/>
              <w:rPr>
                <w:rFonts w:hint="eastAsia" w:ascii="仿宋" w:hAnsi="仿宋" w:eastAsia="仿宋" w:cs="仿宋"/>
                <w:color w:val="auto"/>
                <w:sz w:val="22"/>
                <w:szCs w:val="28"/>
                <w:highlight w:val="none"/>
              </w:rPr>
            </w:pPr>
          </w:p>
        </w:tc>
      </w:tr>
      <w:tr w14:paraId="42A8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07" w:type="dxa"/>
            <w:noWrap w:val="0"/>
            <w:vAlign w:val="center"/>
          </w:tcPr>
          <w:p w14:paraId="7AAC3D01">
            <w:pPr>
              <w:spacing w:line="480" w:lineRule="exact"/>
              <w:jc w:val="center"/>
              <w:rPr>
                <w:rFonts w:hint="eastAsia" w:ascii="仿宋" w:hAnsi="仿宋" w:eastAsia="仿宋" w:cs="仿宋"/>
                <w:color w:val="auto"/>
                <w:sz w:val="22"/>
                <w:szCs w:val="28"/>
                <w:highlight w:val="none"/>
              </w:rPr>
            </w:pPr>
          </w:p>
        </w:tc>
        <w:tc>
          <w:tcPr>
            <w:tcW w:w="1863" w:type="dxa"/>
            <w:noWrap w:val="0"/>
            <w:vAlign w:val="center"/>
          </w:tcPr>
          <w:p w14:paraId="59EB3B51">
            <w:pPr>
              <w:spacing w:line="480" w:lineRule="exact"/>
              <w:jc w:val="center"/>
              <w:rPr>
                <w:rFonts w:hint="eastAsia" w:ascii="仿宋" w:hAnsi="仿宋" w:eastAsia="仿宋" w:cs="仿宋"/>
                <w:color w:val="auto"/>
                <w:sz w:val="22"/>
                <w:szCs w:val="28"/>
                <w:highlight w:val="none"/>
              </w:rPr>
            </w:pPr>
          </w:p>
        </w:tc>
        <w:tc>
          <w:tcPr>
            <w:tcW w:w="1391" w:type="dxa"/>
            <w:noWrap w:val="0"/>
            <w:vAlign w:val="center"/>
          </w:tcPr>
          <w:p w14:paraId="70FEE031">
            <w:pPr>
              <w:spacing w:line="480" w:lineRule="exact"/>
              <w:jc w:val="center"/>
              <w:rPr>
                <w:rFonts w:hint="eastAsia" w:ascii="仿宋" w:hAnsi="仿宋" w:eastAsia="仿宋" w:cs="仿宋"/>
                <w:color w:val="auto"/>
                <w:sz w:val="22"/>
                <w:szCs w:val="28"/>
                <w:highlight w:val="none"/>
              </w:rPr>
            </w:pPr>
          </w:p>
        </w:tc>
        <w:tc>
          <w:tcPr>
            <w:tcW w:w="1627" w:type="dxa"/>
            <w:noWrap w:val="0"/>
            <w:vAlign w:val="center"/>
          </w:tcPr>
          <w:p w14:paraId="68BFD90A">
            <w:pPr>
              <w:spacing w:line="480" w:lineRule="exact"/>
              <w:jc w:val="center"/>
              <w:rPr>
                <w:rFonts w:hint="eastAsia" w:ascii="仿宋" w:hAnsi="仿宋" w:eastAsia="仿宋" w:cs="仿宋"/>
                <w:color w:val="auto"/>
                <w:sz w:val="22"/>
                <w:szCs w:val="28"/>
                <w:highlight w:val="none"/>
              </w:rPr>
            </w:pPr>
          </w:p>
        </w:tc>
        <w:tc>
          <w:tcPr>
            <w:tcW w:w="2522" w:type="dxa"/>
            <w:noWrap w:val="0"/>
            <w:vAlign w:val="center"/>
          </w:tcPr>
          <w:p w14:paraId="3BA0B4F6">
            <w:pPr>
              <w:spacing w:line="480" w:lineRule="exact"/>
              <w:jc w:val="center"/>
              <w:rPr>
                <w:rFonts w:hint="eastAsia" w:ascii="仿宋" w:hAnsi="仿宋" w:eastAsia="仿宋" w:cs="仿宋"/>
                <w:color w:val="auto"/>
                <w:sz w:val="22"/>
                <w:szCs w:val="28"/>
                <w:highlight w:val="none"/>
              </w:rPr>
            </w:pPr>
          </w:p>
        </w:tc>
      </w:tr>
    </w:tbl>
    <w:p w14:paraId="518D033A">
      <w:pPr>
        <w:keepNext w:val="0"/>
        <w:keepLines w:val="0"/>
        <w:pageBreakBefore w:val="0"/>
        <w:widowControl w:val="0"/>
        <w:kinsoku/>
        <w:wordWrap/>
        <w:overflowPunct/>
        <w:topLinePunct w:val="0"/>
        <w:autoSpaceDE/>
        <w:autoSpaceDN/>
        <w:bidi w:val="0"/>
        <w:adjustRightInd/>
        <w:snapToGrid/>
        <w:spacing w:line="480" w:lineRule="exact"/>
        <w:ind w:firstLine="429" w:firstLineChars="195"/>
        <w:textAlignment w:val="auto"/>
        <w:rPr>
          <w:rFonts w:hint="eastAsia" w:ascii="仿宋" w:hAnsi="仿宋" w:eastAsia="仿宋" w:cs="仿宋"/>
          <w:bCs/>
          <w:iCs/>
          <w:color w:val="auto"/>
          <w:sz w:val="22"/>
          <w:szCs w:val="28"/>
          <w:highlight w:val="none"/>
        </w:rPr>
      </w:pPr>
      <w:r>
        <w:rPr>
          <w:rFonts w:hint="eastAsia" w:ascii="仿宋" w:hAnsi="仿宋" w:eastAsia="仿宋" w:cs="仿宋"/>
          <w:bCs/>
          <w:iCs/>
          <w:color w:val="auto"/>
          <w:sz w:val="22"/>
          <w:szCs w:val="28"/>
          <w:highlight w:val="none"/>
        </w:rPr>
        <w:t>注：采购人将核实中标人承诺的售后服务机构，如果不属实，则从扣除合同总额的2％作为违约处罚。</w:t>
      </w:r>
    </w:p>
    <w:p w14:paraId="31A2C0E2">
      <w:pPr>
        <w:spacing w:before="240" w:beforeLines="100" w:line="360" w:lineRule="auto"/>
        <w:ind w:firstLine="409" w:firstLineChars="195"/>
        <w:rPr>
          <w:rFonts w:hint="eastAsia" w:ascii="仿宋" w:hAnsi="仿宋" w:eastAsia="仿宋" w:cs="仿宋"/>
          <w:bCs/>
          <w:iCs/>
          <w:color w:val="auto"/>
          <w:highlight w:val="none"/>
        </w:rPr>
      </w:pPr>
    </w:p>
    <w:p w14:paraId="39621EE0">
      <w:pPr>
        <w:spacing w:before="240" w:beforeLines="100" w:line="360" w:lineRule="auto"/>
        <w:ind w:firstLine="409" w:firstLineChars="195"/>
        <w:rPr>
          <w:rFonts w:hint="eastAsia" w:ascii="仿宋" w:hAnsi="仿宋" w:eastAsia="仿宋" w:cs="仿宋"/>
          <w:bCs/>
          <w:iCs/>
          <w:color w:val="auto"/>
          <w:highlight w:val="none"/>
        </w:rPr>
      </w:pPr>
    </w:p>
    <w:p w14:paraId="51441BE4">
      <w:pPr>
        <w:spacing w:before="240" w:beforeLines="100" w:line="360" w:lineRule="auto"/>
        <w:ind w:firstLine="409" w:firstLineChars="195"/>
        <w:rPr>
          <w:rFonts w:hint="eastAsia" w:ascii="仿宋" w:hAnsi="仿宋" w:eastAsia="仿宋" w:cs="仿宋"/>
          <w:bCs/>
          <w:iCs/>
          <w:color w:val="auto"/>
          <w:highlight w:val="none"/>
        </w:rPr>
      </w:pPr>
    </w:p>
    <w:p w14:paraId="6233753D">
      <w:pPr>
        <w:keepNext w:val="0"/>
        <w:keepLines w:val="0"/>
        <w:pageBreakBefore w:val="0"/>
        <w:widowControl w:val="0"/>
        <w:kinsoku/>
        <w:wordWrap/>
        <w:overflowPunct/>
        <w:topLinePunct w:val="0"/>
        <w:autoSpaceDE/>
        <w:autoSpaceDN/>
        <w:bidi w:val="0"/>
        <w:adjustRightInd w:val="0"/>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p>
    <w:p w14:paraId="7394F040">
      <w:pPr>
        <w:keepNext w:val="0"/>
        <w:keepLines w:val="0"/>
        <w:pageBreakBefore w:val="0"/>
        <w:widowControl w:val="0"/>
        <w:kinsoku/>
        <w:wordWrap/>
        <w:overflowPunct/>
        <w:topLinePunct w:val="0"/>
        <w:autoSpaceDE/>
        <w:autoSpaceDN/>
        <w:bidi w:val="0"/>
        <w:adjustRightInd w:val="0"/>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九、其他证明材料</w:t>
      </w:r>
    </w:p>
    <w:p w14:paraId="43D84750">
      <w:pPr>
        <w:keepNext w:val="0"/>
        <w:keepLines w:val="0"/>
        <w:pageBreakBefore w:val="0"/>
        <w:widowControl w:val="0"/>
        <w:kinsoku/>
        <w:wordWrap/>
        <w:overflowPunct/>
        <w:topLinePunct w:val="0"/>
        <w:autoSpaceDE/>
        <w:autoSpaceDN/>
        <w:bidi w:val="0"/>
        <w:spacing w:line="480" w:lineRule="exact"/>
        <w:ind w:firstLine="440" w:firstLineChars="200"/>
        <w:textAlignment w:val="auto"/>
        <w:rPr>
          <w:rFonts w:hint="eastAsia" w:ascii="仿宋" w:hAnsi="仿宋" w:eastAsia="仿宋" w:cs="仿宋"/>
          <w:b w:val="0"/>
          <w:bCs/>
          <w:color w:val="auto"/>
          <w:spacing w:val="6"/>
          <w:kern w:val="0"/>
          <w:sz w:val="22"/>
          <w:szCs w:val="22"/>
          <w:highlight w:val="none"/>
        </w:rPr>
      </w:pPr>
      <w:r>
        <w:rPr>
          <w:rFonts w:hint="eastAsia" w:ascii="仿宋" w:hAnsi="仿宋" w:eastAsia="仿宋" w:cs="仿宋"/>
          <w:color w:val="auto"/>
          <w:sz w:val="22"/>
          <w:szCs w:val="22"/>
          <w:highlight w:val="none"/>
        </w:rPr>
        <w:t>说明：</w:t>
      </w:r>
      <w:bookmarkStart w:id="240" w:name="_Toc205"/>
      <w:r>
        <w:rPr>
          <w:rFonts w:hint="eastAsia" w:ascii="仿宋" w:hAnsi="仿宋" w:eastAsia="仿宋" w:cs="仿宋"/>
          <w:b w:val="0"/>
          <w:bCs/>
          <w:color w:val="auto"/>
          <w:spacing w:val="6"/>
          <w:kern w:val="0"/>
          <w:sz w:val="22"/>
          <w:szCs w:val="22"/>
          <w:highlight w:val="none"/>
          <w:lang w:val="en-US" w:eastAsia="zh-CN"/>
        </w:rPr>
        <w:t>（1）</w:t>
      </w:r>
      <w:r>
        <w:rPr>
          <w:rFonts w:hint="eastAsia" w:ascii="仿宋" w:hAnsi="仿宋" w:eastAsia="仿宋" w:cs="仿宋"/>
          <w:b w:val="0"/>
          <w:bCs/>
          <w:color w:val="auto"/>
          <w:spacing w:val="6"/>
          <w:kern w:val="0"/>
          <w:sz w:val="22"/>
          <w:szCs w:val="22"/>
          <w:highlight w:val="none"/>
        </w:rPr>
        <w:t>投标人提供</w:t>
      </w:r>
      <w:r>
        <w:rPr>
          <w:rFonts w:hint="eastAsia" w:ascii="仿宋" w:hAnsi="仿宋" w:eastAsia="仿宋" w:cs="仿宋"/>
          <w:b w:val="0"/>
          <w:bCs/>
          <w:color w:val="auto"/>
          <w:spacing w:val="6"/>
          <w:kern w:val="0"/>
          <w:sz w:val="22"/>
          <w:szCs w:val="22"/>
          <w:highlight w:val="none"/>
          <w:lang w:val="en-US" w:eastAsia="zh-CN"/>
        </w:rPr>
        <w:t>2023年01月01日至今类似业绩</w:t>
      </w:r>
      <w:r>
        <w:rPr>
          <w:rFonts w:hint="eastAsia" w:ascii="仿宋" w:hAnsi="仿宋" w:eastAsia="仿宋" w:cs="仿宋"/>
          <w:b w:val="0"/>
          <w:bCs/>
          <w:color w:val="auto"/>
          <w:spacing w:val="6"/>
          <w:kern w:val="0"/>
          <w:sz w:val="22"/>
          <w:szCs w:val="22"/>
          <w:highlight w:val="none"/>
        </w:rPr>
        <w:t>证明材料；</w:t>
      </w:r>
      <w:bookmarkEnd w:id="240"/>
    </w:p>
    <w:p w14:paraId="5935E441">
      <w:pPr>
        <w:pStyle w:val="3"/>
        <w:pageBreakBefore w:val="0"/>
        <w:widowControl w:val="0"/>
        <w:kinsoku/>
        <w:wordWrap/>
        <w:overflowPunct/>
        <w:topLinePunct w:val="0"/>
        <w:autoSpaceDE/>
        <w:autoSpaceDN/>
        <w:bidi w:val="0"/>
        <w:snapToGrid/>
        <w:spacing w:before="0" w:after="0" w:line="480" w:lineRule="exact"/>
        <w:textAlignment w:val="auto"/>
        <w:rPr>
          <w:rFonts w:hint="eastAsia" w:ascii="仿宋" w:hAnsi="仿宋" w:eastAsia="仿宋" w:cs="仿宋"/>
          <w:b w:val="0"/>
          <w:bCs/>
          <w:color w:val="auto"/>
          <w:sz w:val="22"/>
          <w:szCs w:val="22"/>
          <w:highlight w:val="none"/>
        </w:rPr>
      </w:pPr>
      <w:bookmarkStart w:id="241" w:name="_Toc16705"/>
      <w:r>
        <w:rPr>
          <w:rFonts w:hint="eastAsia" w:ascii="仿宋" w:hAnsi="仿宋" w:eastAsia="仿宋" w:cs="仿宋"/>
          <w:b w:val="0"/>
          <w:bCs/>
          <w:color w:val="auto"/>
          <w:sz w:val="22"/>
          <w:szCs w:val="22"/>
          <w:highlight w:val="none"/>
        </w:rPr>
        <w:t xml:space="preserve">投标人名称：                                                  </w:t>
      </w:r>
      <w:r>
        <w:rPr>
          <w:rFonts w:hint="eastAsia" w:ascii="仿宋" w:hAnsi="仿宋" w:eastAsia="仿宋" w:cs="仿宋"/>
          <w:b w:val="0"/>
          <w:bCs/>
          <w:color w:val="auto"/>
          <w:sz w:val="22"/>
          <w:szCs w:val="22"/>
          <w:highlight w:val="none"/>
          <w:lang w:val="en-US" w:eastAsia="zh-CN"/>
        </w:rPr>
        <w:t xml:space="preserve">            </w:t>
      </w:r>
      <w:r>
        <w:rPr>
          <w:rFonts w:hint="eastAsia" w:ascii="仿宋" w:hAnsi="仿宋" w:eastAsia="仿宋" w:cs="仿宋"/>
          <w:b w:val="0"/>
          <w:bCs/>
          <w:color w:val="auto"/>
          <w:sz w:val="22"/>
          <w:szCs w:val="22"/>
          <w:highlight w:val="none"/>
        </w:rPr>
        <w:t>单位：万元</w:t>
      </w:r>
      <w:bookmarkEnd w:id="241"/>
    </w:p>
    <w:tbl>
      <w:tblPr>
        <w:tblStyle w:val="23"/>
        <w:tblW w:w="9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728"/>
        <w:gridCol w:w="1596"/>
        <w:gridCol w:w="1288"/>
        <w:gridCol w:w="1259"/>
        <w:gridCol w:w="1701"/>
        <w:gridCol w:w="904"/>
      </w:tblGrid>
      <w:tr w14:paraId="01C6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272" w:type="dxa"/>
            <w:noWrap w:val="0"/>
            <w:vAlign w:val="center"/>
          </w:tcPr>
          <w:p w14:paraId="74010E38">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年份</w:t>
            </w:r>
          </w:p>
        </w:tc>
        <w:tc>
          <w:tcPr>
            <w:tcW w:w="1728" w:type="dxa"/>
            <w:noWrap w:val="0"/>
            <w:vAlign w:val="center"/>
          </w:tcPr>
          <w:p w14:paraId="2F503F75">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用户名称</w:t>
            </w:r>
          </w:p>
        </w:tc>
        <w:tc>
          <w:tcPr>
            <w:tcW w:w="1596" w:type="dxa"/>
            <w:noWrap w:val="0"/>
            <w:vAlign w:val="center"/>
          </w:tcPr>
          <w:p w14:paraId="523C73CD">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项目名称</w:t>
            </w:r>
          </w:p>
        </w:tc>
        <w:tc>
          <w:tcPr>
            <w:tcW w:w="1288" w:type="dxa"/>
            <w:noWrap w:val="0"/>
            <w:vAlign w:val="center"/>
          </w:tcPr>
          <w:p w14:paraId="47AD75D4">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合同金额</w:t>
            </w:r>
          </w:p>
        </w:tc>
        <w:tc>
          <w:tcPr>
            <w:tcW w:w="1259" w:type="dxa"/>
            <w:noWrap w:val="0"/>
            <w:vAlign w:val="center"/>
          </w:tcPr>
          <w:p w14:paraId="0E83C711">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完成时间</w:t>
            </w:r>
          </w:p>
        </w:tc>
        <w:tc>
          <w:tcPr>
            <w:tcW w:w="1701" w:type="dxa"/>
            <w:noWrap w:val="0"/>
            <w:vAlign w:val="center"/>
          </w:tcPr>
          <w:p w14:paraId="658FE0A6">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是否通过验收</w:t>
            </w:r>
          </w:p>
        </w:tc>
        <w:tc>
          <w:tcPr>
            <w:tcW w:w="904" w:type="dxa"/>
            <w:noWrap w:val="0"/>
            <w:vAlign w:val="center"/>
          </w:tcPr>
          <w:p w14:paraId="3AE7E7FC">
            <w:pPr>
              <w:pStyle w:val="7"/>
              <w:pageBreakBefore w:val="0"/>
              <w:widowControl w:val="0"/>
              <w:kinsoku/>
              <w:wordWrap/>
              <w:overflowPunct/>
              <w:topLinePunct w:val="0"/>
              <w:bidi w:val="0"/>
              <w:snapToGrid/>
              <w:spacing w:line="480" w:lineRule="exact"/>
              <w:ind w:firstLine="0"/>
              <w:jc w:val="center"/>
              <w:textAlignment w:val="auto"/>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备注</w:t>
            </w:r>
          </w:p>
        </w:tc>
      </w:tr>
      <w:tr w14:paraId="35B4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33D9733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1A67C63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127CA1D6">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14088117">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62E7E239">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16E5075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74A0E13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130B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2140E96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44975B7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063BDD7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235426D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1B3D0036">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67D557D4">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410AF83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7C82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72" w:type="dxa"/>
            <w:noWrap w:val="0"/>
            <w:vAlign w:val="top"/>
          </w:tcPr>
          <w:p w14:paraId="55D549D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598FB274">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52CE2FF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4E5A594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12C13F0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771B2A84">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208C8F1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28F8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5B0ECAA9">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4296413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6D282D17">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00E37EB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50BE46F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28E081B6">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7550BE0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6CFF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20BD2046">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00883EC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764CAD4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6CAB8AEF">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041D6C49">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6495C36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379CC64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4388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1C883B0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55AAE75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5E78C280">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14250FC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5F1871A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0893A399">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40BD8A1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5718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72" w:type="dxa"/>
            <w:noWrap w:val="0"/>
            <w:vAlign w:val="top"/>
          </w:tcPr>
          <w:p w14:paraId="618A50D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65533BD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5B9A92C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3180F66F">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24E429C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2FBB2FF8">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244FA09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50A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6E58201F">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18614046">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70178FBF">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4D684590">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7F2E23C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289CD60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51311BB0">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3306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099E4A3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731D73D4">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1EA9A4D4">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605756B9">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6FC3D5C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375DE7A7">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124F346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5691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786A57B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13C1796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151E886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36BB17B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3249DC8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559CA52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15DB807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4225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314F18E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25D593C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6D81C30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1D300B9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1B7CE26F">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5916E22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65E2341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388C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75AA2E13">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3C739D9B">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48983B7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7714F817">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64ED87A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0798AE01">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605C2375">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r w14:paraId="11CC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72" w:type="dxa"/>
            <w:noWrap w:val="0"/>
            <w:vAlign w:val="top"/>
          </w:tcPr>
          <w:p w14:paraId="678F3EDA">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28" w:type="dxa"/>
            <w:noWrap w:val="0"/>
            <w:vAlign w:val="top"/>
          </w:tcPr>
          <w:p w14:paraId="1B9BA140">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596" w:type="dxa"/>
            <w:noWrap w:val="0"/>
            <w:vAlign w:val="top"/>
          </w:tcPr>
          <w:p w14:paraId="200A14D7">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88" w:type="dxa"/>
            <w:noWrap w:val="0"/>
            <w:vAlign w:val="top"/>
          </w:tcPr>
          <w:p w14:paraId="0D405DAE">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259" w:type="dxa"/>
            <w:noWrap w:val="0"/>
            <w:vAlign w:val="top"/>
          </w:tcPr>
          <w:p w14:paraId="13654BAD">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1701" w:type="dxa"/>
            <w:noWrap w:val="0"/>
            <w:vAlign w:val="top"/>
          </w:tcPr>
          <w:p w14:paraId="53A277EC">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c>
          <w:tcPr>
            <w:tcW w:w="904" w:type="dxa"/>
            <w:noWrap w:val="0"/>
            <w:vAlign w:val="top"/>
          </w:tcPr>
          <w:p w14:paraId="2547E228">
            <w:pPr>
              <w:pStyle w:val="7"/>
              <w:pageBreakBefore w:val="0"/>
              <w:widowControl w:val="0"/>
              <w:kinsoku/>
              <w:wordWrap/>
              <w:overflowPunct/>
              <w:topLinePunct w:val="0"/>
              <w:bidi w:val="0"/>
              <w:snapToGrid/>
              <w:spacing w:line="480" w:lineRule="exact"/>
              <w:ind w:firstLine="0"/>
              <w:textAlignment w:val="auto"/>
              <w:rPr>
                <w:rFonts w:hint="eastAsia" w:ascii="仿宋" w:hAnsi="仿宋" w:eastAsia="仿宋" w:cs="仿宋"/>
                <w:color w:val="auto"/>
                <w:sz w:val="22"/>
                <w:szCs w:val="22"/>
                <w:highlight w:val="none"/>
              </w:rPr>
            </w:pPr>
          </w:p>
        </w:tc>
      </w:tr>
    </w:tbl>
    <w:p w14:paraId="3791F2CD">
      <w:pPr>
        <w:keepNext w:val="0"/>
        <w:keepLines w:val="0"/>
        <w:pageBreakBefore w:val="0"/>
        <w:widowControl w:val="0"/>
        <w:kinsoku/>
        <w:wordWrap/>
        <w:overflowPunct/>
        <w:topLinePunct w:val="0"/>
        <w:autoSpaceDE/>
        <w:autoSpaceDN/>
        <w:bidi w:val="0"/>
        <w:adjustRightInd w:val="0"/>
        <w:spacing w:line="480" w:lineRule="exact"/>
        <w:jc w:val="left"/>
        <w:textAlignment w:val="auto"/>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说明：1</w:t>
      </w:r>
      <w:r>
        <w:rPr>
          <w:rFonts w:hint="eastAsia" w:ascii="仿宋" w:hAnsi="仿宋" w:eastAsia="仿宋" w:cs="仿宋"/>
          <w:color w:val="auto"/>
          <w:kern w:val="0"/>
          <w:sz w:val="22"/>
          <w:szCs w:val="22"/>
          <w:highlight w:val="none"/>
          <w:lang w:val="zh-CN" w:eastAsia="zh-CN"/>
        </w:rPr>
        <w:t>.提供</w:t>
      </w:r>
      <w:r>
        <w:rPr>
          <w:rFonts w:hint="eastAsia" w:ascii="仿宋" w:hAnsi="仿宋" w:eastAsia="仿宋" w:cs="仿宋"/>
          <w:color w:val="auto"/>
          <w:kern w:val="0"/>
          <w:sz w:val="22"/>
          <w:szCs w:val="22"/>
          <w:highlight w:val="none"/>
          <w:lang w:val="en-US" w:eastAsia="zh-CN"/>
        </w:rPr>
        <w:t>2023年01月01日至今</w:t>
      </w:r>
      <w:r>
        <w:rPr>
          <w:rFonts w:hint="eastAsia" w:ascii="仿宋" w:hAnsi="仿宋" w:eastAsia="仿宋" w:cs="仿宋"/>
          <w:color w:val="auto"/>
          <w:kern w:val="0"/>
          <w:sz w:val="22"/>
          <w:szCs w:val="22"/>
          <w:highlight w:val="none"/>
          <w:lang w:val="zh-CN" w:eastAsia="zh-CN"/>
        </w:rPr>
        <w:t>以来的类似业绩证明材料。</w:t>
      </w:r>
      <w:r>
        <w:rPr>
          <w:rFonts w:hint="eastAsia" w:ascii="仿宋" w:hAnsi="仿宋" w:eastAsia="仿宋" w:cs="仿宋"/>
          <w:color w:val="auto"/>
          <w:kern w:val="0"/>
          <w:sz w:val="22"/>
          <w:szCs w:val="22"/>
          <w:highlight w:val="none"/>
          <w:lang w:val="en-US" w:eastAsia="zh-CN"/>
        </w:rPr>
        <w:t>仅限于供应商自己实施的，以上业绩需提供有关书面证明材料</w:t>
      </w:r>
      <w:bookmarkStart w:id="242" w:name="_Toc10015_WPSOffice_Level2"/>
      <w:r>
        <w:rPr>
          <w:rFonts w:hint="eastAsia" w:ascii="仿宋" w:hAnsi="仿宋" w:eastAsia="仿宋" w:cs="仿宋"/>
          <w:color w:val="auto"/>
          <w:kern w:val="0"/>
          <w:sz w:val="22"/>
          <w:szCs w:val="22"/>
          <w:highlight w:val="none"/>
          <w:lang w:val="en-US" w:eastAsia="zh-CN"/>
        </w:rPr>
        <w:t>。</w:t>
      </w:r>
      <w:bookmarkEnd w:id="242"/>
      <w:r>
        <w:rPr>
          <w:rFonts w:hint="eastAsia" w:ascii="仿宋" w:hAnsi="仿宋" w:eastAsia="仿宋" w:cs="仿宋"/>
          <w:color w:val="auto"/>
          <w:kern w:val="0"/>
          <w:sz w:val="22"/>
          <w:szCs w:val="22"/>
          <w:highlight w:val="none"/>
          <w:lang w:val="en-US" w:eastAsia="zh-CN"/>
        </w:rPr>
        <w:t>2</w:t>
      </w:r>
      <w:r>
        <w:rPr>
          <w:rFonts w:hint="eastAsia" w:ascii="仿宋" w:hAnsi="仿宋" w:eastAsia="仿宋" w:cs="仿宋"/>
          <w:color w:val="auto"/>
          <w:kern w:val="0"/>
          <w:sz w:val="22"/>
          <w:szCs w:val="22"/>
          <w:highlight w:val="none"/>
          <w:lang w:val="zh-CN" w:eastAsia="zh-CN"/>
        </w:rPr>
        <w:t>.投标人未按上述要求提供、填写的，评标时不予加分。</w:t>
      </w:r>
    </w:p>
    <w:p w14:paraId="7C916618">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 标 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（盖单位章）</w:t>
      </w:r>
    </w:p>
    <w:p w14:paraId="3CE308D3">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color w:val="auto"/>
          <w:sz w:val="22"/>
          <w:szCs w:val="22"/>
          <w:highlight w:val="none"/>
        </w:rPr>
        <w:t>法定代表人或委托代理人：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r>
        <w:rPr>
          <w:rFonts w:hint="eastAsia" w:ascii="仿宋" w:hAnsi="仿宋" w:eastAsia="仿宋" w:cs="仿宋"/>
          <w:bCs/>
          <w:color w:val="auto"/>
          <w:sz w:val="22"/>
          <w:szCs w:val="22"/>
          <w:highlight w:val="none"/>
        </w:rPr>
        <w:t xml:space="preserve">                </w:t>
      </w:r>
    </w:p>
    <w:p w14:paraId="41FE4477">
      <w:pPr>
        <w:keepNext w:val="0"/>
        <w:keepLines w:val="0"/>
        <w:pageBreakBefore w:val="0"/>
        <w:widowControl w:val="0"/>
        <w:kinsoku/>
        <w:wordWrap/>
        <w:overflowPunct/>
        <w:topLinePunct w:val="0"/>
        <w:autoSpaceDE/>
        <w:autoSpaceDN/>
        <w:bidi w:val="0"/>
        <w:adjustRightInd w:val="0"/>
        <w:spacing w:line="480" w:lineRule="exact"/>
        <w:ind w:right="0"/>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日期: 20</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年</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月</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日</w:t>
      </w:r>
    </w:p>
    <w:p w14:paraId="4B59FA89">
      <w:pPr>
        <w:keepNext w:val="0"/>
        <w:keepLines w:val="0"/>
        <w:pageBreakBefore w:val="0"/>
        <w:widowControl w:val="0"/>
        <w:tabs>
          <w:tab w:val="left" w:pos="3600"/>
        </w:tabs>
        <w:kinsoku/>
        <w:wordWrap/>
        <w:overflowPunct/>
        <w:topLinePunct w:val="0"/>
        <w:autoSpaceDE/>
        <w:autoSpaceDN/>
        <w:bidi w:val="0"/>
        <w:adjustRightInd w:val="0"/>
        <w:snapToGrid w:val="0"/>
        <w:spacing w:line="480" w:lineRule="exact"/>
        <w:ind w:firstLine="464" w:firstLineChars="200"/>
        <w:textAlignment w:val="auto"/>
        <w:rPr>
          <w:rFonts w:hint="eastAsia" w:ascii="仿宋" w:hAnsi="仿宋" w:eastAsia="仿宋" w:cs="仿宋"/>
          <w:bCs/>
          <w:color w:val="auto"/>
          <w:spacing w:val="6"/>
          <w:kern w:val="0"/>
          <w:sz w:val="22"/>
          <w:szCs w:val="22"/>
          <w:highlight w:val="none"/>
        </w:rPr>
      </w:pPr>
      <w:r>
        <w:rPr>
          <w:rFonts w:hint="eastAsia" w:ascii="仿宋" w:hAnsi="仿宋" w:eastAsia="仿宋" w:cs="仿宋"/>
          <w:bCs/>
          <w:color w:val="auto"/>
          <w:spacing w:val="6"/>
          <w:kern w:val="0"/>
          <w:sz w:val="22"/>
          <w:szCs w:val="22"/>
          <w:highlight w:val="none"/>
          <w:lang w:val="en-US" w:eastAsia="zh-CN"/>
        </w:rPr>
        <w:t>（2）</w:t>
      </w:r>
      <w:r>
        <w:rPr>
          <w:rFonts w:hint="eastAsia" w:ascii="仿宋" w:hAnsi="仿宋" w:eastAsia="仿宋" w:cs="仿宋"/>
          <w:bCs/>
          <w:color w:val="auto"/>
          <w:spacing w:val="6"/>
          <w:kern w:val="0"/>
          <w:sz w:val="22"/>
          <w:szCs w:val="22"/>
          <w:highlight w:val="none"/>
        </w:rPr>
        <w:t>其他条件证明材料，非投标人必备证明材料，仅作为评审的因素。</w:t>
      </w:r>
    </w:p>
    <w:p w14:paraId="6A3398AA">
      <w:pPr>
        <w:pageBreakBefore w:val="0"/>
        <w:widowControl w:val="0"/>
        <w:kinsoku/>
        <w:wordWrap/>
        <w:overflowPunct/>
        <w:topLinePunct w:val="0"/>
        <w:bidi w:val="0"/>
        <w:adjustRightInd w:val="0"/>
        <w:snapToGrid/>
        <w:spacing w:line="480" w:lineRule="exact"/>
        <w:jc w:val="center"/>
        <w:textAlignment w:val="auto"/>
        <w:rPr>
          <w:rFonts w:hint="eastAsia" w:ascii="仿宋" w:hAnsi="仿宋" w:eastAsia="仿宋" w:cs="仿宋"/>
          <w:b/>
          <w:bCs/>
          <w:color w:val="auto"/>
          <w:sz w:val="22"/>
          <w:szCs w:val="22"/>
          <w:highlight w:val="none"/>
        </w:rPr>
      </w:pPr>
    </w:p>
    <w:p w14:paraId="2E6BAA7B">
      <w:pPr>
        <w:adjustRightInd w:val="0"/>
        <w:spacing w:after="480" w:afterLines="200" w:line="360" w:lineRule="auto"/>
        <w:jc w:val="center"/>
        <w:rPr>
          <w:rFonts w:hint="eastAsia" w:ascii="仿宋" w:hAnsi="仿宋" w:eastAsia="仿宋" w:cs="仿宋"/>
          <w:b/>
          <w:bCs/>
          <w:color w:val="auto"/>
          <w:sz w:val="36"/>
          <w:szCs w:val="36"/>
          <w:highlight w:val="none"/>
        </w:rPr>
      </w:pPr>
    </w:p>
    <w:p w14:paraId="624EC0F4">
      <w:pPr>
        <w:pStyle w:val="3"/>
        <w:pageBreakBefore w:val="0"/>
        <w:widowControl w:val="0"/>
        <w:kinsoku/>
        <w:wordWrap/>
        <w:overflowPunct/>
        <w:topLinePunct w:val="0"/>
        <w:autoSpaceDE/>
        <w:autoSpaceDN/>
        <w:bidi w:val="0"/>
        <w:spacing w:before="0" w:after="0" w:line="480" w:lineRule="exact"/>
        <w:ind w:right="0"/>
        <w:jc w:val="center"/>
        <w:textAlignment w:val="auto"/>
        <w:rPr>
          <w:rFonts w:hint="eastAsia" w:ascii="仿宋" w:hAnsi="仿宋" w:eastAsia="仿宋" w:cs="仿宋"/>
          <w:b/>
          <w:color w:val="auto"/>
          <w:kern w:val="2"/>
          <w:sz w:val="32"/>
          <w:szCs w:val="32"/>
          <w:highlight w:val="none"/>
          <w:lang w:val="en-US" w:eastAsia="zh-CN" w:bidi="ar-SA"/>
        </w:rPr>
      </w:pPr>
      <w:bookmarkStart w:id="243" w:name="_Toc5934"/>
      <w:r>
        <w:rPr>
          <w:rFonts w:hint="eastAsia" w:ascii="仿宋" w:hAnsi="仿宋" w:eastAsia="仿宋" w:cs="仿宋"/>
          <w:b/>
          <w:color w:val="auto"/>
          <w:kern w:val="2"/>
          <w:sz w:val="32"/>
          <w:szCs w:val="32"/>
          <w:highlight w:val="none"/>
          <w:lang w:val="en-US" w:eastAsia="zh-CN" w:bidi="ar-SA"/>
        </w:rPr>
        <w:t>十、</w:t>
      </w:r>
      <w:bookmarkEnd w:id="243"/>
      <w:r>
        <w:rPr>
          <w:rFonts w:hint="eastAsia" w:ascii="仿宋" w:hAnsi="仿宋" w:eastAsia="仿宋" w:cs="仿宋"/>
          <w:b/>
          <w:color w:val="auto"/>
          <w:kern w:val="2"/>
          <w:sz w:val="32"/>
          <w:szCs w:val="32"/>
          <w:highlight w:val="none"/>
          <w:lang w:val="en-US" w:eastAsia="zh-CN" w:bidi="ar-SA"/>
        </w:rPr>
        <w:t>技术规格偏离表</w:t>
      </w:r>
    </w:p>
    <w:p w14:paraId="1C3FF6CD">
      <w:pPr>
        <w:pStyle w:val="7"/>
        <w:pageBreakBefore w:val="0"/>
        <w:widowControl w:val="0"/>
        <w:kinsoku/>
        <w:wordWrap/>
        <w:overflowPunct/>
        <w:topLinePunct w:val="0"/>
        <w:autoSpaceDE/>
        <w:autoSpaceDN/>
        <w:bidi w:val="0"/>
        <w:spacing w:line="480" w:lineRule="exact"/>
        <w:ind w:right="0" w:firstLine="0"/>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xml:space="preserve">投标人名称：                                  </w:t>
      </w:r>
      <w:r>
        <w:rPr>
          <w:rFonts w:hint="eastAsia" w:ascii="仿宋" w:hAnsi="仿宋" w:eastAsia="仿宋" w:cs="仿宋"/>
          <w:color w:val="auto"/>
          <w:sz w:val="22"/>
          <w:szCs w:val="21"/>
          <w:highlight w:val="none"/>
          <w:lang w:val="en-US" w:eastAsia="zh-CN"/>
        </w:rPr>
        <w:t xml:space="preserve">                               </w:t>
      </w:r>
      <w:r>
        <w:rPr>
          <w:rFonts w:hint="eastAsia" w:ascii="仿宋" w:hAnsi="仿宋" w:eastAsia="仿宋" w:cs="仿宋"/>
          <w:color w:val="auto"/>
          <w:sz w:val="22"/>
          <w:szCs w:val="21"/>
          <w:highlight w:val="none"/>
        </w:rPr>
        <w:t>项目编号：</w:t>
      </w:r>
    </w:p>
    <w:tbl>
      <w:tblPr>
        <w:tblStyle w:val="23"/>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3043"/>
        <w:gridCol w:w="2544"/>
        <w:gridCol w:w="995"/>
        <w:gridCol w:w="1270"/>
        <w:gridCol w:w="813"/>
      </w:tblGrid>
      <w:tr w14:paraId="07CC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152" w:type="dxa"/>
            <w:noWrap w:val="0"/>
            <w:vAlign w:val="center"/>
          </w:tcPr>
          <w:p w14:paraId="02E66ECE">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序号</w:t>
            </w:r>
          </w:p>
        </w:tc>
        <w:tc>
          <w:tcPr>
            <w:tcW w:w="3043" w:type="dxa"/>
            <w:noWrap w:val="0"/>
            <w:vAlign w:val="center"/>
          </w:tcPr>
          <w:p w14:paraId="6835C47A">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color w:val="auto"/>
                <w:sz w:val="22"/>
                <w:szCs w:val="22"/>
                <w:highlight w:val="none"/>
                <w:lang w:val="en-US" w:eastAsia="zh-CN"/>
              </w:rPr>
              <w:t>招标文件</w:t>
            </w:r>
            <w:r>
              <w:rPr>
                <w:rFonts w:hint="eastAsia" w:ascii="仿宋" w:hAnsi="仿宋" w:eastAsia="仿宋" w:cs="仿宋"/>
                <w:b/>
                <w:color w:val="auto"/>
                <w:sz w:val="22"/>
                <w:szCs w:val="22"/>
                <w:highlight w:val="none"/>
              </w:rPr>
              <w:t>采购规格及技术需求</w:t>
            </w:r>
          </w:p>
        </w:tc>
        <w:tc>
          <w:tcPr>
            <w:tcW w:w="2544" w:type="dxa"/>
            <w:noWrap w:val="0"/>
            <w:vAlign w:val="center"/>
          </w:tcPr>
          <w:p w14:paraId="1766D4EA">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color w:val="auto"/>
                <w:sz w:val="22"/>
                <w:szCs w:val="22"/>
                <w:highlight w:val="none"/>
              </w:rPr>
              <w:t>投标文件规格及技术参数</w:t>
            </w:r>
          </w:p>
        </w:tc>
        <w:tc>
          <w:tcPr>
            <w:tcW w:w="995" w:type="dxa"/>
            <w:noWrap w:val="0"/>
            <w:vAlign w:val="center"/>
          </w:tcPr>
          <w:p w14:paraId="6424036D">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偏离</w:t>
            </w:r>
          </w:p>
        </w:tc>
        <w:tc>
          <w:tcPr>
            <w:tcW w:w="1270" w:type="dxa"/>
            <w:noWrap w:val="0"/>
            <w:vAlign w:val="center"/>
          </w:tcPr>
          <w:p w14:paraId="0C6EC02D">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偏离及其影响</w:t>
            </w:r>
          </w:p>
        </w:tc>
        <w:tc>
          <w:tcPr>
            <w:tcW w:w="813" w:type="dxa"/>
            <w:noWrap w:val="0"/>
            <w:vAlign w:val="center"/>
          </w:tcPr>
          <w:p w14:paraId="11B8455B">
            <w:pPr>
              <w:pageBreakBefore w:val="0"/>
              <w:widowControl w:val="0"/>
              <w:kinsoku/>
              <w:wordWrap/>
              <w:overflowPunct/>
              <w:topLinePunct w:val="0"/>
              <w:autoSpaceDE/>
              <w:autoSpaceDN/>
              <w:bidi w:val="0"/>
              <w:adjustRightInd w:val="0"/>
              <w:snapToGrid w:val="0"/>
              <w:spacing w:line="480" w:lineRule="exact"/>
              <w:ind w:right="0"/>
              <w:jc w:val="center"/>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lang w:val="en-US" w:eastAsia="zh-CN"/>
              </w:rPr>
              <w:t>备注</w:t>
            </w:r>
          </w:p>
        </w:tc>
      </w:tr>
      <w:tr w14:paraId="57BE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358C24A3">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1A59FBCC">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0896B0BD">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0174B60F">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0111B0B5">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219CAD8E">
            <w:pPr>
              <w:adjustRightInd w:val="0"/>
              <w:snapToGrid w:val="0"/>
              <w:spacing w:line="360" w:lineRule="auto"/>
              <w:ind w:right="24"/>
              <w:rPr>
                <w:rFonts w:hint="eastAsia" w:ascii="仿宋" w:hAnsi="仿宋" w:eastAsia="仿宋" w:cs="仿宋"/>
                <w:bCs/>
                <w:color w:val="auto"/>
                <w:sz w:val="28"/>
                <w:szCs w:val="28"/>
                <w:highlight w:val="none"/>
              </w:rPr>
            </w:pPr>
          </w:p>
        </w:tc>
      </w:tr>
      <w:tr w14:paraId="7D67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364883CF">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6E3DCB94">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23121128">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26694E18">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14370C4B">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779AA73E">
            <w:pPr>
              <w:adjustRightInd w:val="0"/>
              <w:snapToGrid w:val="0"/>
              <w:spacing w:line="360" w:lineRule="auto"/>
              <w:ind w:right="24"/>
              <w:rPr>
                <w:rFonts w:hint="eastAsia" w:ascii="仿宋" w:hAnsi="仿宋" w:eastAsia="仿宋" w:cs="仿宋"/>
                <w:bCs/>
                <w:color w:val="auto"/>
                <w:sz w:val="28"/>
                <w:szCs w:val="28"/>
                <w:highlight w:val="none"/>
              </w:rPr>
            </w:pPr>
          </w:p>
        </w:tc>
      </w:tr>
      <w:tr w14:paraId="0CD4A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4CD7CEAF">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5B8667C0">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3EAA53E4">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7A159F85">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564DF4F8">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7F55D377">
            <w:pPr>
              <w:adjustRightInd w:val="0"/>
              <w:snapToGrid w:val="0"/>
              <w:spacing w:line="360" w:lineRule="auto"/>
              <w:ind w:right="24"/>
              <w:rPr>
                <w:rFonts w:hint="eastAsia" w:ascii="仿宋" w:hAnsi="仿宋" w:eastAsia="仿宋" w:cs="仿宋"/>
                <w:bCs/>
                <w:color w:val="auto"/>
                <w:sz w:val="28"/>
                <w:szCs w:val="28"/>
                <w:highlight w:val="none"/>
              </w:rPr>
            </w:pPr>
          </w:p>
        </w:tc>
      </w:tr>
      <w:tr w14:paraId="79B5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7140FF2">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7BA85B3F">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3BD0E293">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3A35BE90">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3C5C200C">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2B40C8B1">
            <w:pPr>
              <w:adjustRightInd w:val="0"/>
              <w:snapToGrid w:val="0"/>
              <w:spacing w:line="360" w:lineRule="auto"/>
              <w:ind w:right="24"/>
              <w:rPr>
                <w:rFonts w:hint="eastAsia" w:ascii="仿宋" w:hAnsi="仿宋" w:eastAsia="仿宋" w:cs="仿宋"/>
                <w:bCs/>
                <w:color w:val="auto"/>
                <w:sz w:val="28"/>
                <w:szCs w:val="28"/>
                <w:highlight w:val="none"/>
              </w:rPr>
            </w:pPr>
          </w:p>
        </w:tc>
      </w:tr>
      <w:tr w14:paraId="6CA9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0BE9CB4D">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34D40979">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31726CA9">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1D17F3D0">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55033133">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743C4EE6">
            <w:pPr>
              <w:adjustRightInd w:val="0"/>
              <w:snapToGrid w:val="0"/>
              <w:spacing w:line="360" w:lineRule="auto"/>
              <w:ind w:right="24"/>
              <w:rPr>
                <w:rFonts w:hint="eastAsia" w:ascii="仿宋" w:hAnsi="仿宋" w:eastAsia="仿宋" w:cs="仿宋"/>
                <w:bCs/>
                <w:color w:val="auto"/>
                <w:sz w:val="28"/>
                <w:szCs w:val="28"/>
                <w:highlight w:val="none"/>
              </w:rPr>
            </w:pPr>
          </w:p>
        </w:tc>
      </w:tr>
      <w:tr w14:paraId="72A9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44FFC63A">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6C005DE0">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242BFA51">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205D5DD3">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385406E2">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692C589B">
            <w:pPr>
              <w:adjustRightInd w:val="0"/>
              <w:snapToGrid w:val="0"/>
              <w:spacing w:line="360" w:lineRule="auto"/>
              <w:ind w:right="24"/>
              <w:rPr>
                <w:rFonts w:hint="eastAsia" w:ascii="仿宋" w:hAnsi="仿宋" w:eastAsia="仿宋" w:cs="仿宋"/>
                <w:bCs/>
                <w:color w:val="auto"/>
                <w:sz w:val="28"/>
                <w:szCs w:val="28"/>
                <w:highlight w:val="none"/>
              </w:rPr>
            </w:pPr>
          </w:p>
        </w:tc>
      </w:tr>
      <w:tr w14:paraId="2BBB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3EB7B862">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5E52FD85">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7E87ABAE">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6CF12F1A">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1D6C50B2">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4D96DA98">
            <w:pPr>
              <w:adjustRightInd w:val="0"/>
              <w:snapToGrid w:val="0"/>
              <w:spacing w:line="360" w:lineRule="auto"/>
              <w:ind w:right="24"/>
              <w:rPr>
                <w:rFonts w:hint="eastAsia" w:ascii="仿宋" w:hAnsi="仿宋" w:eastAsia="仿宋" w:cs="仿宋"/>
                <w:bCs/>
                <w:color w:val="auto"/>
                <w:sz w:val="28"/>
                <w:szCs w:val="28"/>
                <w:highlight w:val="none"/>
              </w:rPr>
            </w:pPr>
          </w:p>
        </w:tc>
      </w:tr>
      <w:tr w14:paraId="1A9B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20A6D473">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21771C78">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4B60744F">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13180AF4">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7D0BD61C">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69CCC510">
            <w:pPr>
              <w:adjustRightInd w:val="0"/>
              <w:snapToGrid w:val="0"/>
              <w:spacing w:line="360" w:lineRule="auto"/>
              <w:ind w:right="24"/>
              <w:rPr>
                <w:rFonts w:hint="eastAsia" w:ascii="仿宋" w:hAnsi="仿宋" w:eastAsia="仿宋" w:cs="仿宋"/>
                <w:bCs/>
                <w:color w:val="auto"/>
                <w:sz w:val="28"/>
                <w:szCs w:val="28"/>
                <w:highlight w:val="none"/>
              </w:rPr>
            </w:pPr>
          </w:p>
        </w:tc>
      </w:tr>
      <w:tr w14:paraId="781F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6D05F000">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7CCBBD95">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1D162846">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30517720">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18FCC5CE">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7A0A32DB">
            <w:pPr>
              <w:adjustRightInd w:val="0"/>
              <w:snapToGrid w:val="0"/>
              <w:spacing w:line="360" w:lineRule="auto"/>
              <w:ind w:right="24"/>
              <w:rPr>
                <w:rFonts w:hint="eastAsia" w:ascii="仿宋" w:hAnsi="仿宋" w:eastAsia="仿宋" w:cs="仿宋"/>
                <w:bCs/>
                <w:color w:val="auto"/>
                <w:sz w:val="28"/>
                <w:szCs w:val="28"/>
                <w:highlight w:val="none"/>
              </w:rPr>
            </w:pPr>
          </w:p>
        </w:tc>
      </w:tr>
      <w:tr w14:paraId="3211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04A14240">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5E82D7DB">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4E96CEB2">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563155E5">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3CADF0C8">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5717C4BA">
            <w:pPr>
              <w:adjustRightInd w:val="0"/>
              <w:snapToGrid w:val="0"/>
              <w:spacing w:line="360" w:lineRule="auto"/>
              <w:ind w:right="24"/>
              <w:rPr>
                <w:rFonts w:hint="eastAsia" w:ascii="仿宋" w:hAnsi="仿宋" w:eastAsia="仿宋" w:cs="仿宋"/>
                <w:bCs/>
                <w:color w:val="auto"/>
                <w:sz w:val="28"/>
                <w:szCs w:val="28"/>
                <w:highlight w:val="none"/>
              </w:rPr>
            </w:pPr>
          </w:p>
        </w:tc>
      </w:tr>
      <w:tr w14:paraId="7ED8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719B3AB2">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65E7733D">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0E3CD31E">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697FDDAE">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430BB65A">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03079EEC">
            <w:pPr>
              <w:adjustRightInd w:val="0"/>
              <w:snapToGrid w:val="0"/>
              <w:spacing w:line="360" w:lineRule="auto"/>
              <w:ind w:right="24"/>
              <w:rPr>
                <w:rFonts w:hint="eastAsia" w:ascii="仿宋" w:hAnsi="仿宋" w:eastAsia="仿宋" w:cs="仿宋"/>
                <w:bCs/>
                <w:color w:val="auto"/>
                <w:sz w:val="28"/>
                <w:szCs w:val="28"/>
                <w:highlight w:val="none"/>
              </w:rPr>
            </w:pPr>
          </w:p>
        </w:tc>
      </w:tr>
      <w:tr w14:paraId="69D9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02E44ED">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7FCB79B5">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59309A99">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7C9C3A1F">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48E0CB78">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5B38002B">
            <w:pPr>
              <w:adjustRightInd w:val="0"/>
              <w:snapToGrid w:val="0"/>
              <w:spacing w:line="360" w:lineRule="auto"/>
              <w:ind w:right="24"/>
              <w:rPr>
                <w:rFonts w:hint="eastAsia" w:ascii="仿宋" w:hAnsi="仿宋" w:eastAsia="仿宋" w:cs="仿宋"/>
                <w:bCs/>
                <w:color w:val="auto"/>
                <w:sz w:val="28"/>
                <w:szCs w:val="28"/>
                <w:highlight w:val="none"/>
              </w:rPr>
            </w:pPr>
          </w:p>
        </w:tc>
      </w:tr>
      <w:tr w14:paraId="4043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1CCC903E">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550C43AD">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641B34D9">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48F90305">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4336CF13">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36EC5D05">
            <w:pPr>
              <w:adjustRightInd w:val="0"/>
              <w:snapToGrid w:val="0"/>
              <w:spacing w:line="360" w:lineRule="auto"/>
              <w:ind w:right="24"/>
              <w:rPr>
                <w:rFonts w:hint="eastAsia" w:ascii="仿宋" w:hAnsi="仿宋" w:eastAsia="仿宋" w:cs="仿宋"/>
                <w:bCs/>
                <w:color w:val="auto"/>
                <w:sz w:val="28"/>
                <w:szCs w:val="28"/>
                <w:highlight w:val="none"/>
              </w:rPr>
            </w:pPr>
          </w:p>
        </w:tc>
      </w:tr>
      <w:tr w14:paraId="4FA5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36844BAD">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0902D5D6">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66616663">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7D610F84">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29A9171B">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18722401">
            <w:pPr>
              <w:adjustRightInd w:val="0"/>
              <w:snapToGrid w:val="0"/>
              <w:spacing w:line="360" w:lineRule="auto"/>
              <w:ind w:right="24"/>
              <w:rPr>
                <w:rFonts w:hint="eastAsia" w:ascii="仿宋" w:hAnsi="仿宋" w:eastAsia="仿宋" w:cs="仿宋"/>
                <w:bCs/>
                <w:color w:val="auto"/>
                <w:sz w:val="28"/>
                <w:szCs w:val="28"/>
                <w:highlight w:val="none"/>
              </w:rPr>
            </w:pPr>
          </w:p>
        </w:tc>
      </w:tr>
      <w:tr w14:paraId="0CA1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noWrap w:val="0"/>
            <w:vAlign w:val="top"/>
          </w:tcPr>
          <w:p w14:paraId="694E1247">
            <w:pPr>
              <w:adjustRightInd w:val="0"/>
              <w:snapToGrid w:val="0"/>
              <w:spacing w:line="360" w:lineRule="auto"/>
              <w:ind w:right="24"/>
              <w:rPr>
                <w:rFonts w:hint="eastAsia" w:ascii="仿宋" w:hAnsi="仿宋" w:eastAsia="仿宋" w:cs="仿宋"/>
                <w:bCs/>
                <w:color w:val="auto"/>
                <w:sz w:val="28"/>
                <w:szCs w:val="28"/>
                <w:highlight w:val="none"/>
              </w:rPr>
            </w:pPr>
          </w:p>
        </w:tc>
        <w:tc>
          <w:tcPr>
            <w:tcW w:w="3043" w:type="dxa"/>
            <w:noWrap w:val="0"/>
            <w:vAlign w:val="top"/>
          </w:tcPr>
          <w:p w14:paraId="7043CA46">
            <w:pPr>
              <w:adjustRightInd w:val="0"/>
              <w:snapToGrid w:val="0"/>
              <w:spacing w:line="360" w:lineRule="auto"/>
              <w:ind w:right="24"/>
              <w:rPr>
                <w:rFonts w:hint="eastAsia" w:ascii="仿宋" w:hAnsi="仿宋" w:eastAsia="仿宋" w:cs="仿宋"/>
                <w:bCs/>
                <w:color w:val="auto"/>
                <w:sz w:val="28"/>
                <w:szCs w:val="28"/>
                <w:highlight w:val="none"/>
              </w:rPr>
            </w:pPr>
          </w:p>
        </w:tc>
        <w:tc>
          <w:tcPr>
            <w:tcW w:w="2544" w:type="dxa"/>
            <w:noWrap w:val="0"/>
            <w:vAlign w:val="top"/>
          </w:tcPr>
          <w:p w14:paraId="004EA79D">
            <w:pPr>
              <w:adjustRightInd w:val="0"/>
              <w:snapToGrid w:val="0"/>
              <w:spacing w:line="360" w:lineRule="auto"/>
              <w:ind w:right="24"/>
              <w:rPr>
                <w:rFonts w:hint="eastAsia" w:ascii="仿宋" w:hAnsi="仿宋" w:eastAsia="仿宋" w:cs="仿宋"/>
                <w:bCs/>
                <w:color w:val="auto"/>
                <w:sz w:val="28"/>
                <w:szCs w:val="28"/>
                <w:highlight w:val="none"/>
              </w:rPr>
            </w:pPr>
          </w:p>
        </w:tc>
        <w:tc>
          <w:tcPr>
            <w:tcW w:w="995" w:type="dxa"/>
            <w:noWrap w:val="0"/>
            <w:vAlign w:val="top"/>
          </w:tcPr>
          <w:p w14:paraId="6305A3F8">
            <w:pPr>
              <w:adjustRightInd w:val="0"/>
              <w:snapToGrid w:val="0"/>
              <w:spacing w:line="360" w:lineRule="auto"/>
              <w:ind w:right="24"/>
              <w:rPr>
                <w:rFonts w:hint="eastAsia" w:ascii="仿宋" w:hAnsi="仿宋" w:eastAsia="仿宋" w:cs="仿宋"/>
                <w:bCs/>
                <w:color w:val="auto"/>
                <w:sz w:val="28"/>
                <w:szCs w:val="28"/>
                <w:highlight w:val="none"/>
              </w:rPr>
            </w:pPr>
          </w:p>
        </w:tc>
        <w:tc>
          <w:tcPr>
            <w:tcW w:w="1270" w:type="dxa"/>
            <w:noWrap w:val="0"/>
            <w:vAlign w:val="top"/>
          </w:tcPr>
          <w:p w14:paraId="7288527D">
            <w:pPr>
              <w:adjustRightInd w:val="0"/>
              <w:snapToGrid w:val="0"/>
              <w:spacing w:line="360" w:lineRule="auto"/>
              <w:ind w:right="24"/>
              <w:rPr>
                <w:rFonts w:hint="eastAsia" w:ascii="仿宋" w:hAnsi="仿宋" w:eastAsia="仿宋" w:cs="仿宋"/>
                <w:bCs/>
                <w:color w:val="auto"/>
                <w:sz w:val="28"/>
                <w:szCs w:val="28"/>
                <w:highlight w:val="none"/>
              </w:rPr>
            </w:pPr>
          </w:p>
        </w:tc>
        <w:tc>
          <w:tcPr>
            <w:tcW w:w="813" w:type="dxa"/>
            <w:noWrap w:val="0"/>
            <w:vAlign w:val="top"/>
          </w:tcPr>
          <w:p w14:paraId="78CCA648">
            <w:pPr>
              <w:adjustRightInd w:val="0"/>
              <w:snapToGrid w:val="0"/>
              <w:spacing w:line="360" w:lineRule="auto"/>
              <w:ind w:right="24"/>
              <w:rPr>
                <w:rFonts w:hint="eastAsia" w:ascii="仿宋" w:hAnsi="仿宋" w:eastAsia="仿宋" w:cs="仿宋"/>
                <w:bCs/>
                <w:color w:val="auto"/>
                <w:sz w:val="28"/>
                <w:szCs w:val="28"/>
                <w:highlight w:val="none"/>
              </w:rPr>
            </w:pPr>
          </w:p>
        </w:tc>
      </w:tr>
    </w:tbl>
    <w:p w14:paraId="2F6A25AD">
      <w:pPr>
        <w:pStyle w:val="10"/>
        <w:keepNext w:val="0"/>
        <w:keepLines w:val="0"/>
        <w:pageBreakBefore w:val="0"/>
        <w:widowControl w:val="0"/>
        <w:tabs>
          <w:tab w:val="left" w:pos="600"/>
        </w:tabs>
        <w:kinsoku/>
        <w:wordWrap/>
        <w:overflowPunct/>
        <w:topLinePunct w:val="0"/>
        <w:autoSpaceDE/>
        <w:autoSpaceDN/>
        <w:bidi w:val="0"/>
        <w:adjustRightInd/>
        <w:snapToGrid/>
        <w:spacing w:line="480" w:lineRule="exact"/>
        <w:ind w:left="0" w:leftChars="0" w:firstLine="0" w:firstLineChars="0"/>
        <w:textAlignment w:val="auto"/>
        <w:rPr>
          <w:rFonts w:hint="eastAsia"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注：1、通过篡改数据响应的按照无效标处理并追究法律责任。在交货后，发现部分不能实现，</w:t>
      </w:r>
      <w:r>
        <w:rPr>
          <w:rFonts w:hint="eastAsia" w:ascii="仿宋" w:hAnsi="仿宋" w:eastAsia="仿宋" w:cs="仿宋"/>
          <w:b/>
          <w:bCs/>
          <w:color w:val="auto"/>
          <w:sz w:val="22"/>
          <w:szCs w:val="22"/>
          <w:highlight w:val="none"/>
          <w:lang w:val="en-US" w:eastAsia="zh-CN"/>
        </w:rPr>
        <w:t>采购人</w:t>
      </w:r>
      <w:r>
        <w:rPr>
          <w:rFonts w:hint="eastAsia" w:ascii="仿宋" w:hAnsi="仿宋" w:eastAsia="仿宋" w:cs="仿宋"/>
          <w:b/>
          <w:bCs/>
          <w:color w:val="auto"/>
          <w:sz w:val="22"/>
          <w:szCs w:val="22"/>
          <w:highlight w:val="none"/>
        </w:rPr>
        <w:t>有权退货并索取赔偿。2、产品中标后验收过程中如果发现有不满足招标要求的、篡改参数，投标产品与交货产品不一致的，用户可以拒绝付款。</w:t>
      </w:r>
    </w:p>
    <w:p w14:paraId="4652E15F">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 标 人：</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（盖单位章）</w:t>
      </w:r>
    </w:p>
    <w:p w14:paraId="34865342">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法代表人或委托代理人：</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（签字）</w:t>
      </w:r>
    </w:p>
    <w:p w14:paraId="7AAA44D3">
      <w:pPr>
        <w:keepNext w:val="0"/>
        <w:keepLines w:val="0"/>
        <w:pageBreakBefore w:val="0"/>
        <w:widowControl w:val="0"/>
        <w:kinsoku/>
        <w:wordWrap/>
        <w:overflowPunct/>
        <w:topLinePunct w:val="0"/>
        <w:autoSpaceDE/>
        <w:autoSpaceDN/>
        <w:bidi w:val="0"/>
        <w:adjustRightInd w:val="0"/>
        <w:snapToGrid/>
        <w:spacing w:line="480" w:lineRule="exact"/>
        <w:jc w:val="left"/>
        <w:textAlignment w:val="auto"/>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日期:</w:t>
      </w:r>
      <w:bookmarkStart w:id="244" w:name="_Toc217446088"/>
      <w:r>
        <w:rPr>
          <w:rFonts w:hint="eastAsia" w:ascii="仿宋" w:hAnsi="仿宋" w:eastAsia="仿宋" w:cs="仿宋"/>
          <w:bCs/>
          <w:color w:val="auto"/>
          <w:sz w:val="22"/>
          <w:szCs w:val="22"/>
          <w:highlight w:val="none"/>
        </w:rPr>
        <w:t>20</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年</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月</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日</w:t>
      </w:r>
    </w:p>
    <w:p w14:paraId="5E0A6610">
      <w:pPr>
        <w:pStyle w:val="36"/>
        <w:rPr>
          <w:rFonts w:hint="eastAsia" w:ascii="仿宋" w:hAnsi="仿宋" w:eastAsia="仿宋" w:cs="仿宋"/>
          <w:bCs/>
          <w:color w:val="auto"/>
          <w:szCs w:val="21"/>
          <w:highlight w:val="none"/>
        </w:rPr>
      </w:pPr>
    </w:p>
    <w:p w14:paraId="779F8F50">
      <w:pPr>
        <w:pStyle w:val="36"/>
        <w:rPr>
          <w:rFonts w:hint="eastAsia" w:ascii="仿宋" w:hAnsi="仿宋" w:eastAsia="仿宋" w:cs="仿宋"/>
          <w:bCs/>
          <w:color w:val="auto"/>
          <w:szCs w:val="21"/>
          <w:highlight w:val="none"/>
        </w:rPr>
      </w:pPr>
    </w:p>
    <w:bookmarkEnd w:id="244"/>
    <w:p w14:paraId="3A66F57A">
      <w:pPr>
        <w:pStyle w:val="41"/>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十一、投标人认为有必要补充说明的事项</w:t>
      </w:r>
    </w:p>
    <w:p w14:paraId="0EB32724">
      <w:pPr>
        <w:pStyle w:val="41"/>
        <w:keepNext w:val="0"/>
        <w:keepLines w:val="0"/>
        <w:pageBreakBefore w:val="0"/>
        <w:widowControl w:val="0"/>
        <w:kinsoku/>
        <w:wordWrap/>
        <w:overflowPunct/>
        <w:topLinePunct w:val="0"/>
        <w:autoSpaceDE/>
        <w:autoSpaceDN/>
        <w:bidi w:val="0"/>
        <w:adjustRightInd/>
        <w:snapToGrid/>
        <w:spacing w:line="480" w:lineRule="exact"/>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说明： 格式自定。</w:t>
      </w:r>
    </w:p>
    <w:p w14:paraId="788BEFBD">
      <w:pPr>
        <w:rPr>
          <w:rFonts w:hint="eastAsia" w:ascii="仿宋" w:hAnsi="仿宋" w:eastAsia="仿宋" w:cs="仿宋"/>
          <w:color w:val="auto"/>
          <w:highlight w:val="none"/>
        </w:rPr>
      </w:pPr>
    </w:p>
    <w:p w14:paraId="507A3AC0">
      <w:pPr>
        <w:rPr>
          <w:rFonts w:hint="eastAsia" w:ascii="仿宋" w:hAnsi="仿宋" w:eastAsia="仿宋" w:cs="仿宋"/>
          <w:color w:val="auto"/>
          <w:highlight w:val="none"/>
        </w:rPr>
      </w:pPr>
    </w:p>
    <w:p w14:paraId="26E150C6">
      <w:pPr>
        <w:rPr>
          <w:rFonts w:hint="eastAsia" w:ascii="仿宋" w:hAnsi="仿宋" w:eastAsia="仿宋" w:cs="仿宋"/>
          <w:color w:val="auto"/>
          <w:highlight w:val="none"/>
        </w:rPr>
      </w:pPr>
    </w:p>
    <w:p w14:paraId="70FC222B">
      <w:pPr>
        <w:rPr>
          <w:rFonts w:hint="eastAsia" w:ascii="仿宋" w:hAnsi="仿宋" w:eastAsia="仿宋" w:cs="仿宋"/>
          <w:color w:val="auto"/>
          <w:highlight w:val="none"/>
        </w:rPr>
      </w:pPr>
    </w:p>
    <w:p w14:paraId="3B2B11EB">
      <w:pPr>
        <w:rPr>
          <w:rFonts w:hint="eastAsia" w:ascii="仿宋" w:hAnsi="仿宋" w:eastAsia="仿宋" w:cs="仿宋"/>
          <w:color w:val="auto"/>
          <w:highlight w:val="none"/>
        </w:rPr>
      </w:pPr>
    </w:p>
    <w:p w14:paraId="42841B85">
      <w:pPr>
        <w:rPr>
          <w:rFonts w:hint="eastAsia" w:ascii="仿宋" w:hAnsi="仿宋" w:eastAsia="仿宋" w:cs="仿宋"/>
          <w:color w:val="auto"/>
          <w:highlight w:val="none"/>
        </w:rPr>
      </w:pPr>
    </w:p>
    <w:p w14:paraId="35A90A3B">
      <w:pPr>
        <w:rPr>
          <w:rFonts w:hint="eastAsia" w:ascii="仿宋" w:hAnsi="仿宋" w:eastAsia="仿宋" w:cs="仿宋"/>
          <w:color w:val="auto"/>
          <w:highlight w:val="none"/>
        </w:rPr>
      </w:pPr>
    </w:p>
    <w:p w14:paraId="6B506331">
      <w:pPr>
        <w:rPr>
          <w:rFonts w:hint="eastAsia" w:ascii="仿宋" w:hAnsi="仿宋" w:eastAsia="仿宋" w:cs="仿宋"/>
          <w:color w:val="auto"/>
          <w:highlight w:val="none"/>
        </w:rPr>
      </w:pPr>
    </w:p>
    <w:p w14:paraId="1AA0F190">
      <w:pPr>
        <w:rPr>
          <w:rFonts w:hint="eastAsia" w:ascii="仿宋" w:hAnsi="仿宋" w:eastAsia="仿宋" w:cs="仿宋"/>
          <w:color w:val="auto"/>
          <w:highlight w:val="none"/>
        </w:rPr>
      </w:pPr>
    </w:p>
    <w:p w14:paraId="45DAE3E6">
      <w:pPr>
        <w:rPr>
          <w:rFonts w:hint="eastAsia" w:ascii="仿宋" w:hAnsi="仿宋" w:eastAsia="仿宋" w:cs="仿宋"/>
          <w:color w:val="auto"/>
          <w:highlight w:val="none"/>
        </w:rPr>
      </w:pPr>
    </w:p>
    <w:p w14:paraId="4BF57ABA">
      <w:pPr>
        <w:rPr>
          <w:rFonts w:hint="eastAsia" w:ascii="仿宋" w:hAnsi="仿宋" w:eastAsia="仿宋" w:cs="仿宋"/>
          <w:color w:val="auto"/>
          <w:highlight w:val="none"/>
        </w:rPr>
      </w:pPr>
    </w:p>
    <w:p w14:paraId="2FF0BCA7">
      <w:pPr>
        <w:rPr>
          <w:rFonts w:hint="eastAsia" w:ascii="仿宋" w:hAnsi="仿宋" w:eastAsia="仿宋" w:cs="仿宋"/>
          <w:color w:val="auto"/>
          <w:highlight w:val="none"/>
        </w:rPr>
      </w:pPr>
    </w:p>
    <w:p w14:paraId="7FBB25C7">
      <w:pPr>
        <w:rPr>
          <w:rFonts w:hint="eastAsia" w:ascii="仿宋" w:hAnsi="仿宋" w:eastAsia="仿宋" w:cs="仿宋"/>
          <w:color w:val="auto"/>
          <w:highlight w:val="none"/>
        </w:rPr>
      </w:pPr>
    </w:p>
    <w:p w14:paraId="5D203D29">
      <w:pPr>
        <w:rPr>
          <w:rFonts w:hint="eastAsia" w:ascii="仿宋" w:hAnsi="仿宋" w:eastAsia="仿宋" w:cs="仿宋"/>
          <w:color w:val="auto"/>
          <w:highlight w:val="none"/>
        </w:rPr>
      </w:pPr>
    </w:p>
    <w:p w14:paraId="7E932003">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3AD3D678">
      <w:pPr>
        <w:keepNext w:val="0"/>
        <w:keepLines w:val="0"/>
        <w:pageBreakBefore w:val="0"/>
        <w:widowControl/>
        <w:kinsoku/>
        <w:wordWrap/>
        <w:overflowPunct/>
        <w:topLinePunct w:val="0"/>
        <w:autoSpaceDE/>
        <w:autoSpaceDN/>
        <w:bidi w:val="0"/>
        <w:adjustRightInd w:val="0"/>
        <w:snapToGrid w:val="0"/>
        <w:spacing w:line="480" w:lineRule="exact"/>
        <w:jc w:val="both"/>
        <w:textAlignment w:val="auto"/>
        <w:rPr>
          <w:rFonts w:hint="default"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附件（以下声明函适用提供，不适用可不提供）：</w:t>
      </w:r>
    </w:p>
    <w:p w14:paraId="6681319E">
      <w:pPr>
        <w:keepNext w:val="0"/>
        <w:keepLines w:val="0"/>
        <w:pageBreakBefore w:val="0"/>
        <w:widowControl/>
        <w:kinsoku/>
        <w:wordWrap/>
        <w:overflowPunct/>
        <w:topLinePunct w:val="0"/>
        <w:autoSpaceDE/>
        <w:autoSpaceDN/>
        <w:bidi w:val="0"/>
        <w:adjustRightInd w:val="0"/>
        <w:snapToGrid w:val="0"/>
        <w:spacing w:line="480" w:lineRule="exact"/>
        <w:ind w:firstLine="643" w:firstLineChars="200"/>
        <w:jc w:val="center"/>
        <w:textAlignment w:val="auto"/>
        <w:rPr>
          <w:rFonts w:hint="eastAsia" w:ascii="仿宋" w:hAnsi="仿宋" w:eastAsia="仿宋" w:cs="仿宋"/>
          <w:b/>
          <w:color w:val="auto"/>
          <w:kern w:val="2"/>
          <w:sz w:val="32"/>
          <w:szCs w:val="32"/>
          <w:highlight w:val="none"/>
          <w:lang w:val="zh-CN" w:eastAsia="zh-CN" w:bidi="ar-SA"/>
        </w:rPr>
      </w:pPr>
      <w:r>
        <w:rPr>
          <w:rFonts w:hint="eastAsia" w:ascii="仿宋" w:hAnsi="仿宋" w:eastAsia="仿宋" w:cs="仿宋"/>
          <w:b/>
          <w:color w:val="auto"/>
          <w:kern w:val="2"/>
          <w:sz w:val="32"/>
          <w:szCs w:val="32"/>
          <w:highlight w:val="none"/>
          <w:lang w:val="en-US" w:eastAsia="zh-CN" w:bidi="ar-SA"/>
        </w:rPr>
        <w:t>1.关于符合本国产品标准的声明函</w:t>
      </w:r>
      <w:r>
        <w:rPr>
          <w:rFonts w:hint="eastAsia" w:ascii="仿宋" w:hAnsi="仿宋" w:eastAsia="仿宋" w:cs="仿宋"/>
          <w:b/>
          <w:color w:val="auto"/>
          <w:kern w:val="2"/>
          <w:sz w:val="32"/>
          <w:szCs w:val="32"/>
          <w:highlight w:val="none"/>
          <w:lang w:val="zh-CN" w:eastAsia="zh-CN" w:bidi="ar-SA"/>
        </w:rPr>
        <w:t>【</w:t>
      </w:r>
      <w:r>
        <w:rPr>
          <w:rFonts w:hint="eastAsia" w:ascii="仿宋" w:hAnsi="仿宋" w:eastAsia="仿宋" w:cs="仿宋"/>
          <w:b/>
          <w:color w:val="auto"/>
          <w:kern w:val="2"/>
          <w:sz w:val="32"/>
          <w:szCs w:val="32"/>
          <w:highlight w:val="none"/>
          <w:lang w:val="en-US" w:eastAsia="zh-CN" w:bidi="ar-SA"/>
        </w:rPr>
        <w:t>不适用可不提供</w:t>
      </w:r>
      <w:r>
        <w:rPr>
          <w:rFonts w:hint="eastAsia" w:ascii="仿宋" w:hAnsi="仿宋" w:eastAsia="仿宋" w:cs="仿宋"/>
          <w:b/>
          <w:color w:val="auto"/>
          <w:kern w:val="2"/>
          <w:sz w:val="32"/>
          <w:szCs w:val="32"/>
          <w:highlight w:val="none"/>
          <w:lang w:val="zh-CN" w:eastAsia="zh-CN" w:bidi="ar-SA"/>
        </w:rPr>
        <w:t>】</w:t>
      </w:r>
    </w:p>
    <w:p w14:paraId="2BD68CC6">
      <w:pPr>
        <w:keepNext w:val="0"/>
        <w:keepLines w:val="0"/>
        <w:pageBreakBefore w:val="0"/>
        <w:widowControl/>
        <w:shd w:val="clear" w:color="auto" w:fill="FFFFFF"/>
        <w:kinsoku/>
        <w:wordWrap/>
        <w:overflowPunct/>
        <w:topLinePunct w:val="0"/>
        <w:autoSpaceDE/>
        <w:autoSpaceDN/>
        <w:bidi w:val="0"/>
        <w:spacing w:beforeAutospacing="0" w:afterAutospacing="0" w:line="480" w:lineRule="exact"/>
        <w:jc w:val="center"/>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b/>
          <w:bCs/>
          <w:color w:val="auto"/>
          <w:kern w:val="2"/>
          <w:sz w:val="22"/>
          <w:szCs w:val="22"/>
          <w:highlight w:val="none"/>
          <w:lang w:val="en-US" w:eastAsia="zh-CN" w:bidi="ar-SA"/>
        </w:rPr>
        <w:t>1.1关于符合本国产品标准的声明函</w:t>
      </w:r>
    </w:p>
    <w:p w14:paraId="6E5A268E">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本公司（单位）郑重声明，根据《国务院办公厅关于在政府采购中实施本国产品标准及相关政策的通知》（国办发〔2025〕34号）的规定，本公司（单位）提供的以下产品属于本国产品。具体情况如下：</w:t>
      </w:r>
    </w:p>
    <w:p w14:paraId="7F497574">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1.</w:t>
      </w:r>
      <w:r>
        <w:rPr>
          <w:rStyle w:val="28"/>
          <w:rFonts w:hint="eastAsia" w:ascii="仿宋" w:hAnsi="仿宋" w:eastAsia="仿宋" w:cs="Times New Roman"/>
          <w:color w:val="auto"/>
          <w:kern w:val="2"/>
          <w:sz w:val="22"/>
          <w:szCs w:val="22"/>
          <w:highlight w:val="none"/>
          <w:lang w:val="en-US" w:eastAsia="zh-CN" w:bidi="ar-SA"/>
        </w:rPr>
        <w:t>（产品名称1）</w:t>
      </w:r>
      <w:r>
        <w:rPr>
          <w:rStyle w:val="28"/>
          <w:rFonts w:hint="eastAsia" w:ascii="仿宋" w:hAnsi="仿宋" w:eastAsia="仿宋" w:cs="Times New Roman"/>
          <w:color w:val="auto"/>
          <w:kern w:val="2"/>
          <w:sz w:val="22"/>
          <w:szCs w:val="22"/>
          <w:highlight w:val="none"/>
          <w:vertAlign w:val="superscript"/>
          <w:lang w:val="en-US" w:eastAsia="zh-CN" w:bidi="ar-SA"/>
        </w:rPr>
        <w:t>1</w:t>
      </w:r>
      <w:r>
        <w:rPr>
          <w:rFonts w:hint="eastAsia" w:ascii="仿宋" w:hAnsi="仿宋" w:eastAsia="仿宋" w:cs="Times New Roman"/>
          <w:color w:val="auto"/>
          <w:kern w:val="0"/>
          <w:sz w:val="22"/>
          <w:szCs w:val="22"/>
          <w:highlight w:val="none"/>
          <w:lang w:val="en-US" w:eastAsia="zh-CN" w:bidi="ar-SA"/>
        </w:rPr>
        <w:t>，生产厂为</w:t>
      </w:r>
      <w:r>
        <w:rPr>
          <w:rStyle w:val="28"/>
          <w:rFonts w:hint="eastAsia" w:ascii="仿宋" w:hAnsi="仿宋" w:eastAsia="仿宋" w:cs="Times New Roman"/>
          <w:color w:val="auto"/>
          <w:kern w:val="2"/>
          <w:sz w:val="22"/>
          <w:szCs w:val="22"/>
          <w:highlight w:val="none"/>
          <w:lang w:val="en-US" w:eastAsia="zh-CN" w:bidi="ar-SA"/>
        </w:rPr>
        <w:t>（厂名）</w:t>
      </w:r>
      <w:r>
        <w:rPr>
          <w:rStyle w:val="28"/>
          <w:rFonts w:hint="eastAsia" w:ascii="仿宋" w:hAnsi="仿宋" w:eastAsia="仿宋" w:cs="Times New Roman"/>
          <w:color w:val="auto"/>
          <w:kern w:val="2"/>
          <w:sz w:val="22"/>
          <w:szCs w:val="22"/>
          <w:highlight w:val="none"/>
          <w:vertAlign w:val="superscript"/>
          <w:lang w:val="en-US" w:eastAsia="zh-CN" w:bidi="ar-SA"/>
        </w:rPr>
        <w:t>2</w:t>
      </w:r>
      <w:r>
        <w:rPr>
          <w:rFonts w:hint="eastAsia" w:ascii="仿宋" w:hAnsi="仿宋" w:eastAsia="仿宋" w:cs="Times New Roman"/>
          <w:color w:val="auto"/>
          <w:kern w:val="0"/>
          <w:sz w:val="22"/>
          <w:szCs w:val="22"/>
          <w:highlight w:val="none"/>
          <w:lang w:val="en-US" w:eastAsia="zh-CN" w:bidi="ar-SA"/>
        </w:rPr>
        <w:t>，厂址为</w:t>
      </w:r>
      <w:r>
        <w:rPr>
          <w:rStyle w:val="28"/>
          <w:rFonts w:hint="eastAsia" w:ascii="仿宋" w:hAnsi="仿宋" w:eastAsia="仿宋" w:cs="Times New Roman"/>
          <w:color w:val="auto"/>
          <w:kern w:val="2"/>
          <w:sz w:val="22"/>
          <w:szCs w:val="22"/>
          <w:highlight w:val="none"/>
          <w:lang w:val="en-US" w:eastAsia="zh-CN" w:bidi="ar-SA"/>
        </w:rPr>
        <w:t>（生产厂址）</w:t>
      </w:r>
      <w:r>
        <w:rPr>
          <w:rFonts w:hint="eastAsia" w:ascii="仿宋" w:hAnsi="仿宋" w:eastAsia="仿宋" w:cs="Times New Roman"/>
          <w:color w:val="auto"/>
          <w:kern w:val="0"/>
          <w:sz w:val="22"/>
          <w:szCs w:val="22"/>
          <w:highlight w:val="none"/>
          <w:lang w:val="en-US" w:eastAsia="zh-CN" w:bidi="ar-SA"/>
        </w:rPr>
        <w:t>。</w:t>
      </w:r>
      <w:r>
        <w:rPr>
          <w:rStyle w:val="28"/>
          <w:rFonts w:hint="eastAsia" w:ascii="仿宋" w:hAnsi="仿宋" w:eastAsia="仿宋" w:cs="Times New Roman"/>
          <w:color w:val="auto"/>
          <w:kern w:val="2"/>
          <w:sz w:val="22"/>
          <w:szCs w:val="22"/>
          <w:highlight w:val="none"/>
          <w:lang w:val="en-US" w:eastAsia="zh-CN" w:bidi="ar-SA"/>
        </w:rPr>
        <w:t>（产品名称1）</w:t>
      </w:r>
      <w:r>
        <w:rPr>
          <w:rFonts w:hint="eastAsia" w:ascii="仿宋" w:hAnsi="仿宋" w:eastAsia="仿宋" w:cs="Times New Roman"/>
          <w:color w:val="auto"/>
          <w:kern w:val="0"/>
          <w:sz w:val="22"/>
          <w:szCs w:val="22"/>
          <w:highlight w:val="none"/>
          <w:lang w:val="en-US" w:eastAsia="zh-CN" w:bidi="ar-SA"/>
        </w:rPr>
        <w:t>的中国境内生产的组件成本占比≥</w:t>
      </w:r>
      <w:r>
        <w:rPr>
          <w:rStyle w:val="28"/>
          <w:rFonts w:hint="eastAsia" w:ascii="仿宋" w:hAnsi="仿宋" w:eastAsia="仿宋" w:cs="Times New Roman"/>
          <w:color w:val="auto"/>
          <w:kern w:val="2"/>
          <w:sz w:val="22"/>
          <w:szCs w:val="22"/>
          <w:highlight w:val="none"/>
          <w:lang w:val="en-US" w:eastAsia="zh-CN" w:bidi="ar-SA"/>
        </w:rPr>
        <w:t>（规定比例）</w:t>
      </w:r>
      <w:r>
        <w:rPr>
          <w:rStyle w:val="28"/>
          <w:rFonts w:hint="eastAsia" w:ascii="仿宋" w:hAnsi="仿宋" w:eastAsia="仿宋" w:cs="Times New Roman"/>
          <w:color w:val="auto"/>
          <w:kern w:val="2"/>
          <w:sz w:val="22"/>
          <w:szCs w:val="22"/>
          <w:highlight w:val="none"/>
          <w:vertAlign w:val="superscript"/>
          <w:lang w:val="en-US" w:eastAsia="zh-CN" w:bidi="ar-SA"/>
        </w:rPr>
        <w:t>3</w:t>
      </w:r>
      <w:r>
        <w:rPr>
          <w:rFonts w:hint="eastAsia" w:ascii="仿宋" w:hAnsi="仿宋" w:eastAsia="仿宋" w:cs="Times New Roman"/>
          <w:color w:val="auto"/>
          <w:kern w:val="0"/>
          <w:sz w:val="22"/>
          <w:szCs w:val="22"/>
          <w:highlight w:val="none"/>
          <w:lang w:val="en-US" w:eastAsia="zh-CN" w:bidi="ar-SA"/>
        </w:rPr>
        <w:t>。</w:t>
      </w:r>
      <w:r>
        <w:rPr>
          <w:rStyle w:val="28"/>
          <w:rFonts w:hint="eastAsia" w:ascii="仿宋" w:hAnsi="仿宋" w:eastAsia="仿宋" w:cs="Times New Roman"/>
          <w:color w:val="auto"/>
          <w:kern w:val="2"/>
          <w:sz w:val="22"/>
          <w:szCs w:val="22"/>
          <w:highlight w:val="none"/>
          <w:lang w:val="en-US" w:eastAsia="zh-CN" w:bidi="ar-SA"/>
        </w:rPr>
        <w:t>（产品名称1）</w:t>
      </w:r>
      <w:r>
        <w:rPr>
          <w:rFonts w:hint="eastAsia" w:ascii="仿宋" w:hAnsi="仿宋" w:eastAsia="仿宋" w:cs="Times New Roman"/>
          <w:color w:val="auto"/>
          <w:kern w:val="0"/>
          <w:sz w:val="22"/>
          <w:szCs w:val="22"/>
          <w:highlight w:val="none"/>
          <w:lang w:val="en-US" w:eastAsia="zh-CN" w:bidi="ar-SA"/>
        </w:rPr>
        <w:t>的</w:t>
      </w:r>
      <w:r>
        <w:rPr>
          <w:rStyle w:val="28"/>
          <w:rFonts w:hint="eastAsia" w:ascii="仿宋" w:hAnsi="仿宋" w:eastAsia="仿宋" w:cs="Times New Roman"/>
          <w:color w:val="auto"/>
          <w:kern w:val="2"/>
          <w:sz w:val="22"/>
          <w:szCs w:val="22"/>
          <w:highlight w:val="none"/>
          <w:lang w:val="en-US" w:eastAsia="zh-CN" w:bidi="ar-SA"/>
        </w:rPr>
        <w:t>（关键组件）</w:t>
      </w:r>
      <w:r>
        <w:rPr>
          <w:rStyle w:val="28"/>
          <w:rFonts w:hint="eastAsia" w:ascii="仿宋" w:hAnsi="仿宋" w:eastAsia="仿宋" w:cs="Times New Roman"/>
          <w:color w:val="auto"/>
          <w:kern w:val="2"/>
          <w:sz w:val="22"/>
          <w:szCs w:val="22"/>
          <w:highlight w:val="none"/>
          <w:vertAlign w:val="superscript"/>
          <w:lang w:val="en-US" w:eastAsia="zh-CN" w:bidi="ar-SA"/>
        </w:rPr>
        <w:t>4</w:t>
      </w:r>
      <w:r>
        <w:rPr>
          <w:rFonts w:hint="eastAsia" w:ascii="仿宋" w:hAnsi="仿宋" w:eastAsia="仿宋" w:cs="Times New Roman"/>
          <w:color w:val="auto"/>
          <w:kern w:val="0"/>
          <w:sz w:val="22"/>
          <w:szCs w:val="22"/>
          <w:highlight w:val="none"/>
          <w:lang w:val="en-US" w:eastAsia="zh-CN" w:bidi="ar-SA"/>
        </w:rPr>
        <w:t>在中国境内生产。</w:t>
      </w:r>
      <w:r>
        <w:rPr>
          <w:rStyle w:val="28"/>
          <w:rFonts w:hint="eastAsia" w:ascii="仿宋" w:hAnsi="仿宋" w:eastAsia="仿宋" w:cs="Times New Roman"/>
          <w:color w:val="auto"/>
          <w:kern w:val="2"/>
          <w:sz w:val="22"/>
          <w:szCs w:val="22"/>
          <w:highlight w:val="none"/>
          <w:lang w:val="en-US" w:eastAsia="zh-CN" w:bidi="ar-SA"/>
        </w:rPr>
        <w:t>（产品名称1）</w:t>
      </w:r>
      <w:r>
        <w:rPr>
          <w:rFonts w:hint="eastAsia" w:ascii="仿宋" w:hAnsi="仿宋" w:eastAsia="仿宋" w:cs="Times New Roman"/>
          <w:color w:val="auto"/>
          <w:kern w:val="0"/>
          <w:sz w:val="22"/>
          <w:szCs w:val="22"/>
          <w:highlight w:val="none"/>
          <w:lang w:val="en-US" w:eastAsia="zh-CN" w:bidi="ar-SA"/>
        </w:rPr>
        <w:t>的</w:t>
      </w:r>
      <w:r>
        <w:rPr>
          <w:rStyle w:val="28"/>
          <w:rFonts w:hint="eastAsia" w:ascii="仿宋" w:hAnsi="仿宋" w:eastAsia="仿宋" w:cs="Times New Roman"/>
          <w:color w:val="auto"/>
          <w:kern w:val="2"/>
          <w:sz w:val="22"/>
          <w:szCs w:val="22"/>
          <w:highlight w:val="none"/>
          <w:lang w:val="en-US" w:eastAsia="zh-CN" w:bidi="ar-SA"/>
        </w:rPr>
        <w:t>（关键工序）</w:t>
      </w:r>
      <w:r>
        <w:rPr>
          <w:rStyle w:val="28"/>
          <w:rFonts w:hint="eastAsia" w:ascii="仿宋" w:hAnsi="仿宋" w:eastAsia="仿宋" w:cs="Times New Roman"/>
          <w:color w:val="auto"/>
          <w:kern w:val="2"/>
          <w:sz w:val="22"/>
          <w:szCs w:val="22"/>
          <w:highlight w:val="none"/>
          <w:vertAlign w:val="superscript"/>
          <w:lang w:val="en-US" w:eastAsia="zh-CN" w:bidi="ar-SA"/>
        </w:rPr>
        <w:t>5</w:t>
      </w:r>
      <w:r>
        <w:rPr>
          <w:rFonts w:hint="eastAsia" w:ascii="仿宋" w:hAnsi="仿宋" w:eastAsia="仿宋" w:cs="Times New Roman"/>
          <w:color w:val="auto"/>
          <w:kern w:val="0"/>
          <w:sz w:val="22"/>
          <w:szCs w:val="22"/>
          <w:highlight w:val="none"/>
          <w:lang w:val="en-US" w:eastAsia="zh-CN" w:bidi="ar-SA"/>
        </w:rPr>
        <w:t>在中国境内完成。</w:t>
      </w:r>
    </w:p>
    <w:p w14:paraId="26587040">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2.</w:t>
      </w:r>
      <w:r>
        <w:rPr>
          <w:rStyle w:val="28"/>
          <w:rFonts w:hint="eastAsia" w:ascii="仿宋" w:hAnsi="仿宋" w:eastAsia="仿宋" w:cs="Times New Roman"/>
          <w:color w:val="auto"/>
          <w:kern w:val="2"/>
          <w:sz w:val="22"/>
          <w:szCs w:val="22"/>
          <w:highlight w:val="none"/>
          <w:lang w:val="en-US" w:eastAsia="zh-CN" w:bidi="ar-SA"/>
        </w:rPr>
        <w:t>（产品名称2）</w:t>
      </w:r>
      <w:r>
        <w:rPr>
          <w:rFonts w:hint="eastAsia" w:ascii="仿宋" w:hAnsi="仿宋" w:eastAsia="仿宋" w:cs="Times New Roman"/>
          <w:color w:val="auto"/>
          <w:kern w:val="0"/>
          <w:sz w:val="22"/>
          <w:szCs w:val="22"/>
          <w:highlight w:val="none"/>
          <w:lang w:val="en-US" w:eastAsia="zh-CN" w:bidi="ar-SA"/>
        </w:rPr>
        <w:t>，生产厂为</w:t>
      </w:r>
      <w:r>
        <w:rPr>
          <w:rStyle w:val="28"/>
          <w:rFonts w:hint="eastAsia" w:ascii="仿宋" w:hAnsi="仿宋" w:eastAsia="仿宋" w:cs="Times New Roman"/>
          <w:color w:val="auto"/>
          <w:kern w:val="2"/>
          <w:sz w:val="22"/>
          <w:szCs w:val="22"/>
          <w:highlight w:val="none"/>
          <w:lang w:val="en-US" w:eastAsia="zh-CN" w:bidi="ar-SA"/>
        </w:rPr>
        <w:t>（厂名）</w:t>
      </w:r>
      <w:r>
        <w:rPr>
          <w:rFonts w:hint="eastAsia" w:ascii="仿宋" w:hAnsi="仿宋" w:eastAsia="仿宋" w:cs="Times New Roman"/>
          <w:color w:val="auto"/>
          <w:kern w:val="0"/>
          <w:sz w:val="22"/>
          <w:szCs w:val="22"/>
          <w:highlight w:val="none"/>
          <w:lang w:val="en-US" w:eastAsia="zh-CN" w:bidi="ar-SA"/>
        </w:rPr>
        <w:t>，厂址为</w:t>
      </w:r>
      <w:r>
        <w:rPr>
          <w:rStyle w:val="28"/>
          <w:rFonts w:hint="eastAsia" w:ascii="仿宋" w:hAnsi="仿宋" w:eastAsia="仿宋" w:cs="Times New Roman"/>
          <w:color w:val="auto"/>
          <w:kern w:val="2"/>
          <w:sz w:val="22"/>
          <w:szCs w:val="22"/>
          <w:highlight w:val="none"/>
          <w:lang w:val="en-US" w:eastAsia="zh-CN" w:bidi="ar-SA"/>
        </w:rPr>
        <w:t>（生产厂址）</w:t>
      </w:r>
      <w:r>
        <w:rPr>
          <w:rFonts w:hint="eastAsia" w:ascii="仿宋" w:hAnsi="仿宋" w:eastAsia="仿宋" w:cs="Times New Roman"/>
          <w:color w:val="auto"/>
          <w:kern w:val="0"/>
          <w:sz w:val="22"/>
          <w:szCs w:val="22"/>
          <w:highlight w:val="none"/>
          <w:lang w:val="en-US" w:eastAsia="zh-CN" w:bidi="ar-SA"/>
        </w:rPr>
        <w:t>。</w:t>
      </w:r>
      <w:r>
        <w:rPr>
          <w:rStyle w:val="28"/>
          <w:rFonts w:hint="eastAsia" w:ascii="仿宋" w:hAnsi="仿宋" w:eastAsia="仿宋" w:cs="Times New Roman"/>
          <w:color w:val="auto"/>
          <w:kern w:val="2"/>
          <w:sz w:val="22"/>
          <w:szCs w:val="22"/>
          <w:highlight w:val="none"/>
          <w:lang w:val="en-US" w:eastAsia="zh-CN" w:bidi="ar-SA"/>
        </w:rPr>
        <w:t>（产品名称2）</w:t>
      </w:r>
      <w:r>
        <w:rPr>
          <w:rFonts w:hint="eastAsia" w:ascii="仿宋" w:hAnsi="仿宋" w:eastAsia="仿宋" w:cs="Times New Roman"/>
          <w:color w:val="auto"/>
          <w:kern w:val="0"/>
          <w:sz w:val="22"/>
          <w:szCs w:val="22"/>
          <w:highlight w:val="none"/>
          <w:lang w:val="en-US" w:eastAsia="zh-CN" w:bidi="ar-SA"/>
        </w:rPr>
        <w:t>的中国境内生产的组件成本占比≥</w:t>
      </w:r>
      <w:r>
        <w:rPr>
          <w:rStyle w:val="28"/>
          <w:rFonts w:hint="eastAsia" w:ascii="仿宋" w:hAnsi="仿宋" w:eastAsia="仿宋" w:cs="Times New Roman"/>
          <w:color w:val="auto"/>
          <w:kern w:val="2"/>
          <w:sz w:val="22"/>
          <w:szCs w:val="22"/>
          <w:highlight w:val="none"/>
          <w:lang w:val="en-US" w:eastAsia="zh-CN" w:bidi="ar-SA"/>
        </w:rPr>
        <w:t>（规定比例）</w:t>
      </w:r>
      <w:r>
        <w:rPr>
          <w:rFonts w:hint="eastAsia" w:ascii="仿宋" w:hAnsi="仿宋" w:eastAsia="仿宋" w:cs="Times New Roman"/>
          <w:color w:val="auto"/>
          <w:kern w:val="0"/>
          <w:sz w:val="22"/>
          <w:szCs w:val="22"/>
          <w:highlight w:val="none"/>
          <w:lang w:val="en-US" w:eastAsia="zh-CN" w:bidi="ar-SA"/>
        </w:rPr>
        <w:t>。</w:t>
      </w:r>
      <w:r>
        <w:rPr>
          <w:rStyle w:val="28"/>
          <w:rFonts w:hint="eastAsia" w:ascii="仿宋" w:hAnsi="仿宋" w:eastAsia="仿宋" w:cs="Times New Roman"/>
          <w:color w:val="auto"/>
          <w:kern w:val="2"/>
          <w:sz w:val="22"/>
          <w:szCs w:val="22"/>
          <w:highlight w:val="none"/>
          <w:lang w:val="en-US" w:eastAsia="zh-CN" w:bidi="ar-SA"/>
        </w:rPr>
        <w:t>（产品名称2）</w:t>
      </w:r>
      <w:r>
        <w:rPr>
          <w:rFonts w:hint="eastAsia" w:ascii="仿宋" w:hAnsi="仿宋" w:eastAsia="仿宋" w:cs="Times New Roman"/>
          <w:color w:val="auto"/>
          <w:kern w:val="0"/>
          <w:sz w:val="22"/>
          <w:szCs w:val="22"/>
          <w:highlight w:val="none"/>
          <w:lang w:val="en-US" w:eastAsia="zh-CN" w:bidi="ar-SA"/>
        </w:rPr>
        <w:t>的</w:t>
      </w:r>
      <w:r>
        <w:rPr>
          <w:rStyle w:val="28"/>
          <w:rFonts w:hint="eastAsia" w:ascii="仿宋" w:hAnsi="仿宋" w:eastAsia="仿宋" w:cs="Times New Roman"/>
          <w:color w:val="auto"/>
          <w:kern w:val="2"/>
          <w:sz w:val="22"/>
          <w:szCs w:val="22"/>
          <w:highlight w:val="none"/>
          <w:lang w:val="en-US" w:eastAsia="zh-CN" w:bidi="ar-SA"/>
        </w:rPr>
        <w:t>（关键组件）</w:t>
      </w:r>
      <w:r>
        <w:rPr>
          <w:rFonts w:hint="eastAsia" w:ascii="仿宋" w:hAnsi="仿宋" w:eastAsia="仿宋" w:cs="Times New Roman"/>
          <w:color w:val="auto"/>
          <w:kern w:val="0"/>
          <w:sz w:val="22"/>
          <w:szCs w:val="22"/>
          <w:highlight w:val="none"/>
          <w:lang w:val="en-US" w:eastAsia="zh-CN" w:bidi="ar-SA"/>
        </w:rPr>
        <w:t>在中国境内生产。</w:t>
      </w:r>
      <w:r>
        <w:rPr>
          <w:rStyle w:val="28"/>
          <w:rFonts w:hint="eastAsia" w:ascii="仿宋" w:hAnsi="仿宋" w:eastAsia="仿宋" w:cs="Times New Roman"/>
          <w:color w:val="auto"/>
          <w:kern w:val="2"/>
          <w:sz w:val="22"/>
          <w:szCs w:val="22"/>
          <w:highlight w:val="none"/>
          <w:lang w:val="en-US" w:eastAsia="zh-CN" w:bidi="ar-SA"/>
        </w:rPr>
        <w:t>（产品名称2）</w:t>
      </w:r>
      <w:r>
        <w:rPr>
          <w:rFonts w:hint="eastAsia" w:ascii="仿宋" w:hAnsi="仿宋" w:eastAsia="仿宋" w:cs="Times New Roman"/>
          <w:color w:val="auto"/>
          <w:kern w:val="0"/>
          <w:sz w:val="22"/>
          <w:szCs w:val="22"/>
          <w:highlight w:val="none"/>
          <w:lang w:val="en-US" w:eastAsia="zh-CN" w:bidi="ar-SA"/>
        </w:rPr>
        <w:t>的</w:t>
      </w:r>
      <w:r>
        <w:rPr>
          <w:rStyle w:val="28"/>
          <w:rFonts w:hint="eastAsia" w:ascii="仿宋" w:hAnsi="仿宋" w:eastAsia="仿宋" w:cs="Times New Roman"/>
          <w:color w:val="auto"/>
          <w:kern w:val="2"/>
          <w:sz w:val="22"/>
          <w:szCs w:val="22"/>
          <w:highlight w:val="none"/>
          <w:lang w:val="en-US" w:eastAsia="zh-CN" w:bidi="ar-SA"/>
        </w:rPr>
        <w:t>（关键工序）</w:t>
      </w:r>
      <w:r>
        <w:rPr>
          <w:rFonts w:hint="eastAsia" w:ascii="仿宋" w:hAnsi="仿宋" w:eastAsia="仿宋" w:cs="Times New Roman"/>
          <w:color w:val="auto"/>
          <w:kern w:val="0"/>
          <w:sz w:val="22"/>
          <w:szCs w:val="22"/>
          <w:highlight w:val="none"/>
          <w:lang w:val="en-US" w:eastAsia="zh-CN" w:bidi="ar-SA"/>
        </w:rPr>
        <w:t>在中国境内完成。</w:t>
      </w:r>
    </w:p>
    <w:p w14:paraId="6C5C7443">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w:t>
      </w:r>
    </w:p>
    <w:p w14:paraId="73DE3215">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本公司（单位）对上述声明内容的真实性负责。如有虚假，愿承担相应法律责任。</w:t>
      </w:r>
    </w:p>
    <w:p w14:paraId="1DC7CA40">
      <w:pPr>
        <w:keepNext w:val="0"/>
        <w:keepLines w:val="0"/>
        <w:pageBreakBefore w:val="0"/>
        <w:widowControl/>
        <w:shd w:val="clear" w:color="auto" w:fill="FFFFFF"/>
        <w:kinsoku/>
        <w:wordWrap/>
        <w:overflowPunct/>
        <w:topLinePunct w:val="0"/>
        <w:autoSpaceDE/>
        <w:autoSpaceDN/>
        <w:bidi w:val="0"/>
        <w:spacing w:beforeAutospacing="0" w:afterAutospacing="0" w:line="480" w:lineRule="exact"/>
        <w:jc w:val="left"/>
        <w:textAlignment w:val="baseline"/>
        <w:rPr>
          <w:rFonts w:hint="eastAsia" w:ascii="仿宋" w:hAnsi="仿宋" w:eastAsia="仿宋" w:cs="Times New Roman"/>
          <w:color w:val="auto"/>
          <w:kern w:val="0"/>
          <w:sz w:val="22"/>
          <w:szCs w:val="22"/>
          <w:highlight w:val="none"/>
          <w:lang w:val="en-US" w:eastAsia="zh-CN" w:bidi="ar-SA"/>
        </w:rPr>
      </w:pPr>
      <w:r>
        <w:rPr>
          <w:rFonts w:ascii="Calibri" w:hAnsi="Calibri" w:eastAsia="仿宋" w:cs="Calibri"/>
          <w:color w:val="auto"/>
          <w:kern w:val="0"/>
          <w:sz w:val="22"/>
          <w:szCs w:val="22"/>
          <w:highlight w:val="none"/>
          <w:lang w:val="en-US" w:eastAsia="zh-CN" w:bidi="ar-SA"/>
        </w:rPr>
        <w:t> </w:t>
      </w:r>
    </w:p>
    <w:p w14:paraId="4114D53A">
      <w:pPr>
        <w:keepNext w:val="0"/>
        <w:keepLines w:val="0"/>
        <w:pageBreakBefore w:val="0"/>
        <w:widowControl/>
        <w:shd w:val="clear" w:color="auto" w:fill="FFFFFF"/>
        <w:kinsoku/>
        <w:wordWrap/>
        <w:overflowPunct/>
        <w:topLinePunct w:val="0"/>
        <w:autoSpaceDE/>
        <w:autoSpaceDN/>
        <w:bidi w:val="0"/>
        <w:spacing w:beforeAutospacing="0" w:afterAutospacing="0" w:line="480" w:lineRule="exact"/>
        <w:jc w:val="righ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公司（单位）名称（盖章）：        </w:t>
      </w:r>
    </w:p>
    <w:p w14:paraId="412B9FED">
      <w:pPr>
        <w:keepNext w:val="0"/>
        <w:keepLines w:val="0"/>
        <w:pageBreakBefore w:val="0"/>
        <w:widowControl/>
        <w:shd w:val="clear" w:color="auto" w:fill="FFFFFF"/>
        <w:kinsoku/>
        <w:wordWrap/>
        <w:overflowPunct/>
        <w:topLinePunct w:val="0"/>
        <w:autoSpaceDE/>
        <w:autoSpaceDN/>
        <w:bidi w:val="0"/>
        <w:spacing w:beforeAutospacing="0" w:afterAutospacing="0" w:line="480" w:lineRule="exact"/>
        <w:jc w:val="righ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日期：     年  月  日       </w:t>
      </w:r>
    </w:p>
    <w:p w14:paraId="66AD0A33">
      <w:pPr>
        <w:keepNext w:val="0"/>
        <w:keepLines w:val="0"/>
        <w:pageBreakBefore w:val="0"/>
        <w:widowControl/>
        <w:shd w:val="clear" w:color="auto" w:fill="FFFFFF"/>
        <w:kinsoku/>
        <w:wordWrap/>
        <w:overflowPunct/>
        <w:topLinePunct w:val="0"/>
        <w:autoSpaceDE/>
        <w:autoSpaceDN/>
        <w:bidi w:val="0"/>
        <w:spacing w:beforeAutospacing="0" w:afterAutospacing="0" w:line="480" w:lineRule="exact"/>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__________________</w:t>
      </w:r>
    </w:p>
    <w:p w14:paraId="5663B92F">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1.产品如有型号，请在“产品名称”栏一并填写。</w:t>
      </w:r>
    </w:p>
    <w:p w14:paraId="4517F235">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2.生产厂名与厂址应与生产厂营业执照载明的相关信息保持一致。</w:t>
      </w:r>
    </w:p>
    <w:p w14:paraId="1850DFB1">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3.该产品的中国境内生产的组件成本占比相关要求实施前，“规定比例”栏可不填，下同。</w:t>
      </w:r>
    </w:p>
    <w:p w14:paraId="1DECE899">
      <w:pPr>
        <w:keepNext w:val="0"/>
        <w:keepLines w:val="0"/>
        <w:pageBreakBefore w:val="0"/>
        <w:widowControl/>
        <w:shd w:val="clear" w:color="auto" w:fill="FFFFFF"/>
        <w:kinsoku/>
        <w:wordWrap/>
        <w:overflowPunct/>
        <w:topLinePunct w:val="0"/>
        <w:autoSpaceDE/>
        <w:autoSpaceDN/>
        <w:bidi w:val="0"/>
        <w:spacing w:beforeAutospacing="0" w:afterAutospacing="0" w:line="480" w:lineRule="exact"/>
        <w:ind w:firstLine="480"/>
        <w:jc w:val="left"/>
        <w:textAlignment w:val="baseline"/>
        <w:rPr>
          <w:rFonts w:hint="eastAsia" w:ascii="仿宋" w:hAnsi="仿宋" w:eastAsia="仿宋" w:cs="Times New Roman"/>
          <w:color w:val="auto"/>
          <w:kern w:val="0"/>
          <w:sz w:val="22"/>
          <w:szCs w:val="22"/>
          <w:highlight w:val="none"/>
          <w:lang w:val="en-US" w:eastAsia="zh-CN" w:bidi="ar-SA"/>
        </w:rPr>
      </w:pPr>
      <w:r>
        <w:rPr>
          <w:rFonts w:hint="eastAsia" w:ascii="仿宋" w:hAnsi="仿宋" w:eastAsia="仿宋" w:cs="Times New Roman"/>
          <w:color w:val="auto"/>
          <w:kern w:val="0"/>
          <w:sz w:val="22"/>
          <w:szCs w:val="22"/>
          <w:highlight w:val="none"/>
          <w:lang w:val="en-US" w:eastAsia="zh-CN" w:bidi="ar-SA"/>
        </w:rPr>
        <w:t>4.该产品的关键组件要求实施前，“关键组件”栏可不填，下同。</w:t>
      </w:r>
    </w:p>
    <w:p w14:paraId="409E4E85">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rPr>
      </w:pPr>
      <w:r>
        <w:rPr>
          <w:rFonts w:hint="eastAsia" w:ascii="仿宋" w:hAnsi="仿宋" w:eastAsia="仿宋" w:cs="Times New Roman"/>
          <w:color w:val="auto"/>
          <w:sz w:val="22"/>
          <w:szCs w:val="22"/>
          <w:highlight w:val="none"/>
        </w:rPr>
        <w:t>5.该产品的关键工序要求实施前，“关键工序”栏可不填，下同。</w:t>
      </w:r>
    </w:p>
    <w:p w14:paraId="2DD808A6">
      <w:pPr>
        <w:keepNext w:val="0"/>
        <w:keepLines w:val="0"/>
        <w:pageBreakBefore w:val="0"/>
        <w:kinsoku/>
        <w:wordWrap/>
        <w:overflowPunct/>
        <w:topLinePunct w:val="0"/>
        <w:autoSpaceDE/>
        <w:autoSpaceDN/>
        <w:bidi w:val="0"/>
        <w:spacing w:line="480" w:lineRule="exact"/>
        <w:ind w:firstLine="0"/>
        <w:jc w:val="center"/>
        <w:rPr>
          <w:rFonts w:hint="eastAsia" w:ascii="仿宋" w:hAnsi="仿宋" w:eastAsia="仿宋" w:cs="仿宋"/>
          <w:b/>
          <w:bCs/>
          <w:color w:val="auto"/>
          <w:kern w:val="2"/>
          <w:sz w:val="22"/>
          <w:szCs w:val="22"/>
          <w:highlight w:val="none"/>
          <w:lang w:val="en-US" w:eastAsia="zh-CN" w:bidi="ar-SA"/>
        </w:rPr>
      </w:pPr>
      <w:r>
        <w:rPr>
          <w:rFonts w:hint="eastAsia" w:ascii="仿宋" w:hAnsi="仿宋" w:eastAsia="仿宋" w:cs="Times New Roman"/>
          <w:color w:val="auto"/>
          <w:sz w:val="22"/>
          <w:szCs w:val="22"/>
          <w:highlight w:val="none"/>
        </w:rPr>
        <w:br w:type="page"/>
      </w:r>
      <w:r>
        <w:rPr>
          <w:rFonts w:hint="eastAsia" w:ascii="仿宋" w:hAnsi="仿宋" w:eastAsia="仿宋" w:cs="Times New Roman"/>
          <w:b/>
          <w:bCs/>
          <w:color w:val="auto"/>
          <w:kern w:val="2"/>
          <w:sz w:val="22"/>
          <w:szCs w:val="22"/>
          <w:highlight w:val="none"/>
          <w:lang w:val="en-US" w:eastAsia="zh-CN" w:bidi="ar-SA"/>
        </w:rPr>
        <w:t>1.2中国境内生产的组件成本核算基本规则</w:t>
      </w:r>
    </w:p>
    <w:p w14:paraId="41BF043E">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lang w:val="en-US" w:eastAsia="zh-CN"/>
        </w:rPr>
      </w:pPr>
      <w:r>
        <w:rPr>
          <w:rFonts w:hint="eastAsia" w:ascii="仿宋" w:hAnsi="仿宋" w:eastAsia="仿宋" w:cs="Times New Roman"/>
          <w:color w:val="auto"/>
          <w:sz w:val="22"/>
          <w:szCs w:val="22"/>
          <w:highlight w:val="none"/>
          <w:lang w:val="en-US" w:eastAsia="zh-CN"/>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6F01F139">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lang w:val="en-US" w:eastAsia="zh-CN"/>
        </w:rPr>
      </w:pPr>
      <w:r>
        <w:rPr>
          <w:rFonts w:hint="eastAsia" w:ascii="仿宋" w:hAnsi="仿宋" w:eastAsia="仿宋" w:cs="Times New Roman"/>
          <w:color w:val="auto"/>
          <w:sz w:val="22"/>
          <w:szCs w:val="22"/>
          <w:highlight w:val="none"/>
          <w:lang w:val="en-US" w:eastAsia="zh-CN"/>
        </w:rPr>
        <w:t>一、产品的一级组件是指直接组成产品的组件。产品的二级组件是指直接组成产品一级组件的组件。一级组件不可分解的，视同二级组件。</w:t>
      </w:r>
    </w:p>
    <w:p w14:paraId="7FC149D9">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lang w:val="en-US" w:eastAsia="zh-CN"/>
        </w:rPr>
      </w:pPr>
      <w:r>
        <w:rPr>
          <w:rFonts w:hint="eastAsia" w:ascii="仿宋" w:hAnsi="仿宋" w:eastAsia="仿宋" w:cs="Times New Roman"/>
          <w:color w:val="auto"/>
          <w:sz w:val="22"/>
          <w:szCs w:val="22"/>
          <w:highlight w:val="none"/>
          <w:lang w:val="en-US" w:eastAsia="zh-CN"/>
        </w:rPr>
        <w:t>二、二级组件在中国境内生产的，其全部成本计入中国境内生产的组件成本；二级组件不在中国境内生产的，其成本不计入中国境内生产的组件成本。</w:t>
      </w:r>
    </w:p>
    <w:p w14:paraId="54145F00">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lang w:val="en-US" w:eastAsia="zh-CN"/>
        </w:rPr>
      </w:pPr>
      <w:r>
        <w:rPr>
          <w:rFonts w:hint="eastAsia" w:ascii="仿宋" w:hAnsi="仿宋" w:eastAsia="仿宋" w:cs="Times New Roman"/>
          <w:color w:val="auto"/>
          <w:sz w:val="22"/>
          <w:szCs w:val="22"/>
          <w:highlight w:val="none"/>
          <w:lang w:val="en-US" w:eastAsia="zh-CN"/>
        </w:rPr>
        <w:t>三、产品总成本和组件成本以相关会计核算数据、采购合同、进货记录等为基础进行计算。</w:t>
      </w:r>
    </w:p>
    <w:p w14:paraId="71A515CA">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lang w:val="en-US" w:eastAsia="zh-CN"/>
        </w:rPr>
      </w:pPr>
      <w:r>
        <w:rPr>
          <w:rFonts w:hint="eastAsia" w:ascii="仿宋" w:hAnsi="仿宋" w:eastAsia="仿宋" w:cs="Times New Roman"/>
          <w:color w:val="auto"/>
          <w:sz w:val="22"/>
          <w:szCs w:val="22"/>
          <w:highlight w:val="none"/>
          <w:lang w:val="en-US" w:eastAsia="zh-CN"/>
        </w:rPr>
        <w:t>四、需要对成本核算规则予以进一步明确的其他有关事项，由财政部会同有关部门另行规定。</w:t>
      </w:r>
    </w:p>
    <w:p w14:paraId="335ACDB9">
      <w:pPr>
        <w:keepNext w:val="0"/>
        <w:keepLines w:val="0"/>
        <w:pageBreakBefore w:val="0"/>
        <w:widowControl/>
        <w:kinsoku/>
        <w:wordWrap/>
        <w:overflowPunct/>
        <w:topLinePunct w:val="0"/>
        <w:autoSpaceDE/>
        <w:autoSpaceDN/>
        <w:bidi w:val="0"/>
        <w:adjustRightInd w:val="0"/>
        <w:snapToGrid w:val="0"/>
        <w:spacing w:line="480" w:lineRule="exact"/>
        <w:ind w:firstLine="440" w:firstLineChars="200"/>
        <w:jc w:val="both"/>
        <w:textAlignment w:val="auto"/>
        <w:rPr>
          <w:rFonts w:hint="eastAsia" w:ascii="仿宋" w:hAnsi="仿宋" w:eastAsia="仿宋" w:cs="Times New Roman"/>
          <w:color w:val="auto"/>
          <w:sz w:val="22"/>
          <w:szCs w:val="22"/>
          <w:highlight w:val="none"/>
        </w:rPr>
      </w:pPr>
    </w:p>
    <w:p w14:paraId="6A168EBA">
      <w:pPr>
        <w:keepNext w:val="0"/>
        <w:keepLines w:val="0"/>
        <w:pageBreakBefore w:val="0"/>
        <w:kinsoku/>
        <w:overflowPunct/>
        <w:topLinePunct w:val="0"/>
        <w:autoSpaceDE/>
        <w:autoSpaceDN/>
        <w:bidi w:val="0"/>
        <w:spacing w:line="480" w:lineRule="exact"/>
        <w:ind w:firstLine="420"/>
        <w:rPr>
          <w:rFonts w:hint="eastAsia" w:ascii="仿宋" w:hAnsi="仿宋" w:eastAsia="仿宋" w:cs="仿宋"/>
          <w:color w:val="auto"/>
          <w:kern w:val="2"/>
          <w:sz w:val="22"/>
          <w:szCs w:val="22"/>
          <w:highlight w:val="none"/>
          <w:lang w:val="en-US" w:eastAsia="zh-CN" w:bidi="ar-SA"/>
        </w:rPr>
      </w:pPr>
    </w:p>
    <w:p w14:paraId="4ED2F0E1">
      <w:pPr>
        <w:kinsoku/>
        <w:overflowPunct/>
        <w:bidi w:val="0"/>
        <w:spacing w:line="360" w:lineRule="auto"/>
        <w:ind w:firstLine="420"/>
        <w:rPr>
          <w:rFonts w:hint="eastAsia" w:ascii="仿宋" w:hAnsi="仿宋" w:eastAsia="仿宋" w:cs="仿宋"/>
          <w:color w:val="auto"/>
          <w:kern w:val="2"/>
          <w:sz w:val="22"/>
          <w:szCs w:val="22"/>
          <w:highlight w:val="none"/>
          <w:lang w:val="en-US" w:eastAsia="zh-CN" w:bidi="ar-SA"/>
        </w:rPr>
      </w:pPr>
    </w:p>
    <w:p w14:paraId="24E01951">
      <w:pPr>
        <w:jc w:val="both"/>
        <w:rPr>
          <w:rFonts w:hint="eastAsia" w:ascii="仿宋" w:hAnsi="仿宋" w:eastAsia="仿宋" w:cs="仿宋"/>
          <w:i w:val="0"/>
          <w:iCs w:val="0"/>
          <w:caps w:val="0"/>
          <w:color w:val="auto"/>
          <w:spacing w:val="0"/>
          <w:kern w:val="0"/>
          <w:sz w:val="28"/>
          <w:szCs w:val="28"/>
          <w:highlight w:val="none"/>
          <w:u w:val="none"/>
          <w:shd w:val="clear" w:color="auto" w:fill="FFFFFF"/>
          <w:vertAlign w:val="baseline"/>
          <w:lang w:val="en-US" w:eastAsia="zh-CN" w:bidi="ar-SA"/>
        </w:rPr>
      </w:pPr>
      <w:r>
        <w:rPr>
          <w:rFonts w:hint="eastAsia" w:ascii="仿宋" w:hAnsi="仿宋" w:eastAsia="仿宋" w:cs="仿宋"/>
          <w:b/>
          <w:bCs/>
          <w:color w:val="auto"/>
          <w:sz w:val="22"/>
          <w:szCs w:val="22"/>
          <w:highlight w:val="none"/>
        </w:rPr>
        <w:br w:type="page"/>
      </w:r>
    </w:p>
    <w:p w14:paraId="07BEED49">
      <w:pPr>
        <w:keepNext w:val="0"/>
        <w:keepLines w:val="0"/>
        <w:pageBreakBefore w:val="0"/>
        <w:kinsoku/>
        <w:wordWrap/>
        <w:overflowPunct/>
        <w:topLinePunct w:val="0"/>
        <w:autoSpaceDE/>
        <w:autoSpaceDN/>
        <w:bidi w:val="0"/>
        <w:spacing w:line="480" w:lineRule="exact"/>
        <w:ind w:firstLine="0"/>
        <w:jc w:val="center"/>
        <w:rPr>
          <w:rFonts w:hint="eastAsia" w:ascii="仿宋" w:hAnsi="仿宋" w:eastAsia="仿宋" w:cs="Times New Roman"/>
          <w:b/>
          <w:bCs/>
          <w:color w:val="auto"/>
          <w:kern w:val="2"/>
          <w:sz w:val="22"/>
          <w:szCs w:val="22"/>
          <w:highlight w:val="none"/>
          <w:lang w:val="en-US" w:eastAsia="zh-CN" w:bidi="ar-SA"/>
        </w:rPr>
      </w:pPr>
      <w:r>
        <w:rPr>
          <w:rFonts w:hint="eastAsia" w:ascii="仿宋" w:hAnsi="仿宋" w:eastAsia="仿宋" w:cs="Times New Roman"/>
          <w:b/>
          <w:bCs/>
          <w:color w:val="auto"/>
          <w:kern w:val="2"/>
          <w:sz w:val="22"/>
          <w:szCs w:val="22"/>
          <w:highlight w:val="none"/>
          <w:lang w:val="en-US" w:eastAsia="zh-CN" w:bidi="ar-SA"/>
        </w:rPr>
        <w:t>1.3国务院办公厅关于在政府采购中实施本国产品标准及相关政策的通知</w:t>
      </w:r>
    </w:p>
    <w:p w14:paraId="506DDCEE">
      <w:pPr>
        <w:keepNext w:val="0"/>
        <w:keepLines w:val="0"/>
        <w:pageBreakBefore w:val="0"/>
        <w:kinsoku/>
        <w:wordWrap/>
        <w:overflowPunct/>
        <w:topLinePunct w:val="0"/>
        <w:autoSpaceDE/>
        <w:autoSpaceDN/>
        <w:bidi w:val="0"/>
        <w:spacing w:line="480" w:lineRule="exact"/>
        <w:ind w:firstLine="0"/>
        <w:jc w:val="center"/>
        <w:rPr>
          <w:rFonts w:hint="eastAsia" w:ascii="仿宋" w:hAnsi="仿宋" w:eastAsia="仿宋" w:cs="Times New Roman"/>
          <w:b/>
          <w:bCs/>
          <w:color w:val="auto"/>
          <w:kern w:val="2"/>
          <w:sz w:val="22"/>
          <w:szCs w:val="22"/>
          <w:highlight w:val="none"/>
          <w:lang w:val="en-US" w:eastAsia="zh-CN" w:bidi="ar-SA"/>
        </w:rPr>
      </w:pPr>
      <w:r>
        <w:rPr>
          <w:rFonts w:hint="eastAsia" w:ascii="仿宋" w:hAnsi="仿宋" w:eastAsia="仿宋" w:cs="Times New Roman"/>
          <w:b/>
          <w:bCs/>
          <w:color w:val="auto"/>
          <w:kern w:val="2"/>
          <w:sz w:val="22"/>
          <w:szCs w:val="22"/>
          <w:highlight w:val="none"/>
          <w:lang w:val="en-US" w:eastAsia="zh-CN" w:bidi="ar-SA"/>
        </w:rPr>
        <w:t>国办发〔2025〕34号</w:t>
      </w:r>
    </w:p>
    <w:p w14:paraId="1FB7AD7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exact"/>
        <w:ind w:left="0" w:right="0" w:firstLine="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各省、自治区、直辖市人民政府，国务院各部委、各直属机构：</w:t>
      </w:r>
    </w:p>
    <w:p w14:paraId="78C9A1F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80" w:lineRule="exac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12CBAA2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b/>
          <w:bCs/>
          <w:i w:val="0"/>
          <w:iCs w:val="0"/>
          <w:caps w:val="0"/>
          <w:color w:val="auto"/>
          <w:spacing w:val="0"/>
          <w:kern w:val="2"/>
          <w:sz w:val="22"/>
          <w:szCs w:val="22"/>
          <w:highlight w:val="none"/>
          <w:u w:val="none"/>
          <w:shd w:val="clear" w:color="auto" w:fill="FFFFFF"/>
          <w:vertAlign w:val="baseline"/>
          <w:lang w:val="en-US" w:eastAsia="zh-CN" w:bidi="ar-SA"/>
        </w:rPr>
        <w:t>一、本国产品标准</w:t>
      </w:r>
    </w:p>
    <w:p w14:paraId="163ED1B9">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本国产品应当符合以下条件：</w:t>
      </w:r>
    </w:p>
    <w:p w14:paraId="3CB89BE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（一）在中国境内生产</w:t>
      </w:r>
    </w:p>
    <w:p w14:paraId="6A22039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产品应当在中国境内生产，即在中华人民共和国关境内实现从原材料、组件到产品的属性改变。</w:t>
      </w:r>
    </w:p>
    <w:p w14:paraId="6E8214E6">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属性改变是指经过制造、加工或者组装等工序，产生完全不同于原材料、组件的新产品，并具有新的名称和特征（用途）。属性改变不包括以下细微操作：</w:t>
      </w:r>
    </w:p>
    <w:p w14:paraId="719112D6">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1.为确保产品在运输或者储存期间保持某种状态而进行的操作；</w:t>
      </w:r>
    </w:p>
    <w:p w14:paraId="4F3A8182">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2.为产品运输或者销售进行的包装或者展示；</w:t>
      </w:r>
    </w:p>
    <w:p w14:paraId="162C069C">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3.在产品或者其包装上粘贴或者印刷品牌、标志、标识以及其他用于区别的标记；</w:t>
      </w:r>
    </w:p>
    <w:p w14:paraId="7279327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4.简单的上漆、磨光和分装；</w:t>
      </w:r>
    </w:p>
    <w:p w14:paraId="47E619D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5.其他不属于属性改变的情形。</w:t>
      </w:r>
    </w:p>
    <w:p w14:paraId="7701B736">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（二）在中国境内生产的组件成本占比达到规定比例</w:t>
      </w:r>
    </w:p>
    <w:p w14:paraId="6E6D3803">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产品在中国境内生产的组件成本占比应当达到规定比例，计算公式为：</w:t>
      </w:r>
    </w:p>
    <w:p w14:paraId="7FCE0766">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0"/>
        <w:jc w:val="center"/>
        <w:textAlignment w:val="baseline"/>
        <w:rPr>
          <w:rFonts w:hint="eastAsia" w:ascii="仿宋" w:hAnsi="仿宋" w:eastAsia="仿宋" w:cs="仿宋"/>
          <w:i w:val="0"/>
          <w:iCs w:val="0"/>
          <w:caps w:val="0"/>
          <w:color w:val="auto"/>
          <w:spacing w:val="0"/>
          <w:kern w:val="0"/>
          <w:sz w:val="28"/>
          <w:szCs w:val="28"/>
          <w:highlight w:val="none"/>
          <w:u w:val="none"/>
          <w:shd w:val="clear" w:color="auto" w:fill="FFFFFF"/>
          <w:vertAlign w:val="baseline"/>
          <w:lang w:val="en-US" w:eastAsia="zh-CN" w:bidi="ar-SA"/>
        </w:rPr>
      </w:pPr>
      <w:r>
        <w:rPr>
          <w:rFonts w:hint="eastAsia" w:ascii="仿宋" w:hAnsi="仿宋" w:eastAsia="仿宋" w:cs="仿宋"/>
          <w:i w:val="0"/>
          <w:iCs w:val="0"/>
          <w:caps w:val="0"/>
          <w:color w:val="auto"/>
          <w:spacing w:val="0"/>
          <w:kern w:val="0"/>
          <w:sz w:val="28"/>
          <w:szCs w:val="28"/>
          <w:highlight w:val="none"/>
          <w:u w:val="none"/>
          <w:shd w:val="clear" w:color="auto" w:fill="FFFFFF"/>
          <w:vertAlign w:val="baseline"/>
          <w:lang w:val="en-US" w:eastAsia="zh-CN" w:bidi="ar-SA"/>
        </w:rPr>
        <w:drawing>
          <wp:inline distT="0" distB="0" distL="114300" distR="114300">
            <wp:extent cx="4829175" cy="76200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7"/>
                    <a:stretch>
                      <a:fillRect/>
                    </a:stretch>
                  </pic:blipFill>
                  <pic:spPr>
                    <a:xfrm>
                      <a:off x="0" y="0"/>
                      <a:ext cx="4829175" cy="762000"/>
                    </a:xfrm>
                    <a:prstGeom prst="rect">
                      <a:avLst/>
                    </a:prstGeom>
                    <a:noFill/>
                    <a:ln>
                      <a:noFill/>
                    </a:ln>
                  </pic:spPr>
                </pic:pic>
              </a:graphicData>
            </a:graphic>
          </wp:inline>
        </w:drawing>
      </w:r>
    </w:p>
    <w:p w14:paraId="5F0956BA">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12B1151B">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（三）特定产品的关键组件、关键工序符合相关要求</w:t>
      </w:r>
    </w:p>
    <w:p w14:paraId="2D32E75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对特定产品，在符合本通知第一条第（一）项和第（二）项条件的基础上，应当符合财政部会同有关行业主管部门确定的其关键组件、关键工序在中国境内生产、完成等要求。</w:t>
      </w:r>
    </w:p>
    <w:p w14:paraId="656E511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6B57F3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b/>
          <w:bCs/>
          <w:i w:val="0"/>
          <w:iCs w:val="0"/>
          <w:caps w:val="0"/>
          <w:color w:val="auto"/>
          <w:spacing w:val="0"/>
          <w:kern w:val="2"/>
          <w:sz w:val="22"/>
          <w:szCs w:val="22"/>
          <w:highlight w:val="none"/>
          <w:u w:val="none"/>
          <w:shd w:val="clear" w:color="auto" w:fill="FFFFFF"/>
          <w:vertAlign w:val="baseline"/>
          <w:lang w:val="en-US" w:eastAsia="zh-CN" w:bidi="ar-SA"/>
        </w:rPr>
        <w:t>二、本国产品标准的适用范围</w:t>
      </w:r>
    </w:p>
    <w:p w14:paraId="32FB1778">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89C2A06">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b/>
          <w:bCs/>
          <w:i w:val="0"/>
          <w:iCs w:val="0"/>
          <w:caps w:val="0"/>
          <w:color w:val="auto"/>
          <w:spacing w:val="0"/>
          <w:kern w:val="2"/>
          <w:sz w:val="22"/>
          <w:szCs w:val="22"/>
          <w:highlight w:val="none"/>
          <w:u w:val="none"/>
          <w:shd w:val="clear" w:color="auto" w:fill="FFFFFF"/>
          <w:vertAlign w:val="baseline"/>
          <w:lang w:val="en-US" w:eastAsia="zh-CN" w:bidi="ar-SA"/>
        </w:rPr>
        <w:t>三、对本国产品的支持政策</w:t>
      </w:r>
    </w:p>
    <w:p w14:paraId="63DCBF43">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政府采购活动中既有本国产品又有非本国产品参与竞争的，依法对本国产品给予价格评审优惠，对本国产品的报价给予20%的价格扣除，用扣除后的价格参与评审。</w:t>
      </w:r>
    </w:p>
    <w:p w14:paraId="4AD88B99">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A16BD14">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b/>
          <w:bCs/>
          <w:i w:val="0"/>
          <w:iCs w:val="0"/>
          <w:caps w:val="0"/>
          <w:color w:val="auto"/>
          <w:spacing w:val="0"/>
          <w:kern w:val="2"/>
          <w:sz w:val="22"/>
          <w:szCs w:val="22"/>
          <w:highlight w:val="none"/>
          <w:u w:val="none"/>
          <w:shd w:val="clear" w:color="auto" w:fill="FFFFFF"/>
          <w:vertAlign w:val="baseline"/>
          <w:lang w:val="en-US" w:eastAsia="zh-CN" w:bidi="ar-SA"/>
        </w:rPr>
        <w:t>四、政策执行要求</w:t>
      </w:r>
    </w:p>
    <w:p w14:paraId="216E6149">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（一）产品在中国境内生产的组件成本核算规则。产品在中国境内生产的组件成本，按照《中国境内生产的组件成本核算基本规则》（见附件1）计算。</w:t>
      </w:r>
    </w:p>
    <w:p w14:paraId="6305C5E5">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3723BE0F">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采购人、采购代理机构应当随中标、成交结果同时公告中标、成交供应商提供的《声明函》或有关证明文件。</w:t>
      </w:r>
    </w:p>
    <w:p w14:paraId="4F814CDD">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65DC0EBF">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（四）中华人民共和国缔结或者共同参加的国际条约、协定对政府采购中本国产品政策另有规定的，按照有关条约、协定执行。</w:t>
      </w:r>
    </w:p>
    <w:p w14:paraId="6881E30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b/>
          <w:bCs/>
          <w:i w:val="0"/>
          <w:iCs w:val="0"/>
          <w:caps w:val="0"/>
          <w:color w:val="auto"/>
          <w:spacing w:val="0"/>
          <w:kern w:val="2"/>
          <w:sz w:val="22"/>
          <w:szCs w:val="22"/>
          <w:highlight w:val="none"/>
          <w:u w:val="none"/>
          <w:shd w:val="clear" w:color="auto" w:fill="FFFFFF"/>
          <w:vertAlign w:val="baseline"/>
          <w:lang w:val="en-US" w:eastAsia="zh-CN" w:bidi="ar-SA"/>
        </w:rPr>
        <w:t>五、争议处理</w:t>
      </w:r>
    </w:p>
    <w:p w14:paraId="44CDCB0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2A491F4C">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（一）政府采购投诉处理、监督检查中，对产品或组件是否在中国境内生产存在争议的，按照以下原则处理：</w:t>
      </w:r>
    </w:p>
    <w:p w14:paraId="20239EBA">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2C2347BB">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1BA6C21E">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36E2B95">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2123F7F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7714C169">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本通知自2026年1月1日起施行。</w:t>
      </w:r>
    </w:p>
    <w:p w14:paraId="6400BF29">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附件：1.中国境内生产的组件成本核算基本规则</w:t>
      </w:r>
    </w:p>
    <w:p w14:paraId="2624ACD1">
      <w:pPr>
        <w:keepNext w:val="0"/>
        <w:keepLines w:val="0"/>
        <w:widowControl/>
        <w:suppressLineNumbers w:val="0"/>
        <w:pBdr>
          <w:top w:val="none" w:color="auto" w:sz="0" w:space="0"/>
          <w:left w:val="none" w:color="auto" w:sz="0" w:space="0"/>
          <w:bottom w:val="none" w:color="auto" w:sz="0" w:space="0"/>
          <w:right w:val="none" w:color="auto" w:sz="0" w:space="0"/>
        </w:pBdr>
        <w:spacing w:before="20" w:beforeLines="0" w:beforeAutospacing="0" w:after="20" w:afterLines="0" w:afterAutospacing="0" w:line="560" w:lineRule="atLeast"/>
        <w:ind w:left="0" w:right="0" w:firstLine="420"/>
        <w:jc w:val="left"/>
        <w:textAlignment w:val="baseline"/>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i w:val="0"/>
          <w:iCs w:val="0"/>
          <w:caps w:val="0"/>
          <w:color w:val="auto"/>
          <w:spacing w:val="0"/>
          <w:kern w:val="0"/>
          <w:sz w:val="22"/>
          <w:szCs w:val="22"/>
          <w:highlight w:val="none"/>
          <w:u w:val="none"/>
          <w:shd w:val="clear" w:color="auto" w:fill="FFFFFF"/>
          <w:vertAlign w:val="baseline"/>
          <w:lang w:val="en-US" w:eastAsia="zh-CN" w:bidi="ar-SA"/>
        </w:rPr>
        <w:t>　　　2.关于符合本国产品标准的声明函</w:t>
      </w:r>
    </w:p>
    <w:p w14:paraId="16D1EE9F">
      <w:pPr>
        <w:keepNext w:val="0"/>
        <w:keepLines w:val="0"/>
        <w:pageBreakBefore w:val="0"/>
        <w:widowControl/>
        <w:kinsoku/>
        <w:wordWrap/>
        <w:overflowPunct/>
        <w:topLinePunct w:val="0"/>
        <w:autoSpaceDE/>
        <w:autoSpaceDN/>
        <w:bidi w:val="0"/>
        <w:adjustRightInd w:val="0"/>
        <w:snapToGrid w:val="0"/>
        <w:spacing w:line="240" w:lineRule="auto"/>
        <w:ind w:firstLine="440" w:firstLineChars="200"/>
        <w:jc w:val="left"/>
        <w:textAlignment w:val="auto"/>
        <w:rPr>
          <w:rFonts w:hint="eastAsia" w:ascii="仿宋" w:hAnsi="仿宋" w:eastAsia="仿宋" w:cs="仿宋"/>
          <w:color w:val="auto"/>
          <w:sz w:val="22"/>
          <w:szCs w:val="22"/>
          <w:highlight w:val="none"/>
        </w:rPr>
        <w:sectPr>
          <w:headerReference r:id="rId13" w:type="default"/>
          <w:footerReference r:id="rId14" w:type="default"/>
          <w:pgSz w:w="11906" w:h="16838"/>
          <w:pgMar w:top="1440" w:right="1077" w:bottom="1440" w:left="1077" w:header="851" w:footer="992" w:gutter="0"/>
          <w:pgNumType w:fmt="decimal"/>
          <w:cols w:space="720" w:num="1"/>
          <w:docGrid w:type="lines" w:linePitch="312" w:charSpace="0"/>
        </w:sectPr>
      </w:pPr>
    </w:p>
    <w:p w14:paraId="0FF0BD83">
      <w:pPr>
        <w:keepNext w:val="0"/>
        <w:keepLines w:val="0"/>
        <w:pageBreakBefore w:val="0"/>
        <w:widowControl/>
        <w:kinsoku/>
        <w:wordWrap/>
        <w:overflowPunct/>
        <w:topLinePunct w:val="0"/>
        <w:autoSpaceDE/>
        <w:autoSpaceDN/>
        <w:bidi w:val="0"/>
        <w:adjustRightInd w:val="0"/>
        <w:snapToGrid w:val="0"/>
        <w:spacing w:line="480" w:lineRule="exact"/>
        <w:ind w:firstLine="643" w:firstLineChars="200"/>
        <w:jc w:val="center"/>
        <w:textAlignment w:val="auto"/>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2.其他内容(若有，请如实填写)</w:t>
      </w:r>
    </w:p>
    <w:p w14:paraId="4E15ED6D">
      <w:pPr>
        <w:spacing w:line="440" w:lineRule="exact"/>
        <w:jc w:val="center"/>
        <w:rPr>
          <w:rFonts w:hint="eastAsia" w:ascii="仿宋" w:hAnsi="仿宋" w:eastAsia="仿宋" w:cs="仿宋"/>
          <w:b/>
          <w:bCs/>
          <w:color w:val="auto"/>
          <w:kern w:val="2"/>
          <w:sz w:val="22"/>
          <w:szCs w:val="22"/>
          <w:highlight w:val="none"/>
          <w:shd w:val="clear" w:color="auto" w:fill="auto"/>
          <w:lang w:val="zh-CN" w:eastAsia="zh-CN" w:bidi="ar-SA"/>
        </w:rPr>
      </w:pPr>
      <w:r>
        <w:rPr>
          <w:rFonts w:hint="eastAsia" w:ascii="仿宋" w:hAnsi="仿宋" w:eastAsia="仿宋" w:cs="仿宋"/>
          <w:bCs/>
          <w:color w:val="auto"/>
          <w:sz w:val="22"/>
          <w:szCs w:val="22"/>
          <w:highlight w:val="none"/>
          <w:lang w:val="en-US" w:eastAsia="zh-CN"/>
        </w:rPr>
        <w:t>2.1</w:t>
      </w:r>
      <w:r>
        <w:rPr>
          <w:rFonts w:hint="eastAsia" w:ascii="仿宋" w:hAnsi="仿宋" w:eastAsia="仿宋" w:cs="仿宋"/>
          <w:bCs/>
          <w:color w:val="auto"/>
          <w:sz w:val="22"/>
          <w:szCs w:val="22"/>
          <w:highlight w:val="none"/>
        </w:rPr>
        <w:t>节能、环境标志产品优惠明细表</w:t>
      </w:r>
      <w:r>
        <w:rPr>
          <w:rFonts w:hint="eastAsia" w:ascii="仿宋" w:hAnsi="仿宋" w:eastAsia="仿宋" w:cs="仿宋"/>
          <w:b/>
          <w:bCs/>
          <w:color w:val="auto"/>
          <w:kern w:val="2"/>
          <w:sz w:val="22"/>
          <w:szCs w:val="22"/>
          <w:highlight w:val="none"/>
          <w:shd w:val="clear" w:color="auto" w:fill="auto"/>
          <w:lang w:val="zh-CN" w:eastAsia="zh-CN" w:bidi="ar-SA"/>
        </w:rPr>
        <w:t>【</w:t>
      </w:r>
      <w:r>
        <w:rPr>
          <w:rFonts w:hint="eastAsia" w:ascii="仿宋" w:hAnsi="仿宋" w:eastAsia="仿宋" w:cs="仿宋"/>
          <w:b/>
          <w:bCs/>
          <w:color w:val="auto"/>
          <w:kern w:val="2"/>
          <w:sz w:val="22"/>
          <w:szCs w:val="22"/>
          <w:highlight w:val="none"/>
          <w:shd w:val="clear" w:color="auto" w:fill="auto"/>
          <w:lang w:val="en-US" w:eastAsia="zh-CN" w:bidi="ar-SA"/>
        </w:rPr>
        <w:t>不适用可不提供</w:t>
      </w:r>
      <w:r>
        <w:rPr>
          <w:rFonts w:hint="eastAsia" w:ascii="仿宋" w:hAnsi="仿宋" w:eastAsia="仿宋" w:cs="仿宋"/>
          <w:b/>
          <w:bCs/>
          <w:color w:val="auto"/>
          <w:kern w:val="2"/>
          <w:sz w:val="22"/>
          <w:szCs w:val="22"/>
          <w:highlight w:val="none"/>
          <w:shd w:val="clear" w:color="auto" w:fill="auto"/>
          <w:lang w:val="zh-CN" w:eastAsia="zh-CN" w:bidi="ar-SA"/>
        </w:rPr>
        <w:t>】</w:t>
      </w:r>
    </w:p>
    <w:p w14:paraId="147BFB07">
      <w:pPr>
        <w:spacing w:line="440" w:lineRule="exact"/>
        <w:jc w:val="both"/>
        <w:rPr>
          <w:rFonts w:hint="eastAsia" w:ascii="仿宋" w:hAnsi="仿宋" w:eastAsia="仿宋" w:cs="仿宋"/>
          <w:bCs/>
          <w:color w:val="auto"/>
          <w:sz w:val="22"/>
          <w:szCs w:val="22"/>
          <w:highlight w:val="none"/>
          <w:u w:val="single"/>
        </w:rPr>
      </w:pPr>
      <w:r>
        <w:rPr>
          <w:rFonts w:hint="eastAsia" w:ascii="仿宋" w:hAnsi="仿宋" w:eastAsia="仿宋" w:cs="仿宋"/>
          <w:bCs/>
          <w:color w:val="auto"/>
          <w:sz w:val="22"/>
          <w:szCs w:val="22"/>
          <w:highlight w:val="none"/>
        </w:rPr>
        <w:t>投标人名称（公章）：</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招标编号：</w:t>
      </w:r>
      <w:r>
        <w:rPr>
          <w:rFonts w:hint="eastAsia" w:ascii="仿宋" w:hAnsi="仿宋" w:eastAsia="仿宋" w:cs="仿宋"/>
          <w:bCs/>
          <w:color w:val="auto"/>
          <w:sz w:val="22"/>
          <w:szCs w:val="22"/>
          <w:highlight w:val="none"/>
          <w:u w:val="single"/>
        </w:rPr>
        <w:t xml:space="preserve">　　　　           </w:t>
      </w:r>
    </w:p>
    <w:p w14:paraId="07345254">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所投内容：</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　</w:t>
      </w:r>
    </w:p>
    <w:p w14:paraId="0C9AADAD">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 xml:space="preserve">（1）节能产品明细清单                        </w:t>
      </w: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bCs/>
          <w:color w:val="auto"/>
          <w:sz w:val="22"/>
          <w:szCs w:val="22"/>
          <w:highlight w:val="none"/>
        </w:rPr>
        <w:t>报价货币种类</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金额单位：元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753"/>
        <w:gridCol w:w="1940"/>
        <w:gridCol w:w="1443"/>
        <w:gridCol w:w="2017"/>
        <w:gridCol w:w="897"/>
        <w:gridCol w:w="776"/>
        <w:gridCol w:w="941"/>
        <w:gridCol w:w="8"/>
      </w:tblGrid>
      <w:tr w14:paraId="45E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080" w:type="dxa"/>
            <w:noWrap w:val="0"/>
            <w:vAlign w:val="center"/>
          </w:tcPr>
          <w:p w14:paraId="52C04F0E">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制造商</w:t>
            </w:r>
          </w:p>
        </w:tc>
        <w:tc>
          <w:tcPr>
            <w:tcW w:w="753" w:type="dxa"/>
            <w:noWrap w:val="0"/>
            <w:vAlign w:val="center"/>
          </w:tcPr>
          <w:p w14:paraId="7D41B8C5">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品牌</w:t>
            </w:r>
          </w:p>
        </w:tc>
        <w:tc>
          <w:tcPr>
            <w:tcW w:w="1941" w:type="dxa"/>
            <w:noWrap w:val="0"/>
            <w:vAlign w:val="center"/>
          </w:tcPr>
          <w:p w14:paraId="39F67115">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产品名称、规格型号</w:t>
            </w:r>
          </w:p>
        </w:tc>
        <w:tc>
          <w:tcPr>
            <w:tcW w:w="1443" w:type="dxa"/>
            <w:noWrap w:val="0"/>
            <w:vAlign w:val="center"/>
          </w:tcPr>
          <w:p w14:paraId="0D1D3993">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节字标志认证证书号</w:t>
            </w:r>
          </w:p>
        </w:tc>
        <w:tc>
          <w:tcPr>
            <w:tcW w:w="2018" w:type="dxa"/>
            <w:noWrap w:val="0"/>
            <w:vAlign w:val="center"/>
          </w:tcPr>
          <w:p w14:paraId="238DCCCD">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节能产品认证证书有效截止日期</w:t>
            </w:r>
          </w:p>
        </w:tc>
        <w:tc>
          <w:tcPr>
            <w:tcW w:w="897" w:type="dxa"/>
            <w:noWrap w:val="0"/>
            <w:vAlign w:val="center"/>
          </w:tcPr>
          <w:p w14:paraId="595BF3D9">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单位</w:t>
            </w:r>
          </w:p>
        </w:tc>
        <w:tc>
          <w:tcPr>
            <w:tcW w:w="776" w:type="dxa"/>
            <w:noWrap w:val="0"/>
            <w:vAlign w:val="center"/>
          </w:tcPr>
          <w:p w14:paraId="1DC24A2F">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数量</w:t>
            </w:r>
          </w:p>
        </w:tc>
        <w:tc>
          <w:tcPr>
            <w:tcW w:w="946" w:type="dxa"/>
            <w:gridSpan w:val="2"/>
            <w:noWrap w:val="0"/>
            <w:vAlign w:val="center"/>
          </w:tcPr>
          <w:p w14:paraId="731F8E67">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单价</w:t>
            </w:r>
          </w:p>
        </w:tc>
      </w:tr>
      <w:tr w14:paraId="7E3C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0" w:type="dxa"/>
            <w:noWrap w:val="0"/>
            <w:vAlign w:val="center"/>
          </w:tcPr>
          <w:p w14:paraId="50336939">
            <w:pPr>
              <w:spacing w:line="440" w:lineRule="exact"/>
              <w:jc w:val="center"/>
              <w:rPr>
                <w:rFonts w:hint="eastAsia" w:ascii="仿宋" w:hAnsi="仿宋" w:eastAsia="仿宋" w:cs="仿宋"/>
                <w:bCs/>
                <w:color w:val="auto"/>
                <w:sz w:val="22"/>
                <w:szCs w:val="22"/>
                <w:highlight w:val="none"/>
              </w:rPr>
            </w:pPr>
          </w:p>
        </w:tc>
        <w:tc>
          <w:tcPr>
            <w:tcW w:w="753" w:type="dxa"/>
            <w:noWrap w:val="0"/>
            <w:vAlign w:val="center"/>
          </w:tcPr>
          <w:p w14:paraId="0511B221">
            <w:pPr>
              <w:spacing w:line="440" w:lineRule="exact"/>
              <w:jc w:val="center"/>
              <w:rPr>
                <w:rFonts w:hint="eastAsia" w:ascii="仿宋" w:hAnsi="仿宋" w:eastAsia="仿宋" w:cs="仿宋"/>
                <w:bCs/>
                <w:color w:val="auto"/>
                <w:sz w:val="22"/>
                <w:szCs w:val="22"/>
                <w:highlight w:val="none"/>
              </w:rPr>
            </w:pPr>
          </w:p>
        </w:tc>
        <w:tc>
          <w:tcPr>
            <w:tcW w:w="1941" w:type="dxa"/>
            <w:noWrap w:val="0"/>
            <w:vAlign w:val="center"/>
          </w:tcPr>
          <w:p w14:paraId="26AD783E">
            <w:pPr>
              <w:spacing w:line="440" w:lineRule="exact"/>
              <w:jc w:val="center"/>
              <w:rPr>
                <w:rFonts w:hint="eastAsia" w:ascii="仿宋" w:hAnsi="仿宋" w:eastAsia="仿宋" w:cs="仿宋"/>
                <w:bCs/>
                <w:color w:val="auto"/>
                <w:sz w:val="22"/>
                <w:szCs w:val="22"/>
                <w:highlight w:val="none"/>
              </w:rPr>
            </w:pPr>
          </w:p>
        </w:tc>
        <w:tc>
          <w:tcPr>
            <w:tcW w:w="1443" w:type="dxa"/>
            <w:noWrap w:val="0"/>
            <w:vAlign w:val="center"/>
          </w:tcPr>
          <w:p w14:paraId="299EA277">
            <w:pPr>
              <w:spacing w:line="440" w:lineRule="exact"/>
              <w:jc w:val="center"/>
              <w:rPr>
                <w:rFonts w:hint="eastAsia" w:ascii="仿宋" w:hAnsi="仿宋" w:eastAsia="仿宋" w:cs="仿宋"/>
                <w:bCs/>
                <w:color w:val="auto"/>
                <w:sz w:val="22"/>
                <w:szCs w:val="22"/>
                <w:highlight w:val="none"/>
              </w:rPr>
            </w:pPr>
          </w:p>
        </w:tc>
        <w:tc>
          <w:tcPr>
            <w:tcW w:w="2018" w:type="dxa"/>
            <w:noWrap w:val="0"/>
            <w:vAlign w:val="center"/>
          </w:tcPr>
          <w:p w14:paraId="457670E7">
            <w:pPr>
              <w:spacing w:line="440" w:lineRule="exact"/>
              <w:jc w:val="center"/>
              <w:rPr>
                <w:rFonts w:hint="eastAsia" w:ascii="仿宋" w:hAnsi="仿宋" w:eastAsia="仿宋" w:cs="仿宋"/>
                <w:bCs/>
                <w:color w:val="auto"/>
                <w:sz w:val="22"/>
                <w:szCs w:val="22"/>
                <w:highlight w:val="none"/>
              </w:rPr>
            </w:pPr>
          </w:p>
        </w:tc>
        <w:tc>
          <w:tcPr>
            <w:tcW w:w="897" w:type="dxa"/>
            <w:noWrap w:val="0"/>
            <w:vAlign w:val="center"/>
          </w:tcPr>
          <w:p w14:paraId="26B77752">
            <w:pPr>
              <w:spacing w:line="440" w:lineRule="exact"/>
              <w:jc w:val="center"/>
              <w:rPr>
                <w:rFonts w:hint="eastAsia" w:ascii="仿宋" w:hAnsi="仿宋" w:eastAsia="仿宋" w:cs="仿宋"/>
                <w:bCs/>
                <w:color w:val="auto"/>
                <w:sz w:val="22"/>
                <w:szCs w:val="22"/>
                <w:highlight w:val="none"/>
              </w:rPr>
            </w:pPr>
          </w:p>
        </w:tc>
        <w:tc>
          <w:tcPr>
            <w:tcW w:w="776" w:type="dxa"/>
            <w:noWrap w:val="0"/>
            <w:vAlign w:val="center"/>
          </w:tcPr>
          <w:p w14:paraId="3D3BFC90">
            <w:pPr>
              <w:spacing w:line="440" w:lineRule="exact"/>
              <w:jc w:val="center"/>
              <w:rPr>
                <w:rFonts w:hint="eastAsia" w:ascii="仿宋" w:hAnsi="仿宋" w:eastAsia="仿宋" w:cs="仿宋"/>
                <w:bCs/>
                <w:color w:val="auto"/>
                <w:sz w:val="22"/>
                <w:szCs w:val="22"/>
                <w:highlight w:val="none"/>
              </w:rPr>
            </w:pPr>
          </w:p>
        </w:tc>
        <w:tc>
          <w:tcPr>
            <w:tcW w:w="946" w:type="dxa"/>
            <w:gridSpan w:val="2"/>
            <w:noWrap w:val="0"/>
            <w:vAlign w:val="center"/>
          </w:tcPr>
          <w:p w14:paraId="3EB9904C">
            <w:pPr>
              <w:spacing w:line="440" w:lineRule="exact"/>
              <w:jc w:val="center"/>
              <w:rPr>
                <w:rFonts w:hint="eastAsia" w:ascii="仿宋" w:hAnsi="仿宋" w:eastAsia="仿宋" w:cs="仿宋"/>
                <w:bCs/>
                <w:color w:val="auto"/>
                <w:sz w:val="22"/>
                <w:szCs w:val="22"/>
                <w:highlight w:val="none"/>
              </w:rPr>
            </w:pPr>
          </w:p>
        </w:tc>
      </w:tr>
      <w:tr w14:paraId="1F9A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0" w:type="dxa"/>
            <w:noWrap w:val="0"/>
            <w:vAlign w:val="center"/>
          </w:tcPr>
          <w:p w14:paraId="47E012D6">
            <w:pPr>
              <w:spacing w:line="440" w:lineRule="exact"/>
              <w:jc w:val="center"/>
              <w:rPr>
                <w:rFonts w:hint="eastAsia" w:ascii="仿宋" w:hAnsi="仿宋" w:eastAsia="仿宋" w:cs="仿宋"/>
                <w:bCs/>
                <w:color w:val="auto"/>
                <w:sz w:val="22"/>
                <w:szCs w:val="22"/>
                <w:highlight w:val="none"/>
              </w:rPr>
            </w:pPr>
          </w:p>
        </w:tc>
        <w:tc>
          <w:tcPr>
            <w:tcW w:w="753" w:type="dxa"/>
            <w:noWrap w:val="0"/>
            <w:vAlign w:val="center"/>
          </w:tcPr>
          <w:p w14:paraId="1B54F20F">
            <w:pPr>
              <w:spacing w:line="440" w:lineRule="exact"/>
              <w:jc w:val="center"/>
              <w:rPr>
                <w:rFonts w:hint="eastAsia" w:ascii="仿宋" w:hAnsi="仿宋" w:eastAsia="仿宋" w:cs="仿宋"/>
                <w:bCs/>
                <w:color w:val="auto"/>
                <w:sz w:val="22"/>
                <w:szCs w:val="22"/>
                <w:highlight w:val="none"/>
              </w:rPr>
            </w:pPr>
          </w:p>
        </w:tc>
        <w:tc>
          <w:tcPr>
            <w:tcW w:w="1941" w:type="dxa"/>
            <w:noWrap w:val="0"/>
            <w:vAlign w:val="center"/>
          </w:tcPr>
          <w:p w14:paraId="7A9E046D">
            <w:pPr>
              <w:spacing w:line="440" w:lineRule="exact"/>
              <w:jc w:val="center"/>
              <w:rPr>
                <w:rFonts w:hint="eastAsia" w:ascii="仿宋" w:hAnsi="仿宋" w:eastAsia="仿宋" w:cs="仿宋"/>
                <w:bCs/>
                <w:color w:val="auto"/>
                <w:sz w:val="22"/>
                <w:szCs w:val="22"/>
                <w:highlight w:val="none"/>
              </w:rPr>
            </w:pPr>
          </w:p>
        </w:tc>
        <w:tc>
          <w:tcPr>
            <w:tcW w:w="1443" w:type="dxa"/>
            <w:noWrap w:val="0"/>
            <w:vAlign w:val="center"/>
          </w:tcPr>
          <w:p w14:paraId="33D06AED">
            <w:pPr>
              <w:spacing w:line="440" w:lineRule="exact"/>
              <w:jc w:val="center"/>
              <w:rPr>
                <w:rFonts w:hint="eastAsia" w:ascii="仿宋" w:hAnsi="仿宋" w:eastAsia="仿宋" w:cs="仿宋"/>
                <w:bCs/>
                <w:color w:val="auto"/>
                <w:sz w:val="22"/>
                <w:szCs w:val="22"/>
                <w:highlight w:val="none"/>
              </w:rPr>
            </w:pPr>
          </w:p>
        </w:tc>
        <w:tc>
          <w:tcPr>
            <w:tcW w:w="2018" w:type="dxa"/>
            <w:noWrap w:val="0"/>
            <w:vAlign w:val="center"/>
          </w:tcPr>
          <w:p w14:paraId="31CFE46D">
            <w:pPr>
              <w:spacing w:line="440" w:lineRule="exact"/>
              <w:jc w:val="center"/>
              <w:rPr>
                <w:rFonts w:hint="eastAsia" w:ascii="仿宋" w:hAnsi="仿宋" w:eastAsia="仿宋" w:cs="仿宋"/>
                <w:bCs/>
                <w:color w:val="auto"/>
                <w:sz w:val="22"/>
                <w:szCs w:val="22"/>
                <w:highlight w:val="none"/>
              </w:rPr>
            </w:pPr>
          </w:p>
        </w:tc>
        <w:tc>
          <w:tcPr>
            <w:tcW w:w="897" w:type="dxa"/>
            <w:noWrap w:val="0"/>
            <w:vAlign w:val="center"/>
          </w:tcPr>
          <w:p w14:paraId="0E088E13">
            <w:pPr>
              <w:spacing w:line="440" w:lineRule="exact"/>
              <w:jc w:val="center"/>
              <w:rPr>
                <w:rFonts w:hint="eastAsia" w:ascii="仿宋" w:hAnsi="仿宋" w:eastAsia="仿宋" w:cs="仿宋"/>
                <w:bCs/>
                <w:color w:val="auto"/>
                <w:sz w:val="22"/>
                <w:szCs w:val="22"/>
                <w:highlight w:val="none"/>
              </w:rPr>
            </w:pPr>
          </w:p>
        </w:tc>
        <w:tc>
          <w:tcPr>
            <w:tcW w:w="776" w:type="dxa"/>
            <w:noWrap w:val="0"/>
            <w:vAlign w:val="center"/>
          </w:tcPr>
          <w:p w14:paraId="56870AEC">
            <w:pPr>
              <w:spacing w:line="440" w:lineRule="exact"/>
              <w:jc w:val="center"/>
              <w:rPr>
                <w:rFonts w:hint="eastAsia" w:ascii="仿宋" w:hAnsi="仿宋" w:eastAsia="仿宋" w:cs="仿宋"/>
                <w:bCs/>
                <w:color w:val="auto"/>
                <w:sz w:val="22"/>
                <w:szCs w:val="22"/>
                <w:highlight w:val="none"/>
              </w:rPr>
            </w:pPr>
          </w:p>
        </w:tc>
        <w:tc>
          <w:tcPr>
            <w:tcW w:w="946" w:type="dxa"/>
            <w:gridSpan w:val="2"/>
            <w:noWrap w:val="0"/>
            <w:vAlign w:val="center"/>
          </w:tcPr>
          <w:p w14:paraId="51B762AE">
            <w:pPr>
              <w:spacing w:line="440" w:lineRule="exact"/>
              <w:jc w:val="center"/>
              <w:rPr>
                <w:rFonts w:hint="eastAsia" w:ascii="仿宋" w:hAnsi="仿宋" w:eastAsia="仿宋" w:cs="仿宋"/>
                <w:bCs/>
                <w:color w:val="auto"/>
                <w:sz w:val="22"/>
                <w:szCs w:val="22"/>
                <w:highlight w:val="none"/>
              </w:rPr>
            </w:pPr>
          </w:p>
        </w:tc>
      </w:tr>
      <w:tr w14:paraId="4D93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567" w:hRule="atLeast"/>
        </w:trPr>
        <w:tc>
          <w:tcPr>
            <w:tcW w:w="7235" w:type="dxa"/>
            <w:gridSpan w:val="5"/>
            <w:noWrap w:val="0"/>
            <w:vAlign w:val="center"/>
          </w:tcPr>
          <w:p w14:paraId="032BA057">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合计金额</w:t>
            </w:r>
          </w:p>
        </w:tc>
        <w:tc>
          <w:tcPr>
            <w:tcW w:w="2611" w:type="dxa"/>
            <w:gridSpan w:val="3"/>
            <w:noWrap w:val="0"/>
            <w:vAlign w:val="center"/>
          </w:tcPr>
          <w:p w14:paraId="3393C4CE">
            <w:pPr>
              <w:spacing w:line="440" w:lineRule="exact"/>
              <w:rPr>
                <w:rFonts w:hint="eastAsia" w:ascii="仿宋" w:hAnsi="仿宋" w:eastAsia="仿宋" w:cs="仿宋"/>
                <w:bCs/>
                <w:color w:val="auto"/>
                <w:sz w:val="22"/>
                <w:szCs w:val="22"/>
                <w:highlight w:val="none"/>
              </w:rPr>
            </w:pPr>
          </w:p>
        </w:tc>
      </w:tr>
    </w:tbl>
    <w:p w14:paraId="7F7EE061">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 xml:space="preserve">（2）环保产品明细清单                   </w:t>
      </w:r>
      <w:r>
        <w:rPr>
          <w:rFonts w:hint="eastAsia" w:ascii="仿宋" w:hAnsi="仿宋" w:eastAsia="仿宋" w:cs="仿宋"/>
          <w:bCs/>
          <w:color w:val="auto"/>
          <w:sz w:val="22"/>
          <w:szCs w:val="22"/>
          <w:highlight w:val="none"/>
          <w:lang w:val="en-US" w:eastAsia="zh-CN"/>
        </w:rPr>
        <w:t xml:space="preserve">            </w:t>
      </w:r>
      <w:r>
        <w:rPr>
          <w:rFonts w:hint="eastAsia" w:ascii="仿宋" w:hAnsi="仿宋" w:eastAsia="仿宋" w:cs="仿宋"/>
          <w:bCs/>
          <w:color w:val="auto"/>
          <w:sz w:val="22"/>
          <w:szCs w:val="22"/>
          <w:highlight w:val="none"/>
        </w:rPr>
        <w:t>报价货币种类</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金额单位：元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58"/>
        <w:gridCol w:w="1433"/>
        <w:gridCol w:w="1851"/>
        <w:gridCol w:w="1853"/>
        <w:gridCol w:w="749"/>
        <w:gridCol w:w="840"/>
        <w:gridCol w:w="1013"/>
      </w:tblGrid>
      <w:tr w14:paraId="588E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057" w:type="dxa"/>
            <w:noWrap w:val="0"/>
            <w:vAlign w:val="center"/>
          </w:tcPr>
          <w:p w14:paraId="2A8EF6DA">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制造商</w:t>
            </w:r>
          </w:p>
        </w:tc>
        <w:tc>
          <w:tcPr>
            <w:tcW w:w="1058" w:type="dxa"/>
            <w:noWrap w:val="0"/>
            <w:vAlign w:val="center"/>
          </w:tcPr>
          <w:p w14:paraId="3127F27F">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品牌</w:t>
            </w:r>
          </w:p>
        </w:tc>
        <w:tc>
          <w:tcPr>
            <w:tcW w:w="1433" w:type="dxa"/>
            <w:noWrap w:val="0"/>
            <w:vAlign w:val="center"/>
          </w:tcPr>
          <w:p w14:paraId="0267F20B">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产品名称、规格型号</w:t>
            </w:r>
          </w:p>
        </w:tc>
        <w:tc>
          <w:tcPr>
            <w:tcW w:w="1851" w:type="dxa"/>
            <w:noWrap w:val="0"/>
            <w:vAlign w:val="center"/>
          </w:tcPr>
          <w:p w14:paraId="224C8E94">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中国环境标志认证证书编号</w:t>
            </w:r>
          </w:p>
        </w:tc>
        <w:tc>
          <w:tcPr>
            <w:tcW w:w="1853" w:type="dxa"/>
            <w:noWrap w:val="0"/>
            <w:vAlign w:val="center"/>
          </w:tcPr>
          <w:p w14:paraId="13EAF74F">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认证证书有效截止日期</w:t>
            </w:r>
          </w:p>
        </w:tc>
        <w:tc>
          <w:tcPr>
            <w:tcW w:w="749" w:type="dxa"/>
            <w:noWrap w:val="0"/>
            <w:vAlign w:val="center"/>
          </w:tcPr>
          <w:p w14:paraId="4BE99D1D">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单位</w:t>
            </w:r>
          </w:p>
        </w:tc>
        <w:tc>
          <w:tcPr>
            <w:tcW w:w="840" w:type="dxa"/>
            <w:noWrap w:val="0"/>
            <w:vAlign w:val="center"/>
          </w:tcPr>
          <w:p w14:paraId="4C99E466">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数量</w:t>
            </w:r>
          </w:p>
        </w:tc>
        <w:tc>
          <w:tcPr>
            <w:tcW w:w="1013" w:type="dxa"/>
            <w:noWrap w:val="0"/>
            <w:vAlign w:val="center"/>
          </w:tcPr>
          <w:p w14:paraId="50A14A03">
            <w:pPr>
              <w:spacing w:line="440" w:lineRule="exact"/>
              <w:jc w:val="center"/>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单价</w:t>
            </w:r>
          </w:p>
        </w:tc>
      </w:tr>
      <w:tr w14:paraId="3780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7" w:type="dxa"/>
            <w:noWrap w:val="0"/>
            <w:vAlign w:val="center"/>
          </w:tcPr>
          <w:p w14:paraId="4D048ACE">
            <w:pPr>
              <w:spacing w:line="440" w:lineRule="exact"/>
              <w:jc w:val="center"/>
              <w:rPr>
                <w:rFonts w:hint="eastAsia" w:ascii="仿宋" w:hAnsi="仿宋" w:eastAsia="仿宋" w:cs="仿宋"/>
                <w:bCs/>
                <w:color w:val="auto"/>
                <w:sz w:val="22"/>
                <w:szCs w:val="22"/>
                <w:highlight w:val="none"/>
              </w:rPr>
            </w:pPr>
          </w:p>
        </w:tc>
        <w:tc>
          <w:tcPr>
            <w:tcW w:w="1058" w:type="dxa"/>
            <w:noWrap w:val="0"/>
            <w:vAlign w:val="center"/>
          </w:tcPr>
          <w:p w14:paraId="42DFD27D">
            <w:pPr>
              <w:spacing w:line="440" w:lineRule="exact"/>
              <w:jc w:val="center"/>
              <w:rPr>
                <w:rFonts w:hint="eastAsia" w:ascii="仿宋" w:hAnsi="仿宋" w:eastAsia="仿宋" w:cs="仿宋"/>
                <w:bCs/>
                <w:color w:val="auto"/>
                <w:sz w:val="22"/>
                <w:szCs w:val="22"/>
                <w:highlight w:val="none"/>
              </w:rPr>
            </w:pPr>
          </w:p>
        </w:tc>
        <w:tc>
          <w:tcPr>
            <w:tcW w:w="1433" w:type="dxa"/>
            <w:noWrap w:val="0"/>
            <w:vAlign w:val="center"/>
          </w:tcPr>
          <w:p w14:paraId="1052F71D">
            <w:pPr>
              <w:spacing w:line="440" w:lineRule="exact"/>
              <w:jc w:val="center"/>
              <w:rPr>
                <w:rFonts w:hint="eastAsia" w:ascii="仿宋" w:hAnsi="仿宋" w:eastAsia="仿宋" w:cs="仿宋"/>
                <w:bCs/>
                <w:color w:val="auto"/>
                <w:sz w:val="22"/>
                <w:szCs w:val="22"/>
                <w:highlight w:val="none"/>
              </w:rPr>
            </w:pPr>
          </w:p>
        </w:tc>
        <w:tc>
          <w:tcPr>
            <w:tcW w:w="1851" w:type="dxa"/>
            <w:noWrap w:val="0"/>
            <w:vAlign w:val="center"/>
          </w:tcPr>
          <w:p w14:paraId="145D6C20">
            <w:pPr>
              <w:spacing w:line="440" w:lineRule="exact"/>
              <w:jc w:val="center"/>
              <w:rPr>
                <w:rFonts w:hint="eastAsia" w:ascii="仿宋" w:hAnsi="仿宋" w:eastAsia="仿宋" w:cs="仿宋"/>
                <w:bCs/>
                <w:color w:val="auto"/>
                <w:sz w:val="22"/>
                <w:szCs w:val="22"/>
                <w:highlight w:val="none"/>
              </w:rPr>
            </w:pPr>
          </w:p>
        </w:tc>
        <w:tc>
          <w:tcPr>
            <w:tcW w:w="1853" w:type="dxa"/>
            <w:noWrap w:val="0"/>
            <w:vAlign w:val="center"/>
          </w:tcPr>
          <w:p w14:paraId="4276B7F4">
            <w:pPr>
              <w:spacing w:line="440" w:lineRule="exact"/>
              <w:jc w:val="center"/>
              <w:rPr>
                <w:rFonts w:hint="eastAsia" w:ascii="仿宋" w:hAnsi="仿宋" w:eastAsia="仿宋" w:cs="仿宋"/>
                <w:bCs/>
                <w:color w:val="auto"/>
                <w:sz w:val="22"/>
                <w:szCs w:val="22"/>
                <w:highlight w:val="none"/>
              </w:rPr>
            </w:pPr>
          </w:p>
        </w:tc>
        <w:tc>
          <w:tcPr>
            <w:tcW w:w="749" w:type="dxa"/>
            <w:noWrap w:val="0"/>
            <w:vAlign w:val="center"/>
          </w:tcPr>
          <w:p w14:paraId="23844A3D">
            <w:pPr>
              <w:spacing w:line="440" w:lineRule="exact"/>
              <w:jc w:val="center"/>
              <w:rPr>
                <w:rFonts w:hint="eastAsia" w:ascii="仿宋" w:hAnsi="仿宋" w:eastAsia="仿宋" w:cs="仿宋"/>
                <w:bCs/>
                <w:color w:val="auto"/>
                <w:sz w:val="22"/>
                <w:szCs w:val="22"/>
                <w:highlight w:val="none"/>
              </w:rPr>
            </w:pPr>
          </w:p>
        </w:tc>
        <w:tc>
          <w:tcPr>
            <w:tcW w:w="840" w:type="dxa"/>
            <w:noWrap w:val="0"/>
            <w:vAlign w:val="center"/>
          </w:tcPr>
          <w:p w14:paraId="7BD9E6DB">
            <w:pPr>
              <w:spacing w:line="440" w:lineRule="exact"/>
              <w:jc w:val="center"/>
              <w:rPr>
                <w:rFonts w:hint="eastAsia" w:ascii="仿宋" w:hAnsi="仿宋" w:eastAsia="仿宋" w:cs="仿宋"/>
                <w:bCs/>
                <w:color w:val="auto"/>
                <w:sz w:val="22"/>
                <w:szCs w:val="22"/>
                <w:highlight w:val="none"/>
              </w:rPr>
            </w:pPr>
          </w:p>
        </w:tc>
        <w:tc>
          <w:tcPr>
            <w:tcW w:w="1013" w:type="dxa"/>
            <w:noWrap w:val="0"/>
            <w:vAlign w:val="center"/>
          </w:tcPr>
          <w:p w14:paraId="1639E09E">
            <w:pPr>
              <w:spacing w:line="440" w:lineRule="exact"/>
              <w:jc w:val="center"/>
              <w:rPr>
                <w:rFonts w:hint="eastAsia" w:ascii="仿宋" w:hAnsi="仿宋" w:eastAsia="仿宋" w:cs="仿宋"/>
                <w:bCs/>
                <w:color w:val="auto"/>
                <w:sz w:val="22"/>
                <w:szCs w:val="22"/>
                <w:highlight w:val="none"/>
              </w:rPr>
            </w:pPr>
          </w:p>
        </w:tc>
      </w:tr>
      <w:tr w14:paraId="666F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57" w:type="dxa"/>
            <w:noWrap w:val="0"/>
            <w:vAlign w:val="center"/>
          </w:tcPr>
          <w:p w14:paraId="1842AB97">
            <w:pPr>
              <w:spacing w:line="440" w:lineRule="exact"/>
              <w:jc w:val="center"/>
              <w:rPr>
                <w:rFonts w:hint="eastAsia" w:ascii="仿宋" w:hAnsi="仿宋" w:eastAsia="仿宋" w:cs="仿宋"/>
                <w:bCs/>
                <w:color w:val="auto"/>
                <w:sz w:val="22"/>
                <w:szCs w:val="22"/>
                <w:highlight w:val="none"/>
              </w:rPr>
            </w:pPr>
          </w:p>
        </w:tc>
        <w:tc>
          <w:tcPr>
            <w:tcW w:w="1058" w:type="dxa"/>
            <w:noWrap w:val="0"/>
            <w:vAlign w:val="center"/>
          </w:tcPr>
          <w:p w14:paraId="7FADA544">
            <w:pPr>
              <w:spacing w:line="440" w:lineRule="exact"/>
              <w:jc w:val="center"/>
              <w:rPr>
                <w:rFonts w:hint="eastAsia" w:ascii="仿宋" w:hAnsi="仿宋" w:eastAsia="仿宋" w:cs="仿宋"/>
                <w:bCs/>
                <w:color w:val="auto"/>
                <w:sz w:val="22"/>
                <w:szCs w:val="22"/>
                <w:highlight w:val="none"/>
              </w:rPr>
            </w:pPr>
          </w:p>
        </w:tc>
        <w:tc>
          <w:tcPr>
            <w:tcW w:w="1433" w:type="dxa"/>
            <w:noWrap w:val="0"/>
            <w:vAlign w:val="center"/>
          </w:tcPr>
          <w:p w14:paraId="6B579EB6">
            <w:pPr>
              <w:spacing w:line="440" w:lineRule="exact"/>
              <w:jc w:val="center"/>
              <w:rPr>
                <w:rFonts w:hint="eastAsia" w:ascii="仿宋" w:hAnsi="仿宋" w:eastAsia="仿宋" w:cs="仿宋"/>
                <w:bCs/>
                <w:color w:val="auto"/>
                <w:sz w:val="22"/>
                <w:szCs w:val="22"/>
                <w:highlight w:val="none"/>
              </w:rPr>
            </w:pPr>
          </w:p>
        </w:tc>
        <w:tc>
          <w:tcPr>
            <w:tcW w:w="1851" w:type="dxa"/>
            <w:noWrap w:val="0"/>
            <w:vAlign w:val="center"/>
          </w:tcPr>
          <w:p w14:paraId="000CE182">
            <w:pPr>
              <w:spacing w:line="440" w:lineRule="exact"/>
              <w:jc w:val="center"/>
              <w:rPr>
                <w:rFonts w:hint="eastAsia" w:ascii="仿宋" w:hAnsi="仿宋" w:eastAsia="仿宋" w:cs="仿宋"/>
                <w:bCs/>
                <w:color w:val="auto"/>
                <w:sz w:val="22"/>
                <w:szCs w:val="22"/>
                <w:highlight w:val="none"/>
              </w:rPr>
            </w:pPr>
          </w:p>
        </w:tc>
        <w:tc>
          <w:tcPr>
            <w:tcW w:w="1853" w:type="dxa"/>
            <w:noWrap w:val="0"/>
            <w:vAlign w:val="center"/>
          </w:tcPr>
          <w:p w14:paraId="7A06BA48">
            <w:pPr>
              <w:spacing w:line="440" w:lineRule="exact"/>
              <w:jc w:val="center"/>
              <w:rPr>
                <w:rFonts w:hint="eastAsia" w:ascii="仿宋" w:hAnsi="仿宋" w:eastAsia="仿宋" w:cs="仿宋"/>
                <w:bCs/>
                <w:color w:val="auto"/>
                <w:sz w:val="22"/>
                <w:szCs w:val="22"/>
                <w:highlight w:val="none"/>
              </w:rPr>
            </w:pPr>
          </w:p>
        </w:tc>
        <w:tc>
          <w:tcPr>
            <w:tcW w:w="749" w:type="dxa"/>
            <w:noWrap w:val="0"/>
            <w:vAlign w:val="center"/>
          </w:tcPr>
          <w:p w14:paraId="294059D3">
            <w:pPr>
              <w:spacing w:line="440" w:lineRule="exact"/>
              <w:jc w:val="center"/>
              <w:rPr>
                <w:rFonts w:hint="eastAsia" w:ascii="仿宋" w:hAnsi="仿宋" w:eastAsia="仿宋" w:cs="仿宋"/>
                <w:bCs/>
                <w:color w:val="auto"/>
                <w:sz w:val="22"/>
                <w:szCs w:val="22"/>
                <w:highlight w:val="none"/>
              </w:rPr>
            </w:pPr>
          </w:p>
        </w:tc>
        <w:tc>
          <w:tcPr>
            <w:tcW w:w="840" w:type="dxa"/>
            <w:noWrap w:val="0"/>
            <w:vAlign w:val="center"/>
          </w:tcPr>
          <w:p w14:paraId="476F821C">
            <w:pPr>
              <w:spacing w:line="440" w:lineRule="exact"/>
              <w:jc w:val="center"/>
              <w:rPr>
                <w:rFonts w:hint="eastAsia" w:ascii="仿宋" w:hAnsi="仿宋" w:eastAsia="仿宋" w:cs="仿宋"/>
                <w:bCs/>
                <w:color w:val="auto"/>
                <w:sz w:val="22"/>
                <w:szCs w:val="22"/>
                <w:highlight w:val="none"/>
              </w:rPr>
            </w:pPr>
          </w:p>
        </w:tc>
        <w:tc>
          <w:tcPr>
            <w:tcW w:w="1013" w:type="dxa"/>
            <w:noWrap w:val="0"/>
            <w:vAlign w:val="center"/>
          </w:tcPr>
          <w:p w14:paraId="343B3829">
            <w:pPr>
              <w:spacing w:line="440" w:lineRule="exact"/>
              <w:jc w:val="center"/>
              <w:rPr>
                <w:rFonts w:hint="eastAsia" w:ascii="仿宋" w:hAnsi="仿宋" w:eastAsia="仿宋" w:cs="仿宋"/>
                <w:bCs/>
                <w:color w:val="auto"/>
                <w:sz w:val="22"/>
                <w:szCs w:val="22"/>
                <w:highlight w:val="none"/>
              </w:rPr>
            </w:pPr>
          </w:p>
        </w:tc>
      </w:tr>
      <w:tr w14:paraId="212CF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52" w:type="dxa"/>
            <w:gridSpan w:val="5"/>
            <w:noWrap w:val="0"/>
            <w:vAlign w:val="center"/>
          </w:tcPr>
          <w:p w14:paraId="12FBA1AF">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合计金额</w:t>
            </w:r>
          </w:p>
        </w:tc>
        <w:tc>
          <w:tcPr>
            <w:tcW w:w="2602" w:type="dxa"/>
            <w:gridSpan w:val="3"/>
            <w:noWrap w:val="0"/>
            <w:vAlign w:val="center"/>
          </w:tcPr>
          <w:p w14:paraId="0B3519C3">
            <w:pPr>
              <w:spacing w:line="440" w:lineRule="exact"/>
              <w:rPr>
                <w:rFonts w:hint="eastAsia" w:ascii="仿宋" w:hAnsi="仿宋" w:eastAsia="仿宋" w:cs="仿宋"/>
                <w:bCs/>
                <w:color w:val="auto"/>
                <w:sz w:val="22"/>
                <w:szCs w:val="22"/>
                <w:highlight w:val="none"/>
              </w:rPr>
            </w:pPr>
          </w:p>
        </w:tc>
      </w:tr>
    </w:tbl>
    <w:p w14:paraId="2C9C3803">
      <w:pPr>
        <w:tabs>
          <w:tab w:val="left" w:pos="13000"/>
        </w:tabs>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注：</w:t>
      </w:r>
    </w:p>
    <w:p w14:paraId="3426B1CF">
      <w:pPr>
        <w:tabs>
          <w:tab w:val="left" w:pos="13000"/>
        </w:tabs>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若无货物属于优先采购节能、环境标志产品的，则不填写此表。</w:t>
      </w:r>
    </w:p>
    <w:p w14:paraId="4C95371F">
      <w:pPr>
        <w:adjustRightInd w:val="0"/>
        <w:snapToGrid w:val="0"/>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投标人（盖单位章）：</w:t>
      </w:r>
    </w:p>
    <w:p w14:paraId="25C7EA95">
      <w:pPr>
        <w:adjustRightInd w:val="0"/>
        <w:snapToGrid w:val="0"/>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法定代表人或其委托代理人签字：</w:t>
      </w:r>
      <w:r>
        <w:rPr>
          <w:rFonts w:hint="eastAsia" w:ascii="仿宋" w:hAnsi="仿宋" w:eastAsia="仿宋" w:cs="仿宋"/>
          <w:bCs/>
          <w:color w:val="auto"/>
          <w:sz w:val="22"/>
          <w:szCs w:val="22"/>
          <w:highlight w:val="none"/>
          <w:u w:val="single"/>
        </w:rPr>
        <w:t xml:space="preserve">       </w:t>
      </w:r>
    </w:p>
    <w:p w14:paraId="6DC49D2F">
      <w:pPr>
        <w:spacing w:line="440" w:lineRule="exact"/>
        <w:rPr>
          <w:rFonts w:hint="eastAsia" w:ascii="仿宋" w:hAnsi="仿宋" w:eastAsia="仿宋" w:cs="仿宋"/>
          <w:bCs/>
          <w:color w:val="auto"/>
          <w:sz w:val="22"/>
          <w:szCs w:val="22"/>
          <w:highlight w:val="none"/>
        </w:rPr>
      </w:pPr>
      <w:r>
        <w:rPr>
          <w:rFonts w:hint="eastAsia" w:ascii="仿宋" w:hAnsi="仿宋" w:eastAsia="仿宋" w:cs="仿宋"/>
          <w:bCs/>
          <w:color w:val="auto"/>
          <w:sz w:val="22"/>
          <w:szCs w:val="22"/>
          <w:highlight w:val="none"/>
        </w:rPr>
        <w:t>日期：</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年</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月</w:t>
      </w:r>
      <w:r>
        <w:rPr>
          <w:rFonts w:hint="eastAsia" w:ascii="仿宋" w:hAnsi="仿宋" w:eastAsia="仿宋" w:cs="仿宋"/>
          <w:bCs/>
          <w:color w:val="auto"/>
          <w:sz w:val="22"/>
          <w:szCs w:val="22"/>
          <w:highlight w:val="none"/>
          <w:u w:val="single"/>
        </w:rPr>
        <w:t xml:space="preserve">   </w:t>
      </w:r>
      <w:r>
        <w:rPr>
          <w:rFonts w:hint="eastAsia" w:ascii="仿宋" w:hAnsi="仿宋" w:eastAsia="仿宋" w:cs="仿宋"/>
          <w:bCs/>
          <w:color w:val="auto"/>
          <w:sz w:val="22"/>
          <w:szCs w:val="22"/>
          <w:highlight w:val="none"/>
        </w:rPr>
        <w:t>日</w:t>
      </w:r>
    </w:p>
    <w:p w14:paraId="1E885AF3">
      <w:pPr>
        <w:adjustRightInd w:val="0"/>
        <w:snapToGrid w:val="0"/>
        <w:spacing w:line="440" w:lineRule="exact"/>
        <w:ind w:right="24"/>
        <w:jc w:val="both"/>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val="en-US" w:eastAsia="zh-CN"/>
        </w:rPr>
        <w:t xml:space="preserve">             </w:t>
      </w:r>
    </w:p>
    <w:p w14:paraId="16678459">
      <w:pPr>
        <w:adjustRightInd w:val="0"/>
        <w:snapToGrid w:val="0"/>
        <w:spacing w:line="440" w:lineRule="exact"/>
        <w:ind w:right="24"/>
        <w:jc w:val="both"/>
        <w:rPr>
          <w:rFonts w:hint="eastAsia" w:ascii="仿宋" w:hAnsi="仿宋" w:eastAsia="仿宋" w:cs="仿宋"/>
          <w:bCs/>
          <w:color w:val="auto"/>
          <w:sz w:val="22"/>
          <w:szCs w:val="22"/>
          <w:highlight w:val="none"/>
          <w:lang w:val="en-US" w:eastAsia="zh-CN"/>
        </w:rPr>
      </w:pPr>
    </w:p>
    <w:p w14:paraId="3B89E2B6">
      <w:pPr>
        <w:spacing w:line="440" w:lineRule="exact"/>
        <w:rPr>
          <w:rFonts w:hint="eastAsia" w:ascii="仿宋" w:hAnsi="仿宋" w:eastAsia="仿宋" w:cs="仿宋"/>
          <w:bCs/>
          <w:color w:val="auto"/>
          <w:sz w:val="24"/>
          <w:szCs w:val="24"/>
          <w:highlight w:val="none"/>
        </w:rPr>
      </w:pPr>
    </w:p>
    <w:p w14:paraId="42F9B9AB">
      <w:pPr>
        <w:spacing w:line="440" w:lineRule="exact"/>
        <w:rPr>
          <w:rFonts w:hint="eastAsia" w:ascii="仿宋" w:hAnsi="仿宋" w:eastAsia="仿宋" w:cs="仿宋"/>
          <w:bCs/>
          <w:color w:val="auto"/>
          <w:sz w:val="24"/>
          <w:szCs w:val="24"/>
          <w:highlight w:val="none"/>
        </w:rPr>
      </w:pPr>
    </w:p>
    <w:p w14:paraId="15C5CB6F">
      <w:pPr>
        <w:spacing w:line="440" w:lineRule="exact"/>
        <w:rPr>
          <w:rFonts w:hint="eastAsia" w:ascii="仿宋" w:hAnsi="仿宋" w:eastAsia="仿宋" w:cs="仿宋"/>
          <w:bCs/>
          <w:color w:val="auto"/>
          <w:sz w:val="24"/>
          <w:szCs w:val="24"/>
          <w:highlight w:val="none"/>
        </w:rPr>
      </w:pPr>
    </w:p>
    <w:p w14:paraId="04C04241">
      <w:pPr>
        <w:spacing w:line="440" w:lineRule="exact"/>
        <w:rPr>
          <w:rFonts w:hint="eastAsia" w:ascii="仿宋" w:hAnsi="仿宋" w:eastAsia="仿宋" w:cs="仿宋"/>
          <w:bCs/>
          <w:color w:val="auto"/>
          <w:sz w:val="24"/>
          <w:szCs w:val="24"/>
          <w:highlight w:val="none"/>
        </w:rPr>
      </w:pPr>
    </w:p>
    <w:p w14:paraId="07B34400">
      <w:pPr>
        <w:spacing w:line="440" w:lineRule="exact"/>
        <w:rPr>
          <w:rFonts w:hint="eastAsia" w:ascii="仿宋" w:hAnsi="仿宋" w:eastAsia="仿宋" w:cs="仿宋"/>
          <w:bCs/>
          <w:color w:val="auto"/>
          <w:sz w:val="24"/>
          <w:szCs w:val="24"/>
          <w:highlight w:val="none"/>
        </w:rPr>
      </w:pPr>
    </w:p>
    <w:p w14:paraId="6E9C8DF2">
      <w:pPr>
        <w:jc w:val="left"/>
        <w:rPr>
          <w:rFonts w:hint="eastAsia" w:ascii="仿宋" w:hAnsi="仿宋" w:eastAsia="仿宋" w:cs="仿宋"/>
          <w:b/>
          <w:bCs/>
          <w:color w:val="auto"/>
          <w:sz w:val="36"/>
          <w:szCs w:val="36"/>
          <w:highlight w:val="none"/>
        </w:rPr>
      </w:pPr>
    </w:p>
    <w:sectPr>
      <w:pgSz w:w="11907" w:h="16840"/>
      <w:pgMar w:top="1440" w:right="1474" w:bottom="1440" w:left="1474"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E0DEC80-2DCD-4DDD-8616-F5D87E662375}"/>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B1FA7F5-C598-4A9B-98A2-AEFBAB682F21}"/>
  </w:font>
  <w:font w:name="Calibri Light">
    <w:panose1 w:val="020F03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3" w:fontKey="{F7009CAE-B3DF-43FB-9411-B9B94C48028A}"/>
  </w:font>
  <w:font w:name="仿宋_GB2312">
    <w:altName w:val="仿宋"/>
    <w:panose1 w:val="02010609030101010101"/>
    <w:charset w:val="86"/>
    <w:family w:val="modern"/>
    <w:pitch w:val="default"/>
    <w:sig w:usb0="00000000" w:usb1="00000000" w:usb2="00000000" w:usb3="00000000" w:csb0="00040000" w:csb1="00000000"/>
    <w:embedRegular r:id="rId4" w:fontKey="{B1667209-B601-462D-92FB-BC34C17AAA9F}"/>
  </w:font>
  <w:font w:name="Wingdings 2">
    <w:altName w:val="Wingdings"/>
    <w:panose1 w:val="05020102010507070707"/>
    <w:charset w:val="02"/>
    <w:family w:val="decorative"/>
    <w:pitch w:val="default"/>
    <w:sig w:usb0="00000000" w:usb1="00000000" w:usb2="00000000" w:usb3="00000000" w:csb0="80000000" w:csb1="00000000"/>
    <w:embedRegular r:id="rId5" w:fontKey="{482AE18C-69DC-428C-9BDB-74918BF7EEA9}"/>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1E8F4">
    <w:pPr>
      <w:pStyle w:val="15"/>
      <w:ind w:right="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549D8">
    <w:pPr>
      <w:pStyle w:val="15"/>
      <w:framePr w:wrap="around" w:vAnchor="text" w:hAnchor="margin" w:xAlign="center" w:y="1"/>
      <w:rPr>
        <w:rStyle w:val="27"/>
      </w:rPr>
    </w:pPr>
    <w:r>
      <w:fldChar w:fldCharType="begin"/>
    </w:r>
    <w:r>
      <w:rPr>
        <w:rStyle w:val="27"/>
      </w:rPr>
      <w:instrText xml:space="preserve">PAGE  </w:instrText>
    </w:r>
    <w:r>
      <w:fldChar w:fldCharType="end"/>
    </w:r>
  </w:p>
  <w:p w14:paraId="24B35B19">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A4945">
    <w:pPr>
      <w:pStyle w:val="9"/>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D5CF9">
    <w:pPr>
      <w:pStyle w:val="9"/>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3C47">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0711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60711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F964">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CA3CA">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DDCA3CA">
                    <w:pPr>
                      <w:pStyle w:val="15"/>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13ABF">
    <w:pPr>
      <w:pBdr>
        <w:top w:val="dashDotStroked" w:color="auto" w:sz="24" w:space="1"/>
      </w:pBdr>
      <w:tabs>
        <w:tab w:val="left" w:pos="3185"/>
      </w:tabs>
      <w:ind w:right="-92"/>
      <w:rPr>
        <w:rFonts w:hint="eastAsia" w:ascii="Times New Roman" w:hAnsi="Times New Roman" w:eastAsia="宋体" w:cs="Times New Roman"/>
        <w:szCs w:val="20"/>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E048F">
    <w:pPr>
      <w:pStyle w:val="16"/>
      <w:pBdr>
        <w:bottom w:val="single" w:color="auto" w:sz="4" w:space="1"/>
      </w:pBdr>
      <w:jc w:val="both"/>
      <w:rPr>
        <w:rFonts w:hint="default"/>
        <w:sz w:val="18"/>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49759">
    <w:pPr>
      <w:pStyle w:val="1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9495" cy="6119495"/>
          <wp:effectExtent l="0" t="0" r="14605" b="14605"/>
          <wp:wrapNone/>
          <wp:docPr id="1" name="WordPictureWaterma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
                  <pic:cNvPicPr>
                    <a:picLocks noChangeAspect="1"/>
                  </pic:cNvPicPr>
                </pic:nvPicPr>
                <pic:blipFill>
                  <a:blip r:embed="rId1">
                    <a:lum bright="70001" contrast="-70000"/>
                  </a:blip>
                  <a:stretch>
                    <a:fillRect/>
                  </a:stretch>
                </pic:blipFill>
                <pic:spPr>
                  <a:xfrm>
                    <a:off x="0" y="0"/>
                    <a:ext cx="6119495" cy="6119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D9131">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7096D">
    <w:pPr>
      <w:pStyle w:val="16"/>
      <w:jc w:val="both"/>
      <w:rPr>
        <w:rFonts w:hint="default"/>
        <w:lang w:val="en-US"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4CFA2">
    <w:pPr>
      <w:pBdr>
        <w:bottom w:val="none" w:color="auto" w:sz="0" w:space="1"/>
      </w:pBdr>
      <w:jc w:val="center"/>
      <w:rPr>
        <w:rFonts w:hint="eastAsia" w:ascii="仿宋_GB2312" w:hAnsi="Times New Roman" w:eastAsia="仿宋_GB2312" w:cs="Times New Roman"/>
        <w:b/>
        <w:i/>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E2737"/>
    <w:multiLevelType w:val="singleLevel"/>
    <w:tmpl w:val="8B4E2737"/>
    <w:lvl w:ilvl="0" w:tentative="0">
      <w:start w:val="7"/>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2F214EC"/>
    <w:multiLevelType w:val="singleLevel"/>
    <w:tmpl w:val="E2F214EC"/>
    <w:lvl w:ilvl="0" w:tentative="0">
      <w:start w:val="1"/>
      <w:numFmt w:val="decimal"/>
      <w:suff w:val="nothing"/>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282C1CF1"/>
    <w:multiLevelType w:val="singleLevel"/>
    <w:tmpl w:val="282C1CF1"/>
    <w:lvl w:ilvl="0" w:tentative="0">
      <w:start w:val="5"/>
      <w:numFmt w:val="chineseCounting"/>
      <w:suff w:val="nothing"/>
      <w:lvlText w:val="%1、"/>
      <w:lvlJc w:val="left"/>
      <w:rPr>
        <w:rFonts w:hint="eastAsia"/>
      </w:rPr>
    </w:lvl>
  </w:abstractNum>
  <w:abstractNum w:abstractNumId="9">
    <w:nsid w:val="4B6F7EC6"/>
    <w:multiLevelType w:val="singleLevel"/>
    <w:tmpl w:val="4B6F7EC6"/>
    <w:lvl w:ilvl="0" w:tentative="0">
      <w:start w:val="1"/>
      <w:numFmt w:val="decimal"/>
      <w:suff w:val="nothing"/>
      <w:lvlText w:val="%1、"/>
      <w:lvlJc w:val="left"/>
    </w:lvl>
  </w:abstractNum>
  <w:abstractNum w:abstractNumId="10">
    <w:nsid w:val="7A0F6431"/>
    <w:multiLevelType w:val="singleLevel"/>
    <w:tmpl w:val="7A0F6431"/>
    <w:lvl w:ilvl="0" w:tentative="0">
      <w:start w:val="1"/>
      <w:numFmt w:val="decimal"/>
      <w:suff w:val="space"/>
      <w:lvlText w:val="%1."/>
      <w:lvlJc w:val="left"/>
    </w:lvl>
  </w:abstractNum>
  <w:num w:numId="1">
    <w:abstractNumId w:val="6"/>
  </w:num>
  <w:num w:numId="2">
    <w:abstractNumId w:val="9"/>
  </w:num>
  <w:num w:numId="3">
    <w:abstractNumId w:val="10"/>
  </w:num>
  <w:num w:numId="4">
    <w:abstractNumId w:val="2"/>
  </w:num>
  <w:num w:numId="5">
    <w:abstractNumId w:val="7"/>
  </w:num>
  <w:num w:numId="6">
    <w:abstractNumId w:val="4"/>
  </w:num>
  <w:num w:numId="7">
    <w:abstractNumId w:val="3"/>
  </w:num>
  <w:num w:numId="8">
    <w:abstractNumId w:val="1"/>
  </w:num>
  <w:num w:numId="9">
    <w:abstractNumId w:val="5"/>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wOGY3YTMxMmFiZDI4MGUxZmI4Njk2NjdlOWQ1MTIifQ=="/>
  </w:docVars>
  <w:rsids>
    <w:rsidRoot w:val="0BD46CE0"/>
    <w:rsid w:val="00013654"/>
    <w:rsid w:val="001C048E"/>
    <w:rsid w:val="00285085"/>
    <w:rsid w:val="00351550"/>
    <w:rsid w:val="003F23CE"/>
    <w:rsid w:val="00417EF4"/>
    <w:rsid w:val="004D6899"/>
    <w:rsid w:val="004E43BF"/>
    <w:rsid w:val="00515C5E"/>
    <w:rsid w:val="00577718"/>
    <w:rsid w:val="005A0FB6"/>
    <w:rsid w:val="005E0AA6"/>
    <w:rsid w:val="005F0D0D"/>
    <w:rsid w:val="00612345"/>
    <w:rsid w:val="006140F3"/>
    <w:rsid w:val="007200AE"/>
    <w:rsid w:val="00732078"/>
    <w:rsid w:val="0075194C"/>
    <w:rsid w:val="007C717F"/>
    <w:rsid w:val="008322BB"/>
    <w:rsid w:val="00874E29"/>
    <w:rsid w:val="008878D1"/>
    <w:rsid w:val="00893649"/>
    <w:rsid w:val="00894880"/>
    <w:rsid w:val="008B3C54"/>
    <w:rsid w:val="00951FEE"/>
    <w:rsid w:val="00975D66"/>
    <w:rsid w:val="009C337D"/>
    <w:rsid w:val="00A0756A"/>
    <w:rsid w:val="00A2778E"/>
    <w:rsid w:val="00A53C07"/>
    <w:rsid w:val="00A641FB"/>
    <w:rsid w:val="00A81D22"/>
    <w:rsid w:val="00A97848"/>
    <w:rsid w:val="00B406C6"/>
    <w:rsid w:val="00B42A2E"/>
    <w:rsid w:val="00B93F2F"/>
    <w:rsid w:val="00C12DE3"/>
    <w:rsid w:val="00ED3BD8"/>
    <w:rsid w:val="00F211EF"/>
    <w:rsid w:val="010D427B"/>
    <w:rsid w:val="010F737D"/>
    <w:rsid w:val="01113D6B"/>
    <w:rsid w:val="011473B7"/>
    <w:rsid w:val="01177A27"/>
    <w:rsid w:val="01181DD9"/>
    <w:rsid w:val="011D61A5"/>
    <w:rsid w:val="01211AD4"/>
    <w:rsid w:val="012D66CB"/>
    <w:rsid w:val="013C690E"/>
    <w:rsid w:val="01401F5A"/>
    <w:rsid w:val="014852B3"/>
    <w:rsid w:val="014F6641"/>
    <w:rsid w:val="0156177E"/>
    <w:rsid w:val="015772A4"/>
    <w:rsid w:val="01583748"/>
    <w:rsid w:val="016043AA"/>
    <w:rsid w:val="016206F8"/>
    <w:rsid w:val="016539DF"/>
    <w:rsid w:val="0167398B"/>
    <w:rsid w:val="01695955"/>
    <w:rsid w:val="016F45ED"/>
    <w:rsid w:val="018362EB"/>
    <w:rsid w:val="01875DDB"/>
    <w:rsid w:val="018A1427"/>
    <w:rsid w:val="018C1643"/>
    <w:rsid w:val="01967DCC"/>
    <w:rsid w:val="019D115B"/>
    <w:rsid w:val="019D55FE"/>
    <w:rsid w:val="01A41E1E"/>
    <w:rsid w:val="01A7647D"/>
    <w:rsid w:val="01A87AFF"/>
    <w:rsid w:val="01B12E58"/>
    <w:rsid w:val="01C81F50"/>
    <w:rsid w:val="01CE3A0A"/>
    <w:rsid w:val="01E23011"/>
    <w:rsid w:val="01E90844"/>
    <w:rsid w:val="01F40F97"/>
    <w:rsid w:val="01FA47FF"/>
    <w:rsid w:val="01FE5971"/>
    <w:rsid w:val="020016E9"/>
    <w:rsid w:val="02072A78"/>
    <w:rsid w:val="02217FDE"/>
    <w:rsid w:val="022D740A"/>
    <w:rsid w:val="022E44A8"/>
    <w:rsid w:val="02337D11"/>
    <w:rsid w:val="0236335D"/>
    <w:rsid w:val="023A530D"/>
    <w:rsid w:val="0241242E"/>
    <w:rsid w:val="024159EA"/>
    <w:rsid w:val="02557C87"/>
    <w:rsid w:val="025F0B06"/>
    <w:rsid w:val="02674585"/>
    <w:rsid w:val="026A02B6"/>
    <w:rsid w:val="027D71DE"/>
    <w:rsid w:val="027F4D04"/>
    <w:rsid w:val="02816CCE"/>
    <w:rsid w:val="028440C8"/>
    <w:rsid w:val="02897931"/>
    <w:rsid w:val="028B4F54"/>
    <w:rsid w:val="028D7D41"/>
    <w:rsid w:val="028E6791"/>
    <w:rsid w:val="029F53A6"/>
    <w:rsid w:val="02A227A1"/>
    <w:rsid w:val="02B448BA"/>
    <w:rsid w:val="02BD5273"/>
    <w:rsid w:val="02BE4F7A"/>
    <w:rsid w:val="02BF15A4"/>
    <w:rsid w:val="02CB1CF7"/>
    <w:rsid w:val="02D05560"/>
    <w:rsid w:val="02DA4630"/>
    <w:rsid w:val="02E42DB9"/>
    <w:rsid w:val="02E80AFB"/>
    <w:rsid w:val="02EA4873"/>
    <w:rsid w:val="02F0175E"/>
    <w:rsid w:val="02F05C02"/>
    <w:rsid w:val="02F456F2"/>
    <w:rsid w:val="02F56D74"/>
    <w:rsid w:val="02F70D3E"/>
    <w:rsid w:val="02FA25DD"/>
    <w:rsid w:val="03060F81"/>
    <w:rsid w:val="030A0578"/>
    <w:rsid w:val="030B6598"/>
    <w:rsid w:val="030F42DA"/>
    <w:rsid w:val="03165668"/>
    <w:rsid w:val="0321400D"/>
    <w:rsid w:val="03215DBB"/>
    <w:rsid w:val="032559B3"/>
    <w:rsid w:val="033755DF"/>
    <w:rsid w:val="03485BD5"/>
    <w:rsid w:val="034A5312"/>
    <w:rsid w:val="03525F75"/>
    <w:rsid w:val="035C6DF3"/>
    <w:rsid w:val="03600692"/>
    <w:rsid w:val="03764359"/>
    <w:rsid w:val="038274A1"/>
    <w:rsid w:val="038325D2"/>
    <w:rsid w:val="038A1793"/>
    <w:rsid w:val="038A1BB2"/>
    <w:rsid w:val="038B1487"/>
    <w:rsid w:val="03977E2B"/>
    <w:rsid w:val="039B791C"/>
    <w:rsid w:val="03AA5DB1"/>
    <w:rsid w:val="03B15391"/>
    <w:rsid w:val="03D177E1"/>
    <w:rsid w:val="03E07A24"/>
    <w:rsid w:val="03E5778C"/>
    <w:rsid w:val="03EA2651"/>
    <w:rsid w:val="03EC461B"/>
    <w:rsid w:val="03F31506"/>
    <w:rsid w:val="03F4527E"/>
    <w:rsid w:val="03F86B1C"/>
    <w:rsid w:val="040134DD"/>
    <w:rsid w:val="040354C1"/>
    <w:rsid w:val="04114082"/>
    <w:rsid w:val="041C7638"/>
    <w:rsid w:val="041D2A27"/>
    <w:rsid w:val="041D6583"/>
    <w:rsid w:val="042042C5"/>
    <w:rsid w:val="04206073"/>
    <w:rsid w:val="04215A92"/>
    <w:rsid w:val="04275C39"/>
    <w:rsid w:val="042C0EBC"/>
    <w:rsid w:val="04350D16"/>
    <w:rsid w:val="04363AE8"/>
    <w:rsid w:val="043D6C25"/>
    <w:rsid w:val="044B1342"/>
    <w:rsid w:val="045E6F25"/>
    <w:rsid w:val="046C12B8"/>
    <w:rsid w:val="046E6DDE"/>
    <w:rsid w:val="04730898"/>
    <w:rsid w:val="04784101"/>
    <w:rsid w:val="047D34C5"/>
    <w:rsid w:val="047F723D"/>
    <w:rsid w:val="048D2BD8"/>
    <w:rsid w:val="049251C3"/>
    <w:rsid w:val="04932CE9"/>
    <w:rsid w:val="049D5915"/>
    <w:rsid w:val="04A110F6"/>
    <w:rsid w:val="04A86794"/>
    <w:rsid w:val="04B05649"/>
    <w:rsid w:val="04B14F1D"/>
    <w:rsid w:val="04B36EE7"/>
    <w:rsid w:val="04BA2023"/>
    <w:rsid w:val="04C133B2"/>
    <w:rsid w:val="04D23811"/>
    <w:rsid w:val="04D550AF"/>
    <w:rsid w:val="04D74983"/>
    <w:rsid w:val="04EE6171"/>
    <w:rsid w:val="04F274F3"/>
    <w:rsid w:val="04F433AE"/>
    <w:rsid w:val="04F96FF0"/>
    <w:rsid w:val="04FD0162"/>
    <w:rsid w:val="04FD0A58"/>
    <w:rsid w:val="050E236F"/>
    <w:rsid w:val="050E411D"/>
    <w:rsid w:val="05120AEF"/>
    <w:rsid w:val="051554AC"/>
    <w:rsid w:val="051675BB"/>
    <w:rsid w:val="0517294F"/>
    <w:rsid w:val="051756C8"/>
    <w:rsid w:val="051E25B2"/>
    <w:rsid w:val="05203B59"/>
    <w:rsid w:val="052102F4"/>
    <w:rsid w:val="05237BC9"/>
    <w:rsid w:val="0526590B"/>
    <w:rsid w:val="052B4CCF"/>
    <w:rsid w:val="053242B0"/>
    <w:rsid w:val="053C6EDC"/>
    <w:rsid w:val="053D2709"/>
    <w:rsid w:val="054B711F"/>
    <w:rsid w:val="054E09BE"/>
    <w:rsid w:val="05595CE0"/>
    <w:rsid w:val="05634469"/>
    <w:rsid w:val="05654685"/>
    <w:rsid w:val="0565570E"/>
    <w:rsid w:val="05656433"/>
    <w:rsid w:val="05687253"/>
    <w:rsid w:val="056C5B99"/>
    <w:rsid w:val="056D353A"/>
    <w:rsid w:val="05706B86"/>
    <w:rsid w:val="0571302A"/>
    <w:rsid w:val="05746676"/>
    <w:rsid w:val="05790181"/>
    <w:rsid w:val="057C22D7"/>
    <w:rsid w:val="05816FE5"/>
    <w:rsid w:val="05834B0B"/>
    <w:rsid w:val="05976809"/>
    <w:rsid w:val="059D3E1F"/>
    <w:rsid w:val="05A76A4C"/>
    <w:rsid w:val="05B9052D"/>
    <w:rsid w:val="05B922DB"/>
    <w:rsid w:val="05BC1DCB"/>
    <w:rsid w:val="05C05314"/>
    <w:rsid w:val="05CA273A"/>
    <w:rsid w:val="05CC64B2"/>
    <w:rsid w:val="05CF1AFF"/>
    <w:rsid w:val="05D15877"/>
    <w:rsid w:val="05D215EF"/>
    <w:rsid w:val="05D26E3A"/>
    <w:rsid w:val="05D45367"/>
    <w:rsid w:val="05D830A9"/>
    <w:rsid w:val="05DC421B"/>
    <w:rsid w:val="05E355AA"/>
    <w:rsid w:val="05E7509A"/>
    <w:rsid w:val="05ED6429"/>
    <w:rsid w:val="05F477B7"/>
    <w:rsid w:val="06043E9E"/>
    <w:rsid w:val="06071298"/>
    <w:rsid w:val="060A1DD1"/>
    <w:rsid w:val="060C1E02"/>
    <w:rsid w:val="060D7C05"/>
    <w:rsid w:val="060F2843"/>
    <w:rsid w:val="061C410F"/>
    <w:rsid w:val="062537E8"/>
    <w:rsid w:val="062E0F1B"/>
    <w:rsid w:val="06500E91"/>
    <w:rsid w:val="065A3ABE"/>
    <w:rsid w:val="06624721"/>
    <w:rsid w:val="06640499"/>
    <w:rsid w:val="066466EB"/>
    <w:rsid w:val="06710E08"/>
    <w:rsid w:val="06734B80"/>
    <w:rsid w:val="067D155B"/>
    <w:rsid w:val="068376C5"/>
    <w:rsid w:val="06856661"/>
    <w:rsid w:val="0686090F"/>
    <w:rsid w:val="06862B05"/>
    <w:rsid w:val="06874187"/>
    <w:rsid w:val="068943A3"/>
    <w:rsid w:val="068A3C77"/>
    <w:rsid w:val="069A3EBB"/>
    <w:rsid w:val="06AB256C"/>
    <w:rsid w:val="06AE3E0A"/>
    <w:rsid w:val="06B64A6C"/>
    <w:rsid w:val="06B84C89"/>
    <w:rsid w:val="06B917F9"/>
    <w:rsid w:val="06C76C7A"/>
    <w:rsid w:val="06D575E9"/>
    <w:rsid w:val="06D849E3"/>
    <w:rsid w:val="06D870D9"/>
    <w:rsid w:val="06E11AE9"/>
    <w:rsid w:val="06E25862"/>
    <w:rsid w:val="06E810D0"/>
    <w:rsid w:val="06E93094"/>
    <w:rsid w:val="06F07F7E"/>
    <w:rsid w:val="06F26EE0"/>
    <w:rsid w:val="06F53C79"/>
    <w:rsid w:val="06F6572E"/>
    <w:rsid w:val="06FA704F"/>
    <w:rsid w:val="06FC4AE5"/>
    <w:rsid w:val="06FD08ED"/>
    <w:rsid w:val="0701218C"/>
    <w:rsid w:val="070E5AAE"/>
    <w:rsid w:val="071E0F8F"/>
    <w:rsid w:val="071E297C"/>
    <w:rsid w:val="071F0864"/>
    <w:rsid w:val="071F6AB6"/>
    <w:rsid w:val="07245E7A"/>
    <w:rsid w:val="072D23B6"/>
    <w:rsid w:val="074107DA"/>
    <w:rsid w:val="07464042"/>
    <w:rsid w:val="074A27AC"/>
    <w:rsid w:val="076444C8"/>
    <w:rsid w:val="07697D31"/>
    <w:rsid w:val="076F3599"/>
    <w:rsid w:val="07812C00"/>
    <w:rsid w:val="07830FC8"/>
    <w:rsid w:val="078D1C71"/>
    <w:rsid w:val="07901E52"/>
    <w:rsid w:val="07921036"/>
    <w:rsid w:val="07927288"/>
    <w:rsid w:val="07966D78"/>
    <w:rsid w:val="07972AF0"/>
    <w:rsid w:val="079E6452"/>
    <w:rsid w:val="07A64AE1"/>
    <w:rsid w:val="07AF7E3A"/>
    <w:rsid w:val="07BA233A"/>
    <w:rsid w:val="07BE007D"/>
    <w:rsid w:val="07C80EFB"/>
    <w:rsid w:val="07D433FC"/>
    <w:rsid w:val="07D653C6"/>
    <w:rsid w:val="07E35D35"/>
    <w:rsid w:val="07E86EA8"/>
    <w:rsid w:val="07F36299"/>
    <w:rsid w:val="08161C67"/>
    <w:rsid w:val="082463FC"/>
    <w:rsid w:val="0825634E"/>
    <w:rsid w:val="082C4FE6"/>
    <w:rsid w:val="083245C7"/>
    <w:rsid w:val="08326375"/>
    <w:rsid w:val="08393BA7"/>
    <w:rsid w:val="08395955"/>
    <w:rsid w:val="083B791F"/>
    <w:rsid w:val="08422A5C"/>
    <w:rsid w:val="0843241C"/>
    <w:rsid w:val="08493B5F"/>
    <w:rsid w:val="08513C0E"/>
    <w:rsid w:val="085602B5"/>
    <w:rsid w:val="0856719C"/>
    <w:rsid w:val="086A3D60"/>
    <w:rsid w:val="086E55FF"/>
    <w:rsid w:val="088968DD"/>
    <w:rsid w:val="089963F4"/>
    <w:rsid w:val="089A2898"/>
    <w:rsid w:val="089A76B6"/>
    <w:rsid w:val="089B4494"/>
    <w:rsid w:val="089D7C92"/>
    <w:rsid w:val="08A90D2D"/>
    <w:rsid w:val="08B1373D"/>
    <w:rsid w:val="08B466DC"/>
    <w:rsid w:val="08B60D54"/>
    <w:rsid w:val="08B84ACC"/>
    <w:rsid w:val="08BB4929"/>
    <w:rsid w:val="08C6543B"/>
    <w:rsid w:val="08CB0CA3"/>
    <w:rsid w:val="08D12032"/>
    <w:rsid w:val="08D538D0"/>
    <w:rsid w:val="08D77648"/>
    <w:rsid w:val="08DA426D"/>
    <w:rsid w:val="08DF64FD"/>
    <w:rsid w:val="08E12275"/>
    <w:rsid w:val="08E41D65"/>
    <w:rsid w:val="08E43B13"/>
    <w:rsid w:val="08EA795F"/>
    <w:rsid w:val="08ED6E6B"/>
    <w:rsid w:val="08F33D56"/>
    <w:rsid w:val="08F5187C"/>
    <w:rsid w:val="08F655F4"/>
    <w:rsid w:val="08FA1588"/>
    <w:rsid w:val="08FE1A92"/>
    <w:rsid w:val="091C4F8C"/>
    <w:rsid w:val="091F4B4B"/>
    <w:rsid w:val="092108C3"/>
    <w:rsid w:val="09273A00"/>
    <w:rsid w:val="092B1742"/>
    <w:rsid w:val="092E2FE0"/>
    <w:rsid w:val="0935436E"/>
    <w:rsid w:val="093C56FD"/>
    <w:rsid w:val="09410F65"/>
    <w:rsid w:val="09476079"/>
    <w:rsid w:val="094D16B8"/>
    <w:rsid w:val="094E6E4D"/>
    <w:rsid w:val="095742E5"/>
    <w:rsid w:val="09622C8A"/>
    <w:rsid w:val="09694018"/>
    <w:rsid w:val="096B7D90"/>
    <w:rsid w:val="096D3B08"/>
    <w:rsid w:val="09793B17"/>
    <w:rsid w:val="097A4477"/>
    <w:rsid w:val="097E3F67"/>
    <w:rsid w:val="098B3F8E"/>
    <w:rsid w:val="099C619C"/>
    <w:rsid w:val="09A6701A"/>
    <w:rsid w:val="09A80FE4"/>
    <w:rsid w:val="09A908B8"/>
    <w:rsid w:val="09AB4631"/>
    <w:rsid w:val="09AD49AC"/>
    <w:rsid w:val="09B5725D"/>
    <w:rsid w:val="09C37BCC"/>
    <w:rsid w:val="09C40DDA"/>
    <w:rsid w:val="09C63218"/>
    <w:rsid w:val="09CB6A81"/>
    <w:rsid w:val="09CF6571"/>
    <w:rsid w:val="09D05E45"/>
    <w:rsid w:val="09D83F8D"/>
    <w:rsid w:val="09D9119E"/>
    <w:rsid w:val="09DA6CC4"/>
    <w:rsid w:val="09F4422A"/>
    <w:rsid w:val="09F935EE"/>
    <w:rsid w:val="09FB1114"/>
    <w:rsid w:val="0A083831"/>
    <w:rsid w:val="0A0E5ECB"/>
    <w:rsid w:val="0A122902"/>
    <w:rsid w:val="0A1C3158"/>
    <w:rsid w:val="0A1F0A4A"/>
    <w:rsid w:val="0A200B7B"/>
    <w:rsid w:val="0A20501F"/>
    <w:rsid w:val="0A246083"/>
    <w:rsid w:val="0A2C5771"/>
    <w:rsid w:val="0A2D5046"/>
    <w:rsid w:val="0A342878"/>
    <w:rsid w:val="0A3C386A"/>
    <w:rsid w:val="0A3E680D"/>
    <w:rsid w:val="0A405ADE"/>
    <w:rsid w:val="0A481E7F"/>
    <w:rsid w:val="0A5C7CB9"/>
    <w:rsid w:val="0A5D3B7D"/>
    <w:rsid w:val="0A5E78F5"/>
    <w:rsid w:val="0A6842D0"/>
    <w:rsid w:val="0A6C3DC0"/>
    <w:rsid w:val="0A6F565E"/>
    <w:rsid w:val="0A70536D"/>
    <w:rsid w:val="0A80786B"/>
    <w:rsid w:val="0A814349"/>
    <w:rsid w:val="0A8607D1"/>
    <w:rsid w:val="0A89170D"/>
    <w:rsid w:val="0A9D21CB"/>
    <w:rsid w:val="0A9D666F"/>
    <w:rsid w:val="0AA25A34"/>
    <w:rsid w:val="0AB3259A"/>
    <w:rsid w:val="0ABC5446"/>
    <w:rsid w:val="0ACC0D02"/>
    <w:rsid w:val="0ACE05D7"/>
    <w:rsid w:val="0ACE4A7B"/>
    <w:rsid w:val="0ACF33A9"/>
    <w:rsid w:val="0AD32091"/>
    <w:rsid w:val="0AD650A4"/>
    <w:rsid w:val="0AD656DD"/>
    <w:rsid w:val="0ADA341F"/>
    <w:rsid w:val="0ADA51CD"/>
    <w:rsid w:val="0AE24082"/>
    <w:rsid w:val="0AE71698"/>
    <w:rsid w:val="0AEA2F37"/>
    <w:rsid w:val="0AEB1631"/>
    <w:rsid w:val="0AF52007"/>
    <w:rsid w:val="0AF52179"/>
    <w:rsid w:val="0AF54ADE"/>
    <w:rsid w:val="0AFA761E"/>
    <w:rsid w:val="0B04224A"/>
    <w:rsid w:val="0B095AB3"/>
    <w:rsid w:val="0B0E30C9"/>
    <w:rsid w:val="0B100BEF"/>
    <w:rsid w:val="0B19257F"/>
    <w:rsid w:val="0B195150"/>
    <w:rsid w:val="0B1D50BA"/>
    <w:rsid w:val="0B2226D0"/>
    <w:rsid w:val="0B246449"/>
    <w:rsid w:val="0B416FFB"/>
    <w:rsid w:val="0B520281"/>
    <w:rsid w:val="0B52745A"/>
    <w:rsid w:val="0B543AC8"/>
    <w:rsid w:val="0B5C2086"/>
    <w:rsid w:val="0B5F3843"/>
    <w:rsid w:val="0B6B22C9"/>
    <w:rsid w:val="0B7A075E"/>
    <w:rsid w:val="0B7A250D"/>
    <w:rsid w:val="0B8415DD"/>
    <w:rsid w:val="0B884C29"/>
    <w:rsid w:val="0B8B64C8"/>
    <w:rsid w:val="0B8E5FB8"/>
    <w:rsid w:val="0B903ADE"/>
    <w:rsid w:val="0B955093"/>
    <w:rsid w:val="0B9A670B"/>
    <w:rsid w:val="0B9C2483"/>
    <w:rsid w:val="0B9E269F"/>
    <w:rsid w:val="0B9F1F73"/>
    <w:rsid w:val="0BA13F3D"/>
    <w:rsid w:val="0BA9676E"/>
    <w:rsid w:val="0BAB4DBC"/>
    <w:rsid w:val="0BAD643E"/>
    <w:rsid w:val="0BB21CA6"/>
    <w:rsid w:val="0BB27EF8"/>
    <w:rsid w:val="0BB93035"/>
    <w:rsid w:val="0BCD088E"/>
    <w:rsid w:val="0BD0037E"/>
    <w:rsid w:val="0BD46CE0"/>
    <w:rsid w:val="0BD5582F"/>
    <w:rsid w:val="0BD55995"/>
    <w:rsid w:val="0BE67BA2"/>
    <w:rsid w:val="0BEB7D3C"/>
    <w:rsid w:val="0BF056B3"/>
    <w:rsid w:val="0BF91683"/>
    <w:rsid w:val="0C055274"/>
    <w:rsid w:val="0C0A3890"/>
    <w:rsid w:val="0C0B13B7"/>
    <w:rsid w:val="0C1163E6"/>
    <w:rsid w:val="0C193AD3"/>
    <w:rsid w:val="0C321039"/>
    <w:rsid w:val="0C322DE7"/>
    <w:rsid w:val="0C48085D"/>
    <w:rsid w:val="0C4C20FB"/>
    <w:rsid w:val="0C4F7899"/>
    <w:rsid w:val="0C5114BF"/>
    <w:rsid w:val="0C540FAF"/>
    <w:rsid w:val="0C580AA0"/>
    <w:rsid w:val="0C581E7A"/>
    <w:rsid w:val="0C5B40EC"/>
    <w:rsid w:val="0C5D6764"/>
    <w:rsid w:val="0C5F718D"/>
    <w:rsid w:val="0C6311F3"/>
    <w:rsid w:val="0C6531BD"/>
    <w:rsid w:val="0C656D19"/>
    <w:rsid w:val="0C6D3E1F"/>
    <w:rsid w:val="0C741652"/>
    <w:rsid w:val="0C7451AE"/>
    <w:rsid w:val="0C782EF0"/>
    <w:rsid w:val="0C7E7DDA"/>
    <w:rsid w:val="0C803B53"/>
    <w:rsid w:val="0C86379A"/>
    <w:rsid w:val="0C8C21A0"/>
    <w:rsid w:val="0C8E2713"/>
    <w:rsid w:val="0C92338D"/>
    <w:rsid w:val="0C9615C8"/>
    <w:rsid w:val="0C9910B8"/>
    <w:rsid w:val="0CA05FA3"/>
    <w:rsid w:val="0CB832EC"/>
    <w:rsid w:val="0CC46135"/>
    <w:rsid w:val="0CCC323C"/>
    <w:rsid w:val="0CDF4D1D"/>
    <w:rsid w:val="0CE02843"/>
    <w:rsid w:val="0CE42333"/>
    <w:rsid w:val="0CFB06D3"/>
    <w:rsid w:val="0CFF53BF"/>
    <w:rsid w:val="0D002EE5"/>
    <w:rsid w:val="0D0414C3"/>
    <w:rsid w:val="0D044784"/>
    <w:rsid w:val="0D062163"/>
    <w:rsid w:val="0D062A3C"/>
    <w:rsid w:val="0D110C4F"/>
    <w:rsid w:val="0D216044"/>
    <w:rsid w:val="0D2766C4"/>
    <w:rsid w:val="0D2E35AF"/>
    <w:rsid w:val="0D352B8F"/>
    <w:rsid w:val="0D3C5D68"/>
    <w:rsid w:val="0D3D1A44"/>
    <w:rsid w:val="0D3D5EE8"/>
    <w:rsid w:val="0D3F57BC"/>
    <w:rsid w:val="0D416E24"/>
    <w:rsid w:val="0D466B4A"/>
    <w:rsid w:val="0D470B14"/>
    <w:rsid w:val="0D4728C2"/>
    <w:rsid w:val="0D49663A"/>
    <w:rsid w:val="0D531267"/>
    <w:rsid w:val="0D562B05"/>
    <w:rsid w:val="0D646FD0"/>
    <w:rsid w:val="0D660F9A"/>
    <w:rsid w:val="0D766925"/>
    <w:rsid w:val="0D7C3D12"/>
    <w:rsid w:val="0D7D0092"/>
    <w:rsid w:val="0D887163"/>
    <w:rsid w:val="0D8B27AF"/>
    <w:rsid w:val="0D8E5FAA"/>
    <w:rsid w:val="0D913B3D"/>
    <w:rsid w:val="0D9F26FE"/>
    <w:rsid w:val="0DA33F9D"/>
    <w:rsid w:val="0DA41AC3"/>
    <w:rsid w:val="0DA43871"/>
    <w:rsid w:val="0DAB10A3"/>
    <w:rsid w:val="0DB66733"/>
    <w:rsid w:val="0DC14423"/>
    <w:rsid w:val="0DC161D1"/>
    <w:rsid w:val="0DC857B1"/>
    <w:rsid w:val="0DC932D7"/>
    <w:rsid w:val="0DD00B0A"/>
    <w:rsid w:val="0DDF67B7"/>
    <w:rsid w:val="0DE34399"/>
    <w:rsid w:val="0DE6032D"/>
    <w:rsid w:val="0DF06AB6"/>
    <w:rsid w:val="0DF4599F"/>
    <w:rsid w:val="0DF91E0E"/>
    <w:rsid w:val="0DFA7935"/>
    <w:rsid w:val="0DFC545B"/>
    <w:rsid w:val="0E012A71"/>
    <w:rsid w:val="0E0367E9"/>
    <w:rsid w:val="0E056A05"/>
    <w:rsid w:val="0E1516DC"/>
    <w:rsid w:val="0E16227B"/>
    <w:rsid w:val="0E1E05C2"/>
    <w:rsid w:val="0E1E1875"/>
    <w:rsid w:val="0E232E17"/>
    <w:rsid w:val="0E2551CB"/>
    <w:rsid w:val="0E2B5D40"/>
    <w:rsid w:val="0E2D7D0A"/>
    <w:rsid w:val="0E3746E5"/>
    <w:rsid w:val="0E4449F4"/>
    <w:rsid w:val="0E455054"/>
    <w:rsid w:val="0E572FD9"/>
    <w:rsid w:val="0E664FCA"/>
    <w:rsid w:val="0E686F94"/>
    <w:rsid w:val="0E6A6868"/>
    <w:rsid w:val="0E6D0107"/>
    <w:rsid w:val="0E7771D7"/>
    <w:rsid w:val="0E7B0A75"/>
    <w:rsid w:val="0E913FA4"/>
    <w:rsid w:val="0E952516"/>
    <w:rsid w:val="0E981627"/>
    <w:rsid w:val="0EA16002"/>
    <w:rsid w:val="0EAA135B"/>
    <w:rsid w:val="0EB14497"/>
    <w:rsid w:val="0EB65F51"/>
    <w:rsid w:val="0EB9159E"/>
    <w:rsid w:val="0EBA5CB8"/>
    <w:rsid w:val="0EBB5316"/>
    <w:rsid w:val="0EC73CBB"/>
    <w:rsid w:val="0ED63EFE"/>
    <w:rsid w:val="0ED71A24"/>
    <w:rsid w:val="0ED9579C"/>
    <w:rsid w:val="0EDD528C"/>
    <w:rsid w:val="0EE06B2A"/>
    <w:rsid w:val="0EE54141"/>
    <w:rsid w:val="0EE859DF"/>
    <w:rsid w:val="0EEE56EB"/>
    <w:rsid w:val="0EEE7499"/>
    <w:rsid w:val="0EF83E74"/>
    <w:rsid w:val="0F0071CD"/>
    <w:rsid w:val="0F07055B"/>
    <w:rsid w:val="0F184516"/>
    <w:rsid w:val="0F234C69"/>
    <w:rsid w:val="0F2863F3"/>
    <w:rsid w:val="0F296723"/>
    <w:rsid w:val="0F334030"/>
    <w:rsid w:val="0F346E76"/>
    <w:rsid w:val="0F380715"/>
    <w:rsid w:val="0F3F1AA3"/>
    <w:rsid w:val="0F44355D"/>
    <w:rsid w:val="0F474DFC"/>
    <w:rsid w:val="0F4D0B41"/>
    <w:rsid w:val="0F58691F"/>
    <w:rsid w:val="0F5F5CA1"/>
    <w:rsid w:val="0F615EBD"/>
    <w:rsid w:val="0F692FC4"/>
    <w:rsid w:val="0F786D63"/>
    <w:rsid w:val="0F7B6853"/>
    <w:rsid w:val="0F8507F1"/>
    <w:rsid w:val="0F985657"/>
    <w:rsid w:val="0F9A317D"/>
    <w:rsid w:val="0FA1450C"/>
    <w:rsid w:val="0FBA5F39"/>
    <w:rsid w:val="0FBF0E36"/>
    <w:rsid w:val="0FBF6A20"/>
    <w:rsid w:val="0FC71A98"/>
    <w:rsid w:val="0FDC19E8"/>
    <w:rsid w:val="0FDF7A3C"/>
    <w:rsid w:val="0FE16FFE"/>
    <w:rsid w:val="0FE32D76"/>
    <w:rsid w:val="0FE824F8"/>
    <w:rsid w:val="0FEB5776"/>
    <w:rsid w:val="0FF24D67"/>
    <w:rsid w:val="0FF30ADF"/>
    <w:rsid w:val="0FF87EA4"/>
    <w:rsid w:val="100625C1"/>
    <w:rsid w:val="10067CF4"/>
    <w:rsid w:val="10093E5F"/>
    <w:rsid w:val="100D1BA1"/>
    <w:rsid w:val="101271B8"/>
    <w:rsid w:val="10152804"/>
    <w:rsid w:val="1017657C"/>
    <w:rsid w:val="101E3381"/>
    <w:rsid w:val="10234F21"/>
    <w:rsid w:val="10246EEB"/>
    <w:rsid w:val="102962AF"/>
    <w:rsid w:val="102C6FB4"/>
    <w:rsid w:val="103107E9"/>
    <w:rsid w:val="103709CC"/>
    <w:rsid w:val="10412E95"/>
    <w:rsid w:val="104650B3"/>
    <w:rsid w:val="104D6442"/>
    <w:rsid w:val="104F3F68"/>
    <w:rsid w:val="105552F6"/>
    <w:rsid w:val="10560A13"/>
    <w:rsid w:val="105B0B5E"/>
    <w:rsid w:val="10615A49"/>
    <w:rsid w:val="10677240"/>
    <w:rsid w:val="106A6FF4"/>
    <w:rsid w:val="10741C20"/>
    <w:rsid w:val="1077526D"/>
    <w:rsid w:val="10A6525C"/>
    <w:rsid w:val="10B169D0"/>
    <w:rsid w:val="10B244F7"/>
    <w:rsid w:val="10BE2E9B"/>
    <w:rsid w:val="10C20BDE"/>
    <w:rsid w:val="10CD1330"/>
    <w:rsid w:val="10D206F5"/>
    <w:rsid w:val="10DB3A4D"/>
    <w:rsid w:val="10DF6FF3"/>
    <w:rsid w:val="10E723F2"/>
    <w:rsid w:val="10F13271"/>
    <w:rsid w:val="10F442DE"/>
    <w:rsid w:val="10F547A6"/>
    <w:rsid w:val="10FD39C4"/>
    <w:rsid w:val="11050ACA"/>
    <w:rsid w:val="110805BA"/>
    <w:rsid w:val="110E3E23"/>
    <w:rsid w:val="110E5BD1"/>
    <w:rsid w:val="111156C1"/>
    <w:rsid w:val="111C620F"/>
    <w:rsid w:val="112453F4"/>
    <w:rsid w:val="112D2D43"/>
    <w:rsid w:val="113B0990"/>
    <w:rsid w:val="11427629"/>
    <w:rsid w:val="11473B78"/>
    <w:rsid w:val="11494E5B"/>
    <w:rsid w:val="114D0915"/>
    <w:rsid w:val="11551A52"/>
    <w:rsid w:val="11553800"/>
    <w:rsid w:val="115630D4"/>
    <w:rsid w:val="115B4DE3"/>
    <w:rsid w:val="11641C95"/>
    <w:rsid w:val="11667325"/>
    <w:rsid w:val="1167079C"/>
    <w:rsid w:val="11673533"/>
    <w:rsid w:val="116E2B13"/>
    <w:rsid w:val="116E48C1"/>
    <w:rsid w:val="1173012A"/>
    <w:rsid w:val="117619C8"/>
    <w:rsid w:val="118447F4"/>
    <w:rsid w:val="11877731"/>
    <w:rsid w:val="11902A8A"/>
    <w:rsid w:val="119A56B6"/>
    <w:rsid w:val="119B31DD"/>
    <w:rsid w:val="119B4F8B"/>
    <w:rsid w:val="119D51A7"/>
    <w:rsid w:val="119F0F1F"/>
    <w:rsid w:val="11A2456B"/>
    <w:rsid w:val="11A622AD"/>
    <w:rsid w:val="11BA7AC1"/>
    <w:rsid w:val="11BB73DB"/>
    <w:rsid w:val="11C72224"/>
    <w:rsid w:val="11CC1DC3"/>
    <w:rsid w:val="11D47836"/>
    <w:rsid w:val="11D566EF"/>
    <w:rsid w:val="11D64215"/>
    <w:rsid w:val="11D652A1"/>
    <w:rsid w:val="11D84431"/>
    <w:rsid w:val="11E06E41"/>
    <w:rsid w:val="11EA4711"/>
    <w:rsid w:val="11EC57E6"/>
    <w:rsid w:val="11EE5A02"/>
    <w:rsid w:val="11F052D6"/>
    <w:rsid w:val="11F254F3"/>
    <w:rsid w:val="11F73DAB"/>
    <w:rsid w:val="11F8062F"/>
    <w:rsid w:val="120174E4"/>
    <w:rsid w:val="120668A8"/>
    <w:rsid w:val="12073577"/>
    <w:rsid w:val="120B2110"/>
    <w:rsid w:val="12137217"/>
    <w:rsid w:val="12154D3D"/>
    <w:rsid w:val="12296A3A"/>
    <w:rsid w:val="122A544F"/>
    <w:rsid w:val="12331667"/>
    <w:rsid w:val="123D6042"/>
    <w:rsid w:val="124D4697"/>
    <w:rsid w:val="12524C6B"/>
    <w:rsid w:val="125A3098"/>
    <w:rsid w:val="12614426"/>
    <w:rsid w:val="12661A3D"/>
    <w:rsid w:val="126D730B"/>
    <w:rsid w:val="12767ED2"/>
    <w:rsid w:val="1279351E"/>
    <w:rsid w:val="128D521B"/>
    <w:rsid w:val="129973FF"/>
    <w:rsid w:val="129C0FBA"/>
    <w:rsid w:val="129E2F84"/>
    <w:rsid w:val="12A61E39"/>
    <w:rsid w:val="12B5207C"/>
    <w:rsid w:val="12B96010"/>
    <w:rsid w:val="12BD67FA"/>
    <w:rsid w:val="12C56CCB"/>
    <w:rsid w:val="12D1335A"/>
    <w:rsid w:val="12D9220E"/>
    <w:rsid w:val="12E82452"/>
    <w:rsid w:val="12EC1F42"/>
    <w:rsid w:val="12FE7EC7"/>
    <w:rsid w:val="130003A3"/>
    <w:rsid w:val="13021765"/>
    <w:rsid w:val="130A061A"/>
    <w:rsid w:val="13113756"/>
    <w:rsid w:val="131577DB"/>
    <w:rsid w:val="13166FBF"/>
    <w:rsid w:val="13201BEB"/>
    <w:rsid w:val="1323348A"/>
    <w:rsid w:val="13286CF2"/>
    <w:rsid w:val="132F0080"/>
    <w:rsid w:val="133E2072"/>
    <w:rsid w:val="13405DEA"/>
    <w:rsid w:val="134621D2"/>
    <w:rsid w:val="13474541"/>
    <w:rsid w:val="135B70C7"/>
    <w:rsid w:val="135D4BEE"/>
    <w:rsid w:val="136410DB"/>
    <w:rsid w:val="13655850"/>
    <w:rsid w:val="136A2E67"/>
    <w:rsid w:val="1376180B"/>
    <w:rsid w:val="13773FFC"/>
    <w:rsid w:val="137D0DEC"/>
    <w:rsid w:val="137D2B9A"/>
    <w:rsid w:val="137F2DB6"/>
    <w:rsid w:val="138E4DA7"/>
    <w:rsid w:val="139D553F"/>
    <w:rsid w:val="13A24CF6"/>
    <w:rsid w:val="13A4001D"/>
    <w:rsid w:val="13A66595"/>
    <w:rsid w:val="13B14F39"/>
    <w:rsid w:val="13B47B04"/>
    <w:rsid w:val="13BF31B2"/>
    <w:rsid w:val="13C62793"/>
    <w:rsid w:val="13D80718"/>
    <w:rsid w:val="13D9661F"/>
    <w:rsid w:val="13DB3D64"/>
    <w:rsid w:val="13E23345"/>
    <w:rsid w:val="13F51386"/>
    <w:rsid w:val="13F7291D"/>
    <w:rsid w:val="13FF7A53"/>
    <w:rsid w:val="14117786"/>
    <w:rsid w:val="14151024"/>
    <w:rsid w:val="1422715C"/>
    <w:rsid w:val="14237BE5"/>
    <w:rsid w:val="142474B9"/>
    <w:rsid w:val="142676D5"/>
    <w:rsid w:val="14294AD0"/>
    <w:rsid w:val="142B6A9A"/>
    <w:rsid w:val="143811B7"/>
    <w:rsid w:val="14435965"/>
    <w:rsid w:val="144B2C98"/>
    <w:rsid w:val="144F703F"/>
    <w:rsid w:val="14506500"/>
    <w:rsid w:val="14524026"/>
    <w:rsid w:val="145558C5"/>
    <w:rsid w:val="14575AE1"/>
    <w:rsid w:val="14593607"/>
    <w:rsid w:val="145A6A37"/>
    <w:rsid w:val="145C30F7"/>
    <w:rsid w:val="1461070D"/>
    <w:rsid w:val="14641FAC"/>
    <w:rsid w:val="146855F8"/>
    <w:rsid w:val="14694FC9"/>
    <w:rsid w:val="14753551"/>
    <w:rsid w:val="14771CDF"/>
    <w:rsid w:val="14787805"/>
    <w:rsid w:val="14885C9A"/>
    <w:rsid w:val="149208C7"/>
    <w:rsid w:val="14983A03"/>
    <w:rsid w:val="14991507"/>
    <w:rsid w:val="149B22C6"/>
    <w:rsid w:val="14A624F0"/>
    <w:rsid w:val="14A95C11"/>
    <w:rsid w:val="14C15977"/>
    <w:rsid w:val="14C36CD2"/>
    <w:rsid w:val="14C8795A"/>
    <w:rsid w:val="14CA1A46"/>
    <w:rsid w:val="14CE4563"/>
    <w:rsid w:val="14DC1B42"/>
    <w:rsid w:val="14E1184E"/>
    <w:rsid w:val="14E530ED"/>
    <w:rsid w:val="14E8498B"/>
    <w:rsid w:val="14EA24B1"/>
    <w:rsid w:val="14FC3F92"/>
    <w:rsid w:val="15003A82"/>
    <w:rsid w:val="1505553D"/>
    <w:rsid w:val="15080B89"/>
    <w:rsid w:val="150F3CC6"/>
    <w:rsid w:val="15115C90"/>
    <w:rsid w:val="15127C5A"/>
    <w:rsid w:val="151E215B"/>
    <w:rsid w:val="1523710F"/>
    <w:rsid w:val="1524753B"/>
    <w:rsid w:val="15267261"/>
    <w:rsid w:val="152C0D1B"/>
    <w:rsid w:val="153951E6"/>
    <w:rsid w:val="153F3306"/>
    <w:rsid w:val="154C316C"/>
    <w:rsid w:val="154D0C92"/>
    <w:rsid w:val="154D51ED"/>
    <w:rsid w:val="15535BD1"/>
    <w:rsid w:val="15595889"/>
    <w:rsid w:val="156264EB"/>
    <w:rsid w:val="1568787A"/>
    <w:rsid w:val="15712BD2"/>
    <w:rsid w:val="15826B8D"/>
    <w:rsid w:val="15915022"/>
    <w:rsid w:val="15995C85"/>
    <w:rsid w:val="15997A33"/>
    <w:rsid w:val="159D5775"/>
    <w:rsid w:val="15A22D8C"/>
    <w:rsid w:val="15A417A0"/>
    <w:rsid w:val="15B50D11"/>
    <w:rsid w:val="15B64A89"/>
    <w:rsid w:val="15C076B6"/>
    <w:rsid w:val="15CE592F"/>
    <w:rsid w:val="15D24141"/>
    <w:rsid w:val="15D372A6"/>
    <w:rsid w:val="15DA37E6"/>
    <w:rsid w:val="15DB5C31"/>
    <w:rsid w:val="15E50ECA"/>
    <w:rsid w:val="15E81C52"/>
    <w:rsid w:val="15E909BB"/>
    <w:rsid w:val="15ED48A2"/>
    <w:rsid w:val="15F01D49"/>
    <w:rsid w:val="16026BD5"/>
    <w:rsid w:val="16027CCE"/>
    <w:rsid w:val="161517B0"/>
    <w:rsid w:val="16160912"/>
    <w:rsid w:val="161A0B74"/>
    <w:rsid w:val="161A5018"/>
    <w:rsid w:val="161D3945"/>
    <w:rsid w:val="161F262E"/>
    <w:rsid w:val="16221FAB"/>
    <w:rsid w:val="162B149F"/>
    <w:rsid w:val="162C6AF9"/>
    <w:rsid w:val="162D4D4B"/>
    <w:rsid w:val="16315EBE"/>
    <w:rsid w:val="16322361"/>
    <w:rsid w:val="163A54B3"/>
    <w:rsid w:val="163D2AB4"/>
    <w:rsid w:val="16414353"/>
    <w:rsid w:val="165027E8"/>
    <w:rsid w:val="16574F7E"/>
    <w:rsid w:val="165C5618"/>
    <w:rsid w:val="166444E5"/>
    <w:rsid w:val="1674694D"/>
    <w:rsid w:val="16777D74"/>
    <w:rsid w:val="16832050"/>
    <w:rsid w:val="168D5B19"/>
    <w:rsid w:val="169721C5"/>
    <w:rsid w:val="169C5A2D"/>
    <w:rsid w:val="169E79F7"/>
    <w:rsid w:val="16A17034"/>
    <w:rsid w:val="16AB5C70"/>
    <w:rsid w:val="16AD4C0B"/>
    <w:rsid w:val="16AE5760"/>
    <w:rsid w:val="16B014D8"/>
    <w:rsid w:val="16BC01AD"/>
    <w:rsid w:val="16C3120C"/>
    <w:rsid w:val="16D36F75"/>
    <w:rsid w:val="16D74CB7"/>
    <w:rsid w:val="16DD2110"/>
    <w:rsid w:val="16DE4297"/>
    <w:rsid w:val="16E01DBD"/>
    <w:rsid w:val="16E82A20"/>
    <w:rsid w:val="16E83C32"/>
    <w:rsid w:val="16EE449B"/>
    <w:rsid w:val="16F07B27"/>
    <w:rsid w:val="16F2564D"/>
    <w:rsid w:val="16F37AE0"/>
    <w:rsid w:val="16F70437"/>
    <w:rsid w:val="16F838BF"/>
    <w:rsid w:val="16F92E7F"/>
    <w:rsid w:val="170D4E5D"/>
    <w:rsid w:val="170F4F7C"/>
    <w:rsid w:val="17101F77"/>
    <w:rsid w:val="17125CEF"/>
    <w:rsid w:val="171657DF"/>
    <w:rsid w:val="171750B3"/>
    <w:rsid w:val="171B2DF6"/>
    <w:rsid w:val="171E28E6"/>
    <w:rsid w:val="17215F32"/>
    <w:rsid w:val="17237EFC"/>
    <w:rsid w:val="172F064F"/>
    <w:rsid w:val="173E0892"/>
    <w:rsid w:val="1740460A"/>
    <w:rsid w:val="17454D35"/>
    <w:rsid w:val="174E2C4C"/>
    <w:rsid w:val="17500FFF"/>
    <w:rsid w:val="1763654B"/>
    <w:rsid w:val="17710C68"/>
    <w:rsid w:val="17771FF6"/>
    <w:rsid w:val="17832501"/>
    <w:rsid w:val="178C5AA1"/>
    <w:rsid w:val="17942BA8"/>
    <w:rsid w:val="179E2135"/>
    <w:rsid w:val="17AF353E"/>
    <w:rsid w:val="17B12AF2"/>
    <w:rsid w:val="17B44FF8"/>
    <w:rsid w:val="17BD20FF"/>
    <w:rsid w:val="17CC40F0"/>
    <w:rsid w:val="17CF1E32"/>
    <w:rsid w:val="17D3547E"/>
    <w:rsid w:val="17DF2075"/>
    <w:rsid w:val="17E551B2"/>
    <w:rsid w:val="17EC6540"/>
    <w:rsid w:val="17EF7DDE"/>
    <w:rsid w:val="17FB6783"/>
    <w:rsid w:val="18001FEB"/>
    <w:rsid w:val="18025D64"/>
    <w:rsid w:val="18057602"/>
    <w:rsid w:val="181021C8"/>
    <w:rsid w:val="1811509D"/>
    <w:rsid w:val="18131D1F"/>
    <w:rsid w:val="18137F71"/>
    <w:rsid w:val="18153CE9"/>
    <w:rsid w:val="181F7A9C"/>
    <w:rsid w:val="18226406"/>
    <w:rsid w:val="182F467F"/>
    <w:rsid w:val="183879D7"/>
    <w:rsid w:val="18463EA2"/>
    <w:rsid w:val="185365BF"/>
    <w:rsid w:val="185841EA"/>
    <w:rsid w:val="185A16FC"/>
    <w:rsid w:val="18714C97"/>
    <w:rsid w:val="187C3D68"/>
    <w:rsid w:val="18822A00"/>
    <w:rsid w:val="188B7B07"/>
    <w:rsid w:val="188E75F7"/>
    <w:rsid w:val="189D5A8C"/>
    <w:rsid w:val="18B057C0"/>
    <w:rsid w:val="18B708FC"/>
    <w:rsid w:val="18B76B4E"/>
    <w:rsid w:val="18BE612E"/>
    <w:rsid w:val="18CB25F9"/>
    <w:rsid w:val="18EE0096"/>
    <w:rsid w:val="18F27B86"/>
    <w:rsid w:val="18F71640"/>
    <w:rsid w:val="18F7519C"/>
    <w:rsid w:val="18FA2EDF"/>
    <w:rsid w:val="18FE477D"/>
    <w:rsid w:val="19023E8D"/>
    <w:rsid w:val="19067AD5"/>
    <w:rsid w:val="1912647A"/>
    <w:rsid w:val="1921046B"/>
    <w:rsid w:val="192561AE"/>
    <w:rsid w:val="19263CD4"/>
    <w:rsid w:val="19265A82"/>
    <w:rsid w:val="192F0DDA"/>
    <w:rsid w:val="19341F4D"/>
    <w:rsid w:val="19377C8F"/>
    <w:rsid w:val="193A52A0"/>
    <w:rsid w:val="1945415A"/>
    <w:rsid w:val="195425EF"/>
    <w:rsid w:val="195919B3"/>
    <w:rsid w:val="19595E57"/>
    <w:rsid w:val="195A572B"/>
    <w:rsid w:val="195C76F5"/>
    <w:rsid w:val="19630A84"/>
    <w:rsid w:val="19680B28"/>
    <w:rsid w:val="196B0D46"/>
    <w:rsid w:val="196B6430"/>
    <w:rsid w:val="19720CC7"/>
    <w:rsid w:val="197B3CDD"/>
    <w:rsid w:val="19805192"/>
    <w:rsid w:val="198F3627"/>
    <w:rsid w:val="19921369"/>
    <w:rsid w:val="199364A5"/>
    <w:rsid w:val="199B021E"/>
    <w:rsid w:val="19A436D1"/>
    <w:rsid w:val="19A54BF8"/>
    <w:rsid w:val="19AF7825"/>
    <w:rsid w:val="19B412DF"/>
    <w:rsid w:val="19BC1F42"/>
    <w:rsid w:val="19C15826"/>
    <w:rsid w:val="19C257AA"/>
    <w:rsid w:val="19D13C3F"/>
    <w:rsid w:val="19D41982"/>
    <w:rsid w:val="19D454DE"/>
    <w:rsid w:val="19D83220"/>
    <w:rsid w:val="19E531E6"/>
    <w:rsid w:val="19E576EB"/>
    <w:rsid w:val="19E80F89"/>
    <w:rsid w:val="19EC0A79"/>
    <w:rsid w:val="19F416DC"/>
    <w:rsid w:val="19F636A6"/>
    <w:rsid w:val="19FE255B"/>
    <w:rsid w:val="19FF69FF"/>
    <w:rsid w:val="1A0C4C78"/>
    <w:rsid w:val="1A1324AA"/>
    <w:rsid w:val="1A17490B"/>
    <w:rsid w:val="1A1F2BFD"/>
    <w:rsid w:val="1A255D39"/>
    <w:rsid w:val="1A275C64"/>
    <w:rsid w:val="1A293A7B"/>
    <w:rsid w:val="1A3348FA"/>
    <w:rsid w:val="1A383CBF"/>
    <w:rsid w:val="1A385A6D"/>
    <w:rsid w:val="1A3A7A37"/>
    <w:rsid w:val="1A3B555D"/>
    <w:rsid w:val="1A495ECC"/>
    <w:rsid w:val="1A512FD2"/>
    <w:rsid w:val="1A562397"/>
    <w:rsid w:val="1A59653A"/>
    <w:rsid w:val="1A5A3A8E"/>
    <w:rsid w:val="1A604FC3"/>
    <w:rsid w:val="1A620D3B"/>
    <w:rsid w:val="1A654388"/>
    <w:rsid w:val="1A6877B3"/>
    <w:rsid w:val="1A6B5E42"/>
    <w:rsid w:val="1A6E5932"/>
    <w:rsid w:val="1A7840BB"/>
    <w:rsid w:val="1A7A42D7"/>
    <w:rsid w:val="1A7E085D"/>
    <w:rsid w:val="1A8011C2"/>
    <w:rsid w:val="1A807D07"/>
    <w:rsid w:val="1A846F04"/>
    <w:rsid w:val="1A8A0273"/>
    <w:rsid w:val="1A9C1E3E"/>
    <w:rsid w:val="1A9D6217"/>
    <w:rsid w:val="1AA13D0A"/>
    <w:rsid w:val="1AA9696A"/>
    <w:rsid w:val="1AB175CD"/>
    <w:rsid w:val="1AB377E9"/>
    <w:rsid w:val="1AB623A5"/>
    <w:rsid w:val="1AB8095B"/>
    <w:rsid w:val="1AB84DFF"/>
    <w:rsid w:val="1AB84FAE"/>
    <w:rsid w:val="1ABC33D0"/>
    <w:rsid w:val="1AC94917"/>
    <w:rsid w:val="1AC9700C"/>
    <w:rsid w:val="1ADD03C2"/>
    <w:rsid w:val="1ADF413A"/>
    <w:rsid w:val="1AE259D8"/>
    <w:rsid w:val="1AF20311"/>
    <w:rsid w:val="1AFC6A9A"/>
    <w:rsid w:val="1B0D0CA7"/>
    <w:rsid w:val="1B0E4092"/>
    <w:rsid w:val="1B0E4A1F"/>
    <w:rsid w:val="1B261D69"/>
    <w:rsid w:val="1B281F85"/>
    <w:rsid w:val="1B2B21A0"/>
    <w:rsid w:val="1B326960"/>
    <w:rsid w:val="1B3553ED"/>
    <w:rsid w:val="1B361621"/>
    <w:rsid w:val="1B3A5814"/>
    <w:rsid w:val="1B5508A0"/>
    <w:rsid w:val="1B6805D3"/>
    <w:rsid w:val="1B813443"/>
    <w:rsid w:val="1B8160A5"/>
    <w:rsid w:val="1B8617B4"/>
    <w:rsid w:val="1B93683E"/>
    <w:rsid w:val="1B944F25"/>
    <w:rsid w:val="1BA809D0"/>
    <w:rsid w:val="1BAD4238"/>
    <w:rsid w:val="1BAF6202"/>
    <w:rsid w:val="1BB11F7A"/>
    <w:rsid w:val="1BB747A9"/>
    <w:rsid w:val="1BBE1FA1"/>
    <w:rsid w:val="1BC021BE"/>
    <w:rsid w:val="1BC3580A"/>
    <w:rsid w:val="1BCC1635"/>
    <w:rsid w:val="1BD21EF1"/>
    <w:rsid w:val="1BDD2D6F"/>
    <w:rsid w:val="1BE22134"/>
    <w:rsid w:val="1BE539D2"/>
    <w:rsid w:val="1BE96A15"/>
    <w:rsid w:val="1BEC6B0F"/>
    <w:rsid w:val="1BEF08D2"/>
    <w:rsid w:val="1BF14125"/>
    <w:rsid w:val="1BF41E67"/>
    <w:rsid w:val="1BF65BDF"/>
    <w:rsid w:val="1BFB31F6"/>
    <w:rsid w:val="1C0707B3"/>
    <w:rsid w:val="1C0D3E62"/>
    <w:rsid w:val="1C116575"/>
    <w:rsid w:val="1C142509"/>
    <w:rsid w:val="1C16002F"/>
    <w:rsid w:val="1C1645A5"/>
    <w:rsid w:val="1C1E64AF"/>
    <w:rsid w:val="1C2269D4"/>
    <w:rsid w:val="1C285864"/>
    <w:rsid w:val="1C2E5379"/>
    <w:rsid w:val="1C3246ED"/>
    <w:rsid w:val="1C3861F8"/>
    <w:rsid w:val="1C3D55BC"/>
    <w:rsid w:val="1C4C57FF"/>
    <w:rsid w:val="1C4E5A1B"/>
    <w:rsid w:val="1C4E77C9"/>
    <w:rsid w:val="1C5618EE"/>
    <w:rsid w:val="1C597F1C"/>
    <w:rsid w:val="1C5A616E"/>
    <w:rsid w:val="1C5B5A42"/>
    <w:rsid w:val="1C6074FD"/>
    <w:rsid w:val="1C641230"/>
    <w:rsid w:val="1C662D65"/>
    <w:rsid w:val="1C69015F"/>
    <w:rsid w:val="1C744D56"/>
    <w:rsid w:val="1C765C9F"/>
    <w:rsid w:val="1C784846"/>
    <w:rsid w:val="1C8431EB"/>
    <w:rsid w:val="1C890801"/>
    <w:rsid w:val="1C8C20A0"/>
    <w:rsid w:val="1C8F322B"/>
    <w:rsid w:val="1C931680"/>
    <w:rsid w:val="1C942349"/>
    <w:rsid w:val="1C9553F8"/>
    <w:rsid w:val="1CA218C3"/>
    <w:rsid w:val="1CAA0778"/>
    <w:rsid w:val="1CAC44F0"/>
    <w:rsid w:val="1CB515F6"/>
    <w:rsid w:val="1CB82E95"/>
    <w:rsid w:val="1CBA6C0D"/>
    <w:rsid w:val="1CBF06C7"/>
    <w:rsid w:val="1CC37F98"/>
    <w:rsid w:val="1CC41839"/>
    <w:rsid w:val="1CC63804"/>
    <w:rsid w:val="1CC7757C"/>
    <w:rsid w:val="1CC96E50"/>
    <w:rsid w:val="1CCC554A"/>
    <w:rsid w:val="1CD87093"/>
    <w:rsid w:val="1CEC2B3E"/>
    <w:rsid w:val="1CED18DB"/>
    <w:rsid w:val="1CED6FE2"/>
    <w:rsid w:val="1CF87735"/>
    <w:rsid w:val="1D061E52"/>
    <w:rsid w:val="1D0936F0"/>
    <w:rsid w:val="1D0E51AB"/>
    <w:rsid w:val="1D104A7F"/>
    <w:rsid w:val="1D167BBB"/>
    <w:rsid w:val="1D17405F"/>
    <w:rsid w:val="1D183933"/>
    <w:rsid w:val="1D187DD7"/>
    <w:rsid w:val="1D1A76AB"/>
    <w:rsid w:val="1D1B6922"/>
    <w:rsid w:val="1D1C1676"/>
    <w:rsid w:val="1D216C8C"/>
    <w:rsid w:val="1D266050"/>
    <w:rsid w:val="1D296C17"/>
    <w:rsid w:val="1D2E3157"/>
    <w:rsid w:val="1D3F5364"/>
    <w:rsid w:val="1D4330A6"/>
    <w:rsid w:val="1D497BBF"/>
    <w:rsid w:val="1D50131F"/>
    <w:rsid w:val="1D594678"/>
    <w:rsid w:val="1D5E3A3C"/>
    <w:rsid w:val="1D61177E"/>
    <w:rsid w:val="1D6152DA"/>
    <w:rsid w:val="1D63299D"/>
    <w:rsid w:val="1D646B79"/>
    <w:rsid w:val="1D686669"/>
    <w:rsid w:val="1D69418F"/>
    <w:rsid w:val="1D6F55A4"/>
    <w:rsid w:val="1D6F6D09"/>
    <w:rsid w:val="1D721295"/>
    <w:rsid w:val="1D7B2840"/>
    <w:rsid w:val="1D943902"/>
    <w:rsid w:val="1D9531D6"/>
    <w:rsid w:val="1D9C4564"/>
    <w:rsid w:val="1DA46222"/>
    <w:rsid w:val="1DA63635"/>
    <w:rsid w:val="1DA653E3"/>
    <w:rsid w:val="1DAF4298"/>
    <w:rsid w:val="1DB25B36"/>
    <w:rsid w:val="1DB573D4"/>
    <w:rsid w:val="1DBA49EB"/>
    <w:rsid w:val="1DBC0C53"/>
    <w:rsid w:val="1DC046F7"/>
    <w:rsid w:val="1DC60F93"/>
    <w:rsid w:val="1DCF16F9"/>
    <w:rsid w:val="1DD96785"/>
    <w:rsid w:val="1DD97567"/>
    <w:rsid w:val="1DDC7057"/>
    <w:rsid w:val="1DE303E5"/>
    <w:rsid w:val="1DE33F41"/>
    <w:rsid w:val="1DE877AA"/>
    <w:rsid w:val="1E114C23"/>
    <w:rsid w:val="1E1265D5"/>
    <w:rsid w:val="1E1B7B7F"/>
    <w:rsid w:val="1E214A6A"/>
    <w:rsid w:val="1E285DF8"/>
    <w:rsid w:val="1E2D1660"/>
    <w:rsid w:val="1E3B1FCF"/>
    <w:rsid w:val="1E403142"/>
    <w:rsid w:val="1E432792"/>
    <w:rsid w:val="1E4C5F8A"/>
    <w:rsid w:val="1E51534F"/>
    <w:rsid w:val="1E5A1A7D"/>
    <w:rsid w:val="1E5B61CE"/>
    <w:rsid w:val="1E5E181A"/>
    <w:rsid w:val="1E65704C"/>
    <w:rsid w:val="1E6A01BF"/>
    <w:rsid w:val="1E707ECB"/>
    <w:rsid w:val="1E7A2AF8"/>
    <w:rsid w:val="1E8E20FF"/>
    <w:rsid w:val="1E91399D"/>
    <w:rsid w:val="1E982F7E"/>
    <w:rsid w:val="1EAF2075"/>
    <w:rsid w:val="1EB1403F"/>
    <w:rsid w:val="1EB37DB8"/>
    <w:rsid w:val="1EB4768C"/>
    <w:rsid w:val="1EB63404"/>
    <w:rsid w:val="1EBD4792"/>
    <w:rsid w:val="1ECE2E43"/>
    <w:rsid w:val="1ED55F80"/>
    <w:rsid w:val="1EDA5344"/>
    <w:rsid w:val="1EE371AA"/>
    <w:rsid w:val="1EE937D9"/>
    <w:rsid w:val="1EF67CA4"/>
    <w:rsid w:val="1F046272"/>
    <w:rsid w:val="1F0979D8"/>
    <w:rsid w:val="1F0D1E03"/>
    <w:rsid w:val="1F1617FC"/>
    <w:rsid w:val="1F1C3BAF"/>
    <w:rsid w:val="1F2B2044"/>
    <w:rsid w:val="1F2B5BA0"/>
    <w:rsid w:val="1F2D5FFE"/>
    <w:rsid w:val="1F2E5690"/>
    <w:rsid w:val="1F30765A"/>
    <w:rsid w:val="1F316F2E"/>
    <w:rsid w:val="1F3C5FFF"/>
    <w:rsid w:val="1F4924CA"/>
    <w:rsid w:val="1F4B4494"/>
    <w:rsid w:val="1F4D05C8"/>
    <w:rsid w:val="1F572E39"/>
    <w:rsid w:val="1F574BE7"/>
    <w:rsid w:val="1F5E623E"/>
    <w:rsid w:val="1F642E60"/>
    <w:rsid w:val="1F645556"/>
    <w:rsid w:val="1F69715D"/>
    <w:rsid w:val="1F6B0692"/>
    <w:rsid w:val="1F6B2440"/>
    <w:rsid w:val="1F6B6F1B"/>
    <w:rsid w:val="1F6D61B8"/>
    <w:rsid w:val="1F7A6B27"/>
    <w:rsid w:val="1F81363D"/>
    <w:rsid w:val="1F813A12"/>
    <w:rsid w:val="1F953961"/>
    <w:rsid w:val="1F973235"/>
    <w:rsid w:val="1F9F20EA"/>
    <w:rsid w:val="1FA140B4"/>
    <w:rsid w:val="1FA3607E"/>
    <w:rsid w:val="1FAE057F"/>
    <w:rsid w:val="1FBF531F"/>
    <w:rsid w:val="1FC102B2"/>
    <w:rsid w:val="1FC654C7"/>
    <w:rsid w:val="1FCB1E28"/>
    <w:rsid w:val="1FD20711"/>
    <w:rsid w:val="1FD60202"/>
    <w:rsid w:val="1FD7645F"/>
    <w:rsid w:val="1FDB5818"/>
    <w:rsid w:val="1FDC50EC"/>
    <w:rsid w:val="1FE305D3"/>
    <w:rsid w:val="1FED10A7"/>
    <w:rsid w:val="1FED554B"/>
    <w:rsid w:val="1FF465B9"/>
    <w:rsid w:val="200563F1"/>
    <w:rsid w:val="20104D96"/>
    <w:rsid w:val="20112FE8"/>
    <w:rsid w:val="20120B0E"/>
    <w:rsid w:val="201725C8"/>
    <w:rsid w:val="201D5325"/>
    <w:rsid w:val="202F7912"/>
    <w:rsid w:val="2031368A"/>
    <w:rsid w:val="20360CA0"/>
    <w:rsid w:val="203C5B8B"/>
    <w:rsid w:val="20407429"/>
    <w:rsid w:val="20457135"/>
    <w:rsid w:val="20482782"/>
    <w:rsid w:val="20566C4C"/>
    <w:rsid w:val="205B24B5"/>
    <w:rsid w:val="205C7FDB"/>
    <w:rsid w:val="205D7CC4"/>
    <w:rsid w:val="206A26F8"/>
    <w:rsid w:val="2079293B"/>
    <w:rsid w:val="207D005D"/>
    <w:rsid w:val="208337BA"/>
    <w:rsid w:val="208E4638"/>
    <w:rsid w:val="20914128"/>
    <w:rsid w:val="20994D8B"/>
    <w:rsid w:val="209E05F3"/>
    <w:rsid w:val="20A025BE"/>
    <w:rsid w:val="20A35C0A"/>
    <w:rsid w:val="20B47E17"/>
    <w:rsid w:val="20B6593D"/>
    <w:rsid w:val="20BD4F1E"/>
    <w:rsid w:val="20C31E08"/>
    <w:rsid w:val="20D12B0B"/>
    <w:rsid w:val="20D64231"/>
    <w:rsid w:val="20D83B05"/>
    <w:rsid w:val="20DD111C"/>
    <w:rsid w:val="20EF0E4F"/>
    <w:rsid w:val="20F87D04"/>
    <w:rsid w:val="21025026"/>
    <w:rsid w:val="210668C5"/>
    <w:rsid w:val="210E39CB"/>
    <w:rsid w:val="2111004A"/>
    <w:rsid w:val="211422F1"/>
    <w:rsid w:val="211B122B"/>
    <w:rsid w:val="211B39F2"/>
    <w:rsid w:val="21222D6A"/>
    <w:rsid w:val="21260D15"/>
    <w:rsid w:val="212C3E51"/>
    <w:rsid w:val="21303941"/>
    <w:rsid w:val="21334C4D"/>
    <w:rsid w:val="213F1DD6"/>
    <w:rsid w:val="21475C82"/>
    <w:rsid w:val="214A6A99"/>
    <w:rsid w:val="214D162F"/>
    <w:rsid w:val="215313DE"/>
    <w:rsid w:val="215A276C"/>
    <w:rsid w:val="215B0293"/>
    <w:rsid w:val="21690C01"/>
    <w:rsid w:val="216D6ACE"/>
    <w:rsid w:val="21703D3E"/>
    <w:rsid w:val="21731A80"/>
    <w:rsid w:val="217A696B"/>
    <w:rsid w:val="217C6B87"/>
    <w:rsid w:val="217D46AD"/>
    <w:rsid w:val="218D48F0"/>
    <w:rsid w:val="219263AA"/>
    <w:rsid w:val="2196789E"/>
    <w:rsid w:val="219F4623"/>
    <w:rsid w:val="21A12149"/>
    <w:rsid w:val="21B04A82"/>
    <w:rsid w:val="21B77BBF"/>
    <w:rsid w:val="21B9043A"/>
    <w:rsid w:val="21B922AD"/>
    <w:rsid w:val="21C45D42"/>
    <w:rsid w:val="21D01C09"/>
    <w:rsid w:val="21D342CD"/>
    <w:rsid w:val="21D87C70"/>
    <w:rsid w:val="21DC13D3"/>
    <w:rsid w:val="21DC7859"/>
    <w:rsid w:val="21E36C06"/>
    <w:rsid w:val="21ED5A20"/>
    <w:rsid w:val="21EE1107"/>
    <w:rsid w:val="21FA7AAB"/>
    <w:rsid w:val="21FC2A57"/>
    <w:rsid w:val="22032E04"/>
    <w:rsid w:val="22123EBE"/>
    <w:rsid w:val="2217065D"/>
    <w:rsid w:val="22192627"/>
    <w:rsid w:val="221943D6"/>
    <w:rsid w:val="22196749"/>
    <w:rsid w:val="221B014E"/>
    <w:rsid w:val="22325497"/>
    <w:rsid w:val="223676C5"/>
    <w:rsid w:val="223C1E72"/>
    <w:rsid w:val="22401962"/>
    <w:rsid w:val="224444B4"/>
    <w:rsid w:val="22486A69"/>
    <w:rsid w:val="224C6559"/>
    <w:rsid w:val="225862E9"/>
    <w:rsid w:val="22590C76"/>
    <w:rsid w:val="22592A24"/>
    <w:rsid w:val="225B49EE"/>
    <w:rsid w:val="225D726E"/>
    <w:rsid w:val="227351F1"/>
    <w:rsid w:val="22743D02"/>
    <w:rsid w:val="227F19D3"/>
    <w:rsid w:val="228219CA"/>
    <w:rsid w:val="228524AF"/>
    <w:rsid w:val="229121BE"/>
    <w:rsid w:val="229323DA"/>
    <w:rsid w:val="22941CAE"/>
    <w:rsid w:val="22943A5C"/>
    <w:rsid w:val="2298179E"/>
    <w:rsid w:val="22A5210D"/>
    <w:rsid w:val="22A53EBB"/>
    <w:rsid w:val="22A7378F"/>
    <w:rsid w:val="22AF0896"/>
    <w:rsid w:val="22B002C2"/>
    <w:rsid w:val="22B365D8"/>
    <w:rsid w:val="22B440FE"/>
    <w:rsid w:val="22B97967"/>
    <w:rsid w:val="22BA5BB9"/>
    <w:rsid w:val="22BF098E"/>
    <w:rsid w:val="22C049DD"/>
    <w:rsid w:val="22C95DFC"/>
    <w:rsid w:val="22CA1B74"/>
    <w:rsid w:val="22D327D6"/>
    <w:rsid w:val="22E26EBD"/>
    <w:rsid w:val="22E5250A"/>
    <w:rsid w:val="22F369D5"/>
    <w:rsid w:val="22F4099F"/>
    <w:rsid w:val="22FD09C3"/>
    <w:rsid w:val="22FD7853"/>
    <w:rsid w:val="22FE5379"/>
    <w:rsid w:val="230961F8"/>
    <w:rsid w:val="231177A3"/>
    <w:rsid w:val="23150C1B"/>
    <w:rsid w:val="23164DB9"/>
    <w:rsid w:val="23177672"/>
    <w:rsid w:val="231D6147"/>
    <w:rsid w:val="2322550C"/>
    <w:rsid w:val="232C0139"/>
    <w:rsid w:val="23333275"/>
    <w:rsid w:val="2338088B"/>
    <w:rsid w:val="23452FA8"/>
    <w:rsid w:val="234A05BF"/>
    <w:rsid w:val="234D1ACA"/>
    <w:rsid w:val="234E00AF"/>
    <w:rsid w:val="23503E27"/>
    <w:rsid w:val="235220FF"/>
    <w:rsid w:val="235229D8"/>
    <w:rsid w:val="23571659"/>
    <w:rsid w:val="235A2EF8"/>
    <w:rsid w:val="23605C24"/>
    <w:rsid w:val="23620D1A"/>
    <w:rsid w:val="236505DE"/>
    <w:rsid w:val="236C49D9"/>
    <w:rsid w:val="236E3827"/>
    <w:rsid w:val="23706277"/>
    <w:rsid w:val="237C00A2"/>
    <w:rsid w:val="23827D58"/>
    <w:rsid w:val="23867849"/>
    <w:rsid w:val="23887BB0"/>
    <w:rsid w:val="238C0BD7"/>
    <w:rsid w:val="23922691"/>
    <w:rsid w:val="23953F30"/>
    <w:rsid w:val="239A32F4"/>
    <w:rsid w:val="239B0E1A"/>
    <w:rsid w:val="23A3664D"/>
    <w:rsid w:val="23A6613D"/>
    <w:rsid w:val="23AD1279"/>
    <w:rsid w:val="23AF58B1"/>
    <w:rsid w:val="23B00E19"/>
    <w:rsid w:val="23B048C6"/>
    <w:rsid w:val="23B35357"/>
    <w:rsid w:val="23BB04AF"/>
    <w:rsid w:val="23BD5235"/>
    <w:rsid w:val="23C10881"/>
    <w:rsid w:val="23C640E9"/>
    <w:rsid w:val="23CD5478"/>
    <w:rsid w:val="23D06603"/>
    <w:rsid w:val="23D200D4"/>
    <w:rsid w:val="23D26F32"/>
    <w:rsid w:val="23FB453D"/>
    <w:rsid w:val="23FC7B0B"/>
    <w:rsid w:val="23FD0F19"/>
    <w:rsid w:val="240E507C"/>
    <w:rsid w:val="240E783E"/>
    <w:rsid w:val="24107A5A"/>
    <w:rsid w:val="2412732E"/>
    <w:rsid w:val="241E0D30"/>
    <w:rsid w:val="241E4CD1"/>
    <w:rsid w:val="2423778D"/>
    <w:rsid w:val="2426102C"/>
    <w:rsid w:val="24277076"/>
    <w:rsid w:val="2432352D"/>
    <w:rsid w:val="24390D5F"/>
    <w:rsid w:val="243E0148"/>
    <w:rsid w:val="243E45C7"/>
    <w:rsid w:val="2446522A"/>
    <w:rsid w:val="244A4D1A"/>
    <w:rsid w:val="244B0A92"/>
    <w:rsid w:val="244F40DF"/>
    <w:rsid w:val="24502C50"/>
    <w:rsid w:val="24600A59"/>
    <w:rsid w:val="246062EC"/>
    <w:rsid w:val="24635DDC"/>
    <w:rsid w:val="246F29D3"/>
    <w:rsid w:val="247E195A"/>
    <w:rsid w:val="2487097B"/>
    <w:rsid w:val="248A15BB"/>
    <w:rsid w:val="248B0E8F"/>
    <w:rsid w:val="248C70E1"/>
    <w:rsid w:val="249146F7"/>
    <w:rsid w:val="2492046F"/>
    <w:rsid w:val="249473FB"/>
    <w:rsid w:val="24975A86"/>
    <w:rsid w:val="249935AC"/>
    <w:rsid w:val="249C309C"/>
    <w:rsid w:val="249E2CA0"/>
    <w:rsid w:val="24AD52A9"/>
    <w:rsid w:val="24B403E6"/>
    <w:rsid w:val="24BE1264"/>
    <w:rsid w:val="24C34ACD"/>
    <w:rsid w:val="24D1504E"/>
    <w:rsid w:val="24D9609E"/>
    <w:rsid w:val="24E06E24"/>
    <w:rsid w:val="24E10731"/>
    <w:rsid w:val="24E46F1D"/>
    <w:rsid w:val="24EC7B7F"/>
    <w:rsid w:val="24F37160"/>
    <w:rsid w:val="24F627AC"/>
    <w:rsid w:val="2500362B"/>
    <w:rsid w:val="250550E5"/>
    <w:rsid w:val="250A6257"/>
    <w:rsid w:val="250C1FD0"/>
    <w:rsid w:val="251315B0"/>
    <w:rsid w:val="251B7D43"/>
    <w:rsid w:val="25237319"/>
    <w:rsid w:val="2536579D"/>
    <w:rsid w:val="253B262F"/>
    <w:rsid w:val="253B28B5"/>
    <w:rsid w:val="253F4153"/>
    <w:rsid w:val="2551032A"/>
    <w:rsid w:val="2554491A"/>
    <w:rsid w:val="25585215"/>
    <w:rsid w:val="255B4D05"/>
    <w:rsid w:val="25643BBA"/>
    <w:rsid w:val="25697422"/>
    <w:rsid w:val="256C0CC0"/>
    <w:rsid w:val="257051A4"/>
    <w:rsid w:val="25754019"/>
    <w:rsid w:val="25781413"/>
    <w:rsid w:val="25897AC4"/>
    <w:rsid w:val="258C1362"/>
    <w:rsid w:val="258C4EBE"/>
    <w:rsid w:val="25987D07"/>
    <w:rsid w:val="259D70CC"/>
    <w:rsid w:val="25A62424"/>
    <w:rsid w:val="25A641D2"/>
    <w:rsid w:val="25AB17E9"/>
    <w:rsid w:val="25B12B77"/>
    <w:rsid w:val="25BD3CDC"/>
    <w:rsid w:val="25C7239A"/>
    <w:rsid w:val="25DC7BF4"/>
    <w:rsid w:val="25DD396C"/>
    <w:rsid w:val="25DD571A"/>
    <w:rsid w:val="25F0369F"/>
    <w:rsid w:val="2609650F"/>
    <w:rsid w:val="260D5FFF"/>
    <w:rsid w:val="260E1D77"/>
    <w:rsid w:val="260F1599"/>
    <w:rsid w:val="2612592F"/>
    <w:rsid w:val="26151358"/>
    <w:rsid w:val="261750D0"/>
    <w:rsid w:val="261A6A42"/>
    <w:rsid w:val="262477ED"/>
    <w:rsid w:val="26321F0A"/>
    <w:rsid w:val="263222D7"/>
    <w:rsid w:val="26393298"/>
    <w:rsid w:val="26395046"/>
    <w:rsid w:val="264A1001"/>
    <w:rsid w:val="264D28A0"/>
    <w:rsid w:val="264D6D44"/>
    <w:rsid w:val="265359DC"/>
    <w:rsid w:val="2657371E"/>
    <w:rsid w:val="265754CC"/>
    <w:rsid w:val="26647BE9"/>
    <w:rsid w:val="266E2A21"/>
    <w:rsid w:val="267C3185"/>
    <w:rsid w:val="26832AA4"/>
    <w:rsid w:val="26844491"/>
    <w:rsid w:val="268564DD"/>
    <w:rsid w:val="26887D7C"/>
    <w:rsid w:val="268C7923"/>
    <w:rsid w:val="269E134D"/>
    <w:rsid w:val="26AA1AA0"/>
    <w:rsid w:val="26AA5F44"/>
    <w:rsid w:val="26AD1F5C"/>
    <w:rsid w:val="26AD77E2"/>
    <w:rsid w:val="26B24DF9"/>
    <w:rsid w:val="26C2328E"/>
    <w:rsid w:val="26D905D7"/>
    <w:rsid w:val="26D94133"/>
    <w:rsid w:val="26DE5BEE"/>
    <w:rsid w:val="26DE6312"/>
    <w:rsid w:val="26E31456"/>
    <w:rsid w:val="26E86A6C"/>
    <w:rsid w:val="26EC20B9"/>
    <w:rsid w:val="26FB22FC"/>
    <w:rsid w:val="270218DC"/>
    <w:rsid w:val="27076EF2"/>
    <w:rsid w:val="271138CD"/>
    <w:rsid w:val="2717265C"/>
    <w:rsid w:val="271D04C4"/>
    <w:rsid w:val="271E248E"/>
    <w:rsid w:val="27206206"/>
    <w:rsid w:val="272160C4"/>
    <w:rsid w:val="27225ADA"/>
    <w:rsid w:val="272E0923"/>
    <w:rsid w:val="272F01F7"/>
    <w:rsid w:val="27337CE7"/>
    <w:rsid w:val="27383550"/>
    <w:rsid w:val="273B6E85"/>
    <w:rsid w:val="275639D6"/>
    <w:rsid w:val="275859A0"/>
    <w:rsid w:val="275B2D9A"/>
    <w:rsid w:val="275D4D64"/>
    <w:rsid w:val="2767173F"/>
    <w:rsid w:val="276C31F9"/>
    <w:rsid w:val="276E106B"/>
    <w:rsid w:val="279D33B3"/>
    <w:rsid w:val="27A91D58"/>
    <w:rsid w:val="27A961FC"/>
    <w:rsid w:val="27AB1F74"/>
    <w:rsid w:val="27AC5CEC"/>
    <w:rsid w:val="27AE3812"/>
    <w:rsid w:val="27AF3540"/>
    <w:rsid w:val="27B32BD6"/>
    <w:rsid w:val="27B54BA0"/>
    <w:rsid w:val="27BF77CD"/>
    <w:rsid w:val="27C60B5C"/>
    <w:rsid w:val="27C6290A"/>
    <w:rsid w:val="27C941A8"/>
    <w:rsid w:val="27CC1EEA"/>
    <w:rsid w:val="27CE7A10"/>
    <w:rsid w:val="27D35027"/>
    <w:rsid w:val="27D843EB"/>
    <w:rsid w:val="27E02036"/>
    <w:rsid w:val="27E1023C"/>
    <w:rsid w:val="27EE3C0E"/>
    <w:rsid w:val="27F531EF"/>
    <w:rsid w:val="27F76F67"/>
    <w:rsid w:val="27FA0805"/>
    <w:rsid w:val="28013942"/>
    <w:rsid w:val="28033B5E"/>
    <w:rsid w:val="280478D6"/>
    <w:rsid w:val="280B656E"/>
    <w:rsid w:val="281C077C"/>
    <w:rsid w:val="282615FA"/>
    <w:rsid w:val="2826784C"/>
    <w:rsid w:val="28292E99"/>
    <w:rsid w:val="282C4737"/>
    <w:rsid w:val="283101DC"/>
    <w:rsid w:val="28322D6E"/>
    <w:rsid w:val="28414686"/>
    <w:rsid w:val="28420898"/>
    <w:rsid w:val="284303FE"/>
    <w:rsid w:val="2849353B"/>
    <w:rsid w:val="284C045D"/>
    <w:rsid w:val="28500425"/>
    <w:rsid w:val="285919D0"/>
    <w:rsid w:val="285D2B42"/>
    <w:rsid w:val="28665E9B"/>
    <w:rsid w:val="286D7229"/>
    <w:rsid w:val="286F11F3"/>
    <w:rsid w:val="287265EE"/>
    <w:rsid w:val="28757E8C"/>
    <w:rsid w:val="287E67A4"/>
    <w:rsid w:val="287F0D0A"/>
    <w:rsid w:val="288527C5"/>
    <w:rsid w:val="289E5D8E"/>
    <w:rsid w:val="28A6273B"/>
    <w:rsid w:val="28A80261"/>
    <w:rsid w:val="28B9246E"/>
    <w:rsid w:val="28BE7A85"/>
    <w:rsid w:val="28C80903"/>
    <w:rsid w:val="28CB3F50"/>
    <w:rsid w:val="28D42E04"/>
    <w:rsid w:val="28D64DCE"/>
    <w:rsid w:val="28D9041B"/>
    <w:rsid w:val="28E079FB"/>
    <w:rsid w:val="28E60D8A"/>
    <w:rsid w:val="28E62B38"/>
    <w:rsid w:val="28EA2628"/>
    <w:rsid w:val="28ED3EC6"/>
    <w:rsid w:val="28F65471"/>
    <w:rsid w:val="28F9286B"/>
    <w:rsid w:val="28F96D0F"/>
    <w:rsid w:val="2907142C"/>
    <w:rsid w:val="2912392D"/>
    <w:rsid w:val="29192F0D"/>
    <w:rsid w:val="2920604A"/>
    <w:rsid w:val="292A336C"/>
    <w:rsid w:val="292A40FB"/>
    <w:rsid w:val="292D0766"/>
    <w:rsid w:val="292D69B8"/>
    <w:rsid w:val="292F2731"/>
    <w:rsid w:val="29332221"/>
    <w:rsid w:val="293B2E83"/>
    <w:rsid w:val="293D309F"/>
    <w:rsid w:val="294206B6"/>
    <w:rsid w:val="294361DC"/>
    <w:rsid w:val="29477A7A"/>
    <w:rsid w:val="294C5091"/>
    <w:rsid w:val="294E0E09"/>
    <w:rsid w:val="295201CD"/>
    <w:rsid w:val="2953641F"/>
    <w:rsid w:val="29604625"/>
    <w:rsid w:val="2964062C"/>
    <w:rsid w:val="296543A4"/>
    <w:rsid w:val="296A5517"/>
    <w:rsid w:val="296C5733"/>
    <w:rsid w:val="29746395"/>
    <w:rsid w:val="297D1637"/>
    <w:rsid w:val="298567F4"/>
    <w:rsid w:val="29984596"/>
    <w:rsid w:val="299A22A0"/>
    <w:rsid w:val="299A31C8"/>
    <w:rsid w:val="299A404E"/>
    <w:rsid w:val="299F1664"/>
    <w:rsid w:val="29A7676B"/>
    <w:rsid w:val="29B13146"/>
    <w:rsid w:val="29B449E4"/>
    <w:rsid w:val="29BF3AB4"/>
    <w:rsid w:val="29C27101"/>
    <w:rsid w:val="29C70BBB"/>
    <w:rsid w:val="29D47603"/>
    <w:rsid w:val="29D532D8"/>
    <w:rsid w:val="29D60DFE"/>
    <w:rsid w:val="29DB1DB9"/>
    <w:rsid w:val="29DC2957"/>
    <w:rsid w:val="29DD55F2"/>
    <w:rsid w:val="29E17ECF"/>
    <w:rsid w:val="29FA2D3E"/>
    <w:rsid w:val="2A005E7B"/>
    <w:rsid w:val="2A0911D4"/>
    <w:rsid w:val="2A1A0CEB"/>
    <w:rsid w:val="2A225DF1"/>
    <w:rsid w:val="2A226BAF"/>
    <w:rsid w:val="2A2B114A"/>
    <w:rsid w:val="2A2B2EF8"/>
    <w:rsid w:val="2A2C6C70"/>
    <w:rsid w:val="2A336250"/>
    <w:rsid w:val="2A360FB4"/>
    <w:rsid w:val="2A3E7CB6"/>
    <w:rsid w:val="2A4D10C0"/>
    <w:rsid w:val="2A4F4BBF"/>
    <w:rsid w:val="2A50295E"/>
    <w:rsid w:val="2A585CB7"/>
    <w:rsid w:val="2A64465C"/>
    <w:rsid w:val="2A65743E"/>
    <w:rsid w:val="2A693A20"/>
    <w:rsid w:val="2A7228D5"/>
    <w:rsid w:val="2A7778D7"/>
    <w:rsid w:val="2A810D6A"/>
    <w:rsid w:val="2A9A007E"/>
    <w:rsid w:val="2A9B7773"/>
    <w:rsid w:val="2A9C3DF6"/>
    <w:rsid w:val="2AA16BB2"/>
    <w:rsid w:val="2AA3113F"/>
    <w:rsid w:val="2AA8279A"/>
    <w:rsid w:val="2AB63060"/>
    <w:rsid w:val="2AB7478C"/>
    <w:rsid w:val="2AC24A4E"/>
    <w:rsid w:val="2AC33130"/>
    <w:rsid w:val="2ACD3FAF"/>
    <w:rsid w:val="2ACF41CB"/>
    <w:rsid w:val="2AD417E1"/>
    <w:rsid w:val="2AD73080"/>
    <w:rsid w:val="2AD87DA3"/>
    <w:rsid w:val="2AE412F9"/>
    <w:rsid w:val="2AE5579D"/>
    <w:rsid w:val="2AE65071"/>
    <w:rsid w:val="2AEC6B2B"/>
    <w:rsid w:val="2AF23A91"/>
    <w:rsid w:val="2AF36273"/>
    <w:rsid w:val="2AF74609"/>
    <w:rsid w:val="2B083239"/>
    <w:rsid w:val="2B1129CD"/>
    <w:rsid w:val="2B1C6CE5"/>
    <w:rsid w:val="2B223C5F"/>
    <w:rsid w:val="2B230073"/>
    <w:rsid w:val="2B230A70"/>
    <w:rsid w:val="2B275DB5"/>
    <w:rsid w:val="2B2A31B0"/>
    <w:rsid w:val="2B2C517A"/>
    <w:rsid w:val="2B404781"/>
    <w:rsid w:val="2B487ADA"/>
    <w:rsid w:val="2B4A3852"/>
    <w:rsid w:val="2B4B016A"/>
    <w:rsid w:val="2B501F6F"/>
    <w:rsid w:val="2B522706"/>
    <w:rsid w:val="2B560448"/>
    <w:rsid w:val="2B606BD1"/>
    <w:rsid w:val="2B7900B3"/>
    <w:rsid w:val="2B7B7EAF"/>
    <w:rsid w:val="2B7D59D5"/>
    <w:rsid w:val="2B8A00F2"/>
    <w:rsid w:val="2B941E9C"/>
    <w:rsid w:val="2B944ACD"/>
    <w:rsid w:val="2B966A97"/>
    <w:rsid w:val="2BBE7D9C"/>
    <w:rsid w:val="2BC703B4"/>
    <w:rsid w:val="2BD870AF"/>
    <w:rsid w:val="2BDF21EC"/>
    <w:rsid w:val="2BE315B0"/>
    <w:rsid w:val="2BEE6204"/>
    <w:rsid w:val="2BF5404C"/>
    <w:rsid w:val="2BFC0FF0"/>
    <w:rsid w:val="2C0C4FAB"/>
    <w:rsid w:val="2C122E31"/>
    <w:rsid w:val="2C1D0F66"/>
    <w:rsid w:val="2C267B57"/>
    <w:rsid w:val="2C267E1B"/>
    <w:rsid w:val="2C300C99"/>
    <w:rsid w:val="2C471B3F"/>
    <w:rsid w:val="2C532BDA"/>
    <w:rsid w:val="2C534988"/>
    <w:rsid w:val="2C567FD4"/>
    <w:rsid w:val="2C576226"/>
    <w:rsid w:val="2C5F10AE"/>
    <w:rsid w:val="2C772424"/>
    <w:rsid w:val="2C7A0167"/>
    <w:rsid w:val="2C7F39CF"/>
    <w:rsid w:val="2C801F12"/>
    <w:rsid w:val="2C9034E6"/>
    <w:rsid w:val="2C92725E"/>
    <w:rsid w:val="2C934D84"/>
    <w:rsid w:val="2C970D19"/>
    <w:rsid w:val="2C9D5C03"/>
    <w:rsid w:val="2CA13945"/>
    <w:rsid w:val="2CA80B9C"/>
    <w:rsid w:val="2CA90A4C"/>
    <w:rsid w:val="2CBA4A07"/>
    <w:rsid w:val="2CC43190"/>
    <w:rsid w:val="2CD46729"/>
    <w:rsid w:val="2CD930DF"/>
    <w:rsid w:val="2CD94E8D"/>
    <w:rsid w:val="2CDC2BCF"/>
    <w:rsid w:val="2CE101E6"/>
    <w:rsid w:val="2CE455E0"/>
    <w:rsid w:val="2CEF46B1"/>
    <w:rsid w:val="2CF63C91"/>
    <w:rsid w:val="2CFF066C"/>
    <w:rsid w:val="2D0A6526"/>
    <w:rsid w:val="2D0B13C9"/>
    <w:rsid w:val="2D144117"/>
    <w:rsid w:val="2D214A86"/>
    <w:rsid w:val="2D241E80"/>
    <w:rsid w:val="2D287BC3"/>
    <w:rsid w:val="2D2A56E9"/>
    <w:rsid w:val="2D2F4203"/>
    <w:rsid w:val="2D2F478A"/>
    <w:rsid w:val="2D307DF6"/>
    <w:rsid w:val="2D341A64"/>
    <w:rsid w:val="2D3E73E6"/>
    <w:rsid w:val="2D4F6EFD"/>
    <w:rsid w:val="2D510EC7"/>
    <w:rsid w:val="2D546C0A"/>
    <w:rsid w:val="2D5C5ABE"/>
    <w:rsid w:val="2D5E1836"/>
    <w:rsid w:val="2D616C31"/>
    <w:rsid w:val="2D652BC5"/>
    <w:rsid w:val="2D6A3D37"/>
    <w:rsid w:val="2D713318"/>
    <w:rsid w:val="2D8501CE"/>
    <w:rsid w:val="2D9256AB"/>
    <w:rsid w:val="2D9F6352"/>
    <w:rsid w:val="2DA323B8"/>
    <w:rsid w:val="2DA912EE"/>
    <w:rsid w:val="2DAC25A2"/>
    <w:rsid w:val="2DB87198"/>
    <w:rsid w:val="2DBC45BB"/>
    <w:rsid w:val="2DBE22D5"/>
    <w:rsid w:val="2DC01BA9"/>
    <w:rsid w:val="2DC21DC5"/>
    <w:rsid w:val="2DC23B73"/>
    <w:rsid w:val="2DC86CB0"/>
    <w:rsid w:val="2DCF44E2"/>
    <w:rsid w:val="2DD438A6"/>
    <w:rsid w:val="2DD4637D"/>
    <w:rsid w:val="2DD65871"/>
    <w:rsid w:val="2DD6761F"/>
    <w:rsid w:val="2DE81100"/>
    <w:rsid w:val="2DE97352"/>
    <w:rsid w:val="2DEC3FBF"/>
    <w:rsid w:val="2DF47AA5"/>
    <w:rsid w:val="2DF67CC1"/>
    <w:rsid w:val="2DF857E7"/>
    <w:rsid w:val="2E0A72C8"/>
    <w:rsid w:val="2E112405"/>
    <w:rsid w:val="2E293BF2"/>
    <w:rsid w:val="2E2A34C6"/>
    <w:rsid w:val="2E2C5491"/>
    <w:rsid w:val="2E354A5B"/>
    <w:rsid w:val="2E3600BD"/>
    <w:rsid w:val="2E36630F"/>
    <w:rsid w:val="2E424CB4"/>
    <w:rsid w:val="2E4C5B33"/>
    <w:rsid w:val="2E516CA5"/>
    <w:rsid w:val="2E556795"/>
    <w:rsid w:val="2E5A0250"/>
    <w:rsid w:val="2E5D2296"/>
    <w:rsid w:val="2E5D564A"/>
    <w:rsid w:val="2E5F13C2"/>
    <w:rsid w:val="2E665B25"/>
    <w:rsid w:val="2E7110F5"/>
    <w:rsid w:val="2E7330BF"/>
    <w:rsid w:val="2E76495E"/>
    <w:rsid w:val="2E772BB0"/>
    <w:rsid w:val="2E840E29"/>
    <w:rsid w:val="2E89509B"/>
    <w:rsid w:val="2E982B26"/>
    <w:rsid w:val="2E9C71BB"/>
    <w:rsid w:val="2E9D013C"/>
    <w:rsid w:val="2EA17C2D"/>
    <w:rsid w:val="2EA72D69"/>
    <w:rsid w:val="2EB45BB2"/>
    <w:rsid w:val="2EB63B09"/>
    <w:rsid w:val="2EB865D8"/>
    <w:rsid w:val="2EBF6EA3"/>
    <w:rsid w:val="2EC1626D"/>
    <w:rsid w:val="2ECE02F6"/>
    <w:rsid w:val="2ED31DB0"/>
    <w:rsid w:val="2ED8567D"/>
    <w:rsid w:val="2EDC6EB7"/>
    <w:rsid w:val="2EDF69A7"/>
    <w:rsid w:val="2EE31FF3"/>
    <w:rsid w:val="2EED3A41"/>
    <w:rsid w:val="2EF27B0B"/>
    <w:rsid w:val="2EF51D26"/>
    <w:rsid w:val="2EFA558F"/>
    <w:rsid w:val="2EFB597A"/>
    <w:rsid w:val="2F0B779C"/>
    <w:rsid w:val="2F15414F"/>
    <w:rsid w:val="2F2148C9"/>
    <w:rsid w:val="2F230642"/>
    <w:rsid w:val="2F2E6FE6"/>
    <w:rsid w:val="2F2F5238"/>
    <w:rsid w:val="2F307202"/>
    <w:rsid w:val="2F36237D"/>
    <w:rsid w:val="2F3960B7"/>
    <w:rsid w:val="2F4131BE"/>
    <w:rsid w:val="2F414F6C"/>
    <w:rsid w:val="2F430CE4"/>
    <w:rsid w:val="2F4405B8"/>
    <w:rsid w:val="2F464330"/>
    <w:rsid w:val="2F4800A8"/>
    <w:rsid w:val="2F4B1946"/>
    <w:rsid w:val="2F5248B3"/>
    <w:rsid w:val="2F5C7FF7"/>
    <w:rsid w:val="2F633134"/>
    <w:rsid w:val="2F6B1FE9"/>
    <w:rsid w:val="2F77098D"/>
    <w:rsid w:val="2F776BDF"/>
    <w:rsid w:val="2F794705"/>
    <w:rsid w:val="2F7B222C"/>
    <w:rsid w:val="2F822251"/>
    <w:rsid w:val="2F860BD0"/>
    <w:rsid w:val="2F880DEC"/>
    <w:rsid w:val="2F8D1F5F"/>
    <w:rsid w:val="2F8F5CD7"/>
    <w:rsid w:val="2F9E5F1A"/>
    <w:rsid w:val="2FB13E9F"/>
    <w:rsid w:val="2FB219C5"/>
    <w:rsid w:val="2FC17E5A"/>
    <w:rsid w:val="2FDE0A0C"/>
    <w:rsid w:val="2FE204FD"/>
    <w:rsid w:val="2FE343B8"/>
    <w:rsid w:val="2FE36023"/>
    <w:rsid w:val="2FEC09B7"/>
    <w:rsid w:val="2FEE60FC"/>
    <w:rsid w:val="2FEF6776"/>
    <w:rsid w:val="2FF65D56"/>
    <w:rsid w:val="2FFB336C"/>
    <w:rsid w:val="30006BD5"/>
    <w:rsid w:val="30055F99"/>
    <w:rsid w:val="30077F63"/>
    <w:rsid w:val="300A7BA6"/>
    <w:rsid w:val="30136908"/>
    <w:rsid w:val="30183F1E"/>
    <w:rsid w:val="30185CCC"/>
    <w:rsid w:val="301F52AD"/>
    <w:rsid w:val="30234671"/>
    <w:rsid w:val="30295150"/>
    <w:rsid w:val="302A595C"/>
    <w:rsid w:val="302C79CA"/>
    <w:rsid w:val="302F3BDF"/>
    <w:rsid w:val="30311084"/>
    <w:rsid w:val="30316D8E"/>
    <w:rsid w:val="30326874"/>
    <w:rsid w:val="303B7C0D"/>
    <w:rsid w:val="303E7AE9"/>
    <w:rsid w:val="304271ED"/>
    <w:rsid w:val="304A5411"/>
    <w:rsid w:val="305807BF"/>
    <w:rsid w:val="305A03B0"/>
    <w:rsid w:val="30637C21"/>
    <w:rsid w:val="30647164"/>
    <w:rsid w:val="306C6942"/>
    <w:rsid w:val="307D0225"/>
    <w:rsid w:val="307F3F9D"/>
    <w:rsid w:val="30801AC4"/>
    <w:rsid w:val="308275EA"/>
    <w:rsid w:val="308B2942"/>
    <w:rsid w:val="308E5F8F"/>
    <w:rsid w:val="30983C2F"/>
    <w:rsid w:val="309D61D2"/>
    <w:rsid w:val="30AA08EF"/>
    <w:rsid w:val="30AB4D93"/>
    <w:rsid w:val="30B009C8"/>
    <w:rsid w:val="30B8300C"/>
    <w:rsid w:val="30B976E9"/>
    <w:rsid w:val="30BA6D84"/>
    <w:rsid w:val="30C3032E"/>
    <w:rsid w:val="30CF7517"/>
    <w:rsid w:val="30D140CD"/>
    <w:rsid w:val="30D2231F"/>
    <w:rsid w:val="30DD6F16"/>
    <w:rsid w:val="30E43E01"/>
    <w:rsid w:val="310821E5"/>
    <w:rsid w:val="31083F93"/>
    <w:rsid w:val="31126BC0"/>
    <w:rsid w:val="311346E6"/>
    <w:rsid w:val="31185880"/>
    <w:rsid w:val="311C17EC"/>
    <w:rsid w:val="312C669A"/>
    <w:rsid w:val="312F7772"/>
    <w:rsid w:val="31305298"/>
    <w:rsid w:val="31311FAB"/>
    <w:rsid w:val="313C59EB"/>
    <w:rsid w:val="313E5C07"/>
    <w:rsid w:val="31436D79"/>
    <w:rsid w:val="31466869"/>
    <w:rsid w:val="3146720F"/>
    <w:rsid w:val="314D409C"/>
    <w:rsid w:val="31570A76"/>
    <w:rsid w:val="31662A49"/>
    <w:rsid w:val="316F5DC0"/>
    <w:rsid w:val="317A29E0"/>
    <w:rsid w:val="317A6513"/>
    <w:rsid w:val="317B67D5"/>
    <w:rsid w:val="317C6EAD"/>
    <w:rsid w:val="317F1D7B"/>
    <w:rsid w:val="318A0E4C"/>
    <w:rsid w:val="318B6972"/>
    <w:rsid w:val="318C4BC4"/>
    <w:rsid w:val="319C46DB"/>
    <w:rsid w:val="319E7876"/>
    <w:rsid w:val="31A17C21"/>
    <w:rsid w:val="31A812D2"/>
    <w:rsid w:val="31AB54EF"/>
    <w:rsid w:val="31B60FAE"/>
    <w:rsid w:val="31BB2DB3"/>
    <w:rsid w:val="31C0486E"/>
    <w:rsid w:val="31C53C32"/>
    <w:rsid w:val="31CC4FC0"/>
    <w:rsid w:val="31D04385"/>
    <w:rsid w:val="31D71BB7"/>
    <w:rsid w:val="31D75713"/>
    <w:rsid w:val="31DB3455"/>
    <w:rsid w:val="31DE6AA2"/>
    <w:rsid w:val="31EC7411"/>
    <w:rsid w:val="31ED44C0"/>
    <w:rsid w:val="31F75DB5"/>
    <w:rsid w:val="31F81FF4"/>
    <w:rsid w:val="31FE5396"/>
    <w:rsid w:val="32024E86"/>
    <w:rsid w:val="320329AC"/>
    <w:rsid w:val="320A3D3B"/>
    <w:rsid w:val="320A7220"/>
    <w:rsid w:val="32127369"/>
    <w:rsid w:val="321B3DE3"/>
    <w:rsid w:val="321B7CF6"/>
    <w:rsid w:val="321D581C"/>
    <w:rsid w:val="322B1F07"/>
    <w:rsid w:val="322C1F03"/>
    <w:rsid w:val="323112C7"/>
    <w:rsid w:val="323B2146"/>
    <w:rsid w:val="323C7095"/>
    <w:rsid w:val="32427031"/>
    <w:rsid w:val="32430FFB"/>
    <w:rsid w:val="324A2389"/>
    <w:rsid w:val="325154C6"/>
    <w:rsid w:val="32527C83"/>
    <w:rsid w:val="32584AA6"/>
    <w:rsid w:val="325F4087"/>
    <w:rsid w:val="32607DFF"/>
    <w:rsid w:val="326276D3"/>
    <w:rsid w:val="326C0551"/>
    <w:rsid w:val="326F3B9E"/>
    <w:rsid w:val="32755658"/>
    <w:rsid w:val="32786EF6"/>
    <w:rsid w:val="32805DAB"/>
    <w:rsid w:val="328A09D8"/>
    <w:rsid w:val="32AE46C6"/>
    <w:rsid w:val="32B83797"/>
    <w:rsid w:val="32B85545"/>
    <w:rsid w:val="32BA1BBC"/>
    <w:rsid w:val="32BA750F"/>
    <w:rsid w:val="32BF0681"/>
    <w:rsid w:val="32BF4B25"/>
    <w:rsid w:val="32C739DA"/>
    <w:rsid w:val="32C75496"/>
    <w:rsid w:val="32C75788"/>
    <w:rsid w:val="32CE2FBA"/>
    <w:rsid w:val="32D83E39"/>
    <w:rsid w:val="32ED1692"/>
    <w:rsid w:val="32F04CDF"/>
    <w:rsid w:val="32FC7B27"/>
    <w:rsid w:val="330662B0"/>
    <w:rsid w:val="330C5891"/>
    <w:rsid w:val="330D4536"/>
    <w:rsid w:val="330E33B7"/>
    <w:rsid w:val="331C5AD4"/>
    <w:rsid w:val="33272CFD"/>
    <w:rsid w:val="3328091C"/>
    <w:rsid w:val="332E3A59"/>
    <w:rsid w:val="3330157F"/>
    <w:rsid w:val="33323549"/>
    <w:rsid w:val="333A7F32"/>
    <w:rsid w:val="333C6176"/>
    <w:rsid w:val="333E1EEE"/>
    <w:rsid w:val="33462B51"/>
    <w:rsid w:val="334E5EA9"/>
    <w:rsid w:val="33633703"/>
    <w:rsid w:val="33655F01"/>
    <w:rsid w:val="337575FD"/>
    <w:rsid w:val="337E053C"/>
    <w:rsid w:val="337F42B4"/>
    <w:rsid w:val="338C39A2"/>
    <w:rsid w:val="338E62A6"/>
    <w:rsid w:val="33923FE8"/>
    <w:rsid w:val="339B55AD"/>
    <w:rsid w:val="33A31D51"/>
    <w:rsid w:val="33A3495C"/>
    <w:rsid w:val="33A8380B"/>
    <w:rsid w:val="33B91574"/>
    <w:rsid w:val="33BC2E13"/>
    <w:rsid w:val="33BE302F"/>
    <w:rsid w:val="33BF6367"/>
    <w:rsid w:val="33C61EE3"/>
    <w:rsid w:val="33C85C5B"/>
    <w:rsid w:val="33CF15E5"/>
    <w:rsid w:val="33E02FA5"/>
    <w:rsid w:val="33F01F0A"/>
    <w:rsid w:val="33F46A50"/>
    <w:rsid w:val="34000F51"/>
    <w:rsid w:val="340053F5"/>
    <w:rsid w:val="340A1DD0"/>
    <w:rsid w:val="34164C19"/>
    <w:rsid w:val="341B3FDD"/>
    <w:rsid w:val="341D71C9"/>
    <w:rsid w:val="3421711A"/>
    <w:rsid w:val="34270BD4"/>
    <w:rsid w:val="34272982"/>
    <w:rsid w:val="342B1D46"/>
    <w:rsid w:val="342B6971"/>
    <w:rsid w:val="34360E17"/>
    <w:rsid w:val="343C6B12"/>
    <w:rsid w:val="3446549C"/>
    <w:rsid w:val="345179FF"/>
    <w:rsid w:val="34545741"/>
    <w:rsid w:val="34592D57"/>
    <w:rsid w:val="345A1178"/>
    <w:rsid w:val="345E036E"/>
    <w:rsid w:val="346239BA"/>
    <w:rsid w:val="34627E5E"/>
    <w:rsid w:val="34670FD0"/>
    <w:rsid w:val="346A0AC1"/>
    <w:rsid w:val="346C65E7"/>
    <w:rsid w:val="346D235F"/>
    <w:rsid w:val="347831DE"/>
    <w:rsid w:val="34790D04"/>
    <w:rsid w:val="347C757D"/>
    <w:rsid w:val="3482405C"/>
    <w:rsid w:val="34825E0A"/>
    <w:rsid w:val="348736CE"/>
    <w:rsid w:val="348A2F11"/>
    <w:rsid w:val="349A13A6"/>
    <w:rsid w:val="34B8182C"/>
    <w:rsid w:val="34BD32E6"/>
    <w:rsid w:val="34C04B85"/>
    <w:rsid w:val="34C208FD"/>
    <w:rsid w:val="34D0301A"/>
    <w:rsid w:val="34D348B8"/>
    <w:rsid w:val="34D643A8"/>
    <w:rsid w:val="34D923E8"/>
    <w:rsid w:val="34DA3A0B"/>
    <w:rsid w:val="34DA3E98"/>
    <w:rsid w:val="34DB1C6D"/>
    <w:rsid w:val="34E6283D"/>
    <w:rsid w:val="34F52A80"/>
    <w:rsid w:val="350A7012"/>
    <w:rsid w:val="35134CB4"/>
    <w:rsid w:val="351729F7"/>
    <w:rsid w:val="35225BD7"/>
    <w:rsid w:val="35245113"/>
    <w:rsid w:val="35277F68"/>
    <w:rsid w:val="352E5F92"/>
    <w:rsid w:val="353335A8"/>
    <w:rsid w:val="353F1F4D"/>
    <w:rsid w:val="353F5AA9"/>
    <w:rsid w:val="354B08F2"/>
    <w:rsid w:val="356773AC"/>
    <w:rsid w:val="356814A4"/>
    <w:rsid w:val="356C45C3"/>
    <w:rsid w:val="35742745"/>
    <w:rsid w:val="3578720D"/>
    <w:rsid w:val="357D65D2"/>
    <w:rsid w:val="35843E04"/>
    <w:rsid w:val="358D0F0B"/>
    <w:rsid w:val="359871BA"/>
    <w:rsid w:val="359978AF"/>
    <w:rsid w:val="35A63D7A"/>
    <w:rsid w:val="35A973C7"/>
    <w:rsid w:val="35AE1CC8"/>
    <w:rsid w:val="35B244CD"/>
    <w:rsid w:val="35BC17F0"/>
    <w:rsid w:val="35BF4E3C"/>
    <w:rsid w:val="35C10BB4"/>
    <w:rsid w:val="35C64805"/>
    <w:rsid w:val="35CB558F"/>
    <w:rsid w:val="35CF507F"/>
    <w:rsid w:val="35D07049"/>
    <w:rsid w:val="35DE3514"/>
    <w:rsid w:val="35E36D7D"/>
    <w:rsid w:val="35E6061B"/>
    <w:rsid w:val="35E825E5"/>
    <w:rsid w:val="35EA010B"/>
    <w:rsid w:val="35EA0AC0"/>
    <w:rsid w:val="360C62D3"/>
    <w:rsid w:val="360F7B72"/>
    <w:rsid w:val="36280C33"/>
    <w:rsid w:val="3628478F"/>
    <w:rsid w:val="36287465"/>
    <w:rsid w:val="362F3D70"/>
    <w:rsid w:val="36321AB2"/>
    <w:rsid w:val="36323860"/>
    <w:rsid w:val="36435A6D"/>
    <w:rsid w:val="36444283"/>
    <w:rsid w:val="365377F4"/>
    <w:rsid w:val="366003CD"/>
    <w:rsid w:val="36603F29"/>
    <w:rsid w:val="36657792"/>
    <w:rsid w:val="3667350A"/>
    <w:rsid w:val="366A1DF8"/>
    <w:rsid w:val="36707070"/>
    <w:rsid w:val="36743E79"/>
    <w:rsid w:val="3676374D"/>
    <w:rsid w:val="367714D5"/>
    <w:rsid w:val="36826596"/>
    <w:rsid w:val="368C2F70"/>
    <w:rsid w:val="368F2A60"/>
    <w:rsid w:val="3699743B"/>
    <w:rsid w:val="36AA5AEC"/>
    <w:rsid w:val="36BE6EA2"/>
    <w:rsid w:val="36C50230"/>
    <w:rsid w:val="36C721FA"/>
    <w:rsid w:val="36CC5A63"/>
    <w:rsid w:val="36D554E4"/>
    <w:rsid w:val="36E27034"/>
    <w:rsid w:val="36EC1C61"/>
    <w:rsid w:val="36F32FEF"/>
    <w:rsid w:val="36F80606"/>
    <w:rsid w:val="36F9612C"/>
    <w:rsid w:val="36FF7BE6"/>
    <w:rsid w:val="371234AD"/>
    <w:rsid w:val="37180CA8"/>
    <w:rsid w:val="371A057C"/>
    <w:rsid w:val="37242B85"/>
    <w:rsid w:val="372633C5"/>
    <w:rsid w:val="37270EEB"/>
    <w:rsid w:val="37272C99"/>
    <w:rsid w:val="37296A11"/>
    <w:rsid w:val="372C4753"/>
    <w:rsid w:val="373B6744"/>
    <w:rsid w:val="37427AD3"/>
    <w:rsid w:val="37461371"/>
    <w:rsid w:val="37490E61"/>
    <w:rsid w:val="375F2433"/>
    <w:rsid w:val="375F68D7"/>
    <w:rsid w:val="37611535"/>
    <w:rsid w:val="376712E7"/>
    <w:rsid w:val="37753A04"/>
    <w:rsid w:val="377C2FE5"/>
    <w:rsid w:val="378105FB"/>
    <w:rsid w:val="37814AE6"/>
    <w:rsid w:val="37824373"/>
    <w:rsid w:val="378571E0"/>
    <w:rsid w:val="37866CC0"/>
    <w:rsid w:val="37887BDC"/>
    <w:rsid w:val="378B76CC"/>
    <w:rsid w:val="37901754"/>
    <w:rsid w:val="37A147F9"/>
    <w:rsid w:val="37A328ED"/>
    <w:rsid w:val="37B63DE0"/>
    <w:rsid w:val="37BA3B0D"/>
    <w:rsid w:val="37BF7375"/>
    <w:rsid w:val="37C329C2"/>
    <w:rsid w:val="37D746BF"/>
    <w:rsid w:val="37D7646D"/>
    <w:rsid w:val="37E42938"/>
    <w:rsid w:val="37ED7A3F"/>
    <w:rsid w:val="37EF7C5B"/>
    <w:rsid w:val="37FF5F97"/>
    <w:rsid w:val="380D6333"/>
    <w:rsid w:val="3810372D"/>
    <w:rsid w:val="38213B8C"/>
    <w:rsid w:val="382316B2"/>
    <w:rsid w:val="3825542A"/>
    <w:rsid w:val="382B67B9"/>
    <w:rsid w:val="3830210D"/>
    <w:rsid w:val="3832581C"/>
    <w:rsid w:val="38351B40"/>
    <w:rsid w:val="383523CC"/>
    <w:rsid w:val="3837515E"/>
    <w:rsid w:val="383A69FC"/>
    <w:rsid w:val="383E473E"/>
    <w:rsid w:val="38417ADA"/>
    <w:rsid w:val="38455ACD"/>
    <w:rsid w:val="384A4E91"/>
    <w:rsid w:val="384A6C3F"/>
    <w:rsid w:val="38517386"/>
    <w:rsid w:val="38555055"/>
    <w:rsid w:val="38593326"/>
    <w:rsid w:val="385C4BC4"/>
    <w:rsid w:val="386046B4"/>
    <w:rsid w:val="38651CCB"/>
    <w:rsid w:val="38675A43"/>
    <w:rsid w:val="387168C2"/>
    <w:rsid w:val="38740160"/>
    <w:rsid w:val="387D02B9"/>
    <w:rsid w:val="388C7258"/>
    <w:rsid w:val="38912AC0"/>
    <w:rsid w:val="389205E6"/>
    <w:rsid w:val="389712B7"/>
    <w:rsid w:val="389C4783"/>
    <w:rsid w:val="38A5656B"/>
    <w:rsid w:val="38A87E0A"/>
    <w:rsid w:val="38AE3672"/>
    <w:rsid w:val="38B14F10"/>
    <w:rsid w:val="38B85A37"/>
    <w:rsid w:val="38CC7F9C"/>
    <w:rsid w:val="38EF3C8A"/>
    <w:rsid w:val="38F816A4"/>
    <w:rsid w:val="38F924F1"/>
    <w:rsid w:val="38FB618B"/>
    <w:rsid w:val="38FD1F03"/>
    <w:rsid w:val="390C2146"/>
    <w:rsid w:val="390E2362"/>
    <w:rsid w:val="39137979"/>
    <w:rsid w:val="393578EF"/>
    <w:rsid w:val="393A1311"/>
    <w:rsid w:val="393D67A4"/>
    <w:rsid w:val="394408E9"/>
    <w:rsid w:val="3962445C"/>
    <w:rsid w:val="39655A83"/>
    <w:rsid w:val="39691347"/>
    <w:rsid w:val="396C0E37"/>
    <w:rsid w:val="397321C6"/>
    <w:rsid w:val="398048E2"/>
    <w:rsid w:val="39812B34"/>
    <w:rsid w:val="398B750F"/>
    <w:rsid w:val="39902D77"/>
    <w:rsid w:val="39924D42"/>
    <w:rsid w:val="39934616"/>
    <w:rsid w:val="399430B5"/>
    <w:rsid w:val="399A59A4"/>
    <w:rsid w:val="399C171C"/>
    <w:rsid w:val="399F120C"/>
    <w:rsid w:val="39A14F85"/>
    <w:rsid w:val="39A64349"/>
    <w:rsid w:val="39A71043"/>
    <w:rsid w:val="39B50A30"/>
    <w:rsid w:val="39C173D5"/>
    <w:rsid w:val="39E10598"/>
    <w:rsid w:val="39E676B1"/>
    <w:rsid w:val="39EB4452"/>
    <w:rsid w:val="39EC3D26"/>
    <w:rsid w:val="39ED1F78"/>
    <w:rsid w:val="39FE4185"/>
    <w:rsid w:val="3A045513"/>
    <w:rsid w:val="3A20459B"/>
    <w:rsid w:val="3A211C22"/>
    <w:rsid w:val="3A255BB6"/>
    <w:rsid w:val="3A26548A"/>
    <w:rsid w:val="3A267238"/>
    <w:rsid w:val="3A2A31CC"/>
    <w:rsid w:val="3A30455A"/>
    <w:rsid w:val="3A317B94"/>
    <w:rsid w:val="3A377697"/>
    <w:rsid w:val="3A39340F"/>
    <w:rsid w:val="3A3C4CAD"/>
    <w:rsid w:val="3A3F1B1E"/>
    <w:rsid w:val="3A451DB4"/>
    <w:rsid w:val="3A4D6EBA"/>
    <w:rsid w:val="3A502507"/>
    <w:rsid w:val="3A507D03"/>
    <w:rsid w:val="3A5244D1"/>
    <w:rsid w:val="3A540249"/>
    <w:rsid w:val="3A655FB2"/>
    <w:rsid w:val="3A7E52C6"/>
    <w:rsid w:val="3A86417A"/>
    <w:rsid w:val="3A897053"/>
    <w:rsid w:val="3A8A77C7"/>
    <w:rsid w:val="3A8B75BA"/>
    <w:rsid w:val="3AA34D2C"/>
    <w:rsid w:val="3AAF1923"/>
    <w:rsid w:val="3AB26D1E"/>
    <w:rsid w:val="3AB40CE8"/>
    <w:rsid w:val="3AB50103"/>
    <w:rsid w:val="3AB72586"/>
    <w:rsid w:val="3AC151B3"/>
    <w:rsid w:val="3ACD3B57"/>
    <w:rsid w:val="3AD44EE6"/>
    <w:rsid w:val="3AD82C28"/>
    <w:rsid w:val="3AD849D6"/>
    <w:rsid w:val="3ADF67F8"/>
    <w:rsid w:val="3AE07D2F"/>
    <w:rsid w:val="3AE16321"/>
    <w:rsid w:val="3AEE244B"/>
    <w:rsid w:val="3AF64E5C"/>
    <w:rsid w:val="3AF65112"/>
    <w:rsid w:val="3AFE1F63"/>
    <w:rsid w:val="3B031DF5"/>
    <w:rsid w:val="3B057795"/>
    <w:rsid w:val="3B0F4170"/>
    <w:rsid w:val="3B1F0857"/>
    <w:rsid w:val="3B301EC0"/>
    <w:rsid w:val="3B4756B8"/>
    <w:rsid w:val="3B4D36E8"/>
    <w:rsid w:val="3B512F70"/>
    <w:rsid w:val="3B5D312D"/>
    <w:rsid w:val="3B6D2596"/>
    <w:rsid w:val="3B6E0E96"/>
    <w:rsid w:val="3B7A783B"/>
    <w:rsid w:val="3B84690C"/>
    <w:rsid w:val="3B8C57C0"/>
    <w:rsid w:val="3B8D6E91"/>
    <w:rsid w:val="3B90705F"/>
    <w:rsid w:val="3B912DD7"/>
    <w:rsid w:val="3B96663F"/>
    <w:rsid w:val="3BA0301A"/>
    <w:rsid w:val="3BA23236"/>
    <w:rsid w:val="3BAB4361"/>
    <w:rsid w:val="3BB0325D"/>
    <w:rsid w:val="3BC62A80"/>
    <w:rsid w:val="3BCC3E0F"/>
    <w:rsid w:val="3BCE7B87"/>
    <w:rsid w:val="3BDA652C"/>
    <w:rsid w:val="3BE15B0C"/>
    <w:rsid w:val="3BE178BA"/>
    <w:rsid w:val="3BE33DA9"/>
    <w:rsid w:val="3BE70C49"/>
    <w:rsid w:val="3BE850ED"/>
    <w:rsid w:val="3BF07AFD"/>
    <w:rsid w:val="3BF4646A"/>
    <w:rsid w:val="3BF82E56"/>
    <w:rsid w:val="3C145EE2"/>
    <w:rsid w:val="3C177780"/>
    <w:rsid w:val="3C335C3C"/>
    <w:rsid w:val="3C463BC1"/>
    <w:rsid w:val="3C4D4F50"/>
    <w:rsid w:val="3C51154D"/>
    <w:rsid w:val="3C597D99"/>
    <w:rsid w:val="3C5C5193"/>
    <w:rsid w:val="3C5F1FE3"/>
    <w:rsid w:val="3C6648CA"/>
    <w:rsid w:val="3C687FDC"/>
    <w:rsid w:val="3C720E5A"/>
    <w:rsid w:val="3C771FCD"/>
    <w:rsid w:val="3C797AF3"/>
    <w:rsid w:val="3C7A4FBF"/>
    <w:rsid w:val="3C8446EA"/>
    <w:rsid w:val="3C862210"/>
    <w:rsid w:val="3C8841DA"/>
    <w:rsid w:val="3C9B3F0D"/>
    <w:rsid w:val="3C9F07CB"/>
    <w:rsid w:val="3CA134EE"/>
    <w:rsid w:val="3CA522D6"/>
    <w:rsid w:val="3CA52FDE"/>
    <w:rsid w:val="3CA8662A"/>
    <w:rsid w:val="3CAB1C76"/>
    <w:rsid w:val="3CB054DF"/>
    <w:rsid w:val="3CB11983"/>
    <w:rsid w:val="3CB43221"/>
    <w:rsid w:val="3CB7061B"/>
    <w:rsid w:val="3CBE5E4E"/>
    <w:rsid w:val="3CC01BC6"/>
    <w:rsid w:val="3CC350C0"/>
    <w:rsid w:val="3CCD6091"/>
    <w:rsid w:val="3CCF4271"/>
    <w:rsid w:val="3CDD0A65"/>
    <w:rsid w:val="3CE358B4"/>
    <w:rsid w:val="3CE82ECA"/>
    <w:rsid w:val="3CE84C78"/>
    <w:rsid w:val="3CE968BC"/>
    <w:rsid w:val="3CEA279F"/>
    <w:rsid w:val="3CEC29BB"/>
    <w:rsid w:val="3CFA5E7B"/>
    <w:rsid w:val="3CFE624A"/>
    <w:rsid w:val="3D023F8C"/>
    <w:rsid w:val="3D031AB2"/>
    <w:rsid w:val="3D073351"/>
    <w:rsid w:val="3D0870C9"/>
    <w:rsid w:val="3D115F7D"/>
    <w:rsid w:val="3D143CBF"/>
    <w:rsid w:val="3D163594"/>
    <w:rsid w:val="3D16475B"/>
    <w:rsid w:val="3D281519"/>
    <w:rsid w:val="3D406863"/>
    <w:rsid w:val="3D436353"/>
    <w:rsid w:val="3D4A148F"/>
    <w:rsid w:val="3D4A5933"/>
    <w:rsid w:val="3D533C76"/>
    <w:rsid w:val="3D6D517E"/>
    <w:rsid w:val="3D6E0891"/>
    <w:rsid w:val="3D7529B0"/>
    <w:rsid w:val="3D7F57A8"/>
    <w:rsid w:val="3D85696B"/>
    <w:rsid w:val="3D8E3A72"/>
    <w:rsid w:val="3D8F1598"/>
    <w:rsid w:val="3D8F3346"/>
    <w:rsid w:val="3D913562"/>
    <w:rsid w:val="3D921364"/>
    <w:rsid w:val="3D9646D4"/>
    <w:rsid w:val="3D9A6CBA"/>
    <w:rsid w:val="3DA60DBB"/>
    <w:rsid w:val="3DBF00CF"/>
    <w:rsid w:val="3DC2371B"/>
    <w:rsid w:val="3DC41242"/>
    <w:rsid w:val="3DC512A1"/>
    <w:rsid w:val="3DD86A9B"/>
    <w:rsid w:val="3DDA0A65"/>
    <w:rsid w:val="3DE25B6C"/>
    <w:rsid w:val="3DE2791A"/>
    <w:rsid w:val="3DE5212B"/>
    <w:rsid w:val="3DE74F30"/>
    <w:rsid w:val="3DFF227A"/>
    <w:rsid w:val="3E006048"/>
    <w:rsid w:val="3E014244"/>
    <w:rsid w:val="3E0B26DF"/>
    <w:rsid w:val="3E167AE5"/>
    <w:rsid w:val="3E1C107E"/>
    <w:rsid w:val="3E2241BA"/>
    <w:rsid w:val="3E246184"/>
    <w:rsid w:val="3E247F32"/>
    <w:rsid w:val="3E2B12C1"/>
    <w:rsid w:val="3E374E7B"/>
    <w:rsid w:val="3E3A1504"/>
    <w:rsid w:val="3E3B3627"/>
    <w:rsid w:val="3E3E7246"/>
    <w:rsid w:val="3E3F4D6C"/>
    <w:rsid w:val="3E5E3444"/>
    <w:rsid w:val="3E612F34"/>
    <w:rsid w:val="3E622809"/>
    <w:rsid w:val="3E6622F9"/>
    <w:rsid w:val="3E6842C3"/>
    <w:rsid w:val="3E693B97"/>
    <w:rsid w:val="3E6E73FF"/>
    <w:rsid w:val="3E740EBA"/>
    <w:rsid w:val="3E774506"/>
    <w:rsid w:val="3E7E5894"/>
    <w:rsid w:val="3E834C59"/>
    <w:rsid w:val="3EA352FB"/>
    <w:rsid w:val="3EA64DEB"/>
    <w:rsid w:val="3EB219E2"/>
    <w:rsid w:val="3EC77AB5"/>
    <w:rsid w:val="3EC82FB3"/>
    <w:rsid w:val="3ECD6D74"/>
    <w:rsid w:val="3ED01E68"/>
    <w:rsid w:val="3ED6747E"/>
    <w:rsid w:val="3EE37DED"/>
    <w:rsid w:val="3EE43BF5"/>
    <w:rsid w:val="3EE80F60"/>
    <w:rsid w:val="3EF1250A"/>
    <w:rsid w:val="3EF5367D"/>
    <w:rsid w:val="3EFB7BFF"/>
    <w:rsid w:val="3F0264C5"/>
    <w:rsid w:val="3F055FB6"/>
    <w:rsid w:val="3F102539"/>
    <w:rsid w:val="3F251F7F"/>
    <w:rsid w:val="3F2521B4"/>
    <w:rsid w:val="3F281CA4"/>
    <w:rsid w:val="3F312907"/>
    <w:rsid w:val="3F32667F"/>
    <w:rsid w:val="3F383D76"/>
    <w:rsid w:val="3F450160"/>
    <w:rsid w:val="3F47212A"/>
    <w:rsid w:val="3F48386B"/>
    <w:rsid w:val="3F572AFA"/>
    <w:rsid w:val="3F636838"/>
    <w:rsid w:val="3F6A406B"/>
    <w:rsid w:val="3F6E3B5B"/>
    <w:rsid w:val="3F6F1681"/>
    <w:rsid w:val="3F854A01"/>
    <w:rsid w:val="3F93711E"/>
    <w:rsid w:val="3FA7706D"/>
    <w:rsid w:val="3FB425B6"/>
    <w:rsid w:val="3FB928FC"/>
    <w:rsid w:val="3FBB6674"/>
    <w:rsid w:val="3FBF59A2"/>
    <w:rsid w:val="3FC75019"/>
    <w:rsid w:val="3FC90D91"/>
    <w:rsid w:val="3FC95AB0"/>
    <w:rsid w:val="3FCE63A8"/>
    <w:rsid w:val="3FD15E98"/>
    <w:rsid w:val="3FD17C46"/>
    <w:rsid w:val="3FDA2F9E"/>
    <w:rsid w:val="3FDB0AC5"/>
    <w:rsid w:val="3FE060DB"/>
    <w:rsid w:val="3FE21E53"/>
    <w:rsid w:val="3FFA0F4B"/>
    <w:rsid w:val="40181D19"/>
    <w:rsid w:val="40183AC7"/>
    <w:rsid w:val="40210BCD"/>
    <w:rsid w:val="402D7572"/>
    <w:rsid w:val="40300E10"/>
    <w:rsid w:val="4033445D"/>
    <w:rsid w:val="403D52DB"/>
    <w:rsid w:val="40493C80"/>
    <w:rsid w:val="404B3E9C"/>
    <w:rsid w:val="404F281F"/>
    <w:rsid w:val="4057639D"/>
    <w:rsid w:val="4058639A"/>
    <w:rsid w:val="405A5E8D"/>
    <w:rsid w:val="405D184C"/>
    <w:rsid w:val="40632F94"/>
    <w:rsid w:val="40761B16"/>
    <w:rsid w:val="407A02DD"/>
    <w:rsid w:val="40896772"/>
    <w:rsid w:val="408E3D89"/>
    <w:rsid w:val="40907B01"/>
    <w:rsid w:val="40955117"/>
    <w:rsid w:val="40A35A86"/>
    <w:rsid w:val="40A4535A"/>
    <w:rsid w:val="40AD06B3"/>
    <w:rsid w:val="40B01F51"/>
    <w:rsid w:val="40B414F2"/>
    <w:rsid w:val="40B557B9"/>
    <w:rsid w:val="40B57568"/>
    <w:rsid w:val="40B7508E"/>
    <w:rsid w:val="40B824A1"/>
    <w:rsid w:val="40B82BB4"/>
    <w:rsid w:val="40BA692C"/>
    <w:rsid w:val="40BF2194"/>
    <w:rsid w:val="40D03769"/>
    <w:rsid w:val="40D734D2"/>
    <w:rsid w:val="40D75730"/>
    <w:rsid w:val="40D93256"/>
    <w:rsid w:val="40E816EB"/>
    <w:rsid w:val="40EA7211"/>
    <w:rsid w:val="40EB0C3F"/>
    <w:rsid w:val="40F2256A"/>
    <w:rsid w:val="40F462E2"/>
    <w:rsid w:val="40F72D63"/>
    <w:rsid w:val="40FE0F0E"/>
    <w:rsid w:val="4105404B"/>
    <w:rsid w:val="410858E9"/>
    <w:rsid w:val="410F6C78"/>
    <w:rsid w:val="41111E59"/>
    <w:rsid w:val="41123FC3"/>
    <w:rsid w:val="411249BA"/>
    <w:rsid w:val="41126927"/>
    <w:rsid w:val="41197AF6"/>
    <w:rsid w:val="412304F0"/>
    <w:rsid w:val="41232723"/>
    <w:rsid w:val="41287D39"/>
    <w:rsid w:val="412B104C"/>
    <w:rsid w:val="41390199"/>
    <w:rsid w:val="41401D0D"/>
    <w:rsid w:val="41452699"/>
    <w:rsid w:val="41536C1F"/>
    <w:rsid w:val="41596145"/>
    <w:rsid w:val="415D3E87"/>
    <w:rsid w:val="41601281"/>
    <w:rsid w:val="41720FB5"/>
    <w:rsid w:val="41840E0E"/>
    <w:rsid w:val="418670FF"/>
    <w:rsid w:val="419158DF"/>
    <w:rsid w:val="41950E9A"/>
    <w:rsid w:val="419D0727"/>
    <w:rsid w:val="419E624E"/>
    <w:rsid w:val="41A05B22"/>
    <w:rsid w:val="41A575DC"/>
    <w:rsid w:val="41A73354"/>
    <w:rsid w:val="41A90E7A"/>
    <w:rsid w:val="41AA4248"/>
    <w:rsid w:val="41AF3FB7"/>
    <w:rsid w:val="41B8730F"/>
    <w:rsid w:val="41BA3087"/>
    <w:rsid w:val="41BB295C"/>
    <w:rsid w:val="41C31810"/>
    <w:rsid w:val="41C77552"/>
    <w:rsid w:val="41D103D1"/>
    <w:rsid w:val="41D67795"/>
    <w:rsid w:val="41DB1250"/>
    <w:rsid w:val="41DD61BA"/>
    <w:rsid w:val="41DF2AEE"/>
    <w:rsid w:val="41E55C2A"/>
    <w:rsid w:val="41E7737C"/>
    <w:rsid w:val="41E9396D"/>
    <w:rsid w:val="41F47C4C"/>
    <w:rsid w:val="42022339"/>
    <w:rsid w:val="420936C7"/>
    <w:rsid w:val="420C765B"/>
    <w:rsid w:val="420E7D4A"/>
    <w:rsid w:val="42137AE0"/>
    <w:rsid w:val="421B789E"/>
    <w:rsid w:val="421F113C"/>
    <w:rsid w:val="421F738E"/>
    <w:rsid w:val="422616C6"/>
    <w:rsid w:val="422E312E"/>
    <w:rsid w:val="4230334A"/>
    <w:rsid w:val="42332E3A"/>
    <w:rsid w:val="42402E61"/>
    <w:rsid w:val="4249440B"/>
    <w:rsid w:val="424B0183"/>
    <w:rsid w:val="424E37D0"/>
    <w:rsid w:val="425D1C65"/>
    <w:rsid w:val="427434C5"/>
    <w:rsid w:val="427A2817"/>
    <w:rsid w:val="427B20EB"/>
    <w:rsid w:val="427C747D"/>
    <w:rsid w:val="427E2307"/>
    <w:rsid w:val="42862F6A"/>
    <w:rsid w:val="42872C3E"/>
    <w:rsid w:val="42884F34"/>
    <w:rsid w:val="42905B96"/>
    <w:rsid w:val="42A11B51"/>
    <w:rsid w:val="42A47894"/>
    <w:rsid w:val="42AB0C22"/>
    <w:rsid w:val="42AE426E"/>
    <w:rsid w:val="42B20202"/>
    <w:rsid w:val="42BC4BDD"/>
    <w:rsid w:val="42BF46CD"/>
    <w:rsid w:val="42C41CE4"/>
    <w:rsid w:val="42C85330"/>
    <w:rsid w:val="42CA684D"/>
    <w:rsid w:val="42CB4E20"/>
    <w:rsid w:val="42D40179"/>
    <w:rsid w:val="42D462B4"/>
    <w:rsid w:val="42DA5063"/>
    <w:rsid w:val="42E3660E"/>
    <w:rsid w:val="42E44134"/>
    <w:rsid w:val="42E4524A"/>
    <w:rsid w:val="42E5489B"/>
    <w:rsid w:val="42E63A08"/>
    <w:rsid w:val="42EB54C2"/>
    <w:rsid w:val="42F06FB7"/>
    <w:rsid w:val="42F36125"/>
    <w:rsid w:val="42F425C9"/>
    <w:rsid w:val="430242C3"/>
    <w:rsid w:val="43170B42"/>
    <w:rsid w:val="431E13F4"/>
    <w:rsid w:val="432D7DD4"/>
    <w:rsid w:val="43326C4D"/>
    <w:rsid w:val="434370AD"/>
    <w:rsid w:val="43470585"/>
    <w:rsid w:val="434B5F61"/>
    <w:rsid w:val="4356498D"/>
    <w:rsid w:val="4365451E"/>
    <w:rsid w:val="43664B49"/>
    <w:rsid w:val="4374370A"/>
    <w:rsid w:val="4374652E"/>
    <w:rsid w:val="437E00E5"/>
    <w:rsid w:val="43882D11"/>
    <w:rsid w:val="43917E18"/>
    <w:rsid w:val="439B47F3"/>
    <w:rsid w:val="43A23DD3"/>
    <w:rsid w:val="43AA712C"/>
    <w:rsid w:val="43B21B3C"/>
    <w:rsid w:val="43B41D58"/>
    <w:rsid w:val="43B835F7"/>
    <w:rsid w:val="43C53F65"/>
    <w:rsid w:val="43C55D14"/>
    <w:rsid w:val="43CA794A"/>
    <w:rsid w:val="43D47D05"/>
    <w:rsid w:val="43D917BF"/>
    <w:rsid w:val="43DB1093"/>
    <w:rsid w:val="43DD29C1"/>
    <w:rsid w:val="43E208A8"/>
    <w:rsid w:val="43E73EDC"/>
    <w:rsid w:val="43EF0FE2"/>
    <w:rsid w:val="43F16B09"/>
    <w:rsid w:val="43F3462F"/>
    <w:rsid w:val="44024872"/>
    <w:rsid w:val="44054362"/>
    <w:rsid w:val="440B5E1C"/>
    <w:rsid w:val="440F51E1"/>
    <w:rsid w:val="44103433"/>
    <w:rsid w:val="4413108B"/>
    <w:rsid w:val="44135387"/>
    <w:rsid w:val="441427F7"/>
    <w:rsid w:val="441647C1"/>
    <w:rsid w:val="44184095"/>
    <w:rsid w:val="4427077C"/>
    <w:rsid w:val="442E1B0B"/>
    <w:rsid w:val="44305DBB"/>
    <w:rsid w:val="443B7D84"/>
    <w:rsid w:val="443D4582"/>
    <w:rsid w:val="444906F3"/>
    <w:rsid w:val="444C01E3"/>
    <w:rsid w:val="44501A81"/>
    <w:rsid w:val="447357CF"/>
    <w:rsid w:val="447514E8"/>
    <w:rsid w:val="44780FD8"/>
    <w:rsid w:val="447C0AC8"/>
    <w:rsid w:val="448A687F"/>
    <w:rsid w:val="44983C5E"/>
    <w:rsid w:val="449A71A0"/>
    <w:rsid w:val="449F6565"/>
    <w:rsid w:val="44A21CDC"/>
    <w:rsid w:val="44A771C7"/>
    <w:rsid w:val="44A92F3F"/>
    <w:rsid w:val="44AD0C81"/>
    <w:rsid w:val="44AE67A8"/>
    <w:rsid w:val="44B00772"/>
    <w:rsid w:val="44BA514C"/>
    <w:rsid w:val="44CE29A6"/>
    <w:rsid w:val="44D02BC2"/>
    <w:rsid w:val="44D83825"/>
    <w:rsid w:val="44DC50C3"/>
    <w:rsid w:val="44ED72D0"/>
    <w:rsid w:val="44FE772F"/>
    <w:rsid w:val="44FF7003"/>
    <w:rsid w:val="450862C5"/>
    <w:rsid w:val="45097E82"/>
    <w:rsid w:val="4513485D"/>
    <w:rsid w:val="4523357B"/>
    <w:rsid w:val="45252F0E"/>
    <w:rsid w:val="45344EFF"/>
    <w:rsid w:val="4537679D"/>
    <w:rsid w:val="453C3DB3"/>
    <w:rsid w:val="453D6DBA"/>
    <w:rsid w:val="4541586E"/>
    <w:rsid w:val="45433394"/>
    <w:rsid w:val="45464C32"/>
    <w:rsid w:val="454F3AE7"/>
    <w:rsid w:val="454F7F8B"/>
    <w:rsid w:val="455A06DD"/>
    <w:rsid w:val="455A36D4"/>
    <w:rsid w:val="455F0C25"/>
    <w:rsid w:val="45603F46"/>
    <w:rsid w:val="456A6B72"/>
    <w:rsid w:val="45790B64"/>
    <w:rsid w:val="4579257A"/>
    <w:rsid w:val="457A48DC"/>
    <w:rsid w:val="457E261E"/>
    <w:rsid w:val="45815C6A"/>
    <w:rsid w:val="4582210E"/>
    <w:rsid w:val="458539AC"/>
    <w:rsid w:val="45921C25"/>
    <w:rsid w:val="45A007E6"/>
    <w:rsid w:val="45A04342"/>
    <w:rsid w:val="45A1630C"/>
    <w:rsid w:val="45AB114D"/>
    <w:rsid w:val="45B25DBF"/>
    <w:rsid w:val="45B46040"/>
    <w:rsid w:val="45B61DB8"/>
    <w:rsid w:val="45B95404"/>
    <w:rsid w:val="45BA3253"/>
    <w:rsid w:val="45BE2A1A"/>
    <w:rsid w:val="45C5024D"/>
    <w:rsid w:val="45CB3220"/>
    <w:rsid w:val="45D4223E"/>
    <w:rsid w:val="45D747E8"/>
    <w:rsid w:val="45D93CF8"/>
    <w:rsid w:val="45E16709"/>
    <w:rsid w:val="45E701C3"/>
    <w:rsid w:val="45EF0E26"/>
    <w:rsid w:val="45F02A41"/>
    <w:rsid w:val="45F36B68"/>
    <w:rsid w:val="45F91CA4"/>
    <w:rsid w:val="46001285"/>
    <w:rsid w:val="46003632"/>
    <w:rsid w:val="461412EB"/>
    <w:rsid w:val="46162856"/>
    <w:rsid w:val="46164604"/>
    <w:rsid w:val="46272ADF"/>
    <w:rsid w:val="46284338"/>
    <w:rsid w:val="463158E2"/>
    <w:rsid w:val="46357180"/>
    <w:rsid w:val="46470C62"/>
    <w:rsid w:val="464C0026"/>
    <w:rsid w:val="4654512D"/>
    <w:rsid w:val="465F404D"/>
    <w:rsid w:val="46625A9C"/>
    <w:rsid w:val="46A120C2"/>
    <w:rsid w:val="46AE6F33"/>
    <w:rsid w:val="46B1257F"/>
    <w:rsid w:val="46B53706"/>
    <w:rsid w:val="46B53E1D"/>
    <w:rsid w:val="46B72338"/>
    <w:rsid w:val="46BA58D8"/>
    <w:rsid w:val="46BB51AC"/>
    <w:rsid w:val="46C202E8"/>
    <w:rsid w:val="46C769A2"/>
    <w:rsid w:val="46D22C21"/>
    <w:rsid w:val="46D544C0"/>
    <w:rsid w:val="46DE1C38"/>
    <w:rsid w:val="46DF533E"/>
    <w:rsid w:val="46E22739"/>
    <w:rsid w:val="46E93AC7"/>
    <w:rsid w:val="46EE10DD"/>
    <w:rsid w:val="46F26E20"/>
    <w:rsid w:val="46F81F5C"/>
    <w:rsid w:val="47040901"/>
    <w:rsid w:val="471104BE"/>
    <w:rsid w:val="47170634"/>
    <w:rsid w:val="47176886"/>
    <w:rsid w:val="471D19C3"/>
    <w:rsid w:val="472B5FDC"/>
    <w:rsid w:val="472E597E"/>
    <w:rsid w:val="47431429"/>
    <w:rsid w:val="47462CC7"/>
    <w:rsid w:val="475278BE"/>
    <w:rsid w:val="47615D53"/>
    <w:rsid w:val="476E3C34"/>
    <w:rsid w:val="477261B2"/>
    <w:rsid w:val="47777325"/>
    <w:rsid w:val="477A6E15"/>
    <w:rsid w:val="477F442B"/>
    <w:rsid w:val="47833F1C"/>
    <w:rsid w:val="478973D8"/>
    <w:rsid w:val="478B4B7E"/>
    <w:rsid w:val="47953C4F"/>
    <w:rsid w:val="4799729B"/>
    <w:rsid w:val="479B1265"/>
    <w:rsid w:val="47A0687C"/>
    <w:rsid w:val="47A67C0A"/>
    <w:rsid w:val="47B02837"/>
    <w:rsid w:val="47BB1907"/>
    <w:rsid w:val="47BD1CB4"/>
    <w:rsid w:val="47C22C96"/>
    <w:rsid w:val="47C307BC"/>
    <w:rsid w:val="47C562E2"/>
    <w:rsid w:val="47CA0F9D"/>
    <w:rsid w:val="47D66741"/>
    <w:rsid w:val="47EA3F9B"/>
    <w:rsid w:val="47FB5AF6"/>
    <w:rsid w:val="480212E4"/>
    <w:rsid w:val="480768FB"/>
    <w:rsid w:val="480A1F47"/>
    <w:rsid w:val="481903DC"/>
    <w:rsid w:val="481E1BB0"/>
    <w:rsid w:val="48272AF9"/>
    <w:rsid w:val="483671E0"/>
    <w:rsid w:val="4847319B"/>
    <w:rsid w:val="48474F49"/>
    <w:rsid w:val="48480CC1"/>
    <w:rsid w:val="4851401A"/>
    <w:rsid w:val="48574740"/>
    <w:rsid w:val="485A1120"/>
    <w:rsid w:val="486024AF"/>
    <w:rsid w:val="4860600B"/>
    <w:rsid w:val="48657AC5"/>
    <w:rsid w:val="486A6E89"/>
    <w:rsid w:val="486F44A0"/>
    <w:rsid w:val="487A3570"/>
    <w:rsid w:val="487E46E3"/>
    <w:rsid w:val="488241D3"/>
    <w:rsid w:val="48861F15"/>
    <w:rsid w:val="48926515"/>
    <w:rsid w:val="48965ED0"/>
    <w:rsid w:val="489839F7"/>
    <w:rsid w:val="489A776F"/>
    <w:rsid w:val="48B819A3"/>
    <w:rsid w:val="48BA6CC3"/>
    <w:rsid w:val="48BB1493"/>
    <w:rsid w:val="48C7608A"/>
    <w:rsid w:val="48C91E02"/>
    <w:rsid w:val="48C928D2"/>
    <w:rsid w:val="48CA7928"/>
    <w:rsid w:val="48CB5B7A"/>
    <w:rsid w:val="48D4294E"/>
    <w:rsid w:val="48D662CD"/>
    <w:rsid w:val="48D72771"/>
    <w:rsid w:val="48DE33BE"/>
    <w:rsid w:val="48EC3D42"/>
    <w:rsid w:val="48F36E7F"/>
    <w:rsid w:val="48FB5D34"/>
    <w:rsid w:val="48FC21D7"/>
    <w:rsid w:val="48FF75D2"/>
    <w:rsid w:val="4913307D"/>
    <w:rsid w:val="49185C54"/>
    <w:rsid w:val="491868E5"/>
    <w:rsid w:val="491D3EFC"/>
    <w:rsid w:val="491F1A22"/>
    <w:rsid w:val="49272491"/>
    <w:rsid w:val="49325BF9"/>
    <w:rsid w:val="49350B6D"/>
    <w:rsid w:val="493D6DA4"/>
    <w:rsid w:val="49417BEA"/>
    <w:rsid w:val="49494CF1"/>
    <w:rsid w:val="494B7380"/>
    <w:rsid w:val="494E5F58"/>
    <w:rsid w:val="49560981"/>
    <w:rsid w:val="495711BC"/>
    <w:rsid w:val="495751DE"/>
    <w:rsid w:val="495913D8"/>
    <w:rsid w:val="495C67D2"/>
    <w:rsid w:val="495E079C"/>
    <w:rsid w:val="49627B61"/>
    <w:rsid w:val="49647D7D"/>
    <w:rsid w:val="496833C9"/>
    <w:rsid w:val="49786131"/>
    <w:rsid w:val="49892535"/>
    <w:rsid w:val="498A525B"/>
    <w:rsid w:val="499C3073"/>
    <w:rsid w:val="499F2B63"/>
    <w:rsid w:val="49A5461D"/>
    <w:rsid w:val="49AD1724"/>
    <w:rsid w:val="49B605D8"/>
    <w:rsid w:val="49C4448C"/>
    <w:rsid w:val="49CB1BAA"/>
    <w:rsid w:val="49D4280C"/>
    <w:rsid w:val="49F64E79"/>
    <w:rsid w:val="49FE1F7F"/>
    <w:rsid w:val="4A01737A"/>
    <w:rsid w:val="4A0550BC"/>
    <w:rsid w:val="4A064990"/>
    <w:rsid w:val="4A0B1FA6"/>
    <w:rsid w:val="4A1B043B"/>
    <w:rsid w:val="4A203CA4"/>
    <w:rsid w:val="4A22142F"/>
    <w:rsid w:val="4A266DE0"/>
    <w:rsid w:val="4A271D5E"/>
    <w:rsid w:val="4A2C2648"/>
    <w:rsid w:val="4A2F3EE7"/>
    <w:rsid w:val="4A314103"/>
    <w:rsid w:val="4A3B4613"/>
    <w:rsid w:val="4A45195C"/>
    <w:rsid w:val="4A471230"/>
    <w:rsid w:val="4A49144C"/>
    <w:rsid w:val="4A4D25BF"/>
    <w:rsid w:val="4A54394D"/>
    <w:rsid w:val="4A563B69"/>
    <w:rsid w:val="4A577705"/>
    <w:rsid w:val="4A60772F"/>
    <w:rsid w:val="4A6E0EB3"/>
    <w:rsid w:val="4A7E6C1C"/>
    <w:rsid w:val="4A8675DE"/>
    <w:rsid w:val="4A875AD1"/>
    <w:rsid w:val="4A8E3303"/>
    <w:rsid w:val="4A8F0E29"/>
    <w:rsid w:val="4A946440"/>
    <w:rsid w:val="4A995804"/>
    <w:rsid w:val="4A9D2AB4"/>
    <w:rsid w:val="4AAA17BF"/>
    <w:rsid w:val="4AAA7A11"/>
    <w:rsid w:val="4AAC19DB"/>
    <w:rsid w:val="4AB97C54"/>
    <w:rsid w:val="4AC40AD3"/>
    <w:rsid w:val="4AD131F0"/>
    <w:rsid w:val="4AD60806"/>
    <w:rsid w:val="4AD827D0"/>
    <w:rsid w:val="4ADA20A4"/>
    <w:rsid w:val="4ADA6548"/>
    <w:rsid w:val="4AE2174F"/>
    <w:rsid w:val="4AF12273"/>
    <w:rsid w:val="4AF62C56"/>
    <w:rsid w:val="4AF64A04"/>
    <w:rsid w:val="4AFF5FAF"/>
    <w:rsid w:val="4AFF7D5D"/>
    <w:rsid w:val="4B182BCD"/>
    <w:rsid w:val="4B187071"/>
    <w:rsid w:val="4B1A4B97"/>
    <w:rsid w:val="4B2A63DE"/>
    <w:rsid w:val="4B2B2811"/>
    <w:rsid w:val="4B2E419E"/>
    <w:rsid w:val="4B441C14"/>
    <w:rsid w:val="4B4E2A92"/>
    <w:rsid w:val="4B577B99"/>
    <w:rsid w:val="4B6C4CC7"/>
    <w:rsid w:val="4B707823"/>
    <w:rsid w:val="4B726781"/>
    <w:rsid w:val="4B7778F3"/>
    <w:rsid w:val="4B810772"/>
    <w:rsid w:val="4B95246F"/>
    <w:rsid w:val="4B957D3E"/>
    <w:rsid w:val="4B98323C"/>
    <w:rsid w:val="4BA6467C"/>
    <w:rsid w:val="4BB24DCF"/>
    <w:rsid w:val="4BB52B12"/>
    <w:rsid w:val="4BB913FD"/>
    <w:rsid w:val="4BB9615E"/>
    <w:rsid w:val="4BC30D8B"/>
    <w:rsid w:val="4BC62629"/>
    <w:rsid w:val="4BCC39E9"/>
    <w:rsid w:val="4BCD7E5B"/>
    <w:rsid w:val="4BCF5981"/>
    <w:rsid w:val="4BDE5BC4"/>
    <w:rsid w:val="4BDE7972"/>
    <w:rsid w:val="4BE34F89"/>
    <w:rsid w:val="4BE77D9B"/>
    <w:rsid w:val="4BF4363A"/>
    <w:rsid w:val="4BF54CBC"/>
    <w:rsid w:val="4BF929FE"/>
    <w:rsid w:val="4BF97102"/>
    <w:rsid w:val="4BFA22D2"/>
    <w:rsid w:val="4BFC429C"/>
    <w:rsid w:val="4BFE1DC3"/>
    <w:rsid w:val="4C0360C1"/>
    <w:rsid w:val="4C0513A3"/>
    <w:rsid w:val="4C0E5B16"/>
    <w:rsid w:val="4C1710D6"/>
    <w:rsid w:val="4C177328"/>
    <w:rsid w:val="4C1B77B7"/>
    <w:rsid w:val="4C251A45"/>
    <w:rsid w:val="4C2A705C"/>
    <w:rsid w:val="4C2D4456"/>
    <w:rsid w:val="4C371778"/>
    <w:rsid w:val="4C3B4DC5"/>
    <w:rsid w:val="4C3B5A15"/>
    <w:rsid w:val="4C40062D"/>
    <w:rsid w:val="4C4023DB"/>
    <w:rsid w:val="4C417F01"/>
    <w:rsid w:val="4C4874E2"/>
    <w:rsid w:val="4C546E1B"/>
    <w:rsid w:val="4C6205A3"/>
    <w:rsid w:val="4C651E42"/>
    <w:rsid w:val="4C665CE7"/>
    <w:rsid w:val="4C673E0C"/>
    <w:rsid w:val="4C687066"/>
    <w:rsid w:val="4C6B457A"/>
    <w:rsid w:val="4C746529"/>
    <w:rsid w:val="4C854292"/>
    <w:rsid w:val="4C87625C"/>
    <w:rsid w:val="4C910E89"/>
    <w:rsid w:val="4C9B3AB5"/>
    <w:rsid w:val="4CA918DF"/>
    <w:rsid w:val="4CB66B41"/>
    <w:rsid w:val="4CBA4888"/>
    <w:rsid w:val="4CC4090C"/>
    <w:rsid w:val="4CCA439B"/>
    <w:rsid w:val="4CCC03DE"/>
    <w:rsid w:val="4CCC1EC1"/>
    <w:rsid w:val="4CCE3E8B"/>
    <w:rsid w:val="4CD174D7"/>
    <w:rsid w:val="4CD6689C"/>
    <w:rsid w:val="4CDD4969"/>
    <w:rsid w:val="4CE86476"/>
    <w:rsid w:val="4CF17B79"/>
    <w:rsid w:val="4CFB09F8"/>
    <w:rsid w:val="4CFD02CC"/>
    <w:rsid w:val="4D021D86"/>
    <w:rsid w:val="4D090A1F"/>
    <w:rsid w:val="4D0A29E9"/>
    <w:rsid w:val="4D1A0E7E"/>
    <w:rsid w:val="4D1F6494"/>
    <w:rsid w:val="4D2158B2"/>
    <w:rsid w:val="4D221AE1"/>
    <w:rsid w:val="4D2E66D8"/>
    <w:rsid w:val="4D2F41FE"/>
    <w:rsid w:val="4D341814"/>
    <w:rsid w:val="4D387299"/>
    <w:rsid w:val="4D41465D"/>
    <w:rsid w:val="4D532D26"/>
    <w:rsid w:val="4D551EB6"/>
    <w:rsid w:val="4D552926"/>
    <w:rsid w:val="4D5679DC"/>
    <w:rsid w:val="4D5C1497"/>
    <w:rsid w:val="4D6C5536"/>
    <w:rsid w:val="4D6E2F78"/>
    <w:rsid w:val="4D7367E0"/>
    <w:rsid w:val="4D7B7443"/>
    <w:rsid w:val="4D7C5695"/>
    <w:rsid w:val="4D7F33D7"/>
    <w:rsid w:val="4D8865FA"/>
    <w:rsid w:val="4D8C1650"/>
    <w:rsid w:val="4D90451E"/>
    <w:rsid w:val="4D92310A"/>
    <w:rsid w:val="4D9C1893"/>
    <w:rsid w:val="4D9E1AAF"/>
    <w:rsid w:val="4DA4699A"/>
    <w:rsid w:val="4DA76772"/>
    <w:rsid w:val="4DB07878"/>
    <w:rsid w:val="4DB56DF9"/>
    <w:rsid w:val="4DBF250C"/>
    <w:rsid w:val="4DC62DB4"/>
    <w:rsid w:val="4DC66910"/>
    <w:rsid w:val="4DCC4418"/>
    <w:rsid w:val="4DD06D5E"/>
    <w:rsid w:val="4DDB6E0B"/>
    <w:rsid w:val="4DE1199C"/>
    <w:rsid w:val="4DE6344D"/>
    <w:rsid w:val="4DEB281B"/>
    <w:rsid w:val="4DF23BA9"/>
    <w:rsid w:val="4DF416CF"/>
    <w:rsid w:val="4E0062C6"/>
    <w:rsid w:val="4E013DEC"/>
    <w:rsid w:val="4E0613F3"/>
    <w:rsid w:val="4E0833CC"/>
    <w:rsid w:val="4E0B6A19"/>
    <w:rsid w:val="4E241889"/>
    <w:rsid w:val="4E2C224E"/>
    <w:rsid w:val="4E2E44B5"/>
    <w:rsid w:val="4E30647F"/>
    <w:rsid w:val="4E361CE8"/>
    <w:rsid w:val="4E4A0AB9"/>
    <w:rsid w:val="4E4F4B57"/>
    <w:rsid w:val="4E516B22"/>
    <w:rsid w:val="4E524648"/>
    <w:rsid w:val="4E546612"/>
    <w:rsid w:val="4E6848A6"/>
    <w:rsid w:val="4E685C19"/>
    <w:rsid w:val="4E824F2D"/>
    <w:rsid w:val="4E86609F"/>
    <w:rsid w:val="4E916F1E"/>
    <w:rsid w:val="4E9E788D"/>
    <w:rsid w:val="4E9F6CA2"/>
    <w:rsid w:val="4EA330F5"/>
    <w:rsid w:val="4EA43238"/>
    <w:rsid w:val="4EA529C9"/>
    <w:rsid w:val="4EA604F0"/>
    <w:rsid w:val="4EA76741"/>
    <w:rsid w:val="4EAE1523"/>
    <w:rsid w:val="4EBE7F2F"/>
    <w:rsid w:val="4EC15544"/>
    <w:rsid w:val="4ECF5C98"/>
    <w:rsid w:val="4ED67027"/>
    <w:rsid w:val="4EDB463D"/>
    <w:rsid w:val="4EE31744"/>
    <w:rsid w:val="4EE447E9"/>
    <w:rsid w:val="4EFD0A57"/>
    <w:rsid w:val="4F021BCA"/>
    <w:rsid w:val="4F073684"/>
    <w:rsid w:val="4F1062EA"/>
    <w:rsid w:val="4F1418FD"/>
    <w:rsid w:val="4F29184C"/>
    <w:rsid w:val="4F2B762F"/>
    <w:rsid w:val="4F381582"/>
    <w:rsid w:val="4F3855EC"/>
    <w:rsid w:val="4F3A5808"/>
    <w:rsid w:val="4F3D70A6"/>
    <w:rsid w:val="4F471CD3"/>
    <w:rsid w:val="4F530677"/>
    <w:rsid w:val="4F55619D"/>
    <w:rsid w:val="4F583EE0"/>
    <w:rsid w:val="4F5A1A06"/>
    <w:rsid w:val="4F691C49"/>
    <w:rsid w:val="4F7800DE"/>
    <w:rsid w:val="4F7D0D94"/>
    <w:rsid w:val="4F7D2F66"/>
    <w:rsid w:val="4F845336"/>
    <w:rsid w:val="4F8C5937"/>
    <w:rsid w:val="4F8E345D"/>
    <w:rsid w:val="4F960564"/>
    <w:rsid w:val="4F976877"/>
    <w:rsid w:val="4F9B5B7A"/>
    <w:rsid w:val="4F9D1E71"/>
    <w:rsid w:val="4F9D5D96"/>
    <w:rsid w:val="4FA2515B"/>
    <w:rsid w:val="4FA709C3"/>
    <w:rsid w:val="4FAD5FDA"/>
    <w:rsid w:val="4FAD6D95"/>
    <w:rsid w:val="4FAF62C8"/>
    <w:rsid w:val="4FB8672C"/>
    <w:rsid w:val="4FC926E8"/>
    <w:rsid w:val="4FCE41A2"/>
    <w:rsid w:val="4FD04D00"/>
    <w:rsid w:val="4FE47521"/>
    <w:rsid w:val="4FE53195"/>
    <w:rsid w:val="4FF5172F"/>
    <w:rsid w:val="4FF97471"/>
    <w:rsid w:val="500100D3"/>
    <w:rsid w:val="50047BC4"/>
    <w:rsid w:val="500A28C8"/>
    <w:rsid w:val="500A342C"/>
    <w:rsid w:val="500E27F0"/>
    <w:rsid w:val="50131BB5"/>
    <w:rsid w:val="501E0C85"/>
    <w:rsid w:val="502838B2"/>
    <w:rsid w:val="502913D8"/>
    <w:rsid w:val="502B5150"/>
    <w:rsid w:val="502F2E92"/>
    <w:rsid w:val="503E6C32"/>
    <w:rsid w:val="505521CD"/>
    <w:rsid w:val="505C355C"/>
    <w:rsid w:val="505D7058"/>
    <w:rsid w:val="506568B4"/>
    <w:rsid w:val="506B379F"/>
    <w:rsid w:val="506B422D"/>
    <w:rsid w:val="50724B2D"/>
    <w:rsid w:val="5075461D"/>
    <w:rsid w:val="507C59AC"/>
    <w:rsid w:val="507F03F4"/>
    <w:rsid w:val="50941CF8"/>
    <w:rsid w:val="5099655E"/>
    <w:rsid w:val="50AD025B"/>
    <w:rsid w:val="50AD3FE0"/>
    <w:rsid w:val="50AF7F64"/>
    <w:rsid w:val="50DB26D2"/>
    <w:rsid w:val="50DB3BE9"/>
    <w:rsid w:val="50DB42B0"/>
    <w:rsid w:val="50E23D4B"/>
    <w:rsid w:val="50E33C7D"/>
    <w:rsid w:val="50E517A3"/>
    <w:rsid w:val="50E61077"/>
    <w:rsid w:val="50E83041"/>
    <w:rsid w:val="50F10148"/>
    <w:rsid w:val="50FE4613"/>
    <w:rsid w:val="5100038B"/>
    <w:rsid w:val="51022CCA"/>
    <w:rsid w:val="51112598"/>
    <w:rsid w:val="5112495F"/>
    <w:rsid w:val="5119144D"/>
    <w:rsid w:val="51254295"/>
    <w:rsid w:val="513314DF"/>
    <w:rsid w:val="51383FC9"/>
    <w:rsid w:val="51385D77"/>
    <w:rsid w:val="513E21AB"/>
    <w:rsid w:val="514B3CFC"/>
    <w:rsid w:val="514E10F6"/>
    <w:rsid w:val="515406D7"/>
    <w:rsid w:val="51567653"/>
    <w:rsid w:val="515D57DD"/>
    <w:rsid w:val="515E50B1"/>
    <w:rsid w:val="516C3C72"/>
    <w:rsid w:val="516F72BF"/>
    <w:rsid w:val="51714DE5"/>
    <w:rsid w:val="517A638F"/>
    <w:rsid w:val="5181771E"/>
    <w:rsid w:val="51856AE2"/>
    <w:rsid w:val="5190701D"/>
    <w:rsid w:val="51937451"/>
    <w:rsid w:val="5199576E"/>
    <w:rsid w:val="51A0391C"/>
    <w:rsid w:val="51A4340C"/>
    <w:rsid w:val="51A52CE0"/>
    <w:rsid w:val="51C25640"/>
    <w:rsid w:val="51C27D36"/>
    <w:rsid w:val="51C70EA9"/>
    <w:rsid w:val="51D21356"/>
    <w:rsid w:val="51E27A91"/>
    <w:rsid w:val="51E43809"/>
    <w:rsid w:val="51F15F26"/>
    <w:rsid w:val="51F55A16"/>
    <w:rsid w:val="520143BB"/>
    <w:rsid w:val="520774F7"/>
    <w:rsid w:val="521A1920"/>
    <w:rsid w:val="521A36CE"/>
    <w:rsid w:val="521C11F4"/>
    <w:rsid w:val="521C7446"/>
    <w:rsid w:val="52374280"/>
    <w:rsid w:val="52397FF8"/>
    <w:rsid w:val="523E73BD"/>
    <w:rsid w:val="52552958"/>
    <w:rsid w:val="52570AFB"/>
    <w:rsid w:val="52592449"/>
    <w:rsid w:val="525A3ACB"/>
    <w:rsid w:val="525C7843"/>
    <w:rsid w:val="525E180D"/>
    <w:rsid w:val="525F5585"/>
    <w:rsid w:val="52666914"/>
    <w:rsid w:val="526861E8"/>
    <w:rsid w:val="527C6137"/>
    <w:rsid w:val="52825B8E"/>
    <w:rsid w:val="528278EA"/>
    <w:rsid w:val="5285323E"/>
    <w:rsid w:val="52884ADC"/>
    <w:rsid w:val="528D5C4E"/>
    <w:rsid w:val="52A01D28"/>
    <w:rsid w:val="52A336C4"/>
    <w:rsid w:val="52A64F62"/>
    <w:rsid w:val="52AF2069"/>
    <w:rsid w:val="52B633F7"/>
    <w:rsid w:val="52BB0A0D"/>
    <w:rsid w:val="52BC29D7"/>
    <w:rsid w:val="52DC6BD6"/>
    <w:rsid w:val="52E00474"/>
    <w:rsid w:val="52E87329"/>
    <w:rsid w:val="52EB3A96"/>
    <w:rsid w:val="52EF6909"/>
    <w:rsid w:val="52F201A7"/>
    <w:rsid w:val="530A3743"/>
    <w:rsid w:val="530C74BB"/>
    <w:rsid w:val="53114AD1"/>
    <w:rsid w:val="53191BD8"/>
    <w:rsid w:val="531B14AC"/>
    <w:rsid w:val="531E71EE"/>
    <w:rsid w:val="5325232B"/>
    <w:rsid w:val="532D11DF"/>
    <w:rsid w:val="53333878"/>
    <w:rsid w:val="533802B0"/>
    <w:rsid w:val="533B56AA"/>
    <w:rsid w:val="534722A1"/>
    <w:rsid w:val="53514ECE"/>
    <w:rsid w:val="535D7DC7"/>
    <w:rsid w:val="53634C01"/>
    <w:rsid w:val="53650979"/>
    <w:rsid w:val="53682217"/>
    <w:rsid w:val="537961D3"/>
    <w:rsid w:val="537A08C9"/>
    <w:rsid w:val="5385101B"/>
    <w:rsid w:val="538B4884"/>
    <w:rsid w:val="538E1C7E"/>
    <w:rsid w:val="539574B0"/>
    <w:rsid w:val="539A15FA"/>
    <w:rsid w:val="53A62432"/>
    <w:rsid w:val="53AB0A82"/>
    <w:rsid w:val="53AD3290"/>
    <w:rsid w:val="53B10EBB"/>
    <w:rsid w:val="53BB2150"/>
    <w:rsid w:val="53BD2ACB"/>
    <w:rsid w:val="53C47D96"/>
    <w:rsid w:val="53CA5755"/>
    <w:rsid w:val="53DA3115"/>
    <w:rsid w:val="53DA7122"/>
    <w:rsid w:val="53E75832"/>
    <w:rsid w:val="53F35F85"/>
    <w:rsid w:val="53F41D4A"/>
    <w:rsid w:val="53F434F6"/>
    <w:rsid w:val="53F8359B"/>
    <w:rsid w:val="53F87A3F"/>
    <w:rsid w:val="54014B46"/>
    <w:rsid w:val="540E2DBF"/>
    <w:rsid w:val="541505F1"/>
    <w:rsid w:val="54185E47"/>
    <w:rsid w:val="54260108"/>
    <w:rsid w:val="542720D3"/>
    <w:rsid w:val="543A4A3D"/>
    <w:rsid w:val="54422A68"/>
    <w:rsid w:val="544D1B39"/>
    <w:rsid w:val="545729B8"/>
    <w:rsid w:val="545A4256"/>
    <w:rsid w:val="545C7FCE"/>
    <w:rsid w:val="545E3D46"/>
    <w:rsid w:val="546D5D37"/>
    <w:rsid w:val="546E1AAF"/>
    <w:rsid w:val="54752E3E"/>
    <w:rsid w:val="54774E08"/>
    <w:rsid w:val="547A48F8"/>
    <w:rsid w:val="547D1CF3"/>
    <w:rsid w:val="54817A35"/>
    <w:rsid w:val="54843081"/>
    <w:rsid w:val="54886D3A"/>
    <w:rsid w:val="54921C42"/>
    <w:rsid w:val="54930741"/>
    <w:rsid w:val="54992FD0"/>
    <w:rsid w:val="54994D7E"/>
    <w:rsid w:val="549A28A4"/>
    <w:rsid w:val="54A31759"/>
    <w:rsid w:val="54AD6A7C"/>
    <w:rsid w:val="54B0031A"/>
    <w:rsid w:val="54BE2A37"/>
    <w:rsid w:val="54C0055D"/>
    <w:rsid w:val="54D20290"/>
    <w:rsid w:val="54D538DD"/>
    <w:rsid w:val="54D9517B"/>
    <w:rsid w:val="54DB5397"/>
    <w:rsid w:val="54E67898"/>
    <w:rsid w:val="54E83610"/>
    <w:rsid w:val="54EC75A4"/>
    <w:rsid w:val="54ED6E78"/>
    <w:rsid w:val="54F931B7"/>
    <w:rsid w:val="54F975CB"/>
    <w:rsid w:val="54FF0D12"/>
    <w:rsid w:val="55012924"/>
    <w:rsid w:val="550D3076"/>
    <w:rsid w:val="55144405"/>
    <w:rsid w:val="55222FC6"/>
    <w:rsid w:val="552F7491"/>
    <w:rsid w:val="55357F85"/>
    <w:rsid w:val="553C597C"/>
    <w:rsid w:val="55432F3C"/>
    <w:rsid w:val="554A42CB"/>
    <w:rsid w:val="554A7E27"/>
    <w:rsid w:val="554F18E1"/>
    <w:rsid w:val="55560EC1"/>
    <w:rsid w:val="555C7651"/>
    <w:rsid w:val="555D2250"/>
    <w:rsid w:val="556233C2"/>
    <w:rsid w:val="55674E7D"/>
    <w:rsid w:val="5572737D"/>
    <w:rsid w:val="55782BE6"/>
    <w:rsid w:val="55805F3E"/>
    <w:rsid w:val="55821CB6"/>
    <w:rsid w:val="5583158B"/>
    <w:rsid w:val="558477DD"/>
    <w:rsid w:val="558772CD"/>
    <w:rsid w:val="5588094F"/>
    <w:rsid w:val="558C48E3"/>
    <w:rsid w:val="559335DD"/>
    <w:rsid w:val="559424C5"/>
    <w:rsid w:val="55943798"/>
    <w:rsid w:val="559B68D4"/>
    <w:rsid w:val="55A3500D"/>
    <w:rsid w:val="55A35789"/>
    <w:rsid w:val="55A83B99"/>
    <w:rsid w:val="55AC288F"/>
    <w:rsid w:val="55B41BBF"/>
    <w:rsid w:val="55B47996"/>
    <w:rsid w:val="55B6370E"/>
    <w:rsid w:val="55B856D8"/>
    <w:rsid w:val="55C0633B"/>
    <w:rsid w:val="55C73B6D"/>
    <w:rsid w:val="55CA4320"/>
    <w:rsid w:val="55D342C0"/>
    <w:rsid w:val="55D3606E"/>
    <w:rsid w:val="55D41DE6"/>
    <w:rsid w:val="55D63DE4"/>
    <w:rsid w:val="55E53FF3"/>
    <w:rsid w:val="55EB785C"/>
    <w:rsid w:val="55EE2EA8"/>
    <w:rsid w:val="55EF09CE"/>
    <w:rsid w:val="55F01A8B"/>
    <w:rsid w:val="55F14746"/>
    <w:rsid w:val="55F83D27"/>
    <w:rsid w:val="55F935FB"/>
    <w:rsid w:val="55FA7A9F"/>
    <w:rsid w:val="55FD133D"/>
    <w:rsid w:val="56064695"/>
    <w:rsid w:val="560C1580"/>
    <w:rsid w:val="561072C2"/>
    <w:rsid w:val="56114DE8"/>
    <w:rsid w:val="56156687"/>
    <w:rsid w:val="56293878"/>
    <w:rsid w:val="562E599A"/>
    <w:rsid w:val="563546B0"/>
    <w:rsid w:val="563A7E9B"/>
    <w:rsid w:val="563D3E2F"/>
    <w:rsid w:val="56426E9F"/>
    <w:rsid w:val="56462CE4"/>
    <w:rsid w:val="564C5E20"/>
    <w:rsid w:val="56723AD9"/>
    <w:rsid w:val="567315FF"/>
    <w:rsid w:val="567535C9"/>
    <w:rsid w:val="56786C15"/>
    <w:rsid w:val="568320A3"/>
    <w:rsid w:val="568D0913"/>
    <w:rsid w:val="569E667C"/>
    <w:rsid w:val="56AC26B4"/>
    <w:rsid w:val="56AD2D63"/>
    <w:rsid w:val="56B365F2"/>
    <w:rsid w:val="56B45E9F"/>
    <w:rsid w:val="56BE1520"/>
    <w:rsid w:val="56BF4844"/>
    <w:rsid w:val="56C36C1D"/>
    <w:rsid w:val="56C90818"/>
    <w:rsid w:val="56CF0F2B"/>
    <w:rsid w:val="56D95906"/>
    <w:rsid w:val="56DC53F6"/>
    <w:rsid w:val="56DE4CCA"/>
    <w:rsid w:val="56DF0A43"/>
    <w:rsid w:val="56E04EE6"/>
    <w:rsid w:val="56E570F0"/>
    <w:rsid w:val="56E60023"/>
    <w:rsid w:val="56E83DA1"/>
    <w:rsid w:val="56EF2533"/>
    <w:rsid w:val="56F50266"/>
    <w:rsid w:val="57007337"/>
    <w:rsid w:val="57014E5D"/>
    <w:rsid w:val="5708338B"/>
    <w:rsid w:val="5721105B"/>
    <w:rsid w:val="572528F9"/>
    <w:rsid w:val="572A6162"/>
    <w:rsid w:val="572D2370"/>
    <w:rsid w:val="573B036F"/>
    <w:rsid w:val="57462870"/>
    <w:rsid w:val="57482A8C"/>
    <w:rsid w:val="574D00A2"/>
    <w:rsid w:val="57517B92"/>
    <w:rsid w:val="57521214"/>
    <w:rsid w:val="57527466"/>
    <w:rsid w:val="57572CCF"/>
    <w:rsid w:val="575760F4"/>
    <w:rsid w:val="575B456D"/>
    <w:rsid w:val="575B631B"/>
    <w:rsid w:val="575C02E5"/>
    <w:rsid w:val="575E22AF"/>
    <w:rsid w:val="57603931"/>
    <w:rsid w:val="57650F48"/>
    <w:rsid w:val="576A0C54"/>
    <w:rsid w:val="576D24F2"/>
    <w:rsid w:val="576D42A0"/>
    <w:rsid w:val="576F626A"/>
    <w:rsid w:val="57802226"/>
    <w:rsid w:val="57812A0C"/>
    <w:rsid w:val="57814844"/>
    <w:rsid w:val="57852DEC"/>
    <w:rsid w:val="578C2978"/>
    <w:rsid w:val="57945CD1"/>
    <w:rsid w:val="579730CB"/>
    <w:rsid w:val="57A35F14"/>
    <w:rsid w:val="57A8672B"/>
    <w:rsid w:val="57B343A9"/>
    <w:rsid w:val="57BB7460"/>
    <w:rsid w:val="57BC2B32"/>
    <w:rsid w:val="57C06AC6"/>
    <w:rsid w:val="57C540DC"/>
    <w:rsid w:val="57CB2959"/>
    <w:rsid w:val="57CF6D09"/>
    <w:rsid w:val="57D4431F"/>
    <w:rsid w:val="57E207EA"/>
    <w:rsid w:val="57E5551B"/>
    <w:rsid w:val="57E62B94"/>
    <w:rsid w:val="57E83927"/>
    <w:rsid w:val="57EF2F07"/>
    <w:rsid w:val="57F14ED1"/>
    <w:rsid w:val="57FF46A2"/>
    <w:rsid w:val="580F7106"/>
    <w:rsid w:val="58123023"/>
    <w:rsid w:val="583077A8"/>
    <w:rsid w:val="5853793A"/>
    <w:rsid w:val="58570C3F"/>
    <w:rsid w:val="585D4315"/>
    <w:rsid w:val="58631DA6"/>
    <w:rsid w:val="587358E6"/>
    <w:rsid w:val="587C0C3F"/>
    <w:rsid w:val="587C29ED"/>
    <w:rsid w:val="58831FCD"/>
    <w:rsid w:val="58921AD3"/>
    <w:rsid w:val="58975B15"/>
    <w:rsid w:val="589F492D"/>
    <w:rsid w:val="58A12453"/>
    <w:rsid w:val="58A261CC"/>
    <w:rsid w:val="58A837E2"/>
    <w:rsid w:val="58C148A4"/>
    <w:rsid w:val="58C3061C"/>
    <w:rsid w:val="58C779E0"/>
    <w:rsid w:val="58CB45A0"/>
    <w:rsid w:val="58E16CF4"/>
    <w:rsid w:val="58E759A5"/>
    <w:rsid w:val="58E80082"/>
    <w:rsid w:val="58E95BA9"/>
    <w:rsid w:val="58F9403E"/>
    <w:rsid w:val="58FC2CFB"/>
    <w:rsid w:val="590B3D71"/>
    <w:rsid w:val="59140E77"/>
    <w:rsid w:val="59227859"/>
    <w:rsid w:val="59260BAB"/>
    <w:rsid w:val="592866D1"/>
    <w:rsid w:val="5934151A"/>
    <w:rsid w:val="593432C8"/>
    <w:rsid w:val="59345076"/>
    <w:rsid w:val="593E4146"/>
    <w:rsid w:val="593E7CA2"/>
    <w:rsid w:val="59407EBE"/>
    <w:rsid w:val="594A2AEB"/>
    <w:rsid w:val="594D4389"/>
    <w:rsid w:val="594F0101"/>
    <w:rsid w:val="59545718"/>
    <w:rsid w:val="595A2E26"/>
    <w:rsid w:val="5966544B"/>
    <w:rsid w:val="596811C3"/>
    <w:rsid w:val="59747B68"/>
    <w:rsid w:val="598A124D"/>
    <w:rsid w:val="598A2EE8"/>
    <w:rsid w:val="598B6C60"/>
    <w:rsid w:val="599C7DE4"/>
    <w:rsid w:val="59A0095D"/>
    <w:rsid w:val="59A26483"/>
    <w:rsid w:val="59AE3BED"/>
    <w:rsid w:val="59C3464B"/>
    <w:rsid w:val="59CF1242"/>
    <w:rsid w:val="59D86349"/>
    <w:rsid w:val="59E24AD2"/>
    <w:rsid w:val="59E83671"/>
    <w:rsid w:val="59EC76FE"/>
    <w:rsid w:val="59F42A57"/>
    <w:rsid w:val="59F56EEF"/>
    <w:rsid w:val="59FE7432"/>
    <w:rsid w:val="5A00764E"/>
    <w:rsid w:val="5A0C5FF2"/>
    <w:rsid w:val="5A113609"/>
    <w:rsid w:val="5A144EA7"/>
    <w:rsid w:val="5A1534DC"/>
    <w:rsid w:val="5A177BA2"/>
    <w:rsid w:val="5A2C3F9F"/>
    <w:rsid w:val="5A2E572C"/>
    <w:rsid w:val="5A3410A5"/>
    <w:rsid w:val="5A3612C1"/>
    <w:rsid w:val="5A386DE8"/>
    <w:rsid w:val="5A3A2B60"/>
    <w:rsid w:val="5A461504"/>
    <w:rsid w:val="5A490FF5"/>
    <w:rsid w:val="5A4B6B1B"/>
    <w:rsid w:val="5A625609"/>
    <w:rsid w:val="5A70032F"/>
    <w:rsid w:val="5A785436"/>
    <w:rsid w:val="5A843DDB"/>
    <w:rsid w:val="5A8B5169"/>
    <w:rsid w:val="5A8B6F17"/>
    <w:rsid w:val="5A8C2C8F"/>
    <w:rsid w:val="5A8E07B6"/>
    <w:rsid w:val="5A90452E"/>
    <w:rsid w:val="5A981634"/>
    <w:rsid w:val="5A985AD8"/>
    <w:rsid w:val="5A9C7376"/>
    <w:rsid w:val="5A9F6E67"/>
    <w:rsid w:val="5AA20705"/>
    <w:rsid w:val="5AA93841"/>
    <w:rsid w:val="5AAE0E58"/>
    <w:rsid w:val="5AB32912"/>
    <w:rsid w:val="5AB3646E"/>
    <w:rsid w:val="5ABD553F"/>
    <w:rsid w:val="5AC07D81"/>
    <w:rsid w:val="5AD36B10"/>
    <w:rsid w:val="5AD51772"/>
    <w:rsid w:val="5AD54636"/>
    <w:rsid w:val="5AE25520"/>
    <w:rsid w:val="5AE605F2"/>
    <w:rsid w:val="5AE623A0"/>
    <w:rsid w:val="5AE66844"/>
    <w:rsid w:val="5AED1980"/>
    <w:rsid w:val="5AFC7E15"/>
    <w:rsid w:val="5AFF16B3"/>
    <w:rsid w:val="5B044F1C"/>
    <w:rsid w:val="5B150ED7"/>
    <w:rsid w:val="5B157129"/>
    <w:rsid w:val="5B1B7148"/>
    <w:rsid w:val="5B1C2265"/>
    <w:rsid w:val="5B296730"/>
    <w:rsid w:val="5B340CC6"/>
    <w:rsid w:val="5B3A6B8F"/>
    <w:rsid w:val="5B3E21DC"/>
    <w:rsid w:val="5B4377F2"/>
    <w:rsid w:val="5B441028"/>
    <w:rsid w:val="5B484E08"/>
    <w:rsid w:val="5B525C87"/>
    <w:rsid w:val="5B527F04"/>
    <w:rsid w:val="5B5C6B06"/>
    <w:rsid w:val="5B615ECA"/>
    <w:rsid w:val="5B6D486F"/>
    <w:rsid w:val="5B7C4AB2"/>
    <w:rsid w:val="5B800A46"/>
    <w:rsid w:val="5B835E40"/>
    <w:rsid w:val="5B841BB9"/>
    <w:rsid w:val="5B8C73EB"/>
    <w:rsid w:val="5B9462A0"/>
    <w:rsid w:val="5BA1276A"/>
    <w:rsid w:val="5BA71B9B"/>
    <w:rsid w:val="5BAC183B"/>
    <w:rsid w:val="5BB4249E"/>
    <w:rsid w:val="5BBB508A"/>
    <w:rsid w:val="5BBB7CD0"/>
    <w:rsid w:val="5BBC1352"/>
    <w:rsid w:val="5BC00E43"/>
    <w:rsid w:val="5BC85F49"/>
    <w:rsid w:val="5BCA3A6F"/>
    <w:rsid w:val="5BCE7A03"/>
    <w:rsid w:val="5BD40D92"/>
    <w:rsid w:val="5BE03293"/>
    <w:rsid w:val="5BE10DB9"/>
    <w:rsid w:val="5BED775E"/>
    <w:rsid w:val="5BF40AEC"/>
    <w:rsid w:val="5BFD2097"/>
    <w:rsid w:val="5C052CF9"/>
    <w:rsid w:val="5C142F3C"/>
    <w:rsid w:val="5C163158"/>
    <w:rsid w:val="5C190553"/>
    <w:rsid w:val="5C207B33"/>
    <w:rsid w:val="5C221AFD"/>
    <w:rsid w:val="5C280CFA"/>
    <w:rsid w:val="5C2D3FFE"/>
    <w:rsid w:val="5C2E2250"/>
    <w:rsid w:val="5C384E7D"/>
    <w:rsid w:val="5C3B671B"/>
    <w:rsid w:val="5C3D06E5"/>
    <w:rsid w:val="5C3E620B"/>
    <w:rsid w:val="5C49708A"/>
    <w:rsid w:val="5C515F3F"/>
    <w:rsid w:val="5C6A7000"/>
    <w:rsid w:val="5C6B60E0"/>
    <w:rsid w:val="5C6C4B26"/>
    <w:rsid w:val="5C7165E1"/>
    <w:rsid w:val="5C746021"/>
    <w:rsid w:val="5C7A5495"/>
    <w:rsid w:val="5C7D6D34"/>
    <w:rsid w:val="5C7F0CFE"/>
    <w:rsid w:val="5C7F75E3"/>
    <w:rsid w:val="5C855BE8"/>
    <w:rsid w:val="5C9A0FE8"/>
    <w:rsid w:val="5C9A53A1"/>
    <w:rsid w:val="5CA2679A"/>
    <w:rsid w:val="5CA532FD"/>
    <w:rsid w:val="5CA644DC"/>
    <w:rsid w:val="5CB14C2F"/>
    <w:rsid w:val="5CB5471F"/>
    <w:rsid w:val="5CB70498"/>
    <w:rsid w:val="5CBA1D36"/>
    <w:rsid w:val="5CC52489"/>
    <w:rsid w:val="5CCD707A"/>
    <w:rsid w:val="5CCE2C54"/>
    <w:rsid w:val="5CD16E8B"/>
    <w:rsid w:val="5CD37BDA"/>
    <w:rsid w:val="5CD5091E"/>
    <w:rsid w:val="5CD56B70"/>
    <w:rsid w:val="5CD86660"/>
    <w:rsid w:val="5CDD3C76"/>
    <w:rsid w:val="5CE72F5C"/>
    <w:rsid w:val="5CED4F23"/>
    <w:rsid w:val="5CFA4828"/>
    <w:rsid w:val="5CFD7E74"/>
    <w:rsid w:val="5D1256CE"/>
    <w:rsid w:val="5D131446"/>
    <w:rsid w:val="5D1C02FB"/>
    <w:rsid w:val="5D1C479E"/>
    <w:rsid w:val="5D1F7DEB"/>
    <w:rsid w:val="5D261179"/>
    <w:rsid w:val="5D267F6F"/>
    <w:rsid w:val="5D276C9F"/>
    <w:rsid w:val="5D333896"/>
    <w:rsid w:val="5D3D1807"/>
    <w:rsid w:val="5D415FB3"/>
    <w:rsid w:val="5D465377"/>
    <w:rsid w:val="5D4E06D0"/>
    <w:rsid w:val="5D4E6620"/>
    <w:rsid w:val="5D521F6E"/>
    <w:rsid w:val="5D59154F"/>
    <w:rsid w:val="5D633BC6"/>
    <w:rsid w:val="5D663C6C"/>
    <w:rsid w:val="5D6677C8"/>
    <w:rsid w:val="5D6B1282"/>
    <w:rsid w:val="5D79574D"/>
    <w:rsid w:val="5D7C523D"/>
    <w:rsid w:val="5D950196"/>
    <w:rsid w:val="5DA36C6E"/>
    <w:rsid w:val="5DB6074F"/>
    <w:rsid w:val="5DB744C7"/>
    <w:rsid w:val="5DB9023F"/>
    <w:rsid w:val="5DBC7D30"/>
    <w:rsid w:val="5DCA5FA9"/>
    <w:rsid w:val="5DD010E5"/>
    <w:rsid w:val="5DD1318C"/>
    <w:rsid w:val="5DD15589"/>
    <w:rsid w:val="5DD961EC"/>
    <w:rsid w:val="5DDC3F2E"/>
    <w:rsid w:val="5DE84681"/>
    <w:rsid w:val="5DED1C97"/>
    <w:rsid w:val="5DF70D68"/>
    <w:rsid w:val="5DF90711"/>
    <w:rsid w:val="5DF9688E"/>
    <w:rsid w:val="5DFF2BC0"/>
    <w:rsid w:val="5E046458"/>
    <w:rsid w:val="5E082F75"/>
    <w:rsid w:val="5E115985"/>
    <w:rsid w:val="5E157EEA"/>
    <w:rsid w:val="5E1831B8"/>
    <w:rsid w:val="5E1B6804"/>
    <w:rsid w:val="5E27164D"/>
    <w:rsid w:val="5E2733FB"/>
    <w:rsid w:val="5E2A518D"/>
    <w:rsid w:val="5E2D4789"/>
    <w:rsid w:val="5E3653EC"/>
    <w:rsid w:val="5E394EDC"/>
    <w:rsid w:val="5E40626B"/>
    <w:rsid w:val="5E413D91"/>
    <w:rsid w:val="5E420235"/>
    <w:rsid w:val="5E453881"/>
    <w:rsid w:val="5E48511F"/>
    <w:rsid w:val="5E4C2E61"/>
    <w:rsid w:val="5E4C4C10"/>
    <w:rsid w:val="5E59732C"/>
    <w:rsid w:val="5E5D0BCB"/>
    <w:rsid w:val="5E5E2B95"/>
    <w:rsid w:val="5E5F0DE7"/>
    <w:rsid w:val="5E655CD1"/>
    <w:rsid w:val="5E6A32E8"/>
    <w:rsid w:val="5E6E2DD8"/>
    <w:rsid w:val="5E744166"/>
    <w:rsid w:val="5E785187"/>
    <w:rsid w:val="5E7B3747"/>
    <w:rsid w:val="5E7F4FE5"/>
    <w:rsid w:val="5E83071A"/>
    <w:rsid w:val="5E8E6FD6"/>
    <w:rsid w:val="5E914D18"/>
    <w:rsid w:val="5E9F7435"/>
    <w:rsid w:val="5EAC6A18"/>
    <w:rsid w:val="5EB427B5"/>
    <w:rsid w:val="5EB51D70"/>
    <w:rsid w:val="5EB97DCB"/>
    <w:rsid w:val="5EBF1885"/>
    <w:rsid w:val="5ECC5D50"/>
    <w:rsid w:val="5ECE307B"/>
    <w:rsid w:val="5ECF75EF"/>
    <w:rsid w:val="5ED82947"/>
    <w:rsid w:val="5EF17565"/>
    <w:rsid w:val="5EF77271"/>
    <w:rsid w:val="5EFD415C"/>
    <w:rsid w:val="5F021772"/>
    <w:rsid w:val="5F064676"/>
    <w:rsid w:val="5F073840"/>
    <w:rsid w:val="5F1514A5"/>
    <w:rsid w:val="5F155949"/>
    <w:rsid w:val="5F1576F7"/>
    <w:rsid w:val="5F1D035A"/>
    <w:rsid w:val="5F1F0576"/>
    <w:rsid w:val="5F1F40D2"/>
    <w:rsid w:val="5F1F7677"/>
    <w:rsid w:val="5F217E4A"/>
    <w:rsid w:val="5F28567D"/>
    <w:rsid w:val="5F2C4DCC"/>
    <w:rsid w:val="5F2E2567"/>
    <w:rsid w:val="5F385194"/>
    <w:rsid w:val="5F3C4C84"/>
    <w:rsid w:val="5F434264"/>
    <w:rsid w:val="5F4955F3"/>
    <w:rsid w:val="5F4C0C3F"/>
    <w:rsid w:val="5F4D5334"/>
    <w:rsid w:val="5F5811B0"/>
    <w:rsid w:val="5F5A15AE"/>
    <w:rsid w:val="5F5F0972"/>
    <w:rsid w:val="5F6917F1"/>
    <w:rsid w:val="5F797C86"/>
    <w:rsid w:val="5F7F2DC3"/>
    <w:rsid w:val="5F8108E9"/>
    <w:rsid w:val="5F814D8D"/>
    <w:rsid w:val="5F887EC9"/>
    <w:rsid w:val="5F8B3350"/>
    <w:rsid w:val="5F8E1258"/>
    <w:rsid w:val="5F8E3006"/>
    <w:rsid w:val="5F954394"/>
    <w:rsid w:val="5F9C1BC7"/>
    <w:rsid w:val="5F9F3465"/>
    <w:rsid w:val="5FAF36A8"/>
    <w:rsid w:val="5FC66C44"/>
    <w:rsid w:val="5FC86518"/>
    <w:rsid w:val="5FC92290"/>
    <w:rsid w:val="5FD44EBD"/>
    <w:rsid w:val="5FD650D9"/>
    <w:rsid w:val="5FDC0F0C"/>
    <w:rsid w:val="5FDE3F8D"/>
    <w:rsid w:val="600227CA"/>
    <w:rsid w:val="60071C9B"/>
    <w:rsid w:val="6008036D"/>
    <w:rsid w:val="600B28A8"/>
    <w:rsid w:val="600E1119"/>
    <w:rsid w:val="60106D27"/>
    <w:rsid w:val="601230BB"/>
    <w:rsid w:val="6022031E"/>
    <w:rsid w:val="602923F4"/>
    <w:rsid w:val="602C2F4B"/>
    <w:rsid w:val="603040BD"/>
    <w:rsid w:val="60326087"/>
    <w:rsid w:val="603B4F3C"/>
    <w:rsid w:val="603C0CB4"/>
    <w:rsid w:val="603D64BE"/>
    <w:rsid w:val="60427D1F"/>
    <w:rsid w:val="604A517F"/>
    <w:rsid w:val="60591866"/>
    <w:rsid w:val="605E217F"/>
    <w:rsid w:val="60600E46"/>
    <w:rsid w:val="60624BBE"/>
    <w:rsid w:val="6065020A"/>
    <w:rsid w:val="60675D31"/>
    <w:rsid w:val="607448F1"/>
    <w:rsid w:val="607B5C80"/>
    <w:rsid w:val="607B7A2E"/>
    <w:rsid w:val="6084265C"/>
    <w:rsid w:val="60874625"/>
    <w:rsid w:val="608A36C4"/>
    <w:rsid w:val="608C1C3B"/>
    <w:rsid w:val="608C5797"/>
    <w:rsid w:val="60A52CFD"/>
    <w:rsid w:val="60AA0313"/>
    <w:rsid w:val="60C43183"/>
    <w:rsid w:val="60C56EFB"/>
    <w:rsid w:val="60C969EB"/>
    <w:rsid w:val="60CA62C0"/>
    <w:rsid w:val="60CC028A"/>
    <w:rsid w:val="60CE7B5E"/>
    <w:rsid w:val="60DA29A7"/>
    <w:rsid w:val="60E27AAD"/>
    <w:rsid w:val="60E32176"/>
    <w:rsid w:val="60F11E42"/>
    <w:rsid w:val="60F65306"/>
    <w:rsid w:val="60FA136D"/>
    <w:rsid w:val="60FD6695"/>
    <w:rsid w:val="610417D1"/>
    <w:rsid w:val="61137C66"/>
    <w:rsid w:val="611532BA"/>
    <w:rsid w:val="611834CF"/>
    <w:rsid w:val="611C2FBF"/>
    <w:rsid w:val="61277D1A"/>
    <w:rsid w:val="61300818"/>
    <w:rsid w:val="61306A6A"/>
    <w:rsid w:val="613300E3"/>
    <w:rsid w:val="614913F6"/>
    <w:rsid w:val="61493688"/>
    <w:rsid w:val="614E0FA6"/>
    <w:rsid w:val="61554315"/>
    <w:rsid w:val="615553C3"/>
    <w:rsid w:val="61581B1D"/>
    <w:rsid w:val="61587D6F"/>
    <w:rsid w:val="615E3269"/>
    <w:rsid w:val="617C0DC9"/>
    <w:rsid w:val="617F52FC"/>
    <w:rsid w:val="618446C0"/>
    <w:rsid w:val="618E3791"/>
    <w:rsid w:val="619012B7"/>
    <w:rsid w:val="61996BAE"/>
    <w:rsid w:val="61A51218"/>
    <w:rsid w:val="61BA3AAB"/>
    <w:rsid w:val="61BD7BD2"/>
    <w:rsid w:val="61CE1DDF"/>
    <w:rsid w:val="61CF0031"/>
    <w:rsid w:val="61D90EB0"/>
    <w:rsid w:val="61D92C5E"/>
    <w:rsid w:val="61E15FB7"/>
    <w:rsid w:val="61F01D56"/>
    <w:rsid w:val="61F47A98"/>
    <w:rsid w:val="61FE0917"/>
    <w:rsid w:val="62061579"/>
    <w:rsid w:val="62071ED3"/>
    <w:rsid w:val="620A72BB"/>
    <w:rsid w:val="621974FF"/>
    <w:rsid w:val="621C6FEF"/>
    <w:rsid w:val="621E4B15"/>
    <w:rsid w:val="622334EE"/>
    <w:rsid w:val="62233AD9"/>
    <w:rsid w:val="622B7232"/>
    <w:rsid w:val="622C064E"/>
    <w:rsid w:val="622E3D73"/>
    <w:rsid w:val="62353C0D"/>
    <w:rsid w:val="624327CD"/>
    <w:rsid w:val="624C78D4"/>
    <w:rsid w:val="62525405"/>
    <w:rsid w:val="625414DF"/>
    <w:rsid w:val="625422E5"/>
    <w:rsid w:val="625642AF"/>
    <w:rsid w:val="625E7607"/>
    <w:rsid w:val="6267026A"/>
    <w:rsid w:val="626D33A6"/>
    <w:rsid w:val="627B1F67"/>
    <w:rsid w:val="627C183B"/>
    <w:rsid w:val="627D7A8D"/>
    <w:rsid w:val="628801E0"/>
    <w:rsid w:val="62894684"/>
    <w:rsid w:val="62912C00"/>
    <w:rsid w:val="62913E4C"/>
    <w:rsid w:val="62960B4F"/>
    <w:rsid w:val="629E5C56"/>
    <w:rsid w:val="62A414BE"/>
    <w:rsid w:val="62A84F30"/>
    <w:rsid w:val="62AA0157"/>
    <w:rsid w:val="62AF39BF"/>
    <w:rsid w:val="62B611F1"/>
    <w:rsid w:val="62B80AC5"/>
    <w:rsid w:val="62B965EC"/>
    <w:rsid w:val="62C51434"/>
    <w:rsid w:val="62C57339"/>
    <w:rsid w:val="62D11B87"/>
    <w:rsid w:val="62D82F16"/>
    <w:rsid w:val="62DA4EE0"/>
    <w:rsid w:val="62E53885"/>
    <w:rsid w:val="62E573E1"/>
    <w:rsid w:val="62E775FD"/>
    <w:rsid w:val="62EA3070"/>
    <w:rsid w:val="62FA10DE"/>
    <w:rsid w:val="62FB30A8"/>
    <w:rsid w:val="62FF4946"/>
    <w:rsid w:val="630006BE"/>
    <w:rsid w:val="6300421A"/>
    <w:rsid w:val="63097573"/>
    <w:rsid w:val="630C7063"/>
    <w:rsid w:val="63141A74"/>
    <w:rsid w:val="63155F18"/>
    <w:rsid w:val="63164010"/>
    <w:rsid w:val="63247F09"/>
    <w:rsid w:val="63367C3C"/>
    <w:rsid w:val="63400ABB"/>
    <w:rsid w:val="635C3B47"/>
    <w:rsid w:val="635D2D54"/>
    <w:rsid w:val="636724EC"/>
    <w:rsid w:val="636B1FDC"/>
    <w:rsid w:val="636D5D54"/>
    <w:rsid w:val="637013A0"/>
    <w:rsid w:val="6372336A"/>
    <w:rsid w:val="63780255"/>
    <w:rsid w:val="637D1D0F"/>
    <w:rsid w:val="637D72CD"/>
    <w:rsid w:val="63894210"/>
    <w:rsid w:val="638E5DB2"/>
    <w:rsid w:val="63952BB5"/>
    <w:rsid w:val="63996A94"/>
    <w:rsid w:val="63A4729C"/>
    <w:rsid w:val="63A948B2"/>
    <w:rsid w:val="63B76FCF"/>
    <w:rsid w:val="63BB49A8"/>
    <w:rsid w:val="63D06AB5"/>
    <w:rsid w:val="63E1404C"/>
    <w:rsid w:val="63E853DA"/>
    <w:rsid w:val="63E92F01"/>
    <w:rsid w:val="63F20007"/>
    <w:rsid w:val="63F975E8"/>
    <w:rsid w:val="63FC70D8"/>
    <w:rsid w:val="64081FD3"/>
    <w:rsid w:val="640B2E77"/>
    <w:rsid w:val="641461CF"/>
    <w:rsid w:val="6416019A"/>
    <w:rsid w:val="642342DE"/>
    <w:rsid w:val="642A0309"/>
    <w:rsid w:val="642B52C7"/>
    <w:rsid w:val="642F125B"/>
    <w:rsid w:val="64370110"/>
    <w:rsid w:val="643F0D73"/>
    <w:rsid w:val="64410F8F"/>
    <w:rsid w:val="64414AEB"/>
    <w:rsid w:val="644A1BF1"/>
    <w:rsid w:val="64515E31"/>
    <w:rsid w:val="6454268D"/>
    <w:rsid w:val="645962D8"/>
    <w:rsid w:val="645A795A"/>
    <w:rsid w:val="645B2050"/>
    <w:rsid w:val="646B7DB9"/>
    <w:rsid w:val="6477050C"/>
    <w:rsid w:val="64794284"/>
    <w:rsid w:val="647A1DAB"/>
    <w:rsid w:val="64813139"/>
    <w:rsid w:val="648570CD"/>
    <w:rsid w:val="64882719"/>
    <w:rsid w:val="649303EC"/>
    <w:rsid w:val="64947310"/>
    <w:rsid w:val="649E3CEB"/>
    <w:rsid w:val="64A21A2D"/>
    <w:rsid w:val="64AA6B34"/>
    <w:rsid w:val="64B17EC2"/>
    <w:rsid w:val="64B27B6D"/>
    <w:rsid w:val="64B74DAD"/>
    <w:rsid w:val="64BB2AEF"/>
    <w:rsid w:val="64BB489D"/>
    <w:rsid w:val="64C50F3C"/>
    <w:rsid w:val="64C5396E"/>
    <w:rsid w:val="64C5571C"/>
    <w:rsid w:val="64C64FF0"/>
    <w:rsid w:val="64CA2D32"/>
    <w:rsid w:val="64CE2822"/>
    <w:rsid w:val="64DB0A9B"/>
    <w:rsid w:val="64DF4A2F"/>
    <w:rsid w:val="64E75692"/>
    <w:rsid w:val="64E831B8"/>
    <w:rsid w:val="64F102BF"/>
    <w:rsid w:val="64FE29DC"/>
    <w:rsid w:val="65000502"/>
    <w:rsid w:val="65075D34"/>
    <w:rsid w:val="65091AAC"/>
    <w:rsid w:val="650E0E71"/>
    <w:rsid w:val="653528A1"/>
    <w:rsid w:val="653C55F0"/>
    <w:rsid w:val="654E3963"/>
    <w:rsid w:val="65516FAF"/>
    <w:rsid w:val="65566374"/>
    <w:rsid w:val="655B1BDC"/>
    <w:rsid w:val="65600071"/>
    <w:rsid w:val="65640A91"/>
    <w:rsid w:val="65717652"/>
    <w:rsid w:val="6578278E"/>
    <w:rsid w:val="657A6506"/>
    <w:rsid w:val="657C227E"/>
    <w:rsid w:val="658B24C1"/>
    <w:rsid w:val="65907AD8"/>
    <w:rsid w:val="65953340"/>
    <w:rsid w:val="659550EE"/>
    <w:rsid w:val="65992506"/>
    <w:rsid w:val="659A0956"/>
    <w:rsid w:val="659B161D"/>
    <w:rsid w:val="659D0447"/>
    <w:rsid w:val="65A05841"/>
    <w:rsid w:val="65A70610"/>
    <w:rsid w:val="65A74E21"/>
    <w:rsid w:val="65B01F28"/>
    <w:rsid w:val="65B25CA0"/>
    <w:rsid w:val="65C13D88"/>
    <w:rsid w:val="65C459D3"/>
    <w:rsid w:val="65D53851"/>
    <w:rsid w:val="65D75707"/>
    <w:rsid w:val="65E41BD1"/>
    <w:rsid w:val="65E47E23"/>
    <w:rsid w:val="65E971E8"/>
    <w:rsid w:val="65F31E15"/>
    <w:rsid w:val="65FF4C5D"/>
    <w:rsid w:val="661F0E5C"/>
    <w:rsid w:val="662326FA"/>
    <w:rsid w:val="662E5105"/>
    <w:rsid w:val="662F5543"/>
    <w:rsid w:val="663521C0"/>
    <w:rsid w:val="66372649"/>
    <w:rsid w:val="663A2BAA"/>
    <w:rsid w:val="663A2E25"/>
    <w:rsid w:val="66507267"/>
    <w:rsid w:val="66525B0B"/>
    <w:rsid w:val="665C77AC"/>
    <w:rsid w:val="66634050"/>
    <w:rsid w:val="666B22F3"/>
    <w:rsid w:val="66770A72"/>
    <w:rsid w:val="66770C98"/>
    <w:rsid w:val="66800E54"/>
    <w:rsid w:val="6683763C"/>
    <w:rsid w:val="668D04BB"/>
    <w:rsid w:val="6692787F"/>
    <w:rsid w:val="669B6734"/>
    <w:rsid w:val="66A17AC3"/>
    <w:rsid w:val="66AA2E1B"/>
    <w:rsid w:val="66AF21DF"/>
    <w:rsid w:val="66B141AA"/>
    <w:rsid w:val="66C51A03"/>
    <w:rsid w:val="66CA7019"/>
    <w:rsid w:val="66CD08B8"/>
    <w:rsid w:val="66D37C0F"/>
    <w:rsid w:val="66D47E98"/>
    <w:rsid w:val="66D63C10"/>
    <w:rsid w:val="66D71736"/>
    <w:rsid w:val="66D734E4"/>
    <w:rsid w:val="66EF4CD2"/>
    <w:rsid w:val="66FC2F4B"/>
    <w:rsid w:val="670267B3"/>
    <w:rsid w:val="6703077D"/>
    <w:rsid w:val="6705401D"/>
    <w:rsid w:val="670A1B0C"/>
    <w:rsid w:val="670F7122"/>
    <w:rsid w:val="672101E2"/>
    <w:rsid w:val="672901E4"/>
    <w:rsid w:val="672E75A8"/>
    <w:rsid w:val="67410F7A"/>
    <w:rsid w:val="67423054"/>
    <w:rsid w:val="6747066A"/>
    <w:rsid w:val="67486190"/>
    <w:rsid w:val="674C3ED2"/>
    <w:rsid w:val="6759214B"/>
    <w:rsid w:val="676673CA"/>
    <w:rsid w:val="677B47B7"/>
    <w:rsid w:val="677D408C"/>
    <w:rsid w:val="677E4A78"/>
    <w:rsid w:val="67801DCE"/>
    <w:rsid w:val="67901C4F"/>
    <w:rsid w:val="67957627"/>
    <w:rsid w:val="6796339F"/>
    <w:rsid w:val="67A21D44"/>
    <w:rsid w:val="67A73A5A"/>
    <w:rsid w:val="67A83914"/>
    <w:rsid w:val="67A96C2F"/>
    <w:rsid w:val="67AC2BC3"/>
    <w:rsid w:val="67AC671F"/>
    <w:rsid w:val="67AF485A"/>
    <w:rsid w:val="67AF51B5"/>
    <w:rsid w:val="67B11F87"/>
    <w:rsid w:val="67B210CD"/>
    <w:rsid w:val="67B850C4"/>
    <w:rsid w:val="67C50DDA"/>
    <w:rsid w:val="67C73559"/>
    <w:rsid w:val="67C779FD"/>
    <w:rsid w:val="67D939B4"/>
    <w:rsid w:val="67E1461B"/>
    <w:rsid w:val="67E20393"/>
    <w:rsid w:val="67E67E83"/>
    <w:rsid w:val="67F325A0"/>
    <w:rsid w:val="67F3434E"/>
    <w:rsid w:val="67F81964"/>
    <w:rsid w:val="67F833D2"/>
    <w:rsid w:val="67FD341E"/>
    <w:rsid w:val="67FD6F7B"/>
    <w:rsid w:val="68033400"/>
    <w:rsid w:val="6813679E"/>
    <w:rsid w:val="681C5653"/>
    <w:rsid w:val="682664D1"/>
    <w:rsid w:val="68282249"/>
    <w:rsid w:val="68352BB8"/>
    <w:rsid w:val="683706DE"/>
    <w:rsid w:val="683828A4"/>
    <w:rsid w:val="684B418A"/>
    <w:rsid w:val="68550B65"/>
    <w:rsid w:val="685B6B1A"/>
    <w:rsid w:val="685C6397"/>
    <w:rsid w:val="68626ABD"/>
    <w:rsid w:val="686F7E78"/>
    <w:rsid w:val="687A4A6F"/>
    <w:rsid w:val="687C2595"/>
    <w:rsid w:val="687C4343"/>
    <w:rsid w:val="687F0831"/>
    <w:rsid w:val="6880464C"/>
    <w:rsid w:val="68863414"/>
    <w:rsid w:val="68906041"/>
    <w:rsid w:val="689121E7"/>
    <w:rsid w:val="689773CF"/>
    <w:rsid w:val="689B6EBF"/>
    <w:rsid w:val="689C49E5"/>
    <w:rsid w:val="68B41D2F"/>
    <w:rsid w:val="68B86C5B"/>
    <w:rsid w:val="68B97345"/>
    <w:rsid w:val="68BA7955"/>
    <w:rsid w:val="68BB130F"/>
    <w:rsid w:val="68BE495C"/>
    <w:rsid w:val="68C06926"/>
    <w:rsid w:val="68C31F72"/>
    <w:rsid w:val="68C53F3C"/>
    <w:rsid w:val="68C656C9"/>
    <w:rsid w:val="68CB0E27"/>
    <w:rsid w:val="68CF0917"/>
    <w:rsid w:val="68E00D76"/>
    <w:rsid w:val="68E3372E"/>
    <w:rsid w:val="68EE2FED"/>
    <w:rsid w:val="68F0088D"/>
    <w:rsid w:val="68F760C0"/>
    <w:rsid w:val="69083562"/>
    <w:rsid w:val="690C1B6B"/>
    <w:rsid w:val="690F11B3"/>
    <w:rsid w:val="69197DE4"/>
    <w:rsid w:val="6922313D"/>
    <w:rsid w:val="69230C63"/>
    <w:rsid w:val="692A0243"/>
    <w:rsid w:val="692F585A"/>
    <w:rsid w:val="692F7608"/>
    <w:rsid w:val="693410C2"/>
    <w:rsid w:val="69381C7D"/>
    <w:rsid w:val="693E784B"/>
    <w:rsid w:val="69472BA3"/>
    <w:rsid w:val="694E3F32"/>
    <w:rsid w:val="6954706E"/>
    <w:rsid w:val="69584DB0"/>
    <w:rsid w:val="695E7EED"/>
    <w:rsid w:val="696279DD"/>
    <w:rsid w:val="69674FF3"/>
    <w:rsid w:val="698711F2"/>
    <w:rsid w:val="698773AA"/>
    <w:rsid w:val="698F62F8"/>
    <w:rsid w:val="699456BD"/>
    <w:rsid w:val="69981651"/>
    <w:rsid w:val="69A47FF6"/>
    <w:rsid w:val="69AF24F6"/>
    <w:rsid w:val="69B12712"/>
    <w:rsid w:val="69B47B0D"/>
    <w:rsid w:val="69C77840"/>
    <w:rsid w:val="69D65CD5"/>
    <w:rsid w:val="69E13245"/>
    <w:rsid w:val="69E44896"/>
    <w:rsid w:val="69E95A08"/>
    <w:rsid w:val="69EB1FDC"/>
    <w:rsid w:val="69F10D61"/>
    <w:rsid w:val="6A026ACA"/>
    <w:rsid w:val="6A036897"/>
    <w:rsid w:val="6A0665BA"/>
    <w:rsid w:val="6A0A597F"/>
    <w:rsid w:val="6A0B1E23"/>
    <w:rsid w:val="6A0C16F7"/>
    <w:rsid w:val="6A0D3D09"/>
    <w:rsid w:val="6A114F5F"/>
    <w:rsid w:val="6A152CA1"/>
    <w:rsid w:val="6A1862EE"/>
    <w:rsid w:val="6A1D56B2"/>
    <w:rsid w:val="6A2A361C"/>
    <w:rsid w:val="6A310A4A"/>
    <w:rsid w:val="6A464C09"/>
    <w:rsid w:val="6A5512F0"/>
    <w:rsid w:val="6A58493C"/>
    <w:rsid w:val="6A5D1F52"/>
    <w:rsid w:val="6A5F3F1C"/>
    <w:rsid w:val="6A641533"/>
    <w:rsid w:val="6A6432E1"/>
    <w:rsid w:val="6A6634FD"/>
    <w:rsid w:val="6A72672B"/>
    <w:rsid w:val="6A7D6CAF"/>
    <w:rsid w:val="6A9260A0"/>
    <w:rsid w:val="6AA15FA4"/>
    <w:rsid w:val="6AA656A7"/>
    <w:rsid w:val="6AAB0F10"/>
    <w:rsid w:val="6AB37DC4"/>
    <w:rsid w:val="6AC67AF8"/>
    <w:rsid w:val="6ACA3A8C"/>
    <w:rsid w:val="6AD14E1A"/>
    <w:rsid w:val="6AD404C6"/>
    <w:rsid w:val="6AD66324"/>
    <w:rsid w:val="6AE12B83"/>
    <w:rsid w:val="6AEA1A38"/>
    <w:rsid w:val="6AEE0B20"/>
    <w:rsid w:val="6AF02DC7"/>
    <w:rsid w:val="6AF74155"/>
    <w:rsid w:val="6B081868"/>
    <w:rsid w:val="6B0A3E88"/>
    <w:rsid w:val="6B0D3978"/>
    <w:rsid w:val="6B0F5943"/>
    <w:rsid w:val="6B144D07"/>
    <w:rsid w:val="6B19231D"/>
    <w:rsid w:val="6B1940CB"/>
    <w:rsid w:val="6B1A4EC6"/>
    <w:rsid w:val="6B1C36D8"/>
    <w:rsid w:val="6B1E3BA6"/>
    <w:rsid w:val="6B1E7934"/>
    <w:rsid w:val="6B2036AC"/>
    <w:rsid w:val="6B234F4A"/>
    <w:rsid w:val="6B2A277C"/>
    <w:rsid w:val="6B36165F"/>
    <w:rsid w:val="6B376C47"/>
    <w:rsid w:val="6B397FE0"/>
    <w:rsid w:val="6B40339E"/>
    <w:rsid w:val="6B405AFC"/>
    <w:rsid w:val="6B4078AA"/>
    <w:rsid w:val="6B4D0219"/>
    <w:rsid w:val="6B534A22"/>
    <w:rsid w:val="6B601CFA"/>
    <w:rsid w:val="6B621DBD"/>
    <w:rsid w:val="6B621F16"/>
    <w:rsid w:val="6B6F018F"/>
    <w:rsid w:val="6B6F1F3D"/>
    <w:rsid w:val="6B785296"/>
    <w:rsid w:val="6B7B2FD8"/>
    <w:rsid w:val="6B80414A"/>
    <w:rsid w:val="6B8C0D41"/>
    <w:rsid w:val="6B8F438D"/>
    <w:rsid w:val="6B94610F"/>
    <w:rsid w:val="6B96571C"/>
    <w:rsid w:val="6BA0659B"/>
    <w:rsid w:val="6BA22313"/>
    <w:rsid w:val="6BBA58AE"/>
    <w:rsid w:val="6BBE4C73"/>
    <w:rsid w:val="6BD85D34"/>
    <w:rsid w:val="6BD9385B"/>
    <w:rsid w:val="6BDA7CFF"/>
    <w:rsid w:val="6BDD159D"/>
    <w:rsid w:val="6BDF3567"/>
    <w:rsid w:val="6BE20961"/>
    <w:rsid w:val="6BE26BB3"/>
    <w:rsid w:val="6BE97F42"/>
    <w:rsid w:val="6BEC5C84"/>
    <w:rsid w:val="6BF32B6E"/>
    <w:rsid w:val="6BF6265F"/>
    <w:rsid w:val="6C094140"/>
    <w:rsid w:val="6C0E1756"/>
    <w:rsid w:val="6C12145F"/>
    <w:rsid w:val="6C136D6D"/>
    <w:rsid w:val="6C1F3963"/>
    <w:rsid w:val="6C222D01"/>
    <w:rsid w:val="6C3118E9"/>
    <w:rsid w:val="6C311952"/>
    <w:rsid w:val="6C3311BD"/>
    <w:rsid w:val="6C4258A4"/>
    <w:rsid w:val="6C44786E"/>
    <w:rsid w:val="6C450EF0"/>
    <w:rsid w:val="6C496C32"/>
    <w:rsid w:val="6C53360D"/>
    <w:rsid w:val="6C5630FD"/>
    <w:rsid w:val="6C5C0714"/>
    <w:rsid w:val="6C5C6966"/>
    <w:rsid w:val="6C6B6BA9"/>
    <w:rsid w:val="6C711CE5"/>
    <w:rsid w:val="6C7F3644"/>
    <w:rsid w:val="6C8338E5"/>
    <w:rsid w:val="6C861C34"/>
    <w:rsid w:val="6C8B0FF9"/>
    <w:rsid w:val="6CA43E69"/>
    <w:rsid w:val="6CAB51F7"/>
    <w:rsid w:val="6CBA18DE"/>
    <w:rsid w:val="6CBA7B30"/>
    <w:rsid w:val="6CBC7404"/>
    <w:rsid w:val="6CBF0CA2"/>
    <w:rsid w:val="6CCB0534"/>
    <w:rsid w:val="6CD72490"/>
    <w:rsid w:val="6CD9769F"/>
    <w:rsid w:val="6CDC2EEB"/>
    <w:rsid w:val="6CE1330F"/>
    <w:rsid w:val="6CE60925"/>
    <w:rsid w:val="6CED3A62"/>
    <w:rsid w:val="6CF22E26"/>
    <w:rsid w:val="6CF52916"/>
    <w:rsid w:val="6CFF5543"/>
    <w:rsid w:val="6D01750D"/>
    <w:rsid w:val="6D050DAB"/>
    <w:rsid w:val="6D057430"/>
    <w:rsid w:val="6D08089B"/>
    <w:rsid w:val="6D0B038C"/>
    <w:rsid w:val="6D140FEE"/>
    <w:rsid w:val="6D1F1741"/>
    <w:rsid w:val="6D1F7993"/>
    <w:rsid w:val="6D203E37"/>
    <w:rsid w:val="6D222CB2"/>
    <w:rsid w:val="6D25144D"/>
    <w:rsid w:val="6D284A9A"/>
    <w:rsid w:val="6D3715E9"/>
    <w:rsid w:val="6D384161"/>
    <w:rsid w:val="6D3E250F"/>
    <w:rsid w:val="6D3F3B91"/>
    <w:rsid w:val="6D4573FA"/>
    <w:rsid w:val="6D4A37E0"/>
    <w:rsid w:val="6D4D62AE"/>
    <w:rsid w:val="6D527D69"/>
    <w:rsid w:val="6D543AE1"/>
    <w:rsid w:val="6D5533B5"/>
    <w:rsid w:val="6D5B09CB"/>
    <w:rsid w:val="6D667370"/>
    <w:rsid w:val="6D727A37"/>
    <w:rsid w:val="6D780CD8"/>
    <w:rsid w:val="6D7813AB"/>
    <w:rsid w:val="6D7B72BF"/>
    <w:rsid w:val="6D8307B0"/>
    <w:rsid w:val="6D862B7B"/>
    <w:rsid w:val="6D8812EF"/>
    <w:rsid w:val="6D8E6FF3"/>
    <w:rsid w:val="6D995997"/>
    <w:rsid w:val="6DA50FAB"/>
    <w:rsid w:val="6DA93E2C"/>
    <w:rsid w:val="6DB54082"/>
    <w:rsid w:val="6DB8406F"/>
    <w:rsid w:val="6DB97DE8"/>
    <w:rsid w:val="6DBB3B60"/>
    <w:rsid w:val="6DBD5004"/>
    <w:rsid w:val="6DBE0F5A"/>
    <w:rsid w:val="6DCF760B"/>
    <w:rsid w:val="6DD15131"/>
    <w:rsid w:val="6DD53A5A"/>
    <w:rsid w:val="6DD662A4"/>
    <w:rsid w:val="6DDA2238"/>
    <w:rsid w:val="6DE76703"/>
    <w:rsid w:val="6DEC3D19"/>
    <w:rsid w:val="6DF80910"/>
    <w:rsid w:val="6E0B0D16"/>
    <w:rsid w:val="6E0E5A3E"/>
    <w:rsid w:val="6E162B44"/>
    <w:rsid w:val="6E182D60"/>
    <w:rsid w:val="6E1B63AC"/>
    <w:rsid w:val="6E1F7C4B"/>
    <w:rsid w:val="6E2434B3"/>
    <w:rsid w:val="6E2711F5"/>
    <w:rsid w:val="6E3631E6"/>
    <w:rsid w:val="6E364F94"/>
    <w:rsid w:val="6E3D27C7"/>
    <w:rsid w:val="6E3D6323"/>
    <w:rsid w:val="6E46167B"/>
    <w:rsid w:val="6E5E1E16"/>
    <w:rsid w:val="6E6164B5"/>
    <w:rsid w:val="6E625D89"/>
    <w:rsid w:val="6E6E472E"/>
    <w:rsid w:val="6E731D44"/>
    <w:rsid w:val="6E761835"/>
    <w:rsid w:val="6E7716CA"/>
    <w:rsid w:val="6E7B6E4B"/>
    <w:rsid w:val="6E8C66E0"/>
    <w:rsid w:val="6E8D188A"/>
    <w:rsid w:val="6E91041D"/>
    <w:rsid w:val="6E935726"/>
    <w:rsid w:val="6E970129"/>
    <w:rsid w:val="6EAB3BD4"/>
    <w:rsid w:val="6EAF69A4"/>
    <w:rsid w:val="6EC407F2"/>
    <w:rsid w:val="6EC425A0"/>
    <w:rsid w:val="6EC627BC"/>
    <w:rsid w:val="6EC6456A"/>
    <w:rsid w:val="6EC9405A"/>
    <w:rsid w:val="6ED0363B"/>
    <w:rsid w:val="6ED36C87"/>
    <w:rsid w:val="6ED547AD"/>
    <w:rsid w:val="6EDA0016"/>
    <w:rsid w:val="6EE13152"/>
    <w:rsid w:val="6EE37AB3"/>
    <w:rsid w:val="6EE844E0"/>
    <w:rsid w:val="6EEA46FD"/>
    <w:rsid w:val="6EF235B1"/>
    <w:rsid w:val="6F062BB9"/>
    <w:rsid w:val="6F0937A0"/>
    <w:rsid w:val="6F2474E3"/>
    <w:rsid w:val="6F2F1DA8"/>
    <w:rsid w:val="6F2F210F"/>
    <w:rsid w:val="6F411E43"/>
    <w:rsid w:val="6F413BF1"/>
    <w:rsid w:val="6F481423"/>
    <w:rsid w:val="6F4A6F49"/>
    <w:rsid w:val="6F524050"/>
    <w:rsid w:val="6F541B76"/>
    <w:rsid w:val="6F5B73A8"/>
    <w:rsid w:val="6F5C6C7D"/>
    <w:rsid w:val="6F653D83"/>
    <w:rsid w:val="6F6F075E"/>
    <w:rsid w:val="6F7264A0"/>
    <w:rsid w:val="6F782DA8"/>
    <w:rsid w:val="6F810491"/>
    <w:rsid w:val="6F8C57B4"/>
    <w:rsid w:val="6F8E08A3"/>
    <w:rsid w:val="6F906926"/>
    <w:rsid w:val="6F966CC1"/>
    <w:rsid w:val="6FAA79E8"/>
    <w:rsid w:val="6FB645DF"/>
    <w:rsid w:val="6FD66A2F"/>
    <w:rsid w:val="6FD76303"/>
    <w:rsid w:val="6FDE6524"/>
    <w:rsid w:val="6FEE2B5C"/>
    <w:rsid w:val="6FF46EB5"/>
    <w:rsid w:val="70001CFE"/>
    <w:rsid w:val="70011985"/>
    <w:rsid w:val="70027824"/>
    <w:rsid w:val="70077DE7"/>
    <w:rsid w:val="70083ED5"/>
    <w:rsid w:val="700A492A"/>
    <w:rsid w:val="70227A0B"/>
    <w:rsid w:val="702C664F"/>
    <w:rsid w:val="702E6166"/>
    <w:rsid w:val="70352925"/>
    <w:rsid w:val="70431C3A"/>
    <w:rsid w:val="704936A5"/>
    <w:rsid w:val="70495453"/>
    <w:rsid w:val="704A2F79"/>
    <w:rsid w:val="704C638F"/>
    <w:rsid w:val="70585F58"/>
    <w:rsid w:val="70587444"/>
    <w:rsid w:val="7060454A"/>
    <w:rsid w:val="70666005"/>
    <w:rsid w:val="706C1141"/>
    <w:rsid w:val="706E4646"/>
    <w:rsid w:val="706F478E"/>
    <w:rsid w:val="707D7D60"/>
    <w:rsid w:val="708A15C7"/>
    <w:rsid w:val="708E10B8"/>
    <w:rsid w:val="70903082"/>
    <w:rsid w:val="70904E30"/>
    <w:rsid w:val="70944D11"/>
    <w:rsid w:val="70980188"/>
    <w:rsid w:val="709D12FB"/>
    <w:rsid w:val="70A408DB"/>
    <w:rsid w:val="70A5064C"/>
    <w:rsid w:val="70A97C9F"/>
    <w:rsid w:val="70AE52B6"/>
    <w:rsid w:val="70B30B1E"/>
    <w:rsid w:val="70C0030A"/>
    <w:rsid w:val="70C42D2B"/>
    <w:rsid w:val="70C745CA"/>
    <w:rsid w:val="70D07922"/>
    <w:rsid w:val="70D72A5F"/>
    <w:rsid w:val="70DA42FD"/>
    <w:rsid w:val="70E00857"/>
    <w:rsid w:val="70EB475C"/>
    <w:rsid w:val="70ED3E17"/>
    <w:rsid w:val="70F629BB"/>
    <w:rsid w:val="70FF1FB5"/>
    <w:rsid w:val="7103616B"/>
    <w:rsid w:val="71063344"/>
    <w:rsid w:val="710864C2"/>
    <w:rsid w:val="71175551"/>
    <w:rsid w:val="71234E99"/>
    <w:rsid w:val="7124455A"/>
    <w:rsid w:val="7128150C"/>
    <w:rsid w:val="712B4B58"/>
    <w:rsid w:val="712C0667"/>
    <w:rsid w:val="712E2DAE"/>
    <w:rsid w:val="71333A0D"/>
    <w:rsid w:val="71361540"/>
    <w:rsid w:val="71445C1A"/>
    <w:rsid w:val="71476A8B"/>
    <w:rsid w:val="715440AF"/>
    <w:rsid w:val="71551BD5"/>
    <w:rsid w:val="71566079"/>
    <w:rsid w:val="715C11B6"/>
    <w:rsid w:val="71663DE2"/>
    <w:rsid w:val="71681909"/>
    <w:rsid w:val="71722787"/>
    <w:rsid w:val="71754026"/>
    <w:rsid w:val="71775FF0"/>
    <w:rsid w:val="71836539"/>
    <w:rsid w:val="71AD37BF"/>
    <w:rsid w:val="71C132A7"/>
    <w:rsid w:val="71CF1988"/>
    <w:rsid w:val="71CF3E29"/>
    <w:rsid w:val="71D60F68"/>
    <w:rsid w:val="71DB20DB"/>
    <w:rsid w:val="71E2790D"/>
    <w:rsid w:val="71E33685"/>
    <w:rsid w:val="71EF5B86"/>
    <w:rsid w:val="71F80EDE"/>
    <w:rsid w:val="71FE04BF"/>
    <w:rsid w:val="72035AD5"/>
    <w:rsid w:val="720C2BDC"/>
    <w:rsid w:val="721003C5"/>
    <w:rsid w:val="72111FA0"/>
    <w:rsid w:val="7214383E"/>
    <w:rsid w:val="721B697B"/>
    <w:rsid w:val="72200435"/>
    <w:rsid w:val="723C62EB"/>
    <w:rsid w:val="72493B56"/>
    <w:rsid w:val="72516841"/>
    <w:rsid w:val="725B146D"/>
    <w:rsid w:val="725E2D0C"/>
    <w:rsid w:val="726245AA"/>
    <w:rsid w:val="72646574"/>
    <w:rsid w:val="726E2F4F"/>
    <w:rsid w:val="727662A7"/>
    <w:rsid w:val="727918F3"/>
    <w:rsid w:val="728B1DE3"/>
    <w:rsid w:val="7294672D"/>
    <w:rsid w:val="72952BD1"/>
    <w:rsid w:val="729606F7"/>
    <w:rsid w:val="7298446F"/>
    <w:rsid w:val="7298621E"/>
    <w:rsid w:val="72987FCC"/>
    <w:rsid w:val="729A1F96"/>
    <w:rsid w:val="729D386D"/>
    <w:rsid w:val="72A9042B"/>
    <w:rsid w:val="72AE5A41"/>
    <w:rsid w:val="72B172DF"/>
    <w:rsid w:val="72B50B7E"/>
    <w:rsid w:val="72B917BC"/>
    <w:rsid w:val="72C708B1"/>
    <w:rsid w:val="72CC236B"/>
    <w:rsid w:val="72CD1B96"/>
    <w:rsid w:val="72D66D46"/>
    <w:rsid w:val="72DA4A88"/>
    <w:rsid w:val="72E72C2B"/>
    <w:rsid w:val="72EE0533"/>
    <w:rsid w:val="72F21DD2"/>
    <w:rsid w:val="72F35B4A"/>
    <w:rsid w:val="73090EC9"/>
    <w:rsid w:val="73092C77"/>
    <w:rsid w:val="73102258"/>
    <w:rsid w:val="731735E6"/>
    <w:rsid w:val="73191889"/>
    <w:rsid w:val="73291C4A"/>
    <w:rsid w:val="732A3D34"/>
    <w:rsid w:val="73334198"/>
    <w:rsid w:val="734168B5"/>
    <w:rsid w:val="734B7734"/>
    <w:rsid w:val="73532145"/>
    <w:rsid w:val="7359395E"/>
    <w:rsid w:val="73691968"/>
    <w:rsid w:val="736A17B3"/>
    <w:rsid w:val="736B748E"/>
    <w:rsid w:val="736F377D"/>
    <w:rsid w:val="73722F12"/>
    <w:rsid w:val="7375655F"/>
    <w:rsid w:val="737E3665"/>
    <w:rsid w:val="7386251A"/>
    <w:rsid w:val="73893DB8"/>
    <w:rsid w:val="739A7D73"/>
    <w:rsid w:val="739D75BE"/>
    <w:rsid w:val="739E14CF"/>
    <w:rsid w:val="73A34E7A"/>
    <w:rsid w:val="73A806E2"/>
    <w:rsid w:val="73B72B30"/>
    <w:rsid w:val="73BC5F3C"/>
    <w:rsid w:val="73BE7F06"/>
    <w:rsid w:val="73C13552"/>
    <w:rsid w:val="73C80D84"/>
    <w:rsid w:val="73CA68AB"/>
    <w:rsid w:val="73CC7445"/>
    <w:rsid w:val="73DC65DE"/>
    <w:rsid w:val="73E55492"/>
    <w:rsid w:val="73EF1E6D"/>
    <w:rsid w:val="73F456D6"/>
    <w:rsid w:val="73FC27DC"/>
    <w:rsid w:val="740022CC"/>
    <w:rsid w:val="740A2536"/>
    <w:rsid w:val="740B2A1F"/>
    <w:rsid w:val="74145D78"/>
    <w:rsid w:val="74161AF0"/>
    <w:rsid w:val="7416564C"/>
    <w:rsid w:val="741F0BD9"/>
    <w:rsid w:val="7420471D"/>
    <w:rsid w:val="742064CB"/>
    <w:rsid w:val="7423420D"/>
    <w:rsid w:val="74253AE1"/>
    <w:rsid w:val="743E6263"/>
    <w:rsid w:val="7452064E"/>
    <w:rsid w:val="74542618"/>
    <w:rsid w:val="745D771F"/>
    <w:rsid w:val="74634609"/>
    <w:rsid w:val="74650381"/>
    <w:rsid w:val="74654825"/>
    <w:rsid w:val="746960C4"/>
    <w:rsid w:val="746F1200"/>
    <w:rsid w:val="746F7452"/>
    <w:rsid w:val="747C102B"/>
    <w:rsid w:val="74846437"/>
    <w:rsid w:val="74850A24"/>
    <w:rsid w:val="74856C75"/>
    <w:rsid w:val="748A4CEE"/>
    <w:rsid w:val="748C3B60"/>
    <w:rsid w:val="74997160"/>
    <w:rsid w:val="74AE7614"/>
    <w:rsid w:val="74B310ED"/>
    <w:rsid w:val="74B60BDD"/>
    <w:rsid w:val="74B86703"/>
    <w:rsid w:val="74B9247B"/>
    <w:rsid w:val="74C517D1"/>
    <w:rsid w:val="74CC21AE"/>
    <w:rsid w:val="74CC6652"/>
    <w:rsid w:val="74D472B5"/>
    <w:rsid w:val="74E219D2"/>
    <w:rsid w:val="750556C0"/>
    <w:rsid w:val="750B3C47"/>
    <w:rsid w:val="750D6F2C"/>
    <w:rsid w:val="750F68C4"/>
    <w:rsid w:val="75105270"/>
    <w:rsid w:val="751678CE"/>
    <w:rsid w:val="751B4EE4"/>
    <w:rsid w:val="7523428C"/>
    <w:rsid w:val="75243D99"/>
    <w:rsid w:val="75267B11"/>
    <w:rsid w:val="752B15CB"/>
    <w:rsid w:val="75361B5B"/>
    <w:rsid w:val="75396AE8"/>
    <w:rsid w:val="753F5076"/>
    <w:rsid w:val="754C32EF"/>
    <w:rsid w:val="755521A4"/>
    <w:rsid w:val="7556268A"/>
    <w:rsid w:val="7557416E"/>
    <w:rsid w:val="755A3C5E"/>
    <w:rsid w:val="7561323F"/>
    <w:rsid w:val="75644ADD"/>
    <w:rsid w:val="75660855"/>
    <w:rsid w:val="756643B1"/>
    <w:rsid w:val="75693EA1"/>
    <w:rsid w:val="756E3266"/>
    <w:rsid w:val="75722525"/>
    <w:rsid w:val="75772F37"/>
    <w:rsid w:val="757840E4"/>
    <w:rsid w:val="757C3BD5"/>
    <w:rsid w:val="758415D8"/>
    <w:rsid w:val="759F5B15"/>
    <w:rsid w:val="75A1363B"/>
    <w:rsid w:val="75A650F5"/>
    <w:rsid w:val="75B275F6"/>
    <w:rsid w:val="75B3511C"/>
    <w:rsid w:val="75B9759E"/>
    <w:rsid w:val="75BF1D13"/>
    <w:rsid w:val="75C00135"/>
    <w:rsid w:val="75C335B1"/>
    <w:rsid w:val="75CA0DE4"/>
    <w:rsid w:val="75E17EDC"/>
    <w:rsid w:val="75E31EA6"/>
    <w:rsid w:val="75F23E97"/>
    <w:rsid w:val="75F95225"/>
    <w:rsid w:val="760065B4"/>
    <w:rsid w:val="760327D0"/>
    <w:rsid w:val="76067942"/>
    <w:rsid w:val="76075A69"/>
    <w:rsid w:val="76142A12"/>
    <w:rsid w:val="761F631C"/>
    <w:rsid w:val="76273BFB"/>
    <w:rsid w:val="762A5C33"/>
    <w:rsid w:val="762D4ECF"/>
    <w:rsid w:val="76366479"/>
    <w:rsid w:val="763C15B6"/>
    <w:rsid w:val="764F753B"/>
    <w:rsid w:val="765668DA"/>
    <w:rsid w:val="765972B7"/>
    <w:rsid w:val="766034F6"/>
    <w:rsid w:val="76635847"/>
    <w:rsid w:val="766537ED"/>
    <w:rsid w:val="76674885"/>
    <w:rsid w:val="76790114"/>
    <w:rsid w:val="769136B0"/>
    <w:rsid w:val="769C41AB"/>
    <w:rsid w:val="769D02A6"/>
    <w:rsid w:val="76A41635"/>
    <w:rsid w:val="76A64435"/>
    <w:rsid w:val="76AA4771"/>
    <w:rsid w:val="76B346EE"/>
    <w:rsid w:val="76CA0970"/>
    <w:rsid w:val="76D649A4"/>
    <w:rsid w:val="76DD68F5"/>
    <w:rsid w:val="76EE28B0"/>
    <w:rsid w:val="76FF05C0"/>
    <w:rsid w:val="770E2F52"/>
    <w:rsid w:val="771805CB"/>
    <w:rsid w:val="771B11CB"/>
    <w:rsid w:val="771D024C"/>
    <w:rsid w:val="771F1A59"/>
    <w:rsid w:val="772067E2"/>
    <w:rsid w:val="772269FE"/>
    <w:rsid w:val="7724066E"/>
    <w:rsid w:val="77244524"/>
    <w:rsid w:val="77274014"/>
    <w:rsid w:val="77277B70"/>
    <w:rsid w:val="7730111A"/>
    <w:rsid w:val="773504DF"/>
    <w:rsid w:val="77371170"/>
    <w:rsid w:val="77400C32"/>
    <w:rsid w:val="77440722"/>
    <w:rsid w:val="77444BC6"/>
    <w:rsid w:val="77471FC0"/>
    <w:rsid w:val="774B7D02"/>
    <w:rsid w:val="774C75D7"/>
    <w:rsid w:val="775D17E4"/>
    <w:rsid w:val="77664B3C"/>
    <w:rsid w:val="776D5ECB"/>
    <w:rsid w:val="777C4360"/>
    <w:rsid w:val="777C7EBC"/>
    <w:rsid w:val="77866F8C"/>
    <w:rsid w:val="778E76B4"/>
    <w:rsid w:val="77980A6E"/>
    <w:rsid w:val="779A6594"/>
    <w:rsid w:val="779C1699"/>
    <w:rsid w:val="779F004E"/>
    <w:rsid w:val="77AB402B"/>
    <w:rsid w:val="77B70EF4"/>
    <w:rsid w:val="77BE14A6"/>
    <w:rsid w:val="77BF424C"/>
    <w:rsid w:val="77C533C3"/>
    <w:rsid w:val="77C7119B"/>
    <w:rsid w:val="77CD4BBB"/>
    <w:rsid w:val="77D060AE"/>
    <w:rsid w:val="77DB72D8"/>
    <w:rsid w:val="77DE32D5"/>
    <w:rsid w:val="77E048EF"/>
    <w:rsid w:val="77EF68E0"/>
    <w:rsid w:val="77F57C6E"/>
    <w:rsid w:val="780103C1"/>
    <w:rsid w:val="78085BF3"/>
    <w:rsid w:val="781E0F73"/>
    <w:rsid w:val="782071AE"/>
    <w:rsid w:val="78252301"/>
    <w:rsid w:val="78322C70"/>
    <w:rsid w:val="78347A3A"/>
    <w:rsid w:val="783C5191"/>
    <w:rsid w:val="78411105"/>
    <w:rsid w:val="78482494"/>
    <w:rsid w:val="784D7AAA"/>
    <w:rsid w:val="78522FAB"/>
    <w:rsid w:val="785B3F75"/>
    <w:rsid w:val="785B5D23"/>
    <w:rsid w:val="785E3A65"/>
    <w:rsid w:val="7863107C"/>
    <w:rsid w:val="78760DAF"/>
    <w:rsid w:val="7878358E"/>
    <w:rsid w:val="788039DC"/>
    <w:rsid w:val="78872FBC"/>
    <w:rsid w:val="78874D6A"/>
    <w:rsid w:val="78880AE2"/>
    <w:rsid w:val="78A05E2C"/>
    <w:rsid w:val="78A53442"/>
    <w:rsid w:val="78B47B29"/>
    <w:rsid w:val="78B611AB"/>
    <w:rsid w:val="78BD69DE"/>
    <w:rsid w:val="78CE0040"/>
    <w:rsid w:val="78DB6D78"/>
    <w:rsid w:val="78DD498A"/>
    <w:rsid w:val="78E8577B"/>
    <w:rsid w:val="78ED0487"/>
    <w:rsid w:val="78F16688"/>
    <w:rsid w:val="78FF0DA4"/>
    <w:rsid w:val="790243F1"/>
    <w:rsid w:val="79075EAB"/>
    <w:rsid w:val="79134850"/>
    <w:rsid w:val="791660EE"/>
    <w:rsid w:val="791A5BDE"/>
    <w:rsid w:val="792D2B46"/>
    <w:rsid w:val="79332946"/>
    <w:rsid w:val="79334EF2"/>
    <w:rsid w:val="793D367B"/>
    <w:rsid w:val="793D7B1F"/>
    <w:rsid w:val="79501600"/>
    <w:rsid w:val="796E7CD8"/>
    <w:rsid w:val="79703A50"/>
    <w:rsid w:val="79725A1A"/>
    <w:rsid w:val="79747548"/>
    <w:rsid w:val="79751067"/>
    <w:rsid w:val="797572B9"/>
    <w:rsid w:val="797A042B"/>
    <w:rsid w:val="797E5A8D"/>
    <w:rsid w:val="79815C5D"/>
    <w:rsid w:val="7987552E"/>
    <w:rsid w:val="799139C7"/>
    <w:rsid w:val="79935991"/>
    <w:rsid w:val="7997516A"/>
    <w:rsid w:val="799B65F3"/>
    <w:rsid w:val="79A11E5C"/>
    <w:rsid w:val="79B3393D"/>
    <w:rsid w:val="79B37DE1"/>
    <w:rsid w:val="79B871A5"/>
    <w:rsid w:val="79B9081F"/>
    <w:rsid w:val="79CE69C9"/>
    <w:rsid w:val="79D02741"/>
    <w:rsid w:val="79D7762B"/>
    <w:rsid w:val="79DA711C"/>
    <w:rsid w:val="79DC7338"/>
    <w:rsid w:val="7A055814"/>
    <w:rsid w:val="7A1545F8"/>
    <w:rsid w:val="7A1E34AC"/>
    <w:rsid w:val="7A1F7224"/>
    <w:rsid w:val="7A2B5BC9"/>
    <w:rsid w:val="7A2B7A72"/>
    <w:rsid w:val="7A2D36EF"/>
    <w:rsid w:val="7A3507F6"/>
    <w:rsid w:val="7A3854A2"/>
    <w:rsid w:val="7A3B5B1E"/>
    <w:rsid w:val="7A4259A3"/>
    <w:rsid w:val="7A434CC1"/>
    <w:rsid w:val="7A450285"/>
    <w:rsid w:val="7A4A24F3"/>
    <w:rsid w:val="7A4D3D91"/>
    <w:rsid w:val="7A590988"/>
    <w:rsid w:val="7A603AC5"/>
    <w:rsid w:val="7A654604"/>
    <w:rsid w:val="7A6B1FA0"/>
    <w:rsid w:val="7A70182E"/>
    <w:rsid w:val="7A707A80"/>
    <w:rsid w:val="7A7C6425"/>
    <w:rsid w:val="7A7E3F4B"/>
    <w:rsid w:val="7A87102F"/>
    <w:rsid w:val="7A925C48"/>
    <w:rsid w:val="7AA37E55"/>
    <w:rsid w:val="7AAB2866"/>
    <w:rsid w:val="7AB43E11"/>
    <w:rsid w:val="7AB4796D"/>
    <w:rsid w:val="7AB756AF"/>
    <w:rsid w:val="7AB931D5"/>
    <w:rsid w:val="7AC06311"/>
    <w:rsid w:val="7ACD0A2E"/>
    <w:rsid w:val="7AD95625"/>
    <w:rsid w:val="7AE2272C"/>
    <w:rsid w:val="7AE75F94"/>
    <w:rsid w:val="7AEE46E3"/>
    <w:rsid w:val="7AEF6BF7"/>
    <w:rsid w:val="7AF661D7"/>
    <w:rsid w:val="7AFD4919"/>
    <w:rsid w:val="7B072192"/>
    <w:rsid w:val="7B073F40"/>
    <w:rsid w:val="7B0F1047"/>
    <w:rsid w:val="7B164183"/>
    <w:rsid w:val="7B1D19B6"/>
    <w:rsid w:val="7B206849"/>
    <w:rsid w:val="7B2C1BF9"/>
    <w:rsid w:val="7B38059E"/>
    <w:rsid w:val="7B3D5BB4"/>
    <w:rsid w:val="7B3E01CE"/>
    <w:rsid w:val="7B424F78"/>
    <w:rsid w:val="7B445194"/>
    <w:rsid w:val="7B566C76"/>
    <w:rsid w:val="7B580C40"/>
    <w:rsid w:val="7B590514"/>
    <w:rsid w:val="7B6B0973"/>
    <w:rsid w:val="7B71585E"/>
    <w:rsid w:val="7B7D2454"/>
    <w:rsid w:val="7B7E1769"/>
    <w:rsid w:val="7B8D0065"/>
    <w:rsid w:val="7B8E6410"/>
    <w:rsid w:val="7B9003DA"/>
    <w:rsid w:val="7BA479E1"/>
    <w:rsid w:val="7BB0282A"/>
    <w:rsid w:val="7BB11B26"/>
    <w:rsid w:val="7BB32E10"/>
    <w:rsid w:val="7BC4009E"/>
    <w:rsid w:val="7BC97448"/>
    <w:rsid w:val="7BCB7664"/>
    <w:rsid w:val="7BD77DB7"/>
    <w:rsid w:val="7BDE6A7E"/>
    <w:rsid w:val="7BDF0A19"/>
    <w:rsid w:val="7BDF4EBD"/>
    <w:rsid w:val="7BE129E3"/>
    <w:rsid w:val="7BE61DA8"/>
    <w:rsid w:val="7BE91898"/>
    <w:rsid w:val="7BF045C5"/>
    <w:rsid w:val="7BF85F7F"/>
    <w:rsid w:val="7BF87D2D"/>
    <w:rsid w:val="7C0A5428"/>
    <w:rsid w:val="7C15268D"/>
    <w:rsid w:val="7C156B31"/>
    <w:rsid w:val="7C1A5EF5"/>
    <w:rsid w:val="7C224DAA"/>
    <w:rsid w:val="7C3E7E36"/>
    <w:rsid w:val="7C405169"/>
    <w:rsid w:val="7C5E2286"/>
    <w:rsid w:val="7C5E4034"/>
    <w:rsid w:val="7C5F7DAC"/>
    <w:rsid w:val="7C6158D2"/>
    <w:rsid w:val="7C790E6E"/>
    <w:rsid w:val="7C7C270C"/>
    <w:rsid w:val="7C7C44BA"/>
    <w:rsid w:val="7C9428A4"/>
    <w:rsid w:val="7C953391"/>
    <w:rsid w:val="7C9E08D4"/>
    <w:rsid w:val="7CAC1243"/>
    <w:rsid w:val="7CAD4FBB"/>
    <w:rsid w:val="7CB400F8"/>
    <w:rsid w:val="7CB4634A"/>
    <w:rsid w:val="7CB9570E"/>
    <w:rsid w:val="7CBB76D8"/>
    <w:rsid w:val="7CC80851"/>
    <w:rsid w:val="7CC83BA3"/>
    <w:rsid w:val="7CC86220"/>
    <w:rsid w:val="7CCC724B"/>
    <w:rsid w:val="7CD442F6"/>
    <w:rsid w:val="7CD71937"/>
    <w:rsid w:val="7CDE6F23"/>
    <w:rsid w:val="7CE04A49"/>
    <w:rsid w:val="7CE87DA1"/>
    <w:rsid w:val="7CEE13CB"/>
    <w:rsid w:val="7CF16C56"/>
    <w:rsid w:val="7CF44998"/>
    <w:rsid w:val="7CFE1373"/>
    <w:rsid w:val="7D0821F2"/>
    <w:rsid w:val="7D0A7D18"/>
    <w:rsid w:val="7D0D7808"/>
    <w:rsid w:val="7D0F17D2"/>
    <w:rsid w:val="7D140B97"/>
    <w:rsid w:val="7D1B0177"/>
    <w:rsid w:val="7D23702C"/>
    <w:rsid w:val="7D27455C"/>
    <w:rsid w:val="7D3B4375"/>
    <w:rsid w:val="7D3D633F"/>
    <w:rsid w:val="7D4274B2"/>
    <w:rsid w:val="7D456FA2"/>
    <w:rsid w:val="7D67516A"/>
    <w:rsid w:val="7D6A6A08"/>
    <w:rsid w:val="7D752E25"/>
    <w:rsid w:val="7D7F0706"/>
    <w:rsid w:val="7D831878"/>
    <w:rsid w:val="7DA67141"/>
    <w:rsid w:val="7DB3215D"/>
    <w:rsid w:val="7DBA3683"/>
    <w:rsid w:val="7DC9372F"/>
    <w:rsid w:val="7DC93C6B"/>
    <w:rsid w:val="7DD2237C"/>
    <w:rsid w:val="7DD6409E"/>
    <w:rsid w:val="7DDF73F6"/>
    <w:rsid w:val="7DE22A43"/>
    <w:rsid w:val="7DE8278A"/>
    <w:rsid w:val="7DEE13E8"/>
    <w:rsid w:val="7DF10ED8"/>
    <w:rsid w:val="7DF851BD"/>
    <w:rsid w:val="7E0155BF"/>
    <w:rsid w:val="7E01736D"/>
    <w:rsid w:val="7E064983"/>
    <w:rsid w:val="7E096221"/>
    <w:rsid w:val="7E0A0C53"/>
    <w:rsid w:val="7E0B3D48"/>
    <w:rsid w:val="7E0D3F64"/>
    <w:rsid w:val="7E0E302F"/>
    <w:rsid w:val="7E1150D6"/>
    <w:rsid w:val="7E1A21DD"/>
    <w:rsid w:val="7E203B02"/>
    <w:rsid w:val="7E221091"/>
    <w:rsid w:val="7E2272E3"/>
    <w:rsid w:val="7E2B6198"/>
    <w:rsid w:val="7E3505E9"/>
    <w:rsid w:val="7E3808B5"/>
    <w:rsid w:val="7E3A462D"/>
    <w:rsid w:val="7E3E236F"/>
    <w:rsid w:val="7E3F39F1"/>
    <w:rsid w:val="7E4D2A5C"/>
    <w:rsid w:val="7E4E5655"/>
    <w:rsid w:val="7E5020A2"/>
    <w:rsid w:val="7E617E0B"/>
    <w:rsid w:val="7E6478FC"/>
    <w:rsid w:val="7E7062A0"/>
    <w:rsid w:val="7E7B3027"/>
    <w:rsid w:val="7E7F64E4"/>
    <w:rsid w:val="7E8B30DA"/>
    <w:rsid w:val="7E8B4E88"/>
    <w:rsid w:val="7E8F4979"/>
    <w:rsid w:val="7E924469"/>
    <w:rsid w:val="7E9E2E0E"/>
    <w:rsid w:val="7EA23D68"/>
    <w:rsid w:val="7EB45EFD"/>
    <w:rsid w:val="7EBB576E"/>
    <w:rsid w:val="7EBE525E"/>
    <w:rsid w:val="7EC32874"/>
    <w:rsid w:val="7EC4740D"/>
    <w:rsid w:val="7ECB797B"/>
    <w:rsid w:val="7ECF746B"/>
    <w:rsid w:val="7ED14F91"/>
    <w:rsid w:val="7ED34089"/>
    <w:rsid w:val="7ED97CFD"/>
    <w:rsid w:val="7EDB7BBE"/>
    <w:rsid w:val="7EE01021"/>
    <w:rsid w:val="7EEA7E01"/>
    <w:rsid w:val="7EEB5927"/>
    <w:rsid w:val="7EEC3798"/>
    <w:rsid w:val="7EF96296"/>
    <w:rsid w:val="7F062761"/>
    <w:rsid w:val="7F116BFC"/>
    <w:rsid w:val="7F160BF6"/>
    <w:rsid w:val="7F1B445E"/>
    <w:rsid w:val="7F1E5CFC"/>
    <w:rsid w:val="7F2C21C7"/>
    <w:rsid w:val="7F370B6C"/>
    <w:rsid w:val="7F385010"/>
    <w:rsid w:val="7F402117"/>
    <w:rsid w:val="7F4339B5"/>
    <w:rsid w:val="7F48126D"/>
    <w:rsid w:val="7F581391"/>
    <w:rsid w:val="7F5B2AAD"/>
    <w:rsid w:val="7F5C05D3"/>
    <w:rsid w:val="7F6000C3"/>
    <w:rsid w:val="7F7678E7"/>
    <w:rsid w:val="7F7B314F"/>
    <w:rsid w:val="7F8042C1"/>
    <w:rsid w:val="7F871AF4"/>
    <w:rsid w:val="7F89761A"/>
    <w:rsid w:val="7F9A60E4"/>
    <w:rsid w:val="7FA347F6"/>
    <w:rsid w:val="7FA426A6"/>
    <w:rsid w:val="7FA93818"/>
    <w:rsid w:val="7FAE52D2"/>
    <w:rsid w:val="7FAF4BA7"/>
    <w:rsid w:val="7FCA077A"/>
    <w:rsid w:val="7FCA378E"/>
    <w:rsid w:val="7FCC7507"/>
    <w:rsid w:val="7FD0349B"/>
    <w:rsid w:val="7FD64829"/>
    <w:rsid w:val="7FD77C55"/>
    <w:rsid w:val="7FDD7966"/>
    <w:rsid w:val="7FDF548C"/>
    <w:rsid w:val="7FE572B3"/>
    <w:rsid w:val="7FF2196A"/>
    <w:rsid w:val="7FF4427A"/>
    <w:rsid w:val="7FF768D9"/>
    <w:rsid w:val="7FFC4290"/>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9"/>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32"/>
      <w:szCs w:val="20"/>
    </w:rPr>
  </w:style>
  <w:style w:type="paragraph" w:styleId="3">
    <w:name w:val="heading 2"/>
    <w:basedOn w:val="1"/>
    <w:next w:val="1"/>
    <w:qFormat/>
    <w:uiPriority w:val="0"/>
    <w:pPr>
      <w:keepNext/>
      <w:keepLines/>
      <w:spacing w:before="260" w:after="260" w:line="500" w:lineRule="exact"/>
      <w:outlineLvl w:val="1"/>
    </w:pPr>
    <w:rPr>
      <w:rFonts w:ascii="Arial" w:hAnsi="Arial" w:eastAsia="黑体"/>
      <w:b/>
      <w:sz w:val="28"/>
      <w:szCs w:val="20"/>
    </w:rPr>
  </w:style>
  <w:style w:type="paragraph" w:styleId="4">
    <w:name w:val="heading 3"/>
    <w:basedOn w:val="1"/>
    <w:next w:val="1"/>
    <w:qFormat/>
    <w:uiPriority w:val="0"/>
    <w:pPr>
      <w:keepNext/>
      <w:keepLines/>
      <w:spacing w:before="260" w:after="260" w:line="412" w:lineRule="auto"/>
      <w:outlineLvl w:val="2"/>
    </w:pPr>
    <w:rPr>
      <w:b/>
      <w:sz w:val="32"/>
      <w:szCs w:val="20"/>
    </w:rPr>
  </w:style>
  <w:style w:type="paragraph" w:styleId="5">
    <w:name w:val="heading 4"/>
    <w:basedOn w:val="1"/>
    <w:next w:val="1"/>
    <w:qFormat/>
    <w:uiPriority w:val="0"/>
    <w:pPr>
      <w:keepNext/>
      <w:keepLines/>
      <w:spacing w:before="280" w:after="290" w:line="376" w:lineRule="auto"/>
      <w:outlineLvl w:val="3"/>
    </w:pPr>
    <w:rPr>
      <w:rFonts w:ascii="Calibri Light" w:hAnsi="Calibri Light"/>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
    <w:semiHidden/>
    <w:qFormat/>
    <w:uiPriority w:val="0"/>
    <w:pPr>
      <w:spacing w:before="100" w:beforeAutospacing="1" w:after="100" w:afterAutospacing="1" w:line="600" w:lineRule="auto"/>
    </w:pPr>
    <w:rPr>
      <w:kern w:val="0"/>
      <w:sz w:val="20"/>
    </w:rPr>
  </w:style>
  <w:style w:type="paragraph" w:styleId="10">
    <w:name w:val="Body Text Indent"/>
    <w:basedOn w:val="1"/>
    <w:next w:val="11"/>
    <w:qFormat/>
    <w:uiPriority w:val="0"/>
    <w:pPr>
      <w:ind w:firstLine="630"/>
    </w:pPr>
    <w:rPr>
      <w:sz w:val="32"/>
      <w:szCs w:val="20"/>
    </w:rPr>
  </w:style>
  <w:style w:type="paragraph" w:styleId="11">
    <w:name w:val="toc 5"/>
    <w:basedOn w:val="1"/>
    <w:next w:val="1"/>
    <w:qFormat/>
    <w:uiPriority w:val="0"/>
    <w:pPr>
      <w:ind w:left="840"/>
      <w:jc w:val="left"/>
    </w:pPr>
    <w:rPr>
      <w:rFonts w:ascii="Calibri" w:hAnsi="Calibri"/>
      <w:sz w:val="18"/>
      <w:szCs w:val="18"/>
    </w:rPr>
  </w:style>
  <w:style w:type="paragraph" w:styleId="12">
    <w:name w:val="Plain Text"/>
    <w:basedOn w:val="1"/>
    <w:next w:val="1"/>
    <w:qFormat/>
    <w:uiPriority w:val="0"/>
    <w:rPr>
      <w:rFonts w:ascii="宋体" w:hAnsi="Courier New" w:cs="Courier New"/>
      <w:szCs w:val="21"/>
    </w:rPr>
  </w:style>
  <w:style w:type="paragraph" w:styleId="13">
    <w:name w:val="Date"/>
    <w:basedOn w:val="1"/>
    <w:next w:val="1"/>
    <w:qFormat/>
    <w:uiPriority w:val="0"/>
    <w:rPr>
      <w:color w:val="000000"/>
      <w:kern w:val="0"/>
      <w:sz w:val="30"/>
    </w:rPr>
  </w:style>
  <w:style w:type="paragraph" w:styleId="14">
    <w:name w:val="Body Text Indent 2"/>
    <w:basedOn w:val="1"/>
    <w:qFormat/>
    <w:uiPriority w:val="0"/>
    <w:pPr>
      <w:ind w:firstLine="630"/>
    </w:pPr>
    <w:rPr>
      <w:sz w:val="32"/>
      <w:szCs w:val="20"/>
    </w:rPr>
  </w:style>
  <w:style w:type="paragraph" w:styleId="15">
    <w:name w:val="footer"/>
    <w:basedOn w:val="1"/>
    <w:qFormat/>
    <w:uiPriority w:val="0"/>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0"/>
  </w:style>
  <w:style w:type="paragraph" w:styleId="18">
    <w:name w:val="Body Text Indent 3"/>
    <w:basedOn w:val="1"/>
    <w:qFormat/>
    <w:uiPriority w:val="0"/>
    <w:pPr>
      <w:adjustRightInd w:val="0"/>
      <w:snapToGrid w:val="0"/>
      <w:spacing w:line="360" w:lineRule="auto"/>
      <w:ind w:firstLine="600" w:firstLineChars="200"/>
    </w:pPr>
    <w:rPr>
      <w:rFonts w:ascii="黑体" w:eastAsia="黑体"/>
      <w:sz w:val="30"/>
      <w:szCs w:val="28"/>
    </w:rPr>
  </w:style>
  <w:style w:type="paragraph" w:styleId="19">
    <w:name w:val="Body Text 2"/>
    <w:basedOn w:val="1"/>
    <w:qFormat/>
    <w:uiPriority w:val="0"/>
    <w:pPr>
      <w:autoSpaceDE w:val="0"/>
      <w:autoSpaceDN w:val="0"/>
      <w:adjustRightInd w:val="0"/>
      <w:jc w:val="center"/>
    </w:pPr>
    <w:rPr>
      <w:rFonts w:ascii="幼圆" w:eastAsia="幼圆"/>
      <w:b/>
      <w:bCs/>
      <w:color w:val="000000"/>
      <w:kern w:val="0"/>
      <w:sz w:val="72"/>
      <w:szCs w:val="44"/>
    </w:rPr>
  </w:style>
  <w:style w:type="paragraph" w:styleId="20">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1">
    <w:name w:val="Body Text First Indent"/>
    <w:basedOn w:val="9"/>
    <w:next w:val="1"/>
    <w:qFormat/>
    <w:uiPriority w:val="0"/>
    <w:pPr>
      <w:tabs>
        <w:tab w:val="left" w:pos="567"/>
        <w:tab w:val="left" w:pos="630"/>
      </w:tabs>
      <w:spacing w:after="120" w:afterLines="0"/>
      <w:ind w:firstLine="100" w:firstLineChars="100"/>
      <w:jc w:val="both"/>
      <w:textAlignment w:val="auto"/>
    </w:pPr>
    <w:rPr>
      <w:rFonts w:ascii="Times New Roman"/>
      <w:sz w:val="21"/>
      <w:szCs w:val="24"/>
    </w:rPr>
  </w:style>
  <w:style w:type="paragraph" w:styleId="22">
    <w:name w:val="Body Text First Indent 2"/>
    <w:basedOn w:val="10"/>
    <w:next w:val="1"/>
    <w:qFormat/>
    <w:uiPriority w:val="0"/>
    <w:pPr>
      <w:ind w:firstLine="420" w:firstLineChars="200"/>
    </w:pPr>
    <w:rPr>
      <w:kern w:val="0"/>
      <w:sz w:val="20"/>
      <w:szCs w:val="24"/>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Emphasis"/>
    <w:qFormat/>
    <w:uiPriority w:val="20"/>
    <w:rPr>
      <w:i/>
      <w:iCs/>
    </w:rPr>
  </w:style>
  <w:style w:type="character" w:styleId="29">
    <w:name w:val="Hyperlink"/>
    <w:qFormat/>
    <w:uiPriority w:val="0"/>
    <w:rPr>
      <w:color w:val="136EC2"/>
      <w:u w:val="single"/>
    </w:rPr>
  </w:style>
  <w:style w:type="character" w:styleId="30">
    <w:name w:val="HTML Sample"/>
    <w:basedOn w:val="25"/>
    <w:qFormat/>
    <w:uiPriority w:val="0"/>
    <w:rPr>
      <w:rFonts w:ascii="Courier New" w:hAnsi="Courier New"/>
    </w:rPr>
  </w:style>
  <w:style w:type="paragraph" w:customStyle="1" w:styleId="31">
    <w:name w:val="段"/>
    <w:next w:val="1"/>
    <w:qFormat/>
    <w:uiPriority w:val="99"/>
    <w:pPr>
      <w:autoSpaceDE w:val="0"/>
      <w:autoSpaceDN w:val="0"/>
      <w:ind w:firstLine="200" w:firstLineChars="200"/>
      <w:jc w:val="both"/>
    </w:pPr>
    <w:rPr>
      <w:rFonts w:ascii="宋体" w:hAnsi="Times New Roman" w:eastAsia="宋体" w:cs="Times New Roman"/>
      <w:kern w:val="0"/>
      <w:sz w:val="21"/>
      <w:szCs w:val="22"/>
      <w:lang w:val="en-US" w:eastAsia="zh-CN" w:bidi="ar-SA"/>
    </w:rPr>
  </w:style>
  <w:style w:type="paragraph" w:customStyle="1" w:styleId="32">
    <w:name w:val="章正文"/>
    <w:basedOn w:val="1"/>
    <w:qFormat/>
    <w:uiPriority w:val="0"/>
    <w:pPr>
      <w:spacing w:beforeLines="50" w:after="120" w:line="300" w:lineRule="auto"/>
      <w:ind w:firstLine="480"/>
    </w:pPr>
    <w:rPr>
      <w:rFonts w:ascii="Helvetica" w:hAnsi="Helvetica" w:eastAsia="宋体" w:cs="Times New Roman"/>
    </w:rPr>
  </w:style>
  <w:style w:type="paragraph" w:customStyle="1" w:styleId="33">
    <w:name w:val="Default"/>
    <w:next w:val="34"/>
    <w:qFormat/>
    <w:uiPriority w:val="0"/>
    <w:pPr>
      <w:autoSpaceDE w:val="0"/>
      <w:autoSpaceDN w:val="0"/>
      <w:adjustRightInd w:val="0"/>
    </w:pPr>
    <w:rPr>
      <w:rFonts w:ascii="微软雅黑" w:eastAsia="微软雅黑" w:cs="微软雅黑" w:hAnsiTheme="minorHAnsi"/>
      <w:color w:val="000000"/>
      <w:sz w:val="24"/>
      <w:szCs w:val="24"/>
      <w:lang w:val="en-US" w:eastAsia="zh-CN" w:bidi="ar-SA"/>
    </w:rPr>
  </w:style>
  <w:style w:type="paragraph" w:customStyle="1" w:styleId="34">
    <w:name w:val="大标题"/>
    <w:basedOn w:val="1"/>
    <w:next w:val="22"/>
    <w:qFormat/>
    <w:uiPriority w:val="0"/>
    <w:pPr>
      <w:jc w:val="center"/>
    </w:pPr>
    <w:rPr>
      <w:rFonts w:ascii="Arial" w:hAnsi="Arial" w:eastAsia="宋体" w:cs="Times New Roman"/>
      <w:b/>
      <w:sz w:val="28"/>
      <w:szCs w:val="24"/>
    </w:rPr>
  </w:style>
  <w:style w:type="paragraph" w:customStyle="1" w:styleId="35">
    <w:name w:val="正文（缩进）"/>
    <w:basedOn w:val="1"/>
    <w:qFormat/>
    <w:uiPriority w:val="0"/>
    <w:pPr>
      <w:spacing w:beforeLines="50" w:afterLines="50"/>
      <w:ind w:firstLine="480"/>
    </w:pPr>
    <w:rPr>
      <w:sz w:val="24"/>
    </w:rPr>
  </w:style>
  <w:style w:type="paragraph" w:customStyle="1" w:styleId="36">
    <w:name w:val="正文缩进1"/>
    <w:basedOn w:val="1"/>
    <w:qFormat/>
    <w:uiPriority w:val="0"/>
    <w:pPr>
      <w:ind w:firstLine="420" w:firstLineChars="200"/>
    </w:pPr>
  </w:style>
  <w:style w:type="paragraph" w:customStyle="1" w:styleId="37">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p0"/>
    <w:basedOn w:val="1"/>
    <w:qFormat/>
    <w:uiPriority w:val="0"/>
    <w:pPr>
      <w:widowControl/>
    </w:pPr>
    <w:rPr>
      <w:kern w:val="0"/>
      <w:szCs w:val="21"/>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Char1"/>
    <w:basedOn w:val="1"/>
    <w:qFormat/>
    <w:uiPriority w:val="0"/>
    <w:rPr>
      <w:szCs w:val="21"/>
    </w:rPr>
  </w:style>
  <w:style w:type="paragraph" w:styleId="42">
    <w:name w:val="List Paragraph"/>
    <w:basedOn w:val="1"/>
    <w:qFormat/>
    <w:uiPriority w:val="34"/>
    <w:pPr>
      <w:ind w:firstLine="420" w:firstLineChars="200"/>
    </w:pPr>
  </w:style>
  <w:style w:type="paragraph" w:customStyle="1" w:styleId="43">
    <w:name w:val="Other|1"/>
    <w:basedOn w:val="1"/>
    <w:qFormat/>
    <w:uiPriority w:val="0"/>
    <w:rPr>
      <w:rFonts w:ascii="宋体" w:hAnsi="宋体" w:eastAsia="宋体" w:cs="宋体"/>
      <w:sz w:val="17"/>
      <w:szCs w:val="17"/>
      <w:lang w:val="zh-CN" w:eastAsia="zh-CN" w:bidi="zh-CN"/>
    </w:rPr>
  </w:style>
  <w:style w:type="paragraph" w:customStyle="1" w:styleId="44">
    <w:name w:val="Body text|1"/>
    <w:basedOn w:val="1"/>
    <w:qFormat/>
    <w:uiPriority w:val="0"/>
    <w:rPr>
      <w:rFonts w:ascii="宋体" w:hAnsi="宋体" w:eastAsia="宋体" w:cs="宋体"/>
      <w:sz w:val="19"/>
      <w:szCs w:val="19"/>
      <w:lang w:val="zh-CN" w:eastAsia="zh-CN" w:bidi="zh-CN"/>
    </w:rPr>
  </w:style>
  <w:style w:type="character" w:customStyle="1" w:styleId="45">
    <w:name w:val="font71"/>
    <w:basedOn w:val="25"/>
    <w:qFormat/>
    <w:uiPriority w:val="0"/>
    <w:rPr>
      <w:rFonts w:hint="eastAsia" w:ascii="宋体" w:hAnsi="宋体" w:eastAsia="宋体" w:cs="宋体"/>
      <w:color w:val="000000"/>
      <w:sz w:val="21"/>
      <w:szCs w:val="21"/>
      <w:u w:val="none"/>
    </w:rPr>
  </w:style>
  <w:style w:type="character" w:customStyle="1" w:styleId="46">
    <w:name w:val="font61"/>
    <w:basedOn w:val="25"/>
    <w:qFormat/>
    <w:uiPriority w:val="0"/>
    <w:rPr>
      <w:rFonts w:hint="default" w:ascii="Arial" w:hAnsi="Arial" w:cs="Arial"/>
      <w:color w:val="000000"/>
      <w:sz w:val="22"/>
      <w:szCs w:val="22"/>
      <w:u w:val="none"/>
    </w:rPr>
  </w:style>
  <w:style w:type="character" w:customStyle="1" w:styleId="47">
    <w:name w:val="font11"/>
    <w:basedOn w:val="25"/>
    <w:qFormat/>
    <w:uiPriority w:val="0"/>
    <w:rPr>
      <w:rFonts w:hint="eastAsia" w:ascii="宋体" w:hAnsi="宋体" w:eastAsia="宋体" w:cs="宋体"/>
      <w:color w:val="000000"/>
      <w:sz w:val="22"/>
      <w:szCs w:val="22"/>
      <w:u w:val="none"/>
    </w:rPr>
  </w:style>
  <w:style w:type="paragraph" w:customStyle="1" w:styleId="48">
    <w:name w:val="UP正文"/>
    <w:basedOn w:val="1"/>
    <w:qFormat/>
    <w:uiPriority w:val="0"/>
    <w:pPr>
      <w:spacing w:line="360" w:lineRule="auto"/>
      <w:ind w:left="420" w:leftChars="200" w:firstLine="420" w:firstLineChars="200"/>
    </w:pPr>
    <w:rPr>
      <w:rFonts w:ascii="Tahoma" w:hAnsi="Calibri"/>
      <w:szCs w:val="20"/>
    </w:rPr>
  </w:style>
  <w:style w:type="character" w:customStyle="1" w:styleId="49">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50">
    <w:name w:val="PlainText"/>
    <w:basedOn w:val="1"/>
    <w:qFormat/>
    <w:uiPriority w:val="0"/>
    <w:pPr>
      <w:jc w:val="both"/>
      <w:textAlignment w:val="baseline"/>
    </w:pPr>
    <w:rPr>
      <w:rFonts w:ascii="宋体" w:hAnsi="Courier New"/>
      <w:kern w:val="2"/>
      <w:sz w:val="21"/>
      <w:szCs w:val="21"/>
      <w:lang w:val="en-US" w:eastAsia="zh-CN" w:bidi="ar-SA"/>
    </w:rPr>
  </w:style>
  <w:style w:type="character" w:customStyle="1" w:styleId="51">
    <w:name w:val="font51"/>
    <w:basedOn w:val="25"/>
    <w:qFormat/>
    <w:uiPriority w:val="0"/>
    <w:rPr>
      <w:rFonts w:hint="eastAsia" w:ascii="宋体" w:hAnsi="宋体" w:eastAsia="宋体" w:cs="宋体"/>
      <w:color w:val="000000"/>
      <w:sz w:val="20"/>
      <w:szCs w:val="20"/>
      <w:u w:val="none"/>
    </w:rPr>
  </w:style>
  <w:style w:type="character" w:customStyle="1" w:styleId="52">
    <w:name w:val="font41"/>
    <w:basedOn w:val="25"/>
    <w:qFormat/>
    <w:uiPriority w:val="0"/>
    <w:rPr>
      <w:rFonts w:hint="eastAsia" w:ascii="宋体" w:hAnsi="宋体" w:eastAsia="宋体" w:cs="宋体"/>
      <w:color w:val="000000"/>
      <w:sz w:val="20"/>
      <w:szCs w:val="20"/>
      <w:u w:val="none"/>
    </w:rPr>
  </w:style>
  <w:style w:type="character" w:customStyle="1" w:styleId="53">
    <w:name w:val="font31"/>
    <w:basedOn w:val="25"/>
    <w:qFormat/>
    <w:uiPriority w:val="0"/>
    <w:rPr>
      <w:rFonts w:hint="eastAsia" w:ascii="宋体" w:hAnsi="宋体" w:eastAsia="宋体" w:cs="宋体"/>
      <w:color w:val="000000"/>
      <w:sz w:val="22"/>
      <w:szCs w:val="22"/>
      <w:u w:val="none"/>
    </w:rPr>
  </w:style>
  <w:style w:type="character" w:customStyle="1" w:styleId="54">
    <w:name w:val="font01"/>
    <w:basedOn w:val="25"/>
    <w:qFormat/>
    <w:uiPriority w:val="0"/>
    <w:rPr>
      <w:rFonts w:hint="eastAsia" w:ascii="宋体" w:hAnsi="宋体" w:eastAsia="宋体" w:cs="宋体"/>
      <w:color w:val="000000"/>
      <w:sz w:val="21"/>
      <w:szCs w:val="21"/>
      <w:u w:val="none"/>
    </w:rPr>
  </w:style>
  <w:style w:type="paragraph" w:customStyle="1" w:styleId="55">
    <w:name w:val="Table Text"/>
    <w:basedOn w:val="1"/>
    <w:semiHidden/>
    <w:qFormat/>
    <w:uiPriority w:val="0"/>
    <w:rPr>
      <w:rFonts w:ascii="宋体" w:hAnsi="宋体" w:eastAsia="宋体" w:cs="宋体"/>
      <w:sz w:val="24"/>
      <w:szCs w:val="24"/>
      <w:lang w:val="en-US" w:eastAsia="en-US" w:bidi="ar-SA"/>
    </w:rPr>
  </w:style>
  <w:style w:type="paragraph" w:customStyle="1" w:styleId="56">
    <w:name w:val="彩色列表1"/>
    <w:basedOn w:val="1"/>
    <w:qFormat/>
    <w:uiPriority w:val="0"/>
    <w:pPr>
      <w:ind w:firstLine="420" w:firstLineChars="200"/>
    </w:pPr>
    <w:rPr>
      <w:rFonts w:ascii="Times New Roman" w:hAnsi="Times New Roman" w:eastAsia="宋体" w:cs="Times New Roman"/>
    </w:rPr>
  </w:style>
  <w:style w:type="character" w:customStyle="1" w:styleId="57">
    <w:name w:val="font21"/>
    <w:basedOn w:val="25"/>
    <w:qFormat/>
    <w:uiPriority w:val="0"/>
    <w:rPr>
      <w:rFonts w:hint="eastAsia" w:ascii="仿宋" w:hAnsi="仿宋" w:eastAsia="仿宋" w:cs="仿宋"/>
      <w:color w:val="000000"/>
      <w:sz w:val="22"/>
      <w:szCs w:val="22"/>
      <w:u w:val="none"/>
    </w:r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正文_0_0_0_0"/>
    <w:qFormat/>
    <w:uiPriority w:val="0"/>
    <w:pPr>
      <w:widowControl w:val="0"/>
      <w:spacing w:line="360" w:lineRule="auto"/>
      <w:jc w:val="both"/>
    </w:pPr>
    <w:rPr>
      <w:rFonts w:ascii="Calibri" w:hAnsi="Calibri" w:eastAsia="仿宋_GB2312" w:cs="Times New Roman"/>
      <w:kern w:val="2"/>
      <w:sz w:val="24"/>
      <w:szCs w:val="22"/>
      <w:lang w:val="en-US" w:eastAsia="zh-CN" w:bidi="ar-SA"/>
    </w:rPr>
  </w:style>
  <w:style w:type="paragraph" w:customStyle="1" w:styleId="60">
    <w:name w:val="正文_1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1">
    <w:name w:val="font81"/>
    <w:basedOn w:val="25"/>
    <w:qFormat/>
    <w:uiPriority w:val="0"/>
    <w:rPr>
      <w:rFonts w:hint="eastAsia" w:ascii="宋体" w:hAnsi="宋体" w:eastAsia="宋体" w:cs="宋体"/>
      <w:color w:val="FF0000"/>
      <w:sz w:val="20"/>
      <w:szCs w:val="20"/>
      <w:u w:val="none"/>
    </w:rPr>
  </w:style>
  <w:style w:type="paragraph" w:customStyle="1" w:styleId="62">
    <w:name w:val="WPSOffice手动目录 1"/>
    <w:qFormat/>
    <w:uiPriority w:val="0"/>
    <w:pPr>
      <w:ind w:leftChars="0"/>
    </w:pPr>
    <w:rPr>
      <w:rFonts w:ascii="Times New Roman" w:hAnsi="Times New Roman" w:eastAsia="宋体" w:cs="Times New Roman"/>
      <w:sz w:val="20"/>
      <w:szCs w:val="20"/>
    </w:rPr>
  </w:style>
  <w:style w:type="paragraph" w:customStyle="1" w:styleId="63">
    <w:name w:val="WPSOffice手动目录 2"/>
    <w:qFormat/>
    <w:uiPriority w:val="0"/>
    <w:pPr>
      <w:ind w:leftChars="200"/>
    </w:pPr>
    <w:rPr>
      <w:rFonts w:ascii="Times New Roman" w:hAnsi="Times New Roman" w:eastAsia="宋体" w:cs="Times New Roman"/>
      <w:sz w:val="20"/>
      <w:szCs w:val="20"/>
    </w:rPr>
  </w:style>
  <w:style w:type="paragraph" w:customStyle="1" w:styleId="64">
    <w:name w:val="Heading2"/>
    <w:basedOn w:val="1"/>
    <w:next w:val="65"/>
    <w:qFormat/>
    <w:uiPriority w:val="0"/>
    <w:pPr>
      <w:keepNext/>
      <w:keepLines/>
      <w:spacing w:before="120" w:line="300" w:lineRule="auto"/>
      <w:jc w:val="center"/>
      <w:textAlignment w:val="baseline"/>
    </w:pPr>
    <w:rPr>
      <w:rFonts w:ascii="Arial" w:hAnsi="Arial" w:eastAsia="黑体"/>
      <w:b/>
      <w:kern w:val="0"/>
      <w:sz w:val="30"/>
      <w:szCs w:val="20"/>
      <w:lang w:val="en-US" w:eastAsia="zh-CN" w:bidi="ar-SA"/>
    </w:rPr>
  </w:style>
  <w:style w:type="paragraph" w:customStyle="1" w:styleId="65">
    <w:name w:val="NormalIndent"/>
    <w:basedOn w:val="1"/>
    <w:qFormat/>
    <w:uiPriority w:val="0"/>
    <w:pPr>
      <w:ind w:firstLine="420"/>
      <w:jc w:val="left"/>
      <w:textAlignment w:val="baseline"/>
    </w:pPr>
    <w:rPr>
      <w:rFonts w:ascii="宋体"/>
      <w:kern w:val="0"/>
      <w:sz w:val="24"/>
      <w:szCs w:val="20"/>
      <w:lang w:val="en-US" w:eastAsia="zh-CN" w:bidi="ar-SA"/>
    </w:rPr>
  </w:style>
  <w:style w:type="paragraph" w:customStyle="1" w:styleId="66">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Default Tex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character" w:customStyle="1" w:styleId="69">
    <w:name w:val="7）页眉页脚"/>
    <w:qFormat/>
    <w:uiPriority w:val="0"/>
    <w:rPr>
      <w:rFonts w:ascii="仿宋_GB2312" w:eastAsia="仿宋_GB2312"/>
      <w:b/>
      <w:i/>
      <w:sz w:val="18"/>
      <w:vertAlign w:val="baseli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33501</Words>
  <Characters>35641</Characters>
  <Lines>0</Lines>
  <Paragraphs>0</Paragraphs>
  <TotalTime>26</TotalTime>
  <ScaleCrop>false</ScaleCrop>
  <LinksUpToDate>false</LinksUpToDate>
  <CharactersWithSpaces>35997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2020-12-22T10:25:00Z</dcterms:created>
  <dc:creator>吴涛</dc:creator>
  <cp:lastModifiedBy>*喵了个咪*</cp:lastModifiedBy>
  <cp:lastPrinted>2024-06-27T10:59:00Z</cp:lastPrinted>
  <dcterms:modified xsi:type="dcterms:W3CDTF">2026-06-18T10:38:18Z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F8A744C9B6FC46C0BAC2FB79DB2F43A2_13</vt:lpwstr>
  </property>
  <property fmtid="{D5CDD505-2E9C-101B-9397-08002B2CF9AE}" pid="4" name="KSOTemplateDocerSaveRecord">
    <vt:lpwstr>eyJoZGlkIjoiYzdjMzFhNzk4ZDcyNWQyYzE3YTExZDY5ODMwNmQyN2IiLCJ1c2VySWQiOiIzOTcyMzQwMjEifQ==</vt:lpwstr>
  </property>
</Properties>
</file>