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C55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color w:val="000000" w:themeColor="text1"/>
          <w:sz w:val="56"/>
          <w:szCs w:val="56"/>
          <w:lang w:val="en-US" w:eastAsia="zh-CN"/>
          <w14:textFill>
            <w14:solidFill>
              <w14:schemeClr w14:val="tx1"/>
            </w14:solidFill>
          </w14:textFill>
        </w:rPr>
      </w:pPr>
    </w:p>
    <w:p w14:paraId="313FFC6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cs="宋体"/>
          <w:b/>
          <w:bCs/>
          <w:color w:val="000000" w:themeColor="text1"/>
          <w:sz w:val="56"/>
          <w:szCs w:val="56"/>
          <w:lang w:val="en-US" w:eastAsia="zh-CN"/>
          <w14:textFill>
            <w14:solidFill>
              <w14:schemeClr w14:val="tx1"/>
            </w14:solidFill>
          </w14:textFill>
        </w:rPr>
      </w:pPr>
      <w:r>
        <w:rPr>
          <w:rFonts w:hint="eastAsia" w:cs="宋体"/>
          <w:b/>
          <w:bCs/>
          <w:color w:val="000000" w:themeColor="text1"/>
          <w:sz w:val="56"/>
          <w:szCs w:val="56"/>
          <w:lang w:val="en-US" w:eastAsia="zh-CN"/>
          <w14:textFill>
            <w14:solidFill>
              <w14:schemeClr w14:val="tx1"/>
            </w14:solidFill>
          </w14:textFill>
        </w:rPr>
        <w:t>新疆吐鲁番市应急救援队设备更新项目（结余资金）补充采购</w:t>
      </w:r>
    </w:p>
    <w:p w14:paraId="7E27418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cs="宋体"/>
          <w:b/>
          <w:bCs/>
          <w:color w:val="000000" w:themeColor="text1"/>
          <w:sz w:val="56"/>
          <w:szCs w:val="56"/>
          <w:lang w:val="en-US" w:eastAsia="zh-CN"/>
          <w14:textFill>
            <w14:solidFill>
              <w14:schemeClr w14:val="tx1"/>
            </w14:solidFill>
          </w14:textFill>
        </w:rPr>
      </w:pPr>
    </w:p>
    <w:p w14:paraId="45D2F52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3B57B40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5161594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6B44530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0FF4EB5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45CFF7A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6733124A">
      <w:pPr>
        <w:pStyle w:val="15"/>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000000" w:themeColor="text1"/>
          <w:spacing w:val="200"/>
          <w:sz w:val="90"/>
          <w:szCs w:val="90"/>
          <w14:textFill>
            <w14:solidFill>
              <w14:schemeClr w14:val="tx1"/>
            </w14:solidFill>
          </w14:textFill>
        </w:rPr>
      </w:pPr>
      <w:r>
        <w:rPr>
          <w:rFonts w:hint="eastAsia" w:ascii="宋体" w:hAnsi="宋体" w:eastAsia="宋体" w:cs="宋体"/>
          <w:b/>
          <w:bCs/>
          <w:spacing w:val="200"/>
          <w:sz w:val="90"/>
          <w:szCs w:val="90"/>
        </w:rPr>
        <w:t>招标</w:t>
      </w:r>
      <w:r>
        <w:rPr>
          <w:rFonts w:hint="eastAsia" w:ascii="宋体" w:hAnsi="宋体" w:eastAsia="宋体" w:cs="宋体"/>
          <w:b/>
          <w:bCs/>
          <w:color w:val="000000" w:themeColor="text1"/>
          <w:spacing w:val="200"/>
          <w:sz w:val="90"/>
          <w:szCs w:val="90"/>
          <w14:textFill>
            <w14:solidFill>
              <w14:schemeClr w14:val="tx1"/>
            </w14:solidFill>
          </w14:textFill>
        </w:rPr>
        <w:t>文件</w:t>
      </w:r>
    </w:p>
    <w:p w14:paraId="7D2AC6A3">
      <w:pPr>
        <w:pStyle w:val="15"/>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b/>
          <w:color w:val="000000" w:themeColor="text1"/>
          <w:sz w:val="36"/>
          <w:szCs w:val="36"/>
          <w14:textFill>
            <w14:solidFill>
              <w14:schemeClr w14:val="tx1"/>
            </w14:solidFill>
          </w14:textFill>
        </w:rPr>
      </w:pPr>
    </w:p>
    <w:p w14:paraId="074B960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center"/>
        <w:textAlignment w:val="auto"/>
        <w:rPr>
          <w:rFonts w:hint="default"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项目编号：</w:t>
      </w:r>
      <w:r>
        <w:rPr>
          <w:rFonts w:hint="eastAsia" w:cs="宋体"/>
          <w:b/>
          <w:color w:val="000000" w:themeColor="text1"/>
          <w:sz w:val="36"/>
          <w:szCs w:val="36"/>
          <w:lang w:val="en-US" w:eastAsia="zh-CN"/>
          <w14:textFill>
            <w14:solidFill>
              <w14:schemeClr w14:val="tx1"/>
            </w14:solidFill>
          </w14:textFill>
        </w:rPr>
        <w:t>HYTH(GK)2026-28</w:t>
      </w:r>
    </w:p>
    <w:p w14:paraId="10F325B6">
      <w:pPr>
        <w:pStyle w:val="15"/>
        <w:keepNext w:val="0"/>
        <w:keepLines w:val="0"/>
        <w:pageBreakBefore w:val="0"/>
        <w:widowControl w:val="0"/>
        <w:kinsoku/>
        <w:wordWrap/>
        <w:overflowPunct/>
        <w:topLinePunct w:val="0"/>
        <w:autoSpaceDE/>
        <w:autoSpaceDN/>
        <w:bidi w:val="0"/>
        <w:spacing w:line="600" w:lineRule="exact"/>
        <w:jc w:val="center"/>
        <w:textAlignment w:val="auto"/>
        <w:rPr>
          <w:rFonts w:hint="default" w:ascii="宋体" w:hAnsi="宋体" w:eastAsia="宋体" w:cs="宋体"/>
          <w:b/>
          <w:color w:val="000000" w:themeColor="text1"/>
          <w:sz w:val="36"/>
          <w:szCs w:val="36"/>
          <w:lang w:val="en-US" w:eastAsia="zh-CN"/>
          <w14:textFill>
            <w14:solidFill>
              <w14:schemeClr w14:val="tx1"/>
            </w14:solidFill>
          </w14:textFill>
        </w:rPr>
      </w:pPr>
    </w:p>
    <w:p w14:paraId="7C94F35E">
      <w:pPr>
        <w:pStyle w:val="15"/>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color w:val="auto"/>
        </w:rPr>
      </w:pPr>
    </w:p>
    <w:p w14:paraId="53274E7F">
      <w:pPr>
        <w:pStyle w:val="15"/>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rPr>
      </w:pPr>
    </w:p>
    <w:p w14:paraId="445168DE">
      <w:pPr>
        <w:pStyle w:val="15"/>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rPr>
      </w:pPr>
    </w:p>
    <w:p w14:paraId="36619B2E">
      <w:pPr>
        <w:pStyle w:val="15"/>
        <w:keepNext w:val="0"/>
        <w:keepLines w:val="0"/>
        <w:pageBreakBefore w:val="0"/>
        <w:widowControl w:val="0"/>
        <w:kinsoku/>
        <w:wordWrap/>
        <w:overflowPunct/>
        <w:topLinePunct w:val="0"/>
        <w:autoSpaceDE/>
        <w:autoSpaceDN/>
        <w:bidi w:val="0"/>
        <w:spacing w:line="600" w:lineRule="exact"/>
        <w:jc w:val="both"/>
        <w:textAlignment w:val="auto"/>
        <w:rPr>
          <w:rFonts w:hint="eastAsia" w:ascii="宋体" w:hAnsi="宋体" w:eastAsia="宋体" w:cs="宋体"/>
          <w:kern w:val="0"/>
          <w:sz w:val="44"/>
          <w:szCs w:val="44"/>
        </w:rPr>
      </w:pPr>
    </w:p>
    <w:p w14:paraId="2FD5EB08">
      <w:pPr>
        <w:pStyle w:val="15"/>
        <w:pageBreakBefore w:val="0"/>
        <w:kinsoku/>
        <w:wordWrap/>
        <w:overflowPunct/>
        <w:topLinePunct w:val="0"/>
        <w:bidi w:val="0"/>
        <w:spacing w:line="400" w:lineRule="exact"/>
        <w:jc w:val="center"/>
        <w:rPr>
          <w:rFonts w:hint="eastAsia" w:ascii="宋体" w:hAnsi="宋体" w:eastAsia="宋体" w:cs="宋体"/>
          <w:kern w:val="0"/>
          <w:sz w:val="44"/>
          <w:szCs w:val="44"/>
        </w:rPr>
      </w:pPr>
    </w:p>
    <w:p w14:paraId="307355DD">
      <w:pPr>
        <w:pStyle w:val="15"/>
        <w:pageBreakBefore w:val="0"/>
        <w:kinsoku/>
        <w:wordWrap/>
        <w:overflowPunct/>
        <w:topLinePunct w:val="0"/>
        <w:bidi w:val="0"/>
        <w:spacing w:line="400" w:lineRule="exact"/>
        <w:jc w:val="center"/>
        <w:rPr>
          <w:rFonts w:hint="eastAsia" w:ascii="宋体" w:hAnsi="宋体" w:eastAsia="宋体" w:cs="宋体"/>
          <w:b/>
          <w:sz w:val="30"/>
          <w:szCs w:val="30"/>
        </w:rPr>
      </w:pPr>
    </w:p>
    <w:p w14:paraId="4CB462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20"/>
          <w:sz w:val="28"/>
          <w:szCs w:val="28"/>
          <w:highlight w:val="none"/>
        </w:rPr>
      </w:pPr>
    </w:p>
    <w:p w14:paraId="6D55F1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20"/>
          <w:sz w:val="28"/>
          <w:szCs w:val="28"/>
          <w:highlight w:val="none"/>
        </w:rPr>
      </w:pPr>
    </w:p>
    <w:p w14:paraId="379044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spacing w:val="20"/>
          <w:sz w:val="28"/>
          <w:szCs w:val="28"/>
          <w:highlight w:val="none"/>
          <w:lang w:eastAsia="zh-CN"/>
        </w:rPr>
      </w:pPr>
    </w:p>
    <w:p w14:paraId="6007D3E7">
      <w:pPr>
        <w:pStyle w:val="22"/>
        <w:keepNext w:val="0"/>
        <w:keepLines w:val="0"/>
        <w:pageBreakBefore w:val="0"/>
        <w:widowControl/>
        <w:suppressLineNumbers w:val="0"/>
        <w:kinsoku/>
        <w:wordWrap/>
        <w:overflowPunct/>
        <w:topLinePunct w:val="0"/>
        <w:autoSpaceDE/>
        <w:autoSpaceDN/>
        <w:bidi w:val="0"/>
        <w:adjustRightInd/>
        <w:snapToGrid/>
        <w:spacing w:line="340" w:lineRule="exact"/>
        <w:ind w:left="0" w:firstLine="1605" w:firstLineChars="500"/>
        <w:jc w:val="left"/>
        <w:textAlignment w:val="auto"/>
        <w:rPr>
          <w:rFonts w:hint="eastAsia" w:ascii="宋体" w:hAnsi="宋体" w:eastAsia="宋体" w:cs="宋体"/>
          <w:b/>
          <w:spacing w:val="20"/>
          <w:kern w:val="2"/>
          <w:sz w:val="28"/>
          <w:szCs w:val="28"/>
          <w:highlight w:val="none"/>
          <w:lang w:val="en-US" w:eastAsia="zh-CN" w:bidi="ar-SA"/>
        </w:rPr>
      </w:pPr>
      <w:r>
        <w:rPr>
          <w:rFonts w:hint="eastAsia" w:ascii="宋体" w:hAnsi="宋体" w:eastAsia="宋体" w:cs="宋体"/>
          <w:b/>
          <w:spacing w:val="20"/>
          <w:sz w:val="28"/>
          <w:szCs w:val="28"/>
          <w:highlight w:val="none"/>
          <w:lang w:eastAsia="zh-CN"/>
        </w:rPr>
        <w:t xml:space="preserve">采 购 </w:t>
      </w:r>
      <w:r>
        <w:rPr>
          <w:rFonts w:hint="eastAsia" w:ascii="宋体" w:hAnsi="宋体" w:eastAsia="宋体" w:cs="宋体"/>
          <w:b/>
          <w:spacing w:val="20"/>
          <w:kern w:val="2"/>
          <w:sz w:val="28"/>
          <w:szCs w:val="28"/>
          <w:highlight w:val="none"/>
          <w:lang w:val="en-US" w:eastAsia="zh-CN" w:bidi="ar-SA"/>
        </w:rPr>
        <w:t>人 ：</w:t>
      </w:r>
      <w:r>
        <w:rPr>
          <w:rFonts w:hint="eastAsia" w:cs="宋体"/>
          <w:b/>
          <w:spacing w:val="20"/>
          <w:kern w:val="2"/>
          <w:sz w:val="28"/>
          <w:szCs w:val="28"/>
          <w:highlight w:val="none"/>
          <w:lang w:val="en-US" w:eastAsia="zh-CN" w:bidi="ar-SA"/>
        </w:rPr>
        <w:t>吐鲁番市应急救援队</w:t>
      </w:r>
      <w:r>
        <w:rPr>
          <w:rFonts w:hint="eastAsia" w:ascii="宋体" w:hAnsi="宋体" w:eastAsia="宋体" w:cs="宋体"/>
          <w:b/>
          <w:spacing w:val="20"/>
          <w:kern w:val="2"/>
          <w:sz w:val="28"/>
          <w:szCs w:val="28"/>
          <w:highlight w:val="none"/>
          <w:lang w:val="en-US" w:eastAsia="zh-CN" w:bidi="ar-SA"/>
        </w:rPr>
        <w:t> </w:t>
      </w:r>
    </w:p>
    <w:p w14:paraId="7AF78B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8"/>
          <w:szCs w:val="28"/>
          <w:highlight w:val="none"/>
          <w:lang w:eastAsia="zh-CN"/>
        </w:rPr>
      </w:pPr>
      <w:r>
        <w:rPr>
          <w:rFonts w:hint="eastAsia" w:ascii="宋体" w:hAnsi="宋体" w:eastAsia="宋体" w:cs="宋体"/>
          <w:b/>
          <w:spacing w:val="20"/>
          <w:sz w:val="28"/>
          <w:szCs w:val="28"/>
          <w:highlight w:val="none"/>
        </w:rPr>
        <w:t xml:space="preserve">    </w:t>
      </w:r>
      <w:r>
        <w:rPr>
          <w:rFonts w:hint="eastAsia" w:ascii="宋体" w:hAnsi="宋体" w:eastAsia="宋体" w:cs="宋体"/>
          <w:b/>
          <w:spacing w:val="20"/>
          <w:sz w:val="28"/>
          <w:szCs w:val="28"/>
          <w:highlight w:val="none"/>
          <w:lang w:val="en-US" w:eastAsia="zh-CN"/>
        </w:rPr>
        <w:t xml:space="preserve">  </w:t>
      </w:r>
      <w:r>
        <w:rPr>
          <w:rFonts w:hint="eastAsia" w:ascii="宋体" w:hAnsi="宋体" w:eastAsia="宋体" w:cs="宋体"/>
          <w:b/>
          <w:spacing w:val="20"/>
          <w:sz w:val="28"/>
          <w:szCs w:val="28"/>
          <w:highlight w:val="none"/>
        </w:rPr>
        <w:t>招标代理机构：</w:t>
      </w:r>
      <w:r>
        <w:rPr>
          <w:rFonts w:hint="eastAsia" w:ascii="宋体" w:hAnsi="宋体" w:eastAsia="宋体" w:cs="宋体"/>
          <w:b/>
          <w:spacing w:val="20"/>
          <w:sz w:val="28"/>
          <w:szCs w:val="28"/>
          <w:highlight w:val="none"/>
          <w:lang w:eastAsia="zh-CN"/>
        </w:rPr>
        <w:t>新疆华域天恒工程管理有限公司</w:t>
      </w:r>
    </w:p>
    <w:p w14:paraId="21C81B58">
      <w:pPr>
        <w:pageBreakBefore w:val="0"/>
        <w:kinsoku/>
        <w:wordWrap/>
        <w:overflowPunct/>
        <w:topLinePunct w:val="0"/>
        <w:bidi w:val="0"/>
        <w:spacing w:line="400" w:lineRule="exact"/>
        <w:rPr>
          <w:rFonts w:hint="eastAsia" w:ascii="宋体" w:hAnsi="宋体" w:eastAsia="宋体" w:cs="宋体"/>
          <w:color w:val="000000"/>
          <w:kern w:val="0"/>
          <w:sz w:val="28"/>
          <w:szCs w:val="28"/>
          <w:highlight w:val="none"/>
        </w:rPr>
        <w:sectPr>
          <w:footerReference r:id="rId3" w:type="first"/>
          <w:pgSz w:w="11906" w:h="16838"/>
          <w:pgMar w:top="1134" w:right="1472" w:bottom="1134" w:left="1814" w:header="851" w:footer="992" w:gutter="0"/>
          <w:pgNumType w:fmt="decimal" w:start="1"/>
          <w:cols w:space="720" w:num="1"/>
          <w:titlePg/>
          <w:docGrid w:type="lines" w:linePitch="312" w:charSpace="0"/>
        </w:sectPr>
      </w:pPr>
    </w:p>
    <w:p w14:paraId="1594C63D">
      <w:pPr>
        <w:pStyle w:val="18"/>
        <w:tabs>
          <w:tab w:val="right" w:leader="dot" w:pos="8296"/>
        </w:tabs>
        <w:spacing w:line="1000" w:lineRule="exact"/>
        <w:jc w:val="center"/>
        <w:rPr>
          <w:rFonts w:hint="eastAsia" w:ascii="宋体" w:hAnsi="宋体" w:eastAsia="宋体" w:cs="宋体"/>
          <w:color w:val="auto"/>
          <w:sz w:val="44"/>
          <w:szCs w:val="48"/>
        </w:rPr>
      </w:pPr>
      <w:r>
        <w:rPr>
          <w:rFonts w:hint="eastAsia" w:ascii="宋体" w:hAnsi="宋体" w:eastAsia="宋体" w:cs="宋体"/>
          <w:color w:val="auto"/>
          <w:sz w:val="44"/>
          <w:szCs w:val="48"/>
        </w:rPr>
        <w:t>目  录</w:t>
      </w:r>
    </w:p>
    <w:p w14:paraId="27FA2B5D">
      <w:pPr>
        <w:pStyle w:val="18"/>
        <w:tabs>
          <w:tab w:val="right" w:leader="dot" w:pos="8296"/>
        </w:tabs>
        <w:spacing w:line="1000" w:lineRule="exact"/>
        <w:rPr>
          <w:rFonts w:hint="eastAsia" w:ascii="宋体" w:hAnsi="宋体" w:eastAsia="宋体" w:cs="宋体"/>
          <w:b w:val="0"/>
          <w:bCs w:val="0"/>
          <w:caps w:val="0"/>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"_Toc44705269" </w:instrText>
      </w:r>
      <w:r>
        <w:rPr>
          <w:rFonts w:hint="eastAsia" w:ascii="宋体" w:hAnsi="宋体" w:eastAsia="宋体" w:cs="宋体"/>
          <w:color w:val="auto"/>
        </w:rPr>
        <w:fldChar w:fldCharType="separate"/>
      </w:r>
      <w:r>
        <w:rPr>
          <w:rStyle w:val="29"/>
          <w:rFonts w:hint="eastAsia" w:ascii="宋体" w:hAnsi="宋体" w:eastAsia="宋体" w:cs="宋体"/>
          <w:b w:val="0"/>
          <w:color w:val="auto"/>
          <w:w w:val="90"/>
          <w:sz w:val="32"/>
          <w:szCs w:val="32"/>
          <w:u w:val="none"/>
        </w:rPr>
        <w:t>第一章 投标邀请（招标公告）</w:t>
      </w:r>
      <w:r>
        <w:rPr>
          <w:rStyle w:val="29"/>
          <w:rFonts w:hint="eastAsia" w:ascii="宋体" w:hAnsi="宋体" w:eastAsia="宋体" w:cs="宋体"/>
          <w:b w:val="0"/>
          <w:color w:val="auto"/>
          <w:w w:val="90"/>
          <w:sz w:val="32"/>
          <w:szCs w:val="32"/>
          <w:u w:val="none"/>
        </w:rPr>
        <w:tab/>
      </w:r>
      <w:r>
        <w:rPr>
          <w:rFonts w:hint="eastAsia" w:ascii="宋体" w:hAnsi="宋体" w:eastAsia="宋体" w:cs="宋体"/>
          <w:b w:val="0"/>
          <w:color w:val="auto"/>
          <w:sz w:val="32"/>
          <w:szCs w:val="32"/>
          <w:lang w:val="en-US" w:eastAsia="zh-CN"/>
        </w:rPr>
        <w:t>2</w:t>
      </w:r>
      <w:r>
        <w:rPr>
          <w:rFonts w:hint="eastAsia" w:ascii="宋体" w:hAnsi="宋体" w:eastAsia="宋体" w:cs="宋体"/>
          <w:b w:val="0"/>
          <w:color w:val="auto"/>
          <w:sz w:val="32"/>
          <w:szCs w:val="32"/>
        </w:rPr>
        <w:fldChar w:fldCharType="end"/>
      </w:r>
    </w:p>
    <w:p w14:paraId="60822A99">
      <w:pPr>
        <w:pStyle w:val="18"/>
        <w:tabs>
          <w:tab w:val="right" w:leader="dot" w:pos="8296"/>
        </w:tabs>
        <w:spacing w:line="1000" w:lineRule="exact"/>
        <w:rPr>
          <w:rFonts w:hint="eastAsia" w:ascii="宋体" w:hAnsi="宋体" w:eastAsia="宋体" w:cs="宋体"/>
          <w:b w:val="0"/>
          <w:bCs w:val="0"/>
          <w:caps w:val="0"/>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"_Toc44705270" </w:instrText>
      </w:r>
      <w:r>
        <w:rPr>
          <w:rFonts w:hint="eastAsia" w:ascii="宋体" w:hAnsi="宋体" w:eastAsia="宋体" w:cs="宋体"/>
          <w:color w:val="auto"/>
        </w:rPr>
        <w:fldChar w:fldCharType="separate"/>
      </w:r>
      <w:r>
        <w:rPr>
          <w:rStyle w:val="29"/>
          <w:rFonts w:hint="eastAsia" w:ascii="宋体" w:hAnsi="宋体" w:eastAsia="宋体" w:cs="宋体"/>
          <w:b w:val="0"/>
          <w:color w:val="auto"/>
          <w:w w:val="90"/>
          <w:sz w:val="32"/>
          <w:szCs w:val="32"/>
          <w:u w:val="none"/>
        </w:rPr>
        <w:t>第二章 投标人须知前附表</w:t>
      </w:r>
      <w:r>
        <w:rPr>
          <w:rFonts w:hint="eastAsia" w:ascii="宋体" w:hAnsi="宋体" w:eastAsia="宋体" w:cs="宋体"/>
          <w:b w:val="0"/>
          <w:color w:val="auto"/>
          <w:sz w:val="32"/>
          <w:szCs w:val="32"/>
        </w:rPr>
        <w:tab/>
      </w:r>
      <w:r>
        <w:rPr>
          <w:rFonts w:hint="eastAsia" w:ascii="宋体" w:hAnsi="宋体" w:cs="宋体"/>
          <w:b w:val="0"/>
          <w:color w:val="auto"/>
          <w:sz w:val="32"/>
          <w:szCs w:val="32"/>
          <w:lang w:val="en-US" w:eastAsia="zh-CN"/>
        </w:rPr>
        <w:t>5</w:t>
      </w:r>
      <w:r>
        <w:rPr>
          <w:rFonts w:hint="eastAsia" w:ascii="宋体" w:hAnsi="宋体" w:eastAsia="宋体" w:cs="宋体"/>
          <w:b w:val="0"/>
          <w:color w:val="auto"/>
          <w:sz w:val="32"/>
          <w:szCs w:val="32"/>
        </w:rPr>
        <w:fldChar w:fldCharType="end"/>
      </w:r>
    </w:p>
    <w:p w14:paraId="2B37999A">
      <w:pPr>
        <w:pStyle w:val="18"/>
        <w:tabs>
          <w:tab w:val="right" w:leader="dot" w:pos="8296"/>
        </w:tabs>
        <w:spacing w:line="1000" w:lineRule="exact"/>
        <w:rPr>
          <w:rFonts w:hint="eastAsia"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"_Toc44705271" </w:instrText>
      </w:r>
      <w:r>
        <w:rPr>
          <w:rFonts w:hint="eastAsia" w:ascii="宋体" w:hAnsi="宋体" w:eastAsia="宋体" w:cs="宋体"/>
          <w:color w:val="auto"/>
        </w:rPr>
        <w:fldChar w:fldCharType="separate"/>
      </w:r>
      <w:r>
        <w:rPr>
          <w:rStyle w:val="29"/>
          <w:rFonts w:hint="eastAsia" w:ascii="宋体" w:hAnsi="宋体" w:eastAsia="宋体" w:cs="宋体"/>
          <w:b w:val="0"/>
          <w:color w:val="auto"/>
          <w:w w:val="90"/>
          <w:sz w:val="32"/>
          <w:szCs w:val="32"/>
          <w:u w:val="none"/>
        </w:rPr>
        <w:t>第三章 投标人须知</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lang w:val="en-US" w:eastAsia="zh-CN"/>
        </w:rPr>
        <w:t>1</w:t>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2</w:t>
      </w:r>
    </w:p>
    <w:p w14:paraId="6936FA47">
      <w:pPr>
        <w:pStyle w:val="18"/>
        <w:tabs>
          <w:tab w:val="right" w:leader="dot" w:pos="8296"/>
        </w:tabs>
        <w:spacing w:line="1000" w:lineRule="exact"/>
        <w:rPr>
          <w:rFonts w:hint="eastAsia"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"_Toc44705272" </w:instrText>
      </w:r>
      <w:r>
        <w:rPr>
          <w:rFonts w:hint="eastAsia" w:ascii="宋体" w:hAnsi="宋体" w:eastAsia="宋体" w:cs="宋体"/>
          <w:color w:val="auto"/>
        </w:rPr>
        <w:fldChar w:fldCharType="separate"/>
      </w:r>
      <w:r>
        <w:rPr>
          <w:rStyle w:val="29"/>
          <w:rFonts w:hint="eastAsia" w:ascii="宋体" w:hAnsi="宋体" w:eastAsia="宋体" w:cs="宋体"/>
          <w:b w:val="0"/>
          <w:color w:val="auto"/>
          <w:w w:val="90"/>
          <w:sz w:val="32"/>
          <w:szCs w:val="32"/>
          <w:u w:val="none"/>
        </w:rPr>
        <w:t>第四章 合同文本格式</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lang w:val="en-US" w:eastAsia="zh-CN"/>
        </w:rPr>
        <w:t>2</w:t>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5</w:t>
      </w:r>
    </w:p>
    <w:p w14:paraId="2EB62852">
      <w:pPr>
        <w:pStyle w:val="18"/>
        <w:tabs>
          <w:tab w:val="right" w:leader="dot" w:pos="8296"/>
        </w:tabs>
        <w:spacing w:line="1000" w:lineRule="exact"/>
        <w:rPr>
          <w:rFonts w:hint="eastAsia"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"_Toc44705273" </w:instrText>
      </w:r>
      <w:r>
        <w:rPr>
          <w:rFonts w:hint="eastAsia" w:ascii="宋体" w:hAnsi="宋体" w:eastAsia="宋体" w:cs="宋体"/>
          <w:color w:val="auto"/>
        </w:rPr>
        <w:fldChar w:fldCharType="separate"/>
      </w:r>
      <w:r>
        <w:rPr>
          <w:rStyle w:val="29"/>
          <w:rFonts w:hint="eastAsia" w:ascii="宋体" w:hAnsi="宋体" w:eastAsia="宋体" w:cs="宋体"/>
          <w:b w:val="0"/>
          <w:color w:val="auto"/>
          <w:w w:val="90"/>
          <w:sz w:val="32"/>
          <w:szCs w:val="32"/>
          <w:u w:val="none"/>
        </w:rPr>
        <w:t>第五章 采购需求</w:t>
      </w:r>
      <w:r>
        <w:rPr>
          <w:rFonts w:hint="eastAsia" w:ascii="宋体" w:hAnsi="宋体" w:eastAsia="宋体" w:cs="宋体"/>
          <w:b w:val="0"/>
          <w:color w:val="auto"/>
          <w:sz w:val="32"/>
          <w:szCs w:val="32"/>
        </w:rPr>
        <w:tab/>
      </w:r>
      <w:r>
        <w:rPr>
          <w:rFonts w:hint="eastAsia" w:ascii="宋体" w:hAnsi="宋体" w:cs="宋体"/>
          <w:b w:val="0"/>
          <w:color w:val="auto"/>
          <w:sz w:val="32"/>
          <w:szCs w:val="32"/>
          <w:lang w:val="en-US" w:eastAsia="zh-CN"/>
        </w:rPr>
        <w:t>3</w:t>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0</w:t>
      </w:r>
    </w:p>
    <w:p w14:paraId="469FEB29">
      <w:pPr>
        <w:pStyle w:val="18"/>
        <w:tabs>
          <w:tab w:val="right" w:leader="dot" w:pos="8296"/>
        </w:tabs>
        <w:spacing w:line="1000" w:lineRule="exact"/>
        <w:rPr>
          <w:rFonts w:hint="default"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"_Toc44705274" </w:instrText>
      </w:r>
      <w:r>
        <w:rPr>
          <w:rFonts w:hint="eastAsia" w:ascii="宋体" w:hAnsi="宋体" w:eastAsia="宋体" w:cs="宋体"/>
          <w:color w:val="auto"/>
        </w:rPr>
        <w:fldChar w:fldCharType="separate"/>
      </w:r>
      <w:r>
        <w:rPr>
          <w:rStyle w:val="29"/>
          <w:rFonts w:hint="eastAsia" w:ascii="宋体" w:hAnsi="宋体" w:eastAsia="宋体" w:cs="宋体"/>
          <w:b w:val="0"/>
          <w:color w:val="auto"/>
          <w:w w:val="90"/>
          <w:sz w:val="32"/>
          <w:szCs w:val="32"/>
          <w:u w:val="none"/>
        </w:rPr>
        <w:t>第六章 评标方法及评标标准</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32</w:t>
      </w:r>
    </w:p>
    <w:p w14:paraId="1EA00C18">
      <w:pPr>
        <w:pStyle w:val="18"/>
        <w:tabs>
          <w:tab w:val="right" w:leader="dot" w:pos="8296"/>
        </w:tabs>
        <w:spacing w:line="1000" w:lineRule="exact"/>
        <w:rPr>
          <w:rFonts w:hint="default"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"_Toc44705277" </w:instrText>
      </w:r>
      <w:r>
        <w:rPr>
          <w:rFonts w:hint="eastAsia" w:ascii="宋体" w:hAnsi="宋体" w:eastAsia="宋体" w:cs="宋体"/>
          <w:color w:val="auto"/>
        </w:rPr>
        <w:fldChar w:fldCharType="separate"/>
      </w:r>
      <w:r>
        <w:rPr>
          <w:rStyle w:val="29"/>
          <w:rFonts w:hint="eastAsia" w:ascii="宋体" w:hAnsi="宋体" w:eastAsia="宋体" w:cs="宋体"/>
          <w:b w:val="0"/>
          <w:color w:val="auto"/>
          <w:w w:val="90"/>
          <w:sz w:val="32"/>
          <w:szCs w:val="32"/>
          <w:u w:val="none"/>
        </w:rPr>
        <w:t>第七章 投标文件格式</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40</w:t>
      </w:r>
    </w:p>
    <w:p w14:paraId="2F22B2E6">
      <w:pPr>
        <w:pStyle w:val="7"/>
        <w:rPr>
          <w:rFonts w:hint="eastAsia" w:ascii="宋体" w:hAnsi="宋体" w:eastAsia="宋体" w:cs="宋体"/>
        </w:rPr>
      </w:pPr>
    </w:p>
    <w:p w14:paraId="7DCA2F37">
      <w:pPr>
        <w:pStyle w:val="7"/>
        <w:pageBreakBefore w:val="0"/>
        <w:kinsoku/>
        <w:wordWrap/>
        <w:overflowPunct/>
        <w:topLinePunct w:val="0"/>
        <w:bidi w:val="0"/>
        <w:spacing w:line="400" w:lineRule="exact"/>
        <w:rPr>
          <w:rFonts w:hint="eastAsia" w:ascii="宋体" w:hAnsi="宋体" w:eastAsia="宋体" w:cs="宋体"/>
        </w:rPr>
      </w:pPr>
    </w:p>
    <w:p w14:paraId="44DCCC29">
      <w:pPr>
        <w:pageBreakBefore w:val="0"/>
        <w:widowControl/>
        <w:shd w:val="clear" w:color="auto" w:fill="FFFFFF"/>
        <w:kinsoku/>
        <w:wordWrap/>
        <w:overflowPunct/>
        <w:topLinePunct w:val="0"/>
        <w:bidi w:val="0"/>
        <w:spacing w:line="400" w:lineRule="exact"/>
        <w:jc w:val="both"/>
        <w:rPr>
          <w:rFonts w:hint="eastAsia" w:ascii="宋体" w:hAnsi="宋体" w:eastAsia="宋体" w:cs="宋体"/>
          <w:b/>
          <w:bCs/>
          <w:kern w:val="0"/>
          <w:sz w:val="24"/>
          <w:highlight w:val="none"/>
        </w:rPr>
      </w:pPr>
    </w:p>
    <w:p w14:paraId="75E72B34">
      <w:pPr>
        <w:pStyle w:val="7"/>
        <w:pageBreakBefore w:val="0"/>
        <w:numPr>
          <w:ilvl w:val="0"/>
          <w:numId w:val="0"/>
        </w:numPr>
        <w:kinsoku/>
        <w:wordWrap/>
        <w:overflowPunct/>
        <w:topLinePunct w:val="0"/>
        <w:bidi w:val="0"/>
        <w:spacing w:line="400" w:lineRule="exact"/>
        <w:ind w:left="3046" w:leftChars="0"/>
        <w:outlineLvl w:val="0"/>
        <w:rPr>
          <w:rFonts w:hint="eastAsia" w:ascii="宋体" w:hAnsi="宋体" w:eastAsia="宋体" w:cs="宋体"/>
          <w:b/>
          <w:bCs/>
          <w:kern w:val="2"/>
          <w:sz w:val="36"/>
          <w:szCs w:val="36"/>
          <w:lang w:val="en-US" w:eastAsia="zh-CN" w:bidi="ar-SA"/>
        </w:rPr>
      </w:pPr>
    </w:p>
    <w:p w14:paraId="2B61D15E">
      <w:pPr>
        <w:pStyle w:val="7"/>
        <w:pageBreakBefore w:val="0"/>
        <w:numPr>
          <w:ilvl w:val="0"/>
          <w:numId w:val="0"/>
        </w:numPr>
        <w:kinsoku/>
        <w:wordWrap/>
        <w:overflowPunct/>
        <w:topLinePunct w:val="0"/>
        <w:bidi w:val="0"/>
        <w:spacing w:line="400" w:lineRule="exact"/>
        <w:ind w:left="3046" w:leftChars="0"/>
        <w:outlineLvl w:val="0"/>
        <w:rPr>
          <w:rFonts w:hint="eastAsia" w:ascii="宋体" w:hAnsi="宋体" w:eastAsia="宋体" w:cs="宋体"/>
          <w:b/>
          <w:bCs/>
          <w:kern w:val="2"/>
          <w:sz w:val="36"/>
          <w:szCs w:val="36"/>
          <w:lang w:val="en-US" w:eastAsia="zh-CN" w:bidi="ar-SA"/>
        </w:rPr>
      </w:pPr>
    </w:p>
    <w:p w14:paraId="568426D3">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7F7BFCD7">
      <w:pPr>
        <w:pStyle w:val="7"/>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10D8017A">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61516F88">
      <w:pPr>
        <w:pStyle w:val="7"/>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38C6C02B">
      <w:pPr>
        <w:rPr>
          <w:rFonts w:hint="eastAsia"/>
          <w:lang w:val="en-US" w:eastAsia="zh-CN"/>
        </w:rPr>
      </w:pPr>
    </w:p>
    <w:p w14:paraId="110DA58C">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2BBC4C7B">
      <w:pPr>
        <w:pStyle w:val="7"/>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0CDD6777">
      <w:pPr>
        <w:pStyle w:val="2"/>
        <w:pageBreakBefore w:val="0"/>
        <w:kinsoku/>
        <w:wordWrap/>
        <w:overflowPunct/>
        <w:topLinePunct w:val="0"/>
        <w:bidi w:val="0"/>
        <w:spacing w:beforeAutospacing="0" w:after="0" w:afterAutospacing="0" w:line="400" w:lineRule="exact"/>
        <w:ind w:left="0" w:leftChars="0" w:firstLine="0" w:firstLineChars="0"/>
        <w:jc w:val="both"/>
        <w:rPr>
          <w:rStyle w:val="29"/>
          <w:rFonts w:hint="eastAsia" w:ascii="宋体" w:hAnsi="宋体" w:eastAsia="宋体" w:cs="宋体"/>
          <w:b/>
          <w:bCs/>
          <w:color w:val="auto"/>
          <w:w w:val="90"/>
          <w:sz w:val="36"/>
          <w:szCs w:val="36"/>
          <w:u w:val="none"/>
          <w:lang w:val="en-US" w:eastAsia="zh-CN"/>
        </w:rPr>
      </w:pPr>
    </w:p>
    <w:p w14:paraId="6C62624A">
      <w:pPr>
        <w:pStyle w:val="2"/>
        <w:pageBreakBefore w:val="0"/>
        <w:kinsoku/>
        <w:wordWrap/>
        <w:overflowPunct/>
        <w:topLinePunct w:val="0"/>
        <w:bidi w:val="0"/>
        <w:spacing w:beforeAutospacing="0" w:after="0" w:afterAutospacing="0" w:line="400" w:lineRule="exact"/>
        <w:jc w:val="center"/>
        <w:rPr>
          <w:rStyle w:val="29"/>
          <w:rFonts w:hint="eastAsia" w:ascii="宋体" w:hAnsi="宋体" w:cs="宋体"/>
          <w:b/>
          <w:bCs/>
          <w:color w:val="auto"/>
          <w:w w:val="90"/>
          <w:sz w:val="36"/>
          <w:szCs w:val="36"/>
          <w:u w:val="none"/>
          <w:lang w:val="en-US" w:eastAsia="zh-CN"/>
        </w:rPr>
      </w:pPr>
      <w:r>
        <w:rPr>
          <w:rStyle w:val="29"/>
          <w:rFonts w:hint="eastAsia" w:ascii="宋体" w:hAnsi="宋体" w:cs="宋体"/>
          <w:b/>
          <w:bCs/>
          <w:color w:val="auto"/>
          <w:w w:val="90"/>
          <w:sz w:val="36"/>
          <w:szCs w:val="36"/>
          <w:u w:val="none"/>
          <w:lang w:val="en-US" w:eastAsia="zh-CN"/>
        </w:rPr>
        <w:t xml:space="preserve">           </w:t>
      </w:r>
    </w:p>
    <w:p w14:paraId="741E55CF">
      <w:pPr>
        <w:pStyle w:val="2"/>
        <w:pageBreakBefore w:val="0"/>
        <w:kinsoku/>
        <w:wordWrap/>
        <w:overflowPunct/>
        <w:topLinePunct w:val="0"/>
        <w:bidi w:val="0"/>
        <w:spacing w:beforeAutospacing="0" w:after="0" w:afterAutospacing="0" w:line="400" w:lineRule="exact"/>
        <w:jc w:val="right"/>
        <w:rPr>
          <w:rFonts w:hint="eastAsia" w:ascii="宋体" w:hAnsi="宋体" w:eastAsia="宋体" w:cs="宋体"/>
          <w:color w:val="000000"/>
          <w:kern w:val="0"/>
          <w:szCs w:val="24"/>
          <w:highlight w:val="none"/>
        </w:rPr>
      </w:pPr>
      <w:r>
        <w:rPr>
          <w:rStyle w:val="29"/>
          <w:rFonts w:hint="eastAsia" w:ascii="宋体" w:hAnsi="宋体" w:cs="宋体"/>
          <w:b/>
          <w:bCs/>
          <w:color w:val="auto"/>
          <w:w w:val="90"/>
          <w:sz w:val="36"/>
          <w:szCs w:val="36"/>
          <w:u w:val="none"/>
          <w:lang w:val="en-US" w:eastAsia="zh-CN"/>
        </w:rPr>
        <w:t xml:space="preserve"> </w:t>
      </w:r>
      <w:r>
        <w:rPr>
          <w:rStyle w:val="29"/>
          <w:rFonts w:hint="eastAsia" w:ascii="宋体" w:hAnsi="宋体" w:eastAsia="宋体" w:cs="宋体"/>
          <w:b/>
          <w:bCs/>
          <w:color w:val="auto"/>
          <w:w w:val="90"/>
          <w:sz w:val="36"/>
          <w:szCs w:val="36"/>
          <w:u w:val="none"/>
          <w:lang w:val="en-US" w:eastAsia="zh-CN"/>
        </w:rPr>
        <w:t>第一章 招标公告    </w:t>
      </w:r>
      <w:r>
        <w:rPr>
          <w:rFonts w:hint="eastAsia" w:ascii="宋体" w:hAnsi="宋体" w:eastAsia="宋体" w:cs="宋体"/>
          <w:b/>
          <w:bCs/>
          <w:kern w:val="2"/>
          <w:sz w:val="36"/>
          <w:szCs w:val="36"/>
          <w:lang w:val="en-US" w:eastAsia="zh-CN" w:bidi="ar-SA"/>
        </w:rPr>
        <w:t>   </w:t>
      </w:r>
      <w:r>
        <w:rPr>
          <w:rFonts w:hint="eastAsia" w:ascii="宋体" w:hAnsi="宋体" w:eastAsia="宋体" w:cs="宋体"/>
          <w:color w:val="000000"/>
          <w:kern w:val="0"/>
          <w:szCs w:val="24"/>
          <w:highlight w:val="none"/>
        </w:rPr>
        <w:t>     </w:t>
      </w:r>
    </w:p>
    <w:p w14:paraId="1A4C78C2">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36"/>
          <w:szCs w:val="36"/>
          <w:lang w:val="en-US" w:eastAsia="zh-CN" w:bidi="ar"/>
        </w:rPr>
      </w:pPr>
      <w:r>
        <w:rPr>
          <w:rFonts w:hint="eastAsia" w:ascii="仿宋" w:hAnsi="仿宋" w:eastAsia="仿宋" w:cs="仿宋"/>
          <w:b/>
          <w:bCs/>
          <w:kern w:val="0"/>
          <w:sz w:val="36"/>
          <w:szCs w:val="36"/>
          <w:lang w:val="en-US" w:eastAsia="zh-CN" w:bidi="ar"/>
        </w:rPr>
        <w:t>新疆吐鲁番市应急救援队设备更新项目（结余资金）</w:t>
      </w:r>
    </w:p>
    <w:p w14:paraId="5E106E52">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36"/>
          <w:szCs w:val="36"/>
          <w:lang w:val="en-US" w:eastAsia="zh-CN" w:bidi="ar"/>
        </w:rPr>
      </w:pPr>
      <w:r>
        <w:rPr>
          <w:rFonts w:hint="eastAsia" w:ascii="仿宋" w:hAnsi="仿宋" w:eastAsia="仿宋" w:cs="仿宋"/>
          <w:b/>
          <w:bCs/>
          <w:kern w:val="0"/>
          <w:sz w:val="36"/>
          <w:szCs w:val="36"/>
          <w:lang w:val="en-US" w:eastAsia="zh-CN" w:bidi="ar"/>
        </w:rPr>
        <w:t>补充采购公开招标公告</w:t>
      </w:r>
    </w:p>
    <w:p w14:paraId="572C06C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sz w:val="28"/>
          <w:szCs w:val="28"/>
        </w:rPr>
      </w:pPr>
      <w:r>
        <w:rPr>
          <w:rFonts w:ascii="仿宋" w:hAnsi="仿宋" w:eastAsia="仿宋" w:cs="仿宋"/>
          <w:sz w:val="28"/>
          <w:szCs w:val="28"/>
        </w:rPr>
        <w:t>项目概况</w:t>
      </w:r>
    </w:p>
    <w:p w14:paraId="79DA584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新疆吐鲁番市应急救援队设备更新项目（结余资金）补充采购招标项目的潜在投标人应在政采云平台线上获取获取招标文件，并于2026年06月11日 10:00（北京时间）前递交投标文件。</w:t>
      </w:r>
    </w:p>
    <w:p w14:paraId="1BCA3688">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color w:val="auto"/>
          <w:sz w:val="28"/>
          <w:szCs w:val="28"/>
        </w:rPr>
      </w:pPr>
      <w:r>
        <w:rPr>
          <w:rStyle w:val="27"/>
          <w:rFonts w:ascii="黑体" w:hAnsi="宋体" w:eastAsia="黑体" w:cs="黑体"/>
          <w:color w:val="auto"/>
          <w:sz w:val="28"/>
          <w:szCs w:val="28"/>
        </w:rPr>
        <w:t>一、项目基本情况</w:t>
      </w:r>
    </w:p>
    <w:p w14:paraId="4C77B9C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eastAsia="zh-CN"/>
        </w:rPr>
        <w:t>：HYTH(GK)2026-28</w:t>
      </w:r>
    </w:p>
    <w:p w14:paraId="20DFFA6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项目名称：新疆吐鲁番市应急救援队设备更新项目（结余资金）补充采购</w:t>
      </w:r>
    </w:p>
    <w:p w14:paraId="0D81582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采购方式：公开招标</w:t>
      </w:r>
    </w:p>
    <w:p w14:paraId="5A12D54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预算金额（元）：2160000</w:t>
      </w:r>
    </w:p>
    <w:p w14:paraId="5526F00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最高限价（元）：2160000</w:t>
      </w:r>
    </w:p>
    <w:p w14:paraId="3892333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color w:val="auto"/>
          <w:sz w:val="28"/>
          <w:szCs w:val="28"/>
        </w:rPr>
      </w:pPr>
      <w:r>
        <w:rPr>
          <w:rFonts w:hint="eastAsia" w:ascii="仿宋" w:hAnsi="仿宋" w:eastAsia="仿宋" w:cs="仿宋"/>
          <w:color w:val="auto"/>
          <w:sz w:val="28"/>
          <w:szCs w:val="28"/>
        </w:rPr>
        <w:t>采购需求：</w:t>
      </w:r>
    </w:p>
    <w:p w14:paraId="44B631B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标项一</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标项名称:新疆吐鲁番市应急救援队设备更新项目（结余资金）补充采购</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数量:1</w:t>
      </w:r>
      <w:r>
        <w:rPr>
          <w:rFonts w:hint="eastAsia" w:ascii="仿宋" w:hAnsi="仿宋" w:eastAsia="仿宋" w:cs="仿宋"/>
          <w:color w:val="000000" w:themeColor="text1"/>
          <w:sz w:val="28"/>
          <w:szCs w:val="28"/>
          <w:lang w:val="en-US" w:eastAsia="zh-CN"/>
          <w14:textFill>
            <w14:solidFill>
              <w14:schemeClr w14:val="tx1"/>
            </w14:solidFill>
          </w14:textFill>
        </w:rPr>
        <w:br w:type="textWrapping"/>
      </w:r>
      <w:r>
        <w:rPr>
          <w:rFonts w:hint="eastAsia" w:ascii="仿宋" w:hAnsi="仿宋" w:eastAsia="仿宋" w:cs="仿宋"/>
          <w:color w:val="000000" w:themeColor="text1"/>
          <w:sz w:val="28"/>
          <w:szCs w:val="28"/>
          <w:lang w:val="en-US" w:eastAsia="zh-CN"/>
          <w14:textFill>
            <w14:solidFill>
              <w14:schemeClr w14:val="tx1"/>
            </w14:solidFill>
          </w14:textFill>
        </w:rPr>
        <w:t>   预算金额（元）:2160000</w:t>
      </w:r>
    </w:p>
    <w:p w14:paraId="4F17E77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280" w:firstLineChars="1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单位：</w:t>
      </w:r>
      <w:r>
        <w:rPr>
          <w:rFonts w:hint="eastAsia" w:ascii="仿宋" w:hAnsi="仿宋" w:eastAsia="仿宋" w:cs="仿宋"/>
          <w:i w:val="0"/>
          <w:iCs w:val="0"/>
          <w:caps w:val="0"/>
          <w:color w:val="000000" w:themeColor="text1"/>
          <w:spacing w:val="0"/>
          <w:sz w:val="27"/>
          <w:szCs w:val="27"/>
          <w:shd w:val="clear" w:fill="F7F7F7"/>
          <w:lang w:val="en-US" w:eastAsia="zh-CN"/>
          <w14:textFill>
            <w14:solidFill>
              <w14:schemeClr w14:val="tx1"/>
            </w14:solidFill>
          </w14:textFill>
        </w:rPr>
        <w:t>批</w:t>
      </w:r>
      <w:r>
        <w:rPr>
          <w:rFonts w:hint="eastAsia" w:ascii="仿宋" w:hAnsi="仿宋" w:eastAsia="仿宋" w:cs="仿宋"/>
          <w:color w:val="000000" w:themeColor="text1"/>
          <w:sz w:val="28"/>
          <w:szCs w:val="28"/>
          <w:lang w:val="en-US" w:eastAsia="zh-CN"/>
          <w14:textFill>
            <w14:solidFill>
              <w14:schemeClr w14:val="tx1"/>
            </w14:solidFill>
          </w14:textFill>
        </w:rPr>
        <w:br w:type="textWrapping"/>
      </w:r>
      <w:r>
        <w:rPr>
          <w:rFonts w:hint="eastAsia" w:ascii="仿宋" w:hAnsi="仿宋" w:eastAsia="仿宋" w:cs="仿宋"/>
          <w:color w:val="000000" w:themeColor="text1"/>
          <w:sz w:val="28"/>
          <w:szCs w:val="28"/>
          <w:lang w:val="en-US" w:eastAsia="zh-CN"/>
          <w14:textFill>
            <w14:solidFill>
              <w14:schemeClr w14:val="tx1"/>
            </w14:solidFill>
          </w14:textFill>
        </w:rPr>
        <w:t>   简要规格描述或项目基本概况介绍、用途：采购本安型灭火机器人1台、多功能破拆机器人1台、正压氧气呼吸器4台，共计6台。</w:t>
      </w:r>
    </w:p>
    <w:p w14:paraId="4649D67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备注：</w:t>
      </w:r>
    </w:p>
    <w:p w14:paraId="2FC7FC4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合同履约期限：标项 1：合同签订后20天内完成供货及安装</w:t>
      </w:r>
    </w:p>
    <w:p w14:paraId="61BA8488">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本项目（否）接受联合体投标。</w:t>
      </w:r>
    </w:p>
    <w:p w14:paraId="68123A4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color w:val="000000" w:themeColor="text1"/>
          <w:sz w:val="28"/>
          <w:szCs w:val="28"/>
          <w14:textFill>
            <w14:solidFill>
              <w14:schemeClr w14:val="tx1"/>
            </w14:solidFill>
          </w14:textFill>
        </w:rPr>
      </w:pPr>
      <w:r>
        <w:rPr>
          <w:rStyle w:val="27"/>
          <w:rFonts w:ascii="黑体" w:hAnsi="宋体" w:eastAsia="黑体" w:cs="黑体"/>
          <w:color w:val="000000" w:themeColor="text1"/>
          <w:sz w:val="28"/>
          <w:szCs w:val="28"/>
          <w14:textFill>
            <w14:solidFill>
              <w14:schemeClr w14:val="tx1"/>
            </w14:solidFill>
          </w14:textFill>
        </w:rPr>
        <w:t>二、申请人的资格要求：</w:t>
      </w:r>
    </w:p>
    <w:p w14:paraId="4009D96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sz w:val="28"/>
          <w:szCs w:val="28"/>
        </w:rPr>
      </w:pPr>
      <w:r>
        <w:rPr>
          <w:rFonts w:hint="eastAsia" w:ascii="仿宋" w:hAnsi="仿宋" w:eastAsia="仿宋" w:cs="仿宋"/>
          <w:sz w:val="28"/>
          <w:szCs w:val="28"/>
        </w:rPr>
        <w:t>1.满足《中华人民共和国政府采购法》第二十二条规定；</w:t>
      </w:r>
    </w:p>
    <w:p w14:paraId="487E5E9B">
      <w:pPr>
        <w:keepNext w:val="0"/>
        <w:keepLines w:val="0"/>
        <w:pageBreakBefore w:val="0"/>
        <w:kinsoku/>
        <w:wordWrap/>
        <w:overflowPunct/>
        <w:topLinePunct w:val="0"/>
        <w:autoSpaceDE/>
        <w:autoSpaceDN/>
        <w:bidi w:val="0"/>
        <w:adjustRightInd/>
        <w:snapToGrid/>
        <w:spacing w:line="30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2.落实政府采购政策需满足的资格要求：</w:t>
      </w:r>
      <w:r>
        <w:rPr>
          <w:rFonts w:ascii="仿宋" w:hAnsi="仿宋" w:eastAsia="仿宋" w:cs="仿宋"/>
          <w:i w:val="0"/>
          <w:iCs w:val="0"/>
          <w:caps w:val="0"/>
          <w:color w:val="000000"/>
          <w:spacing w:val="0"/>
          <w:sz w:val="27"/>
          <w:szCs w:val="27"/>
        </w:rPr>
        <w:t>标项1：专门面向中小企业；</w:t>
      </w:r>
    </w:p>
    <w:p w14:paraId="5CEB7DB5">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sz w:val="28"/>
          <w:szCs w:val="28"/>
        </w:rPr>
      </w:pPr>
      <w:r>
        <w:rPr>
          <w:rFonts w:hint="eastAsia" w:ascii="仿宋" w:hAnsi="仿宋" w:eastAsia="仿宋" w:cs="仿宋"/>
          <w:sz w:val="28"/>
          <w:szCs w:val="28"/>
        </w:rPr>
        <w:t>3.本项目的特定资格要求：</w:t>
      </w:r>
      <w:r>
        <w:rPr>
          <w:rFonts w:hint="eastAsia" w:ascii="仿宋" w:hAnsi="仿宋" w:eastAsia="仿宋" w:cs="仿宋"/>
          <w:sz w:val="28"/>
          <w:szCs w:val="28"/>
          <w:lang w:eastAsia="zh-CN"/>
        </w:rPr>
        <w:t>【</w:t>
      </w:r>
      <w:r>
        <w:rPr>
          <w:rFonts w:hint="eastAsia" w:ascii="仿宋" w:hAnsi="仿宋" w:eastAsia="仿宋" w:cs="仿宋"/>
          <w:sz w:val="28"/>
          <w:szCs w:val="28"/>
        </w:rPr>
        <w:t>标项</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：无</w:t>
      </w:r>
    </w:p>
    <w:p w14:paraId="5A0B5E21">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7"/>
          <w:rFonts w:ascii="黑体" w:hAnsi="宋体" w:eastAsia="黑体" w:cs="黑体"/>
          <w:sz w:val="28"/>
          <w:szCs w:val="28"/>
        </w:rPr>
        <w:t>三、获取招标文件</w:t>
      </w:r>
    </w:p>
    <w:p w14:paraId="70C3A8A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05</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06</w:t>
      </w:r>
      <w:r>
        <w:rPr>
          <w:rFonts w:hint="eastAsia" w:ascii="仿宋" w:hAnsi="仿宋" w:eastAsia="仿宋" w:cs="仿宋"/>
          <w:sz w:val="28"/>
          <w:szCs w:val="28"/>
        </w:rPr>
        <w:t>月</w:t>
      </w:r>
      <w:r>
        <w:rPr>
          <w:rFonts w:hint="eastAsia" w:ascii="仿宋" w:hAnsi="仿宋" w:eastAsia="仿宋" w:cs="仿宋"/>
          <w:sz w:val="28"/>
          <w:szCs w:val="28"/>
          <w:lang w:val="en-US" w:eastAsia="zh-CN"/>
        </w:rPr>
        <w:t>03</w:t>
      </w:r>
      <w:r>
        <w:rPr>
          <w:rFonts w:hint="eastAsia" w:ascii="仿宋" w:hAnsi="仿宋" w:eastAsia="仿宋" w:cs="仿宋"/>
          <w:sz w:val="28"/>
          <w:szCs w:val="28"/>
        </w:rPr>
        <w:t>日，每天上午</w:t>
      </w:r>
      <w:r>
        <w:rPr>
          <w:rFonts w:hint="eastAsia" w:ascii="仿宋" w:hAnsi="仿宋" w:eastAsia="仿宋" w:cs="仿宋"/>
          <w:sz w:val="28"/>
          <w:szCs w:val="28"/>
          <w:lang w:val="en-US" w:eastAsia="zh-CN"/>
        </w:rPr>
        <w:t>09</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0至1</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0，下午1</w:t>
      </w:r>
      <w:r>
        <w:rPr>
          <w:rFonts w:hint="eastAsia" w:ascii="仿宋" w:hAnsi="仿宋" w:eastAsia="仿宋" w:cs="仿宋"/>
          <w:sz w:val="28"/>
          <w:szCs w:val="28"/>
          <w:lang w:val="en-US" w:eastAsia="zh-CN"/>
        </w:rPr>
        <w:t>6</w:t>
      </w:r>
      <w:r>
        <w:rPr>
          <w:rFonts w:hint="eastAsia" w:ascii="仿宋" w:hAnsi="仿宋" w:eastAsia="仿宋" w:cs="仿宋"/>
          <w:sz w:val="28"/>
          <w:szCs w:val="28"/>
        </w:rPr>
        <w:t>:30至</w:t>
      </w:r>
      <w:r>
        <w:rPr>
          <w:rFonts w:hint="eastAsia" w:ascii="仿宋" w:hAnsi="仿宋" w:eastAsia="仿宋" w:cs="仿宋"/>
          <w:sz w:val="28"/>
          <w:szCs w:val="28"/>
          <w:lang w:val="en-US" w:eastAsia="zh-CN"/>
        </w:rPr>
        <w:t>20</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0（北京时间，法定节假日除外）</w:t>
      </w:r>
    </w:p>
    <w:p w14:paraId="263492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地点：政采云平台线上</w:t>
      </w:r>
      <w:r>
        <w:rPr>
          <w:rFonts w:hint="eastAsia" w:ascii="仿宋" w:hAnsi="仿宋" w:eastAsia="仿宋" w:cs="仿宋"/>
          <w:sz w:val="28"/>
          <w:szCs w:val="28"/>
          <w:lang w:val="en-US" w:eastAsia="zh-CN"/>
        </w:rPr>
        <w:t>获取</w:t>
      </w:r>
    </w:p>
    <w:p w14:paraId="7BDD23D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方式：供应商登录政采云平台https://www.zcygov.cn/在线申请获取采购文件（进入“项目采购”应用，在获取采购文件菜单中选择项目，申请获取采购文件）  </w:t>
      </w:r>
    </w:p>
    <w:p w14:paraId="70461AF5">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售价（元）：0</w:t>
      </w:r>
    </w:p>
    <w:p w14:paraId="4B84A2D1">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7"/>
          <w:rFonts w:ascii="黑体" w:hAnsi="宋体" w:eastAsia="黑体" w:cs="黑体"/>
          <w:sz w:val="28"/>
          <w:szCs w:val="28"/>
        </w:rPr>
        <w:t>四、提交投标文件截止时间、开标时间和地点</w:t>
      </w:r>
    </w:p>
    <w:p w14:paraId="6B511DB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提交投标文件截止时间：</w:t>
      </w:r>
      <w:r>
        <w:rPr>
          <w:rFonts w:hint="eastAsia" w:ascii="仿宋" w:hAnsi="仿宋" w:eastAsia="仿宋" w:cs="仿宋"/>
          <w:color w:val="auto"/>
          <w:sz w:val="28"/>
          <w:szCs w:val="28"/>
          <w:lang w:val="en-US" w:eastAsia="zh-CN"/>
        </w:rPr>
        <w:t>2026年06月11日 10:00</w:t>
      </w:r>
      <w:r>
        <w:rPr>
          <w:rFonts w:hint="eastAsia" w:ascii="仿宋" w:hAnsi="仿宋" w:eastAsia="仿宋" w:cs="仿宋"/>
          <w:sz w:val="28"/>
          <w:szCs w:val="28"/>
        </w:rPr>
        <w:t>（北京时间）</w:t>
      </w:r>
    </w:p>
    <w:p w14:paraId="531B5102">
      <w:pPr>
        <w:pStyle w:val="22"/>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投标地点：将响应文件上传至政采云平台https://www.zcygov.cn/对应位置（逾期未上传的或不符合规定的响应文件将被拒绝接收）。   </w:t>
      </w:r>
    </w:p>
    <w:p w14:paraId="1C2105A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开标时间：</w:t>
      </w:r>
      <w:r>
        <w:rPr>
          <w:rFonts w:hint="eastAsia" w:ascii="仿宋" w:hAnsi="仿宋" w:eastAsia="仿宋" w:cs="仿宋"/>
          <w:color w:val="auto"/>
          <w:sz w:val="28"/>
          <w:szCs w:val="28"/>
          <w:lang w:val="en-US" w:eastAsia="zh-CN"/>
        </w:rPr>
        <w:t>2026年06月11日 10:00</w:t>
      </w:r>
      <w:r>
        <w:rPr>
          <w:rFonts w:hint="eastAsia" w:ascii="仿宋" w:hAnsi="仿宋" w:eastAsia="仿宋" w:cs="仿宋"/>
          <w:sz w:val="28"/>
          <w:szCs w:val="28"/>
        </w:rPr>
        <w:t>（北京时间）</w:t>
      </w:r>
    </w:p>
    <w:p w14:paraId="27657A4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开标地点：</w:t>
      </w:r>
      <w:r>
        <w:rPr>
          <w:rFonts w:ascii="仿宋" w:hAnsi="仿宋" w:eastAsia="仿宋" w:cs="仿宋"/>
          <w:i w:val="0"/>
          <w:iCs w:val="0"/>
          <w:caps w:val="0"/>
          <w:color w:val="000000"/>
          <w:spacing w:val="0"/>
          <w:sz w:val="27"/>
          <w:szCs w:val="27"/>
        </w:rPr>
        <w:t>投标人登录政采云平台https://www.zcygov.cn/，进入“项目采购-开标评标-右边选择对应项目点击“进入项目”进入开标大厅。</w:t>
      </w:r>
      <w:r>
        <w:rPr>
          <w:rFonts w:hint="eastAsia" w:ascii="仿宋" w:hAnsi="仿宋" w:eastAsia="仿宋" w:cs="仿宋"/>
          <w:sz w:val="28"/>
          <w:szCs w:val="28"/>
        </w:rPr>
        <w:t>      </w:t>
      </w:r>
    </w:p>
    <w:p w14:paraId="1DA36B54">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7"/>
          <w:rFonts w:ascii="黑体" w:hAnsi="宋体" w:eastAsia="黑体" w:cs="黑体"/>
          <w:sz w:val="28"/>
          <w:szCs w:val="28"/>
        </w:rPr>
        <w:t>五、公告期限</w:t>
      </w:r>
    </w:p>
    <w:p w14:paraId="71A5B33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sz w:val="28"/>
          <w:szCs w:val="28"/>
        </w:rPr>
      </w:pPr>
      <w:r>
        <w:rPr>
          <w:rFonts w:hint="eastAsia" w:ascii="仿宋" w:hAnsi="仿宋" w:eastAsia="仿宋" w:cs="仿宋"/>
          <w:sz w:val="28"/>
          <w:szCs w:val="28"/>
        </w:rPr>
        <w:t>自本公告发布之日起5个工作日。</w:t>
      </w:r>
    </w:p>
    <w:p w14:paraId="67A85DE4">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7"/>
          <w:rFonts w:ascii="黑体" w:hAnsi="宋体" w:eastAsia="黑体" w:cs="黑体"/>
          <w:sz w:val="28"/>
          <w:szCs w:val="28"/>
        </w:rPr>
        <w:t>六、其他补充事宜</w:t>
      </w:r>
    </w:p>
    <w:p w14:paraId="7447C5D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1、本项目实行网上投标，采用电子投标文件。</w:t>
      </w:r>
    </w:p>
    <w:p w14:paraId="6D40C4C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ABFFED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 3、供应商将政采云电子交易客户端下载、安装完成后，可通过账号密码或CA登录客户端进行投标文件的制作。在使用政采云投标客户端时，建议使用WIN7及以上操作系统。</w:t>
      </w:r>
    </w:p>
    <w:p w14:paraId="5FF228A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 4、其他事项： /  </w:t>
      </w:r>
    </w:p>
    <w:p w14:paraId="0CD4D6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特别提示：</w:t>
      </w:r>
    </w:p>
    <w:p w14:paraId="485D2970">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1、采购限额标准以上，200万元以下的货物和服务采购项目、400万元以下的工程采购项目，适宜由中小企业提供的，采购人应当专门面向中小企业采购。</w:t>
      </w:r>
    </w:p>
    <w:p w14:paraId="491CC9A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2、超过200万元的货物和服务采购项目，预留该部分采购项目预算总额的30%以上专门面向中小企业采购，其中预留给小微企业的比例不低于60%。</w:t>
      </w:r>
    </w:p>
    <w:p w14:paraId="3A917CA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3、超过400万元的工程采购项目中适宜由中小企业提供的，预留该部分采购项目预算总额的40%以上专门面向中小企业采购，其中预留给小微企业的比例不低于60%。</w:t>
      </w:r>
    </w:p>
    <w:p w14:paraId="4DF179C4">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24B664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F5E1676">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jc w:val="both"/>
        <w:textAlignment w:val="auto"/>
        <w:rPr>
          <w:rFonts w:ascii="黑体" w:hAnsi="宋体" w:eastAsia="黑体" w:cs="黑体"/>
          <w:sz w:val="31"/>
          <w:szCs w:val="31"/>
        </w:rPr>
      </w:pPr>
      <w:r>
        <w:rPr>
          <w:rStyle w:val="27"/>
          <w:rFonts w:ascii="黑体" w:hAnsi="宋体" w:eastAsia="黑体" w:cs="黑体"/>
          <w:sz w:val="27"/>
          <w:szCs w:val="27"/>
        </w:rPr>
        <w:t>七、对本次采购提出询问，请按以下方式联系</w:t>
      </w:r>
    </w:p>
    <w:p w14:paraId="78D700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textAlignment w:val="auto"/>
        <w:rPr>
          <w:rFonts w:hint="eastAsia" w:ascii="仿宋" w:hAnsi="仿宋" w:eastAsia="仿宋" w:cs="仿宋"/>
          <w:sz w:val="28"/>
          <w:szCs w:val="28"/>
        </w:rPr>
      </w:pPr>
      <w:r>
        <w:rPr>
          <w:rFonts w:hint="eastAsia" w:ascii="仿宋" w:hAnsi="仿宋" w:eastAsia="仿宋" w:cs="仿宋"/>
          <w:i w:val="0"/>
          <w:iCs w:val="0"/>
          <w:caps w:val="0"/>
          <w:spacing w:val="0"/>
          <w:sz w:val="28"/>
          <w:szCs w:val="28"/>
        </w:rPr>
        <w:t>1.采购人信息</w:t>
      </w:r>
    </w:p>
    <w:p w14:paraId="4A572911">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spacing w:val="0"/>
          <w:sz w:val="28"/>
          <w:szCs w:val="28"/>
          <w:lang w:val="en-US" w:eastAsia="zh-CN"/>
        </w:rPr>
        <w:t>：吐鲁</w:t>
      </w:r>
      <w:r>
        <w:rPr>
          <w:rFonts w:hint="eastAsia" w:ascii="仿宋" w:hAnsi="仿宋" w:eastAsia="仿宋" w:cs="仿宋"/>
          <w:i w:val="0"/>
          <w:iCs w:val="0"/>
          <w:caps w:val="0"/>
          <w:color w:val="000000"/>
          <w:spacing w:val="0"/>
          <w:sz w:val="28"/>
          <w:szCs w:val="28"/>
          <w:lang w:val="en-US" w:eastAsia="zh-CN"/>
        </w:rPr>
        <w:t>番市应急救援队</w:t>
      </w:r>
    </w:p>
    <w:p w14:paraId="3259A460">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 xml:space="preserve">地 </w:t>
      </w:r>
      <w:r>
        <w:rPr>
          <w:rFonts w:hint="eastAsia" w:ascii="仿宋" w:hAnsi="仿宋" w:eastAsia="仿宋" w:cs="仿宋"/>
          <w:i w:val="0"/>
          <w:iCs w:val="0"/>
          <w:caps w:val="0"/>
          <w:color w:val="000000"/>
          <w:spacing w:val="0"/>
          <w:sz w:val="28"/>
          <w:szCs w:val="28"/>
          <w:lang w:val="en-US" w:eastAsia="zh-CN"/>
        </w:rPr>
        <w:t>址：</w:t>
      </w:r>
      <w:r>
        <w:rPr>
          <w:rFonts w:hint="eastAsia" w:ascii="仿宋" w:hAnsi="仿宋" w:eastAsia="仿宋" w:cs="仿宋"/>
          <w:i w:val="0"/>
          <w:iCs w:val="0"/>
          <w:caps w:val="0"/>
          <w:color w:val="000000"/>
          <w:spacing w:val="0"/>
          <w:sz w:val="28"/>
          <w:szCs w:val="28"/>
        </w:rPr>
        <w:t>吐鲁番市新区新能源示范区艾丁湖路</w:t>
      </w:r>
    </w:p>
    <w:p w14:paraId="5DAE54E9">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val="en-US" w:eastAsia="zh-CN"/>
        </w:rPr>
        <w:t xml:space="preserve">：0995-8636338 </w:t>
      </w:r>
    </w:p>
    <w:p w14:paraId="0B6D37CA">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2.采购代理机构信息</w:t>
      </w:r>
    </w:p>
    <w:p w14:paraId="509EB065">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eastAsia="zh-CN"/>
        </w:rPr>
        <w:t>新疆华域天恒工程管理有限公司</w:t>
      </w:r>
    </w:p>
    <w:p w14:paraId="02BD8847">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 址：吐鲁番市高昌区示范区和平街11幢2层201号 </w:t>
      </w:r>
    </w:p>
    <w:p w14:paraId="6C4AFA25">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val="en-US" w:eastAsia="zh-CN"/>
        </w:rPr>
        <w:t>13899314280</w:t>
      </w:r>
    </w:p>
    <w:p w14:paraId="1F195446">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3.项目联系方式</w:t>
      </w:r>
    </w:p>
    <w:p w14:paraId="5D169958">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项目联系人：</w:t>
      </w:r>
      <w:r>
        <w:rPr>
          <w:rFonts w:hint="eastAsia" w:ascii="仿宋" w:hAnsi="仿宋" w:eastAsia="仿宋" w:cs="仿宋"/>
          <w:i w:val="0"/>
          <w:iCs w:val="0"/>
          <w:caps w:val="0"/>
          <w:color w:val="000000"/>
          <w:spacing w:val="0"/>
          <w:sz w:val="28"/>
          <w:szCs w:val="28"/>
          <w:lang w:val="en-US" w:eastAsia="zh-CN"/>
        </w:rPr>
        <w:t>马丽娜</w:t>
      </w:r>
    </w:p>
    <w:p w14:paraId="1180A4AC">
      <w:pPr>
        <w:pStyle w:val="22"/>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000000"/>
          <w:spacing w:val="0"/>
          <w:sz w:val="28"/>
          <w:szCs w:val="28"/>
        </w:rPr>
        <w:t>电 话：</w:t>
      </w:r>
      <w:r>
        <w:rPr>
          <w:rFonts w:hint="eastAsia" w:ascii="仿宋" w:hAnsi="仿宋" w:eastAsia="仿宋" w:cs="仿宋"/>
          <w:i w:val="0"/>
          <w:iCs w:val="0"/>
          <w:caps w:val="0"/>
          <w:color w:val="000000"/>
          <w:spacing w:val="0"/>
          <w:sz w:val="28"/>
          <w:szCs w:val="28"/>
          <w:lang w:val="en-US" w:eastAsia="zh-CN"/>
        </w:rPr>
        <w:t>13899314280</w:t>
      </w:r>
      <w:r>
        <w:rPr>
          <w:rFonts w:hint="eastAsia" w:ascii="仿宋" w:hAnsi="仿宋" w:eastAsia="仿宋" w:cs="仿宋"/>
          <w:i w:val="0"/>
          <w:iCs w:val="0"/>
          <w:caps w:val="0"/>
          <w:color w:val="auto"/>
          <w:spacing w:val="0"/>
          <w:sz w:val="28"/>
          <w:szCs w:val="28"/>
          <w:lang w:val="en-US" w:eastAsia="zh-CN"/>
        </w:rPr>
        <w:t xml:space="preserve"> </w:t>
      </w:r>
    </w:p>
    <w:p w14:paraId="6FC21E28">
      <w:pPr>
        <w:pStyle w:val="22"/>
        <w:keepNext w:val="0"/>
        <w:keepLines w:val="0"/>
        <w:pageBreakBefore w:val="0"/>
        <w:widowControl/>
        <w:suppressLineNumbers w:val="0"/>
        <w:kinsoku/>
        <w:wordWrap/>
        <w:overflowPunct/>
        <w:topLinePunct w:val="0"/>
        <w:autoSpaceDE/>
        <w:autoSpaceDN/>
        <w:bidi w:val="0"/>
        <w:adjustRightInd/>
        <w:snapToGrid/>
        <w:spacing w:line="340" w:lineRule="exact"/>
        <w:ind w:left="0" w:firstLine="420"/>
        <w:jc w:val="right"/>
        <w:textAlignment w:val="auto"/>
      </w:pPr>
      <w:r>
        <w:rPr>
          <w:rFonts w:hint="eastAsia" w:ascii="仿宋" w:hAnsi="仿宋" w:eastAsia="仿宋" w:cs="仿宋"/>
          <w:i w:val="0"/>
          <w:iCs w:val="0"/>
          <w:caps w:val="0"/>
          <w:color w:val="auto"/>
          <w:spacing w:val="0"/>
          <w:sz w:val="28"/>
          <w:szCs w:val="28"/>
        </w:rPr>
        <w:t>202</w:t>
      </w:r>
      <w:r>
        <w:rPr>
          <w:rFonts w:hint="eastAsia" w:ascii="仿宋" w:hAnsi="仿宋" w:eastAsia="仿宋" w:cs="仿宋"/>
          <w:i w:val="0"/>
          <w:iCs w:val="0"/>
          <w:caps w:val="0"/>
          <w:color w:val="auto"/>
          <w:spacing w:val="0"/>
          <w:sz w:val="28"/>
          <w:szCs w:val="28"/>
          <w:lang w:val="en-US" w:eastAsia="zh-CN"/>
        </w:rPr>
        <w:t>6</w:t>
      </w:r>
      <w:r>
        <w:rPr>
          <w:rFonts w:hint="eastAsia" w:ascii="仿宋" w:hAnsi="仿宋" w:eastAsia="仿宋" w:cs="仿宋"/>
          <w:i w:val="0"/>
          <w:iCs w:val="0"/>
          <w:caps w:val="0"/>
          <w:color w:val="auto"/>
          <w:spacing w:val="0"/>
          <w:sz w:val="28"/>
          <w:szCs w:val="28"/>
        </w:rPr>
        <w:t>年</w:t>
      </w:r>
      <w:r>
        <w:rPr>
          <w:rFonts w:hint="eastAsia" w:ascii="仿宋" w:hAnsi="仿宋" w:eastAsia="仿宋" w:cs="仿宋"/>
          <w:i w:val="0"/>
          <w:iCs w:val="0"/>
          <w:caps w:val="0"/>
          <w:color w:val="auto"/>
          <w:spacing w:val="0"/>
          <w:sz w:val="28"/>
          <w:szCs w:val="28"/>
          <w:lang w:val="en-US" w:eastAsia="zh-CN"/>
        </w:rPr>
        <w:t>05</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21</w:t>
      </w:r>
      <w:r>
        <w:rPr>
          <w:rFonts w:hint="eastAsia" w:ascii="仿宋" w:hAnsi="仿宋" w:eastAsia="仿宋" w:cs="仿宋"/>
          <w:i w:val="0"/>
          <w:iCs w:val="0"/>
          <w:caps w:val="0"/>
          <w:color w:val="auto"/>
          <w:spacing w:val="0"/>
          <w:sz w:val="28"/>
          <w:szCs w:val="28"/>
        </w:rPr>
        <w:t>日</w:t>
      </w:r>
    </w:p>
    <w:p w14:paraId="5A115049">
      <w:pPr>
        <w:pStyle w:val="2"/>
        <w:pageBreakBefore w:val="0"/>
        <w:kinsoku/>
        <w:wordWrap/>
        <w:overflowPunct/>
        <w:topLinePunct w:val="0"/>
        <w:bidi w:val="0"/>
        <w:spacing w:beforeAutospacing="0" w:after="0" w:afterAutospacing="0" w:line="400" w:lineRule="exact"/>
        <w:ind w:left="0" w:leftChars="0" w:firstLine="0" w:firstLineChars="0"/>
        <w:jc w:val="both"/>
        <w:rPr>
          <w:rStyle w:val="29"/>
          <w:rFonts w:hint="eastAsia" w:ascii="宋体" w:hAnsi="宋体" w:eastAsia="宋体" w:cs="宋体"/>
          <w:b/>
          <w:bCs/>
          <w:color w:val="auto"/>
          <w:w w:val="90"/>
          <w:sz w:val="36"/>
          <w:szCs w:val="36"/>
          <w:u w:val="none"/>
          <w:lang w:val="en-US" w:eastAsia="zh-CN"/>
        </w:rPr>
      </w:pPr>
    </w:p>
    <w:p w14:paraId="20DF6456">
      <w:pPr>
        <w:pStyle w:val="3"/>
        <w:rPr>
          <w:rStyle w:val="29"/>
          <w:rFonts w:hint="eastAsia" w:ascii="宋体" w:hAnsi="宋体" w:eastAsia="宋体" w:cs="宋体"/>
          <w:b/>
          <w:bCs/>
          <w:color w:val="auto"/>
          <w:w w:val="90"/>
          <w:sz w:val="36"/>
          <w:szCs w:val="36"/>
          <w:u w:val="none"/>
          <w:lang w:val="en-US" w:eastAsia="zh-CN"/>
        </w:rPr>
      </w:pPr>
    </w:p>
    <w:p w14:paraId="6FE27622">
      <w:pPr>
        <w:pStyle w:val="4"/>
        <w:rPr>
          <w:rStyle w:val="29"/>
          <w:rFonts w:hint="eastAsia" w:ascii="宋体" w:hAnsi="宋体" w:eastAsia="宋体" w:cs="宋体"/>
          <w:b/>
          <w:bCs/>
          <w:color w:val="auto"/>
          <w:w w:val="90"/>
          <w:sz w:val="36"/>
          <w:szCs w:val="36"/>
          <w:u w:val="none"/>
          <w:lang w:val="en-US" w:eastAsia="zh-CN"/>
        </w:rPr>
      </w:pPr>
    </w:p>
    <w:p w14:paraId="29C5E76C">
      <w:pPr>
        <w:rPr>
          <w:rStyle w:val="29"/>
          <w:rFonts w:hint="eastAsia" w:ascii="宋体" w:hAnsi="宋体" w:eastAsia="宋体" w:cs="宋体"/>
          <w:b/>
          <w:bCs/>
          <w:color w:val="auto"/>
          <w:w w:val="90"/>
          <w:sz w:val="36"/>
          <w:szCs w:val="36"/>
          <w:u w:val="none"/>
          <w:lang w:val="en-US" w:eastAsia="zh-CN"/>
        </w:rPr>
      </w:pPr>
    </w:p>
    <w:p w14:paraId="3A06D4BA">
      <w:pPr>
        <w:rPr>
          <w:rStyle w:val="29"/>
          <w:rFonts w:hint="eastAsia" w:ascii="宋体" w:hAnsi="宋体" w:eastAsia="宋体" w:cs="宋体"/>
          <w:b/>
          <w:bCs/>
          <w:color w:val="auto"/>
          <w:w w:val="90"/>
          <w:sz w:val="36"/>
          <w:szCs w:val="36"/>
          <w:u w:val="none"/>
          <w:lang w:val="en-US" w:eastAsia="zh-CN"/>
        </w:rPr>
      </w:pPr>
    </w:p>
    <w:p w14:paraId="2B415587">
      <w:pPr>
        <w:rPr>
          <w:rStyle w:val="29"/>
          <w:rFonts w:hint="eastAsia" w:ascii="宋体" w:hAnsi="宋体" w:eastAsia="宋体" w:cs="宋体"/>
          <w:b/>
          <w:bCs/>
          <w:color w:val="auto"/>
          <w:w w:val="90"/>
          <w:sz w:val="36"/>
          <w:szCs w:val="36"/>
          <w:u w:val="none"/>
          <w:lang w:val="en-US" w:eastAsia="zh-CN"/>
        </w:rPr>
      </w:pPr>
    </w:p>
    <w:p w14:paraId="4BFDCB4B">
      <w:pPr>
        <w:rPr>
          <w:rStyle w:val="29"/>
          <w:rFonts w:hint="eastAsia" w:ascii="宋体" w:hAnsi="宋体" w:eastAsia="宋体" w:cs="宋体"/>
          <w:b/>
          <w:bCs/>
          <w:color w:val="auto"/>
          <w:w w:val="90"/>
          <w:sz w:val="36"/>
          <w:szCs w:val="36"/>
          <w:u w:val="none"/>
          <w:lang w:val="en-US" w:eastAsia="zh-CN"/>
        </w:rPr>
      </w:pPr>
    </w:p>
    <w:p w14:paraId="4DE97AF4">
      <w:pPr>
        <w:pStyle w:val="2"/>
        <w:pageBreakBefore w:val="0"/>
        <w:kinsoku/>
        <w:wordWrap/>
        <w:overflowPunct/>
        <w:topLinePunct w:val="0"/>
        <w:bidi w:val="0"/>
        <w:spacing w:beforeAutospacing="0" w:after="0" w:afterAutospacing="0" w:line="400" w:lineRule="exact"/>
        <w:jc w:val="center"/>
        <w:rPr>
          <w:rStyle w:val="29"/>
          <w:rFonts w:hint="eastAsia" w:ascii="宋体" w:hAnsi="宋体" w:eastAsia="宋体" w:cs="宋体"/>
          <w:b/>
          <w:bCs/>
          <w:color w:val="auto"/>
          <w:w w:val="90"/>
          <w:sz w:val="36"/>
          <w:szCs w:val="36"/>
          <w:u w:val="none"/>
          <w:lang w:val="en-US" w:eastAsia="zh-CN"/>
        </w:rPr>
      </w:pPr>
      <w:r>
        <w:rPr>
          <w:rStyle w:val="29"/>
          <w:rFonts w:hint="eastAsia" w:ascii="宋体" w:hAnsi="宋体" w:eastAsia="宋体" w:cs="宋体"/>
          <w:b/>
          <w:bCs/>
          <w:color w:val="auto"/>
          <w:w w:val="90"/>
          <w:sz w:val="36"/>
          <w:szCs w:val="36"/>
          <w:u w:val="none"/>
          <w:lang w:val="en-US" w:eastAsia="zh-CN"/>
        </w:rPr>
        <w:t>第二章 投标人须知前附表</w:t>
      </w:r>
    </w:p>
    <w:tbl>
      <w:tblPr>
        <w:tblStyle w:val="24"/>
        <w:tblW w:w="1019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47"/>
        <w:gridCol w:w="1619"/>
        <w:gridCol w:w="8032"/>
      </w:tblGrid>
      <w:tr w14:paraId="59DFB9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 w:hRule="exact"/>
          <w:tblHeader/>
          <w:jc w:val="center"/>
        </w:trPr>
        <w:tc>
          <w:tcPr>
            <w:tcW w:w="547" w:type="dxa"/>
            <w:noWrap w:val="0"/>
            <w:vAlign w:val="center"/>
          </w:tcPr>
          <w:p w14:paraId="7DCFB1E0">
            <w:pPr>
              <w:pStyle w:val="43"/>
              <w:keepNext w:val="0"/>
              <w:keepLines w:val="0"/>
              <w:pageBreakBefore w:val="0"/>
              <w:kinsoku/>
              <w:wordWrap/>
              <w:topLinePunct w:val="0"/>
              <w:bidi w:val="0"/>
              <w:spacing w:line="400" w:lineRule="exact"/>
              <w:ind w:left="9"/>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1619" w:type="dxa"/>
            <w:noWrap w:val="0"/>
            <w:vAlign w:val="center"/>
          </w:tcPr>
          <w:p w14:paraId="71E15520">
            <w:pPr>
              <w:pStyle w:val="43"/>
              <w:keepNext w:val="0"/>
              <w:keepLines w:val="0"/>
              <w:pageBreakBefore w:val="0"/>
              <w:kinsoku/>
              <w:wordWrap/>
              <w:topLinePunct w:val="0"/>
              <w:bidi w:val="0"/>
              <w:spacing w:line="400" w:lineRule="exact"/>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条款名称</w:t>
            </w:r>
          </w:p>
        </w:tc>
        <w:tc>
          <w:tcPr>
            <w:tcW w:w="8032" w:type="dxa"/>
            <w:noWrap w:val="0"/>
            <w:vAlign w:val="center"/>
          </w:tcPr>
          <w:p w14:paraId="0E1EE54C">
            <w:pPr>
              <w:pStyle w:val="43"/>
              <w:keepNext w:val="0"/>
              <w:keepLines w:val="0"/>
              <w:pageBreakBefore w:val="0"/>
              <w:kinsoku/>
              <w:wordWrap/>
              <w:topLinePunct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说明和要求</w:t>
            </w:r>
          </w:p>
        </w:tc>
      </w:tr>
      <w:tr w14:paraId="1DE92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8" w:hRule="atLeast"/>
          <w:jc w:val="center"/>
        </w:trPr>
        <w:tc>
          <w:tcPr>
            <w:tcW w:w="547" w:type="dxa"/>
            <w:noWrap w:val="0"/>
            <w:vAlign w:val="center"/>
          </w:tcPr>
          <w:p w14:paraId="0D0A5F77">
            <w:pPr>
              <w:pStyle w:val="43"/>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619" w:type="dxa"/>
            <w:noWrap w:val="0"/>
            <w:vAlign w:val="center"/>
          </w:tcPr>
          <w:p w14:paraId="71608354">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项目情况</w:t>
            </w:r>
          </w:p>
        </w:tc>
        <w:tc>
          <w:tcPr>
            <w:tcW w:w="8032" w:type="dxa"/>
            <w:noWrap w:val="0"/>
            <w:vAlign w:val="center"/>
          </w:tcPr>
          <w:p w14:paraId="772A2494">
            <w:pPr>
              <w:pStyle w:val="43"/>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项目名称：</w:t>
            </w:r>
            <w:r>
              <w:rPr>
                <w:rFonts w:hint="eastAsia" w:cs="宋体"/>
                <w:color w:val="000000" w:themeColor="text1"/>
                <w:sz w:val="24"/>
                <w:szCs w:val="24"/>
                <w:lang w:val="en-US" w:eastAsia="zh-CN"/>
                <w14:textFill>
                  <w14:solidFill>
                    <w14:schemeClr w14:val="tx1"/>
                  </w14:solidFill>
                </w14:textFill>
              </w:rPr>
              <w:t>新疆吐鲁番市应急救援队设备更新项目（结余资金）补充采购</w:t>
            </w:r>
          </w:p>
          <w:p w14:paraId="59CD3A6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项目编</w:t>
            </w:r>
            <w:r>
              <w:rPr>
                <w:rFonts w:hint="eastAsia" w:ascii="宋体" w:hAnsi="宋体" w:eastAsia="宋体" w:cs="宋体"/>
                <w:color w:val="000000" w:themeColor="text1"/>
                <w:kern w:val="0"/>
                <w:sz w:val="24"/>
                <w:szCs w:val="24"/>
                <w:lang w:val="en-US" w:eastAsia="zh-CN" w:bidi="ar-SA"/>
                <w14:textFill>
                  <w14:solidFill>
                    <w14:schemeClr w14:val="tx1"/>
                  </w14:solidFill>
                </w14:textFill>
              </w:rPr>
              <w:t>号：</w:t>
            </w:r>
            <w:r>
              <w:rPr>
                <w:rFonts w:hint="eastAsia" w:cs="宋体"/>
                <w:color w:val="000000" w:themeColor="text1"/>
                <w:kern w:val="0"/>
                <w:sz w:val="24"/>
                <w:szCs w:val="24"/>
                <w:lang w:val="en-US" w:eastAsia="zh-CN" w:bidi="ar-SA"/>
                <w14:textFill>
                  <w14:solidFill>
                    <w14:schemeClr w14:val="tx1"/>
                  </w14:solidFill>
                </w14:textFill>
              </w:rPr>
              <w:t>HYTH(GK)2026-28</w:t>
            </w:r>
          </w:p>
          <w:p w14:paraId="15AE9B43">
            <w:pPr>
              <w:pStyle w:val="43"/>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招标内</w:t>
            </w:r>
            <w:r>
              <w:rPr>
                <w:rFonts w:hint="eastAsia" w:ascii="宋体" w:hAnsi="宋体" w:eastAsia="宋体" w:cs="宋体"/>
                <w:color w:val="000000" w:themeColor="text1"/>
                <w:sz w:val="24"/>
                <w:szCs w:val="24"/>
                <w:lang w:val="en-US" w:eastAsia="zh-CN"/>
                <w14:textFill>
                  <w14:solidFill>
                    <w14:schemeClr w14:val="tx1"/>
                  </w14:solidFill>
                </w14:textFill>
              </w:rPr>
              <w:t xml:space="preserve">容：采购本安型灭火机器人1台、多功能破拆机器人1台、正压氧气呼吸器4台，共计6台。  </w:t>
            </w:r>
          </w:p>
          <w:p w14:paraId="4AEE0F5C">
            <w:pPr>
              <w:pStyle w:val="43"/>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预算金额：</w:t>
            </w:r>
            <w:r>
              <w:rPr>
                <w:rFonts w:hint="eastAsia" w:cs="宋体"/>
                <w:color w:val="000000" w:themeColor="text1"/>
                <w:sz w:val="24"/>
                <w:szCs w:val="24"/>
                <w:lang w:val="en-US" w:eastAsia="zh-CN"/>
                <w14:textFill>
                  <w14:solidFill>
                    <w14:schemeClr w14:val="tx1"/>
                  </w14:solidFill>
                </w14:textFill>
              </w:rPr>
              <w:t>2160000</w:t>
            </w:r>
            <w:r>
              <w:rPr>
                <w:rFonts w:hint="eastAsia" w:ascii="宋体" w:hAnsi="宋体" w:eastAsia="宋体" w:cs="宋体"/>
                <w:color w:val="000000" w:themeColor="text1"/>
                <w:sz w:val="24"/>
                <w:szCs w:val="24"/>
                <w:lang w:val="en-US" w:eastAsia="zh-CN"/>
                <w14:textFill>
                  <w14:solidFill>
                    <w14:schemeClr w14:val="tx1"/>
                  </w14:solidFill>
                </w14:textFill>
              </w:rPr>
              <w:t>.00元</w:t>
            </w:r>
          </w:p>
          <w:p w14:paraId="3F0A1B1C">
            <w:pPr>
              <w:pStyle w:val="43"/>
              <w:keepNext w:val="0"/>
              <w:keepLines w:val="0"/>
              <w:pageBreakBefore w:val="0"/>
              <w:kinsoku/>
              <w:wordWrap/>
              <w:topLinePunct w:val="0"/>
              <w:bidi w:val="0"/>
              <w:spacing w:line="400" w:lineRule="exac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最高限价：</w:t>
            </w:r>
            <w:r>
              <w:rPr>
                <w:rFonts w:hint="eastAsia" w:cs="宋体"/>
                <w:color w:val="000000" w:themeColor="text1"/>
                <w:kern w:val="0"/>
                <w:sz w:val="24"/>
                <w:szCs w:val="24"/>
                <w:lang w:val="en-US" w:eastAsia="zh-CN" w:bidi="ar-SA"/>
                <w14:textFill>
                  <w14:solidFill>
                    <w14:schemeClr w14:val="tx1"/>
                  </w14:solidFill>
                </w14:textFill>
              </w:rPr>
              <w:t>2160000</w:t>
            </w:r>
            <w:r>
              <w:rPr>
                <w:rFonts w:hint="eastAsia" w:ascii="宋体" w:hAnsi="宋体" w:eastAsia="宋体" w:cs="宋体"/>
                <w:color w:val="000000" w:themeColor="text1"/>
                <w:kern w:val="0"/>
                <w:sz w:val="24"/>
                <w:szCs w:val="24"/>
                <w:lang w:val="en-US" w:eastAsia="zh-CN" w:bidi="ar-SA"/>
                <w14:textFill>
                  <w14:solidFill>
                    <w14:schemeClr w14:val="tx1"/>
                  </w14:solidFill>
                </w14:textFill>
              </w:rPr>
              <w:t>.00元</w:t>
            </w:r>
            <w:r>
              <w:rPr>
                <w:rFonts w:hint="eastAsia" w:ascii="宋体" w:hAnsi="宋体" w:eastAsia="宋体" w:cs="宋体"/>
                <w:b/>
                <w:bCs/>
                <w:color w:val="000000" w:themeColor="text1"/>
                <w:sz w:val="24"/>
                <w:szCs w:val="24"/>
                <w:lang w:val="en-US" w:eastAsia="zh-CN"/>
                <w14:textFill>
                  <w14:solidFill>
                    <w14:schemeClr w14:val="tx1"/>
                  </w14:solidFill>
                </w14:textFill>
              </w:rPr>
              <w:t>（注：投标报价超过最高限价按无效标处理）</w:t>
            </w:r>
          </w:p>
          <w:p w14:paraId="2E6E6F6F">
            <w:pPr>
              <w:pStyle w:val="43"/>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供货期：合同签订后</w:t>
            </w:r>
            <w:r>
              <w:rPr>
                <w:rFonts w:hint="eastAsia"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lang w:val="en-US" w:eastAsia="zh-CN"/>
                <w14:textFill>
                  <w14:solidFill>
                    <w14:schemeClr w14:val="tx1"/>
                  </w14:solidFill>
                </w14:textFill>
              </w:rPr>
              <w:t>天内完成供货及安装</w:t>
            </w:r>
          </w:p>
          <w:p w14:paraId="3CCED6E0">
            <w:pPr>
              <w:pStyle w:val="43"/>
              <w:keepNext w:val="0"/>
              <w:keepLines w:val="0"/>
              <w:pageBreakBefore w:val="0"/>
              <w:kinsoku/>
              <w:wordWrap/>
              <w:topLinePunct w:val="0"/>
              <w:bidi w:val="0"/>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质保期：3年</w:t>
            </w:r>
          </w:p>
        </w:tc>
      </w:tr>
      <w:tr w14:paraId="6E7E1E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8" w:hRule="atLeast"/>
          <w:jc w:val="center"/>
        </w:trPr>
        <w:tc>
          <w:tcPr>
            <w:tcW w:w="547" w:type="dxa"/>
            <w:noWrap w:val="0"/>
            <w:vAlign w:val="center"/>
          </w:tcPr>
          <w:p w14:paraId="034D07A5">
            <w:pPr>
              <w:pStyle w:val="43"/>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1619" w:type="dxa"/>
            <w:noWrap w:val="0"/>
            <w:vAlign w:val="center"/>
          </w:tcPr>
          <w:p w14:paraId="17A5BC3B">
            <w:pPr>
              <w:pStyle w:val="43"/>
              <w:keepNext w:val="0"/>
              <w:keepLines w:val="0"/>
              <w:pageBreakBefore w:val="0"/>
              <w:kinsoku/>
              <w:wordWrap/>
              <w:topLinePunct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采购单位</w:t>
            </w:r>
          </w:p>
        </w:tc>
        <w:tc>
          <w:tcPr>
            <w:tcW w:w="8032" w:type="dxa"/>
            <w:noWrap w:val="0"/>
            <w:vAlign w:val="center"/>
          </w:tcPr>
          <w:p w14:paraId="70544B1F">
            <w:pPr>
              <w:pStyle w:val="43"/>
              <w:keepNext w:val="0"/>
              <w:keepLines w:val="0"/>
              <w:pageBreakBefore w:val="0"/>
              <w:kinsoku/>
              <w:wordWrap/>
              <w:topLinePunct w:val="0"/>
              <w:bidi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cs="宋体"/>
                <w:color w:val="auto"/>
                <w:sz w:val="24"/>
                <w:szCs w:val="24"/>
                <w:lang w:val="en-US" w:eastAsia="zh-CN"/>
              </w:rPr>
              <w:t>吐鲁番市应急救援队</w:t>
            </w:r>
          </w:p>
          <w:p w14:paraId="64100EAA">
            <w:pPr>
              <w:pStyle w:val="43"/>
              <w:keepNext w:val="0"/>
              <w:keepLines w:val="0"/>
              <w:pageBreakBefore w:val="0"/>
              <w:kinsoku/>
              <w:wordWrap/>
              <w:topLinePunct w:val="0"/>
              <w:bidi w:val="0"/>
              <w:spacing w:line="400" w:lineRule="exact"/>
              <w:rPr>
                <w:rFonts w:hint="eastAsia" w:cs="宋体"/>
                <w:color w:val="auto"/>
                <w:sz w:val="24"/>
                <w:szCs w:val="24"/>
                <w:lang w:val="en-US" w:eastAsia="zh-CN"/>
              </w:rPr>
            </w:pPr>
            <w:r>
              <w:rPr>
                <w:rFonts w:hint="eastAsia" w:ascii="宋体" w:hAnsi="宋体" w:eastAsia="宋体" w:cs="宋体"/>
                <w:color w:val="auto"/>
                <w:sz w:val="24"/>
                <w:szCs w:val="24"/>
                <w:lang w:val="en-US" w:eastAsia="zh-CN"/>
              </w:rPr>
              <w:t>地 址</w:t>
            </w:r>
            <w:r>
              <w:rPr>
                <w:rFonts w:hint="eastAsia" w:cs="宋体"/>
                <w:color w:val="auto"/>
                <w:sz w:val="24"/>
                <w:szCs w:val="24"/>
                <w:lang w:val="en-US" w:eastAsia="zh-CN"/>
              </w:rPr>
              <w:t>：吐鲁番市新区新能源示范区艾丁湖路</w:t>
            </w:r>
          </w:p>
          <w:p w14:paraId="47139578">
            <w:pPr>
              <w:pStyle w:val="43"/>
              <w:keepNext w:val="0"/>
              <w:keepLines w:val="0"/>
              <w:pageBreakBefore w:val="0"/>
              <w:kinsoku/>
              <w:wordWrap/>
              <w:topLinePunct w:val="0"/>
              <w:bidi w:val="0"/>
              <w:spacing w:line="400" w:lineRule="exact"/>
              <w:rPr>
                <w:rFonts w:hint="eastAsia" w:cs="宋体"/>
                <w:color w:val="auto"/>
                <w:sz w:val="24"/>
                <w:szCs w:val="24"/>
                <w:lang w:val="en-US" w:eastAsia="zh-CN"/>
              </w:rPr>
            </w:pPr>
            <w:r>
              <w:rPr>
                <w:rFonts w:hint="eastAsia" w:cs="宋体"/>
                <w:color w:val="auto"/>
                <w:sz w:val="24"/>
                <w:szCs w:val="24"/>
                <w:lang w:val="en-US" w:eastAsia="zh-CN"/>
              </w:rPr>
              <w:t>联系人：李永峰</w:t>
            </w:r>
          </w:p>
          <w:p w14:paraId="6CDFE90E">
            <w:pPr>
              <w:pStyle w:val="43"/>
              <w:keepNext w:val="0"/>
              <w:keepLines w:val="0"/>
              <w:pageBreakBefore w:val="0"/>
              <w:kinsoku/>
              <w:wordWrap/>
              <w:topLinePunct w:val="0"/>
              <w:bidi w:val="0"/>
              <w:spacing w:line="400" w:lineRule="exact"/>
              <w:rPr>
                <w:rFonts w:hint="default" w:ascii="宋体" w:hAnsi="宋体" w:eastAsia="宋体" w:cs="宋体"/>
                <w:color w:val="auto"/>
                <w:kern w:val="2"/>
                <w:sz w:val="24"/>
                <w:szCs w:val="24"/>
                <w:lang w:val="en-US" w:eastAsia="zh-CN"/>
              </w:rPr>
            </w:pPr>
            <w:r>
              <w:rPr>
                <w:rFonts w:hint="eastAsia" w:cs="宋体"/>
                <w:color w:val="auto"/>
                <w:sz w:val="24"/>
                <w:szCs w:val="24"/>
                <w:lang w:val="en-US" w:eastAsia="zh-CN"/>
              </w:rPr>
              <w:t xml:space="preserve">联系电话：0995-8636338  </w:t>
            </w:r>
          </w:p>
        </w:tc>
      </w:tr>
      <w:tr w14:paraId="5EF93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6F5E6129">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3</w:t>
            </w:r>
          </w:p>
        </w:tc>
        <w:tc>
          <w:tcPr>
            <w:tcW w:w="1619" w:type="dxa"/>
            <w:noWrap w:val="0"/>
            <w:vAlign w:val="center"/>
          </w:tcPr>
          <w:p w14:paraId="70985F21">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招标代理机构</w:t>
            </w:r>
          </w:p>
        </w:tc>
        <w:tc>
          <w:tcPr>
            <w:tcW w:w="8032" w:type="dxa"/>
            <w:noWrap w:val="0"/>
            <w:vAlign w:val="center"/>
          </w:tcPr>
          <w:p w14:paraId="47EBB231">
            <w:pPr>
              <w:pStyle w:val="43"/>
              <w:keepNext w:val="0"/>
              <w:keepLines w:val="0"/>
              <w:pageBreakBefore w:val="0"/>
              <w:kinsoku/>
              <w:wordWrap/>
              <w:topLinePunct w:val="0"/>
              <w:bidi w:val="0"/>
              <w:spacing w:line="400" w:lineRule="exac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名 称：新疆华域天恒工程管理有限公司</w:t>
            </w:r>
          </w:p>
          <w:p w14:paraId="56E93268">
            <w:pPr>
              <w:pStyle w:val="43"/>
              <w:keepNext w:val="0"/>
              <w:keepLines w:val="0"/>
              <w:pageBreakBefore w:val="0"/>
              <w:kinsoku/>
              <w:wordWrap/>
              <w:topLinePunct w:val="0"/>
              <w:bidi w:val="0"/>
              <w:spacing w:line="400" w:lineRule="exac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地 址：吐鲁番市高昌区示范区和平街11幢2层201号</w:t>
            </w:r>
          </w:p>
          <w:p w14:paraId="781DAD12">
            <w:pPr>
              <w:pStyle w:val="43"/>
              <w:keepNext w:val="0"/>
              <w:keepLines w:val="0"/>
              <w:pageBreakBefore w:val="0"/>
              <w:kinsoku/>
              <w:wordWrap/>
              <w:topLinePunct w:val="0"/>
              <w:bidi w:val="0"/>
              <w:spacing w:line="40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联系人：</w:t>
            </w:r>
            <w:r>
              <w:rPr>
                <w:rFonts w:hint="eastAsia" w:ascii="宋体" w:hAnsi="宋体" w:eastAsia="宋体" w:cs="宋体"/>
                <w:color w:val="auto"/>
                <w:kern w:val="2"/>
                <w:sz w:val="24"/>
                <w:szCs w:val="24"/>
                <w:lang w:val="en-US" w:eastAsia="zh-CN"/>
              </w:rPr>
              <w:t>马丽娜</w:t>
            </w:r>
          </w:p>
          <w:p w14:paraId="2DE47FE8">
            <w:pPr>
              <w:pStyle w:val="43"/>
              <w:keepNext w:val="0"/>
              <w:keepLines w:val="0"/>
              <w:pageBreakBefore w:val="0"/>
              <w:kinsoku/>
              <w:wordWrap/>
              <w:topLinePunct w:val="0"/>
              <w:bidi w:val="0"/>
              <w:spacing w:line="400" w:lineRule="exac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联系方式：</w:t>
            </w:r>
            <w:r>
              <w:rPr>
                <w:rFonts w:hint="eastAsia" w:ascii="宋体" w:hAnsi="宋体" w:eastAsia="宋体" w:cs="宋体"/>
                <w:color w:val="auto"/>
                <w:kern w:val="2"/>
                <w:sz w:val="24"/>
                <w:szCs w:val="24"/>
                <w:lang w:val="en-US" w:eastAsia="zh-CN"/>
              </w:rPr>
              <w:t>13899314280</w:t>
            </w:r>
          </w:p>
        </w:tc>
      </w:tr>
      <w:tr w14:paraId="4DD527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50649253">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4</w:t>
            </w:r>
          </w:p>
        </w:tc>
        <w:tc>
          <w:tcPr>
            <w:tcW w:w="1619" w:type="dxa"/>
            <w:noWrap w:val="0"/>
            <w:vAlign w:val="center"/>
          </w:tcPr>
          <w:p w14:paraId="22656B6D">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投标人资格</w:t>
            </w:r>
          </w:p>
        </w:tc>
        <w:tc>
          <w:tcPr>
            <w:tcW w:w="8032" w:type="dxa"/>
            <w:noWrap w:val="0"/>
            <w:vAlign w:val="center"/>
          </w:tcPr>
          <w:p w14:paraId="339C2934">
            <w:pPr>
              <w:pStyle w:val="43"/>
              <w:keepNext w:val="0"/>
              <w:keepLines w:val="0"/>
              <w:pageBreakBefore w:val="0"/>
              <w:kinsoku/>
              <w:wordWrap/>
              <w:topLinePunct w:val="0"/>
              <w:bidi w:val="0"/>
              <w:spacing w:line="400" w:lineRule="exac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1.满足《中华人民共和国政府采购法》第二十二条规定；</w:t>
            </w:r>
          </w:p>
          <w:p w14:paraId="65E62897">
            <w:pPr>
              <w:pStyle w:val="43"/>
              <w:keepNext w:val="0"/>
              <w:keepLines w:val="0"/>
              <w:pageBreakBefore w:val="0"/>
              <w:kinsoku/>
              <w:wordWrap/>
              <w:topLinePunct w:val="0"/>
              <w:bidi w:val="0"/>
              <w:spacing w:line="40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2.落实政府采购政策需满足的资格要</w:t>
            </w:r>
            <w:r>
              <w:rPr>
                <w:rFonts w:hint="eastAsia" w:ascii="宋体" w:hAnsi="宋体" w:eastAsia="宋体" w:cs="宋体"/>
                <w:color w:val="auto"/>
                <w:kern w:val="2"/>
                <w:sz w:val="24"/>
                <w:szCs w:val="24"/>
                <w:lang w:val="en-US" w:eastAsia="zh-CN"/>
              </w:rPr>
              <w:t>求：</w:t>
            </w:r>
            <w:r>
              <w:rPr>
                <w:rFonts w:hint="eastAsia" w:ascii="宋体" w:hAnsi="宋体" w:eastAsia="宋体" w:cs="宋体"/>
                <w:color w:val="auto"/>
                <w:kern w:val="2"/>
                <w:sz w:val="24"/>
                <w:szCs w:val="24"/>
                <w:lang w:eastAsia="zh-CN"/>
              </w:rPr>
              <w:t>专门面向中小企业；</w:t>
            </w:r>
          </w:p>
          <w:p w14:paraId="39DF1794">
            <w:pPr>
              <w:pStyle w:val="43"/>
              <w:keepNext w:val="0"/>
              <w:keepLines w:val="0"/>
              <w:pageBreakBefore w:val="0"/>
              <w:kinsoku/>
              <w:wordWrap/>
              <w:topLinePunct w:val="0"/>
              <w:bidi w:val="0"/>
              <w:spacing w:line="400" w:lineRule="exac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3.本项目的特定资格要求：无</w:t>
            </w:r>
          </w:p>
        </w:tc>
      </w:tr>
      <w:tr w14:paraId="038645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noWrap w:val="0"/>
            <w:vAlign w:val="center"/>
          </w:tcPr>
          <w:p w14:paraId="56F07C49">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619" w:type="dxa"/>
            <w:noWrap w:val="0"/>
            <w:vAlign w:val="center"/>
          </w:tcPr>
          <w:p w14:paraId="07080172">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是否接受联合体</w:t>
            </w:r>
          </w:p>
        </w:tc>
        <w:tc>
          <w:tcPr>
            <w:tcW w:w="8032" w:type="dxa"/>
            <w:noWrap w:val="0"/>
            <w:vAlign w:val="center"/>
          </w:tcPr>
          <w:p w14:paraId="224F7AC3">
            <w:pPr>
              <w:pStyle w:val="43"/>
              <w:keepNext w:val="0"/>
              <w:keepLines w:val="0"/>
              <w:pageBreakBefore w:val="0"/>
              <w:kinsoku/>
              <w:wordWrap/>
              <w:topLinePunct w:val="0"/>
              <w:bidi w:val="0"/>
              <w:spacing w:line="40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不接受</w:t>
            </w:r>
          </w:p>
        </w:tc>
      </w:tr>
      <w:tr w14:paraId="03BB2D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380D722B">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1619" w:type="dxa"/>
            <w:noWrap w:val="0"/>
            <w:vAlign w:val="center"/>
          </w:tcPr>
          <w:p w14:paraId="0977F852">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是否专门面向中小企业</w:t>
            </w:r>
          </w:p>
        </w:tc>
        <w:tc>
          <w:tcPr>
            <w:tcW w:w="8032" w:type="dxa"/>
            <w:noWrap w:val="0"/>
            <w:vAlign w:val="center"/>
          </w:tcPr>
          <w:p w14:paraId="730480DE">
            <w:pPr>
              <w:pStyle w:val="43"/>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cs="宋体"/>
                <w:color w:val="000000" w:themeColor="text1"/>
                <w:kern w:val="2"/>
                <w:sz w:val="24"/>
                <w:szCs w:val="24"/>
                <w:highlight w:val="none"/>
                <w:lang w:val="en-US" w:eastAsia="zh-CN"/>
                <w14:textFill>
                  <w14:solidFill>
                    <w14:schemeClr w14:val="tx1"/>
                  </w14:solidFill>
                </w14:textFill>
              </w:rPr>
              <w:t>是</w:t>
            </w:r>
          </w:p>
        </w:tc>
      </w:tr>
      <w:tr w14:paraId="445509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2B5E19C4">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7</w:t>
            </w:r>
          </w:p>
        </w:tc>
        <w:tc>
          <w:tcPr>
            <w:tcW w:w="1619" w:type="dxa"/>
            <w:noWrap w:val="0"/>
            <w:vAlign w:val="center"/>
          </w:tcPr>
          <w:p w14:paraId="33B37F77">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p>
        </w:tc>
        <w:tc>
          <w:tcPr>
            <w:tcW w:w="8032" w:type="dxa"/>
            <w:noWrap w:val="0"/>
            <w:vAlign w:val="center"/>
          </w:tcPr>
          <w:p w14:paraId="3A7F3D64">
            <w:pPr>
              <w:pStyle w:val="43"/>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合格</w:t>
            </w:r>
          </w:p>
        </w:tc>
      </w:tr>
      <w:tr w14:paraId="4F3488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1" w:hRule="exact"/>
          <w:jc w:val="center"/>
        </w:trPr>
        <w:tc>
          <w:tcPr>
            <w:tcW w:w="547" w:type="dxa"/>
            <w:noWrap w:val="0"/>
            <w:vAlign w:val="center"/>
          </w:tcPr>
          <w:p w14:paraId="2E202398">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8</w:t>
            </w:r>
          </w:p>
        </w:tc>
        <w:tc>
          <w:tcPr>
            <w:tcW w:w="1619" w:type="dxa"/>
            <w:noWrap w:val="0"/>
            <w:vAlign w:val="center"/>
          </w:tcPr>
          <w:p w14:paraId="18DA96BF">
            <w:pPr>
              <w:keepNext w:val="0"/>
              <w:keepLines w:val="0"/>
              <w:pageBreakBefore w:val="0"/>
              <w:widowControl/>
              <w:shd w:val="solid" w:color="FFFFFF" w:fill="auto"/>
              <w:kinsoku/>
              <w:wordWrap/>
              <w:overflowPunct/>
              <w:topLinePunct w:val="0"/>
              <w:autoSpaceDE/>
              <w:autoSpaceDN w:val="0"/>
              <w:bidi w:val="0"/>
              <w:adjustRightInd/>
              <w:snapToGrid/>
              <w:spacing w:line="40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构成招标文件的其他文件</w:t>
            </w:r>
          </w:p>
        </w:tc>
        <w:tc>
          <w:tcPr>
            <w:tcW w:w="8032" w:type="dxa"/>
            <w:noWrap w:val="0"/>
            <w:vAlign w:val="center"/>
          </w:tcPr>
          <w:p w14:paraId="0BB56E3F">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招标文件的澄清、修改书及有关补充通知为招标文件的有效组成部分。</w:t>
            </w:r>
          </w:p>
        </w:tc>
      </w:tr>
      <w:tr w14:paraId="16320D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7" w:hRule="exact"/>
          <w:jc w:val="center"/>
        </w:trPr>
        <w:tc>
          <w:tcPr>
            <w:tcW w:w="547" w:type="dxa"/>
            <w:noWrap w:val="0"/>
            <w:vAlign w:val="center"/>
          </w:tcPr>
          <w:p w14:paraId="3094D4DB">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9</w:t>
            </w:r>
          </w:p>
        </w:tc>
        <w:tc>
          <w:tcPr>
            <w:tcW w:w="1619" w:type="dxa"/>
            <w:noWrap w:val="0"/>
            <w:vAlign w:val="center"/>
          </w:tcPr>
          <w:p w14:paraId="440667DE">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投标有效期</w:t>
            </w:r>
          </w:p>
        </w:tc>
        <w:tc>
          <w:tcPr>
            <w:tcW w:w="8032" w:type="dxa"/>
            <w:noWrap w:val="0"/>
            <w:vAlign w:val="center"/>
          </w:tcPr>
          <w:p w14:paraId="365E4BBE">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 xml:space="preserve"> </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60</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日历天（投标有效期从提交投标文件的截止之日起算。有效期短于该规定期限的投标无效）</w:t>
            </w:r>
          </w:p>
        </w:tc>
      </w:tr>
      <w:tr w14:paraId="51E3DBF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7" w:hRule="exact"/>
          <w:jc w:val="center"/>
        </w:trPr>
        <w:tc>
          <w:tcPr>
            <w:tcW w:w="547" w:type="dxa"/>
            <w:noWrap w:val="0"/>
            <w:vAlign w:val="center"/>
          </w:tcPr>
          <w:p w14:paraId="10B350B0">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0</w:t>
            </w:r>
          </w:p>
        </w:tc>
        <w:tc>
          <w:tcPr>
            <w:tcW w:w="1619" w:type="dxa"/>
            <w:noWrap w:val="0"/>
            <w:vAlign w:val="center"/>
          </w:tcPr>
          <w:p w14:paraId="132D3CD5">
            <w:pPr>
              <w:pStyle w:val="43"/>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采购方式</w:t>
            </w:r>
          </w:p>
        </w:tc>
        <w:tc>
          <w:tcPr>
            <w:tcW w:w="8032" w:type="dxa"/>
            <w:noWrap w:val="0"/>
            <w:vAlign w:val="center"/>
          </w:tcPr>
          <w:p w14:paraId="54C2218F">
            <w:pPr>
              <w:pStyle w:val="43"/>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公开招标</w:t>
            </w:r>
          </w:p>
        </w:tc>
      </w:tr>
      <w:tr w14:paraId="66E352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1" w:hRule="atLeast"/>
          <w:jc w:val="center"/>
        </w:trPr>
        <w:tc>
          <w:tcPr>
            <w:tcW w:w="547" w:type="dxa"/>
            <w:noWrap w:val="0"/>
            <w:vAlign w:val="center"/>
          </w:tcPr>
          <w:p w14:paraId="2F14DB68">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1</w:t>
            </w:r>
          </w:p>
        </w:tc>
        <w:tc>
          <w:tcPr>
            <w:tcW w:w="1619" w:type="dxa"/>
            <w:noWrap w:val="0"/>
            <w:vAlign w:val="center"/>
          </w:tcPr>
          <w:p w14:paraId="68A4FA31">
            <w:pPr>
              <w:pStyle w:val="43"/>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评标方法</w:t>
            </w:r>
          </w:p>
        </w:tc>
        <w:tc>
          <w:tcPr>
            <w:tcW w:w="8032" w:type="dxa"/>
            <w:noWrap w:val="0"/>
            <w:vAlign w:val="center"/>
          </w:tcPr>
          <w:p w14:paraId="139262A6">
            <w:pPr>
              <w:pStyle w:val="43"/>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综合评分法</w:t>
            </w:r>
            <w:r>
              <w:rPr>
                <w:rFonts w:hint="eastAsia" w:ascii="宋体" w:hAnsi="宋体" w:eastAsia="宋体" w:cs="宋体"/>
                <w:color w:val="000000" w:themeColor="text1"/>
                <w:sz w:val="24"/>
                <w:szCs w:val="24"/>
                <w:lang w:val="en-US" w:eastAsia="zh-CN"/>
                <w14:textFill>
                  <w14:solidFill>
                    <w14:schemeClr w14:val="tx1"/>
                  </w14:solidFill>
                </w14:textFill>
              </w:rPr>
              <w:t xml:space="preserve">  评标权重：商务及技术评分</w:t>
            </w:r>
            <w:r>
              <w:rPr>
                <w:rFonts w:hint="eastAsia"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0分，价格评分</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0分。</w:t>
            </w:r>
          </w:p>
        </w:tc>
      </w:tr>
      <w:tr w14:paraId="2335A0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3DD962B">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2</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1F4D8ED">
            <w:pPr>
              <w:pStyle w:val="43"/>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highlight w:val="yellow"/>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FFED4AB">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投标保证金金额：人民币</w:t>
            </w:r>
            <w:r>
              <w:rPr>
                <w:rFonts w:hint="eastAsia" w:ascii="宋体" w:hAnsi="宋体" w:cs="宋体"/>
                <w:b/>
                <w:color w:val="000000" w:themeColor="text1"/>
                <w:sz w:val="24"/>
                <w:szCs w:val="24"/>
                <w:lang w:val="en-US" w:eastAsia="zh-CN"/>
                <w14:textFill>
                  <w14:solidFill>
                    <w14:schemeClr w14:val="tx1"/>
                  </w14:solidFill>
                </w14:textFill>
              </w:rPr>
              <w:t>叁万</w:t>
            </w:r>
            <w:r>
              <w:rPr>
                <w:rFonts w:hint="eastAsia" w:ascii="宋体" w:hAnsi="宋体" w:eastAsia="宋体" w:cs="宋体"/>
                <w:b/>
                <w:color w:val="000000" w:themeColor="text1"/>
                <w:sz w:val="24"/>
                <w:szCs w:val="24"/>
                <w:lang w:val="zh-CN" w:eastAsia="zh-CN"/>
                <w14:textFill>
                  <w14:solidFill>
                    <w14:schemeClr w14:val="tx1"/>
                  </w14:solidFill>
                </w14:textFill>
              </w:rPr>
              <w:t>元整（</w:t>
            </w:r>
            <w:r>
              <w:rPr>
                <w:rFonts w:hint="eastAsia" w:ascii="宋体" w:hAnsi="宋体" w:cs="宋体"/>
                <w:b/>
                <w:color w:val="000000" w:themeColor="text1"/>
                <w:sz w:val="24"/>
                <w:szCs w:val="24"/>
                <w:lang w:val="en-US" w:eastAsia="zh-CN"/>
                <w14:textFill>
                  <w14:solidFill>
                    <w14:schemeClr w14:val="tx1"/>
                  </w14:solidFill>
                </w14:textFill>
              </w:rPr>
              <w:t>30</w:t>
            </w:r>
            <w:r>
              <w:rPr>
                <w:rFonts w:hint="eastAsia" w:ascii="宋体" w:hAnsi="宋体" w:eastAsia="宋体" w:cs="宋体"/>
                <w:b/>
                <w:color w:val="000000" w:themeColor="text1"/>
                <w:sz w:val="24"/>
                <w:szCs w:val="24"/>
                <w:lang w:val="en-US" w:eastAsia="zh-CN"/>
                <w14:textFill>
                  <w14:solidFill>
                    <w14:schemeClr w14:val="tx1"/>
                  </w14:solidFill>
                </w14:textFill>
              </w:rPr>
              <w:t>0</w:t>
            </w:r>
            <w:r>
              <w:rPr>
                <w:rFonts w:hint="eastAsia" w:ascii="宋体" w:hAnsi="宋体" w:eastAsia="宋体" w:cs="宋体"/>
                <w:b/>
                <w:color w:val="000000" w:themeColor="text1"/>
                <w:sz w:val="24"/>
                <w:szCs w:val="24"/>
                <w:lang w:val="zh-CN" w:eastAsia="zh-CN"/>
                <w14:textFill>
                  <w14:solidFill>
                    <w14:schemeClr w14:val="tx1"/>
                  </w14:solidFill>
                </w14:textFill>
              </w:rPr>
              <w:t>00.00元整）</w:t>
            </w:r>
          </w:p>
          <w:p w14:paraId="4DB1D698">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投标保证金可采用的其他形式：电汇、转账或保函，转出账户必须与投标单位名称一致，否则不予受理。</w:t>
            </w:r>
          </w:p>
          <w:p w14:paraId="60923331">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投标保证金形式：非现金形式。为减少收取/退还保证金的手续，采用电汇、网银转账</w:t>
            </w:r>
            <w:r>
              <w:rPr>
                <w:rFonts w:hint="eastAsia" w:ascii="宋体" w:hAnsi="宋体" w:eastAsia="宋体" w:cs="宋体"/>
                <w:b/>
                <w:color w:val="000000" w:themeColor="text1"/>
                <w:sz w:val="24"/>
                <w:szCs w:val="24"/>
                <w:lang w:val="en-US" w:eastAsia="zh-CN"/>
                <w14:textFill>
                  <w14:solidFill>
                    <w14:schemeClr w14:val="tx1"/>
                  </w14:solidFill>
                </w14:textFill>
              </w:rPr>
              <w:t>或保函</w:t>
            </w:r>
            <w:r>
              <w:rPr>
                <w:rFonts w:hint="eastAsia" w:ascii="宋体" w:hAnsi="宋体" w:eastAsia="宋体" w:cs="宋体"/>
                <w:b/>
                <w:color w:val="000000" w:themeColor="text1"/>
                <w:sz w:val="24"/>
                <w:szCs w:val="24"/>
                <w:lang w:val="zh-CN" w:eastAsia="zh-CN"/>
                <w14:textFill>
                  <w14:solidFill>
                    <w14:schemeClr w14:val="tx1"/>
                  </w14:solidFill>
                </w14:textFill>
              </w:rPr>
              <w:t>方式缴纳保证金。</w:t>
            </w:r>
          </w:p>
          <w:p w14:paraId="0C9F9D50">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（1）若采用电汇或转账</w:t>
            </w:r>
            <w:r>
              <w:rPr>
                <w:rFonts w:hint="eastAsia" w:ascii="宋体" w:hAnsi="宋体" w:eastAsia="宋体" w:cs="宋体"/>
                <w:b/>
                <w:color w:val="000000" w:themeColor="text1"/>
                <w:sz w:val="24"/>
                <w:szCs w:val="24"/>
                <w:lang w:val="zh-CN" w:eastAsia="zh-CN"/>
                <w14:textFill>
                  <w14:solidFill>
                    <w14:schemeClr w14:val="tx1"/>
                  </w14:solidFill>
                </w14:textFill>
              </w:rPr>
              <w:t>投标保证金于</w:t>
            </w:r>
            <w:r>
              <w:rPr>
                <w:rFonts w:hint="eastAsia" w:ascii="宋体" w:hAnsi="宋体" w:eastAsia="宋体" w:cs="宋体"/>
                <w:b/>
                <w:color w:val="000000" w:themeColor="text1"/>
                <w:sz w:val="24"/>
                <w:szCs w:val="24"/>
                <w:lang w:val="en-US" w:eastAsia="zh-CN"/>
                <w14:textFill>
                  <w14:solidFill>
                    <w14:schemeClr w14:val="tx1"/>
                  </w14:solidFill>
                </w14:textFill>
              </w:rPr>
              <w:t>本项目投标截止时间</w:t>
            </w:r>
            <w:r>
              <w:rPr>
                <w:rFonts w:hint="eastAsia" w:ascii="宋体" w:hAnsi="宋体" w:eastAsia="宋体" w:cs="宋体"/>
                <w:b/>
                <w:color w:val="000000" w:themeColor="text1"/>
                <w:sz w:val="24"/>
                <w:szCs w:val="24"/>
                <w:lang w:val="zh-CN" w:eastAsia="zh-CN"/>
                <w14:textFill>
                  <w14:solidFill>
                    <w14:schemeClr w14:val="tx1"/>
                  </w14:solidFill>
                </w14:textFill>
              </w:rPr>
              <w:t>前从投标人基本账户以网银或银行电汇形式汇至本公司账户，否则其投标文件将被拒绝评审，投标人提交投标保证金应充分考虑资金在途时间。</w:t>
            </w:r>
          </w:p>
          <w:p w14:paraId="586D1A5F">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户名：新疆华域天恒工程管理有限公司</w:t>
            </w:r>
          </w:p>
          <w:p w14:paraId="07FB9C87">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开户银行：中国农业银行股份有限公司吐鲁番高昌支行  </w:t>
            </w:r>
          </w:p>
          <w:p w14:paraId="2CFE432E">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帐号：3026 5301 0400 1229 8     </w:t>
            </w:r>
          </w:p>
          <w:p w14:paraId="796C01AD">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行号：1038 8302 6535</w:t>
            </w:r>
          </w:p>
          <w:p w14:paraId="4ABD2771">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注：</w:t>
            </w:r>
            <w:r>
              <w:rPr>
                <w:rFonts w:hint="eastAsia" w:ascii="宋体" w:hAnsi="宋体" w:eastAsia="宋体" w:cs="宋体"/>
                <w:b/>
                <w:color w:val="000000" w:themeColor="text1"/>
                <w:sz w:val="24"/>
                <w:szCs w:val="24"/>
                <w:lang w:val="en-US" w:eastAsia="zh-CN"/>
                <w14:textFill>
                  <w14:solidFill>
                    <w14:schemeClr w14:val="tx1"/>
                  </w14:solidFill>
                </w14:textFill>
              </w:rPr>
              <w:t>采用电汇或转账时，</w:t>
            </w:r>
            <w:r>
              <w:rPr>
                <w:rFonts w:hint="eastAsia" w:ascii="宋体" w:hAnsi="宋体" w:eastAsia="宋体" w:cs="宋体"/>
                <w:b/>
                <w:color w:val="000000" w:themeColor="text1"/>
                <w:sz w:val="24"/>
                <w:szCs w:val="24"/>
                <w:lang w:val="zh-CN" w:eastAsia="zh-CN"/>
                <w14:textFill>
                  <w14:solidFill>
                    <w14:schemeClr w14:val="tx1"/>
                  </w14:solidFill>
                </w14:textFill>
              </w:rPr>
              <w:t>未按时提交投标保证金的投标文件无效。投标人向银行办理投标保证金汇（转）款时，应在用途栏（备注栏）准确注明“（简写项目名称）投标保证金”字样，由于未按要求注明信息而导致的一切后果由投标人承担。</w:t>
            </w:r>
          </w:p>
          <w:p w14:paraId="362582B6">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若采用保函形式：采用保函形式应按以下要求办理：</w:t>
            </w:r>
            <w:r>
              <w:rPr>
                <w:rFonts w:hint="eastAsia" w:ascii="宋体" w:hAnsi="宋体" w:eastAsia="宋体" w:cs="宋体"/>
                <w:b/>
                <w:color w:val="000000" w:themeColor="text1"/>
                <w:sz w:val="24"/>
                <w:szCs w:val="24"/>
                <w:lang w:val="zh-CN" w:eastAsia="zh-CN"/>
                <w14:textFill>
                  <w14:solidFill>
                    <w14:schemeClr w14:val="tx1"/>
                  </w14:solidFill>
                </w14:textFill>
              </w:rPr>
              <w:t>备注：1、</w:t>
            </w:r>
            <w:r>
              <w:rPr>
                <w:rFonts w:hint="eastAsia" w:ascii="宋体" w:hAnsi="宋体" w:eastAsia="宋体" w:cs="宋体"/>
                <w:b/>
                <w:color w:val="000000" w:themeColor="text1"/>
                <w:sz w:val="24"/>
                <w:szCs w:val="24"/>
                <w:lang w:val="en-US" w:eastAsia="zh-CN"/>
                <w14:textFill>
                  <w14:solidFill>
                    <w14:schemeClr w14:val="tx1"/>
                  </w14:solidFill>
                </w14:textFill>
              </w:rPr>
              <w:t>保函须在招标文件规定的投标截止时间前办理完成；2.</w:t>
            </w:r>
            <w:r>
              <w:rPr>
                <w:rFonts w:hint="eastAsia" w:ascii="宋体" w:hAnsi="宋体" w:eastAsia="宋体" w:cs="宋体"/>
                <w:b/>
                <w:color w:val="000000" w:themeColor="text1"/>
                <w:sz w:val="24"/>
                <w:szCs w:val="24"/>
                <w:lang w:val="zh-CN" w:eastAsia="zh-CN"/>
                <w14:textFill>
                  <w14:solidFill>
                    <w14:schemeClr w14:val="tx1"/>
                  </w14:solidFill>
                </w14:textFill>
              </w:rPr>
              <w:t>保函金额不得少于保证金金额；</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lang w:val="zh-CN" w:eastAsia="zh-CN"/>
                <w14:textFill>
                  <w14:solidFill>
                    <w14:schemeClr w14:val="tx1"/>
                  </w14:solidFill>
                </w14:textFill>
              </w:rPr>
              <w:t>、保函的有效期不得少于本项目投标有效期；</w:t>
            </w: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lang w:val="zh-CN" w:eastAsia="zh-CN"/>
                <w14:textFill>
                  <w14:solidFill>
                    <w14:schemeClr w14:val="tx1"/>
                  </w14:solidFill>
                </w14:textFill>
              </w:rPr>
              <w:t>、保函应是针对本项目开具的；</w:t>
            </w:r>
            <w:r>
              <w:rPr>
                <w:rFonts w:hint="eastAsia" w:ascii="宋体" w:hAnsi="宋体" w:eastAsia="宋体" w:cs="宋体"/>
                <w:b/>
                <w:color w:val="000000" w:themeColor="text1"/>
                <w:sz w:val="24"/>
                <w:szCs w:val="24"/>
                <w:lang w:val="en-US" w:eastAsia="zh-CN"/>
                <w14:textFill>
                  <w14:solidFill>
                    <w14:schemeClr w14:val="tx1"/>
                  </w14:solidFill>
                </w14:textFill>
              </w:rPr>
              <w:t>5、</w:t>
            </w:r>
            <w:r>
              <w:rPr>
                <w:rFonts w:hint="eastAsia" w:ascii="宋体" w:hAnsi="宋体" w:eastAsia="宋体" w:cs="宋体"/>
                <w:b/>
                <w:color w:val="000000" w:themeColor="text1"/>
                <w:sz w:val="24"/>
                <w:szCs w:val="24"/>
                <w:lang w:val="zh-CN" w:eastAsia="zh-CN"/>
                <w14:textFill>
                  <w14:solidFill>
                    <w14:schemeClr w14:val="tx1"/>
                  </w14:solidFill>
                </w14:textFill>
              </w:rPr>
              <w:t>保函是投标文件中组成部分；</w:t>
            </w:r>
            <w:r>
              <w:rPr>
                <w:rFonts w:hint="eastAsia" w:ascii="宋体" w:hAnsi="宋体" w:eastAsia="宋体" w:cs="宋体"/>
                <w:b/>
                <w:color w:val="000000" w:themeColor="text1"/>
                <w:sz w:val="24"/>
                <w:szCs w:val="24"/>
                <w:lang w:val="en-US" w:eastAsia="zh-CN"/>
                <w14:textFill>
                  <w14:solidFill>
                    <w14:schemeClr w14:val="tx1"/>
                  </w14:solidFill>
                </w14:textFill>
              </w:rPr>
              <w:t>6.保函按照“一项目一保函”的原则；7.投标单位提供的保函必须是真实有效，否则后果自负。</w:t>
            </w:r>
          </w:p>
          <w:p w14:paraId="6F14EF5A">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退投标保证金程序：</w:t>
            </w:r>
          </w:p>
          <w:p w14:paraId="73667713">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  退还投标保证金时间：中标公示期满后5个工作日内，未中标单位保证金可退还，在合同签订后中标</w:t>
            </w:r>
            <w:r>
              <w:rPr>
                <w:rFonts w:hint="eastAsia" w:ascii="宋体" w:hAnsi="宋体" w:cs="宋体"/>
                <w:b/>
                <w:color w:val="000000" w:themeColor="text1"/>
                <w:sz w:val="24"/>
                <w:szCs w:val="24"/>
                <w:lang w:val="en-US" w:eastAsia="zh-CN"/>
                <w14:textFill>
                  <w14:solidFill>
                    <w14:schemeClr w14:val="tx1"/>
                  </w14:solidFill>
                </w14:textFill>
              </w:rPr>
              <w:t>单位</w:t>
            </w:r>
            <w:r>
              <w:rPr>
                <w:rFonts w:hint="eastAsia" w:ascii="宋体" w:hAnsi="宋体" w:eastAsia="宋体" w:cs="宋体"/>
                <w:b/>
                <w:color w:val="000000" w:themeColor="text1"/>
                <w:sz w:val="24"/>
                <w:szCs w:val="24"/>
                <w:lang w:val="zh-CN" w:eastAsia="zh-CN"/>
                <w14:textFill>
                  <w14:solidFill>
                    <w14:schemeClr w14:val="tx1"/>
                  </w14:solidFill>
                </w14:textFill>
              </w:rPr>
              <w:t>的保证金可退还。</w:t>
            </w:r>
          </w:p>
        </w:tc>
      </w:tr>
      <w:tr w14:paraId="069C97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6F244F3">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3</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9729C42">
            <w:pPr>
              <w:keepNext w:val="0"/>
              <w:keepLines w:val="0"/>
              <w:pageBreakBefore w:val="0"/>
              <w:kinsoku/>
              <w:wordWrap/>
              <w:overflowPunct/>
              <w:topLinePunct w:val="0"/>
              <w:bidi w:val="0"/>
              <w:spacing w:beforeAutospacing="0" w:after="0" w:afterAutospacing="0" w:line="400" w:lineRule="exact"/>
              <w:ind w:left="0" w:leftChars="0" w:right="0" w:right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其他可以不予退还投标保证金的情形</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9C5DB98">
            <w:pPr>
              <w:keepNext w:val="0"/>
              <w:keepLines w:val="0"/>
              <w:pageBreakBefore w:val="0"/>
              <w:kinsoku/>
              <w:wordWrap/>
              <w:overflowPunct/>
              <w:topLinePunct w:val="0"/>
              <w:autoSpaceDE/>
              <w:autoSpaceDN/>
              <w:bidi w:val="0"/>
              <w:spacing w:beforeAutospacing="0" w:after="0" w:afterAutospacing="0" w:line="400" w:lineRule="exact"/>
              <w:ind w:left="0" w:leftChars="0"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在其</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中提供虚假资料；</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中标供应商</w:t>
            </w:r>
            <w:r>
              <w:rPr>
                <w:rFonts w:hint="eastAsia" w:ascii="宋体" w:hAnsi="宋体" w:eastAsia="宋体" w:cs="宋体"/>
                <w:color w:val="000000" w:themeColor="text1"/>
                <w:sz w:val="24"/>
                <w:szCs w:val="24"/>
                <w:highlight w:val="none"/>
                <w14:textFill>
                  <w14:solidFill>
                    <w14:schemeClr w14:val="tx1"/>
                  </w14:solidFill>
                </w14:textFill>
              </w:rPr>
              <w:t>未按国家规定的招标代理服务取费标准缴纳招标代理服务费用的。</w:t>
            </w:r>
          </w:p>
        </w:tc>
      </w:tr>
      <w:tr w14:paraId="36DB44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497152D">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4</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B85691E">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yellow"/>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递交截止时间</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73555B72">
            <w:pPr>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北京时间）</w:t>
            </w:r>
          </w:p>
        </w:tc>
      </w:tr>
      <w:tr w14:paraId="3BE667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58BD6D84">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5</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BA394C9">
            <w:pPr>
              <w:keepNext w:val="0"/>
              <w:keepLines w:val="0"/>
              <w:pageBreakBefore w:val="0"/>
              <w:kinsoku/>
              <w:wordWrap/>
              <w:overflowPunct w:val="0"/>
              <w:topLinePunct w:val="0"/>
              <w:bidi w:val="0"/>
              <w:spacing w:line="400" w:lineRule="exact"/>
              <w:jc w:val="center"/>
              <w:rPr>
                <w:rFonts w:hint="eastAsia" w:ascii="宋体" w:hAnsi="宋体" w:eastAsia="宋体" w:cs="宋体"/>
                <w:color w:val="auto"/>
                <w:sz w:val="24"/>
                <w:szCs w:val="24"/>
                <w:highlight w:val="yellow"/>
                <w:lang w:val="zh-CN"/>
              </w:rPr>
            </w:pPr>
            <w:r>
              <w:rPr>
                <w:rFonts w:hint="eastAsia" w:ascii="宋体" w:hAnsi="宋体" w:eastAsia="宋体" w:cs="宋体"/>
                <w:sz w:val="24"/>
                <w:szCs w:val="24"/>
                <w:lang w:eastAsia="zh-CN"/>
              </w:rPr>
              <w:t>投标文件</w:t>
            </w:r>
            <w:r>
              <w:rPr>
                <w:rFonts w:hint="eastAsia" w:ascii="宋体" w:hAnsi="宋体" w:eastAsia="宋体" w:cs="宋体"/>
                <w:sz w:val="24"/>
                <w:szCs w:val="24"/>
              </w:rPr>
              <w:t>递交地点</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29798A9">
            <w:pPr>
              <w:keepNext w:val="0"/>
              <w:keepLines w:val="0"/>
              <w:pageBreakBefore w:val="0"/>
              <w:kinsoku/>
              <w:wordWrap/>
              <w:overflowPunct w:val="0"/>
              <w:topLinePunct w:val="0"/>
              <w:bidi w:val="0"/>
              <w:spacing w:line="4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政采云平台（http://www.ccgp-xinjiang.gov.cn//）</w:t>
            </w:r>
          </w:p>
        </w:tc>
      </w:tr>
      <w:tr w14:paraId="5A0AB8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C8FAFBB">
            <w:pPr>
              <w:pStyle w:val="43"/>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6</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A183C08">
            <w:pPr>
              <w:pStyle w:val="43"/>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履约保证金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283A5E3">
            <w:pPr>
              <w:keepNext w:val="0"/>
              <w:keepLines w:val="0"/>
              <w:pageBreakBefore w:val="0"/>
              <w:shd w:val="solid" w:color="FFFFFF" w:fill="auto"/>
              <w:kinsoku/>
              <w:wordWrap/>
              <w:topLinePunct w:val="0"/>
              <w:autoSpaceDN w:val="0"/>
              <w:bidi w:val="0"/>
              <w:spacing w:line="400" w:lineRule="exact"/>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合同价款的5％</w:t>
            </w:r>
          </w:p>
        </w:tc>
      </w:tr>
      <w:tr w14:paraId="26E9D6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187FA392">
            <w:pPr>
              <w:pStyle w:val="43"/>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1</w:t>
            </w:r>
            <w:r>
              <w:rPr>
                <w:rFonts w:hint="eastAsia" w:cs="宋体"/>
                <w:color w:val="auto"/>
                <w:kern w:val="2"/>
                <w:sz w:val="24"/>
                <w:szCs w:val="24"/>
                <w:lang w:val="en-US" w:eastAsia="zh-CN"/>
              </w:rPr>
              <w:t>7</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CEBD9B4">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实质性要求和条件</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99D8FF0">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leftChars="0" w:right="0" w:rightChars="0"/>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供应商不得偏差离招标文件的实质性要求</w:t>
            </w:r>
          </w:p>
        </w:tc>
      </w:tr>
      <w:tr w14:paraId="7101C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1ADB2981">
            <w:pPr>
              <w:pStyle w:val="43"/>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rPr>
              <w:t>18</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1E605B46">
            <w:pPr>
              <w:pStyle w:val="43"/>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要求澄清</w:t>
            </w:r>
            <w:r>
              <w:rPr>
                <w:rFonts w:hint="eastAsia" w:ascii="宋体" w:hAnsi="宋体" w:eastAsia="宋体" w:cs="宋体"/>
                <w:color w:val="auto"/>
                <w:sz w:val="24"/>
                <w:szCs w:val="24"/>
                <w:highlight w:val="none"/>
                <w:lang w:val="en-US" w:eastAsia="zh-CN"/>
              </w:rPr>
              <w:t>招标文件</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083A58D">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时间：供应商要求采购人对已发出的</w:t>
            </w:r>
            <w:r>
              <w:rPr>
                <w:rFonts w:hint="eastAsia" w:ascii="宋体" w:hAnsi="宋体" w:cs="宋体"/>
                <w:color w:val="auto"/>
                <w:sz w:val="24"/>
                <w:szCs w:val="24"/>
                <w:lang w:val="en-US" w:eastAsia="zh-CN"/>
              </w:rPr>
              <w:t>采购文件</w:t>
            </w:r>
            <w:r>
              <w:rPr>
                <w:rFonts w:hint="eastAsia" w:ascii="宋体" w:hAnsi="宋体" w:eastAsia="宋体" w:cs="宋体"/>
                <w:color w:val="auto"/>
                <w:sz w:val="24"/>
                <w:szCs w:val="24"/>
                <w:lang w:val="zh-CN" w:eastAsia="zh-CN"/>
              </w:rPr>
              <w:t>进行澄清的，应在投标截止时间的</w:t>
            </w:r>
            <w:r>
              <w:rPr>
                <w:rFonts w:hint="eastAsia" w:ascii="宋体" w:hAnsi="宋体" w:cs="宋体"/>
                <w:color w:val="auto"/>
                <w:sz w:val="24"/>
                <w:szCs w:val="24"/>
                <w:lang w:val="en-US" w:eastAsia="zh-CN"/>
              </w:rPr>
              <w:t>15日</w:t>
            </w:r>
            <w:r>
              <w:rPr>
                <w:rFonts w:hint="eastAsia" w:ascii="宋体" w:hAnsi="宋体" w:eastAsia="宋体" w:cs="宋体"/>
                <w:color w:val="auto"/>
                <w:sz w:val="24"/>
                <w:szCs w:val="24"/>
                <w:lang w:val="zh-CN" w:eastAsia="zh-CN"/>
              </w:rPr>
              <w:t>前。</w:t>
            </w:r>
          </w:p>
          <w:p w14:paraId="3CEBDABA">
            <w:pPr>
              <w:keepNext w:val="0"/>
              <w:keepLines w:val="0"/>
              <w:pageBreakBefore w:val="0"/>
              <w:tabs>
                <w:tab w:val="left" w:pos="7665"/>
              </w:tabs>
              <w:kinsoku/>
              <w:wordWrap/>
              <w:topLinePunct w:val="0"/>
              <w:bidi w:val="0"/>
              <w:spacing w:line="400" w:lineRule="exact"/>
              <w:jc w:val="left"/>
              <w:rPr>
                <w:rFonts w:hint="eastAsia" w:ascii="宋体" w:hAnsi="宋体" w:eastAsia="宋体" w:cs="宋体"/>
                <w:sz w:val="24"/>
                <w:szCs w:val="24"/>
                <w:lang w:val="zh-CN"/>
              </w:rPr>
            </w:pPr>
            <w:r>
              <w:rPr>
                <w:rFonts w:hint="eastAsia" w:ascii="宋体" w:hAnsi="宋体" w:eastAsia="宋体" w:cs="宋体"/>
                <w:color w:val="auto"/>
                <w:sz w:val="24"/>
                <w:szCs w:val="24"/>
                <w:lang w:val="zh-CN" w:eastAsia="zh-CN"/>
              </w:rPr>
              <w:t>形式：供应商将要求澄清的内容以书面形式送达采购人（或招标代理机构）。</w:t>
            </w:r>
          </w:p>
        </w:tc>
      </w:tr>
      <w:tr w14:paraId="2CB36B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7935F82D">
            <w:pPr>
              <w:pStyle w:val="43"/>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rPr>
              <w:t>19</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4966D87">
            <w:pPr>
              <w:pStyle w:val="43"/>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澄清发出的形式</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4AF9E4C">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bidi="ar"/>
              </w:rPr>
              <w:t>以书面形式发出</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如有必要对招标文件澄清和修改的将在新疆政府采购网及时发布，澄清文件一旦发布即视为以书面形式通知所有潜在投标人，请各投标人自行关注本次招标项目相关信息的变更情况，否则所造成的一切后果由投标人自负。</w:t>
            </w:r>
          </w:p>
        </w:tc>
      </w:tr>
      <w:tr w14:paraId="1F0754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3CCAAD7">
            <w:pPr>
              <w:pStyle w:val="43"/>
              <w:keepNext w:val="0"/>
              <w:keepLines w:val="0"/>
              <w:pageBreakBefore w:val="0"/>
              <w:kinsoku/>
              <w:wordWrap/>
              <w:topLinePunct w:val="0"/>
              <w:bidi w:val="0"/>
              <w:spacing w:line="400" w:lineRule="exact"/>
              <w:ind w:right="264"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w:t>
            </w:r>
            <w:r>
              <w:rPr>
                <w:rFonts w:hint="eastAsia" w:cs="宋体"/>
                <w:color w:val="000000" w:themeColor="text1"/>
                <w:kern w:val="2"/>
                <w:sz w:val="24"/>
                <w:szCs w:val="24"/>
                <w:lang w:val="en-US" w:eastAsia="zh-CN"/>
                <w14:textFill>
                  <w14:solidFill>
                    <w14:schemeClr w14:val="tx1"/>
                  </w14:solidFill>
                </w14:textFill>
              </w:rPr>
              <w:t>0</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1700D1FF">
            <w:pPr>
              <w:pStyle w:val="43"/>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评标委员会的组建</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62A3BAE">
            <w:pPr>
              <w:keepNext w:val="0"/>
              <w:keepLines w:val="0"/>
              <w:pageBreakBefore w:val="0"/>
              <w:kinsoku/>
              <w:wordWrap/>
              <w:topLinePunct w:val="0"/>
              <w:bidi w:val="0"/>
              <w:spacing w:line="400" w:lineRule="exact"/>
              <w:ind w:right="105" w:rightChars="50"/>
              <w:jc w:val="left"/>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依法组建评标委员会。评标委员会成员由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5 </w:t>
            </w:r>
            <w:r>
              <w:rPr>
                <w:rFonts w:hint="eastAsia" w:asciiTheme="minorEastAsia" w:hAnsiTheme="minorEastAsia" w:eastAsiaTheme="minorEastAsia" w:cstheme="minorEastAsia"/>
                <w:color w:val="auto"/>
                <w:sz w:val="24"/>
                <w:szCs w:val="24"/>
                <w:highlight w:val="none"/>
              </w:rPr>
              <w:t>人构成，其中：</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1 </w:t>
            </w:r>
            <w:r>
              <w:rPr>
                <w:rFonts w:hint="eastAsia" w:asciiTheme="minorEastAsia" w:hAnsiTheme="minorEastAsia" w:eastAsiaTheme="minorEastAsia" w:cstheme="minorEastAsia"/>
                <w:color w:val="auto"/>
                <w:sz w:val="24"/>
                <w:szCs w:val="24"/>
                <w:highlight w:val="none"/>
              </w:rPr>
              <w:t>人，</w:t>
            </w:r>
            <w:r>
              <w:rPr>
                <w:rFonts w:hint="eastAsia" w:ascii="宋体" w:hAnsi="宋体" w:eastAsia="宋体" w:cs="宋体"/>
                <w:color w:val="auto"/>
                <w:sz w:val="24"/>
                <w:szCs w:val="24"/>
                <w:highlight w:val="none"/>
              </w:rPr>
              <w:t>专家库中</w:t>
            </w:r>
            <w:r>
              <w:rPr>
                <w:rFonts w:hint="eastAsia" w:ascii="宋体" w:hAnsi="宋体" w:eastAsia="宋体" w:cs="宋体"/>
                <w:color w:val="auto"/>
                <w:sz w:val="24"/>
                <w:szCs w:val="24"/>
                <w:highlight w:val="none"/>
                <w:lang w:val="en-US" w:eastAsia="zh-CN"/>
              </w:rPr>
              <w:t>与本项目相关专业</w:t>
            </w:r>
            <w:r>
              <w:rPr>
                <w:rFonts w:hint="eastAsia" w:asciiTheme="minorEastAsia" w:hAnsiTheme="minorEastAsia" w:eastAsiaTheme="minorEastAsia" w:cstheme="minorEastAsia"/>
                <w:color w:val="auto"/>
                <w:sz w:val="24"/>
                <w:szCs w:val="24"/>
                <w:highlight w:val="none"/>
              </w:rPr>
              <w:t>的专家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4 </w:t>
            </w:r>
            <w:r>
              <w:rPr>
                <w:rFonts w:hint="eastAsia" w:asciiTheme="minorEastAsia" w:hAnsiTheme="minorEastAsia" w:eastAsiaTheme="minorEastAsia" w:cstheme="minorEastAsia"/>
                <w:color w:val="auto"/>
                <w:sz w:val="24"/>
                <w:szCs w:val="24"/>
                <w:highlight w:val="none"/>
              </w:rPr>
              <w:t>人；</w:t>
            </w:r>
            <w:r>
              <w:rPr>
                <w:rFonts w:hint="eastAsia" w:ascii="宋体" w:hAnsi="宋体" w:eastAsia="宋体" w:cs="宋体"/>
                <w:color w:val="auto"/>
                <w:sz w:val="24"/>
                <w:szCs w:val="24"/>
                <w:highlight w:val="none"/>
                <w:lang w:val="en-US" w:eastAsia="zh-CN"/>
              </w:rPr>
              <w:t>相关专业</w:t>
            </w:r>
            <w:r>
              <w:rPr>
                <w:rFonts w:hint="eastAsia" w:ascii="宋体" w:hAnsi="宋体" w:eastAsia="宋体" w:cs="宋体"/>
                <w:color w:val="auto"/>
                <w:sz w:val="24"/>
                <w:szCs w:val="24"/>
                <w:highlight w:val="none"/>
              </w:rPr>
              <w:t>的专家</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政府采购平台</w:t>
            </w:r>
            <w:r>
              <w:rPr>
                <w:rFonts w:hint="eastAsia" w:asciiTheme="minorEastAsia" w:hAnsiTheme="minorEastAsia" w:eastAsiaTheme="minorEastAsia" w:cstheme="minorEastAsia"/>
                <w:color w:val="auto"/>
                <w:sz w:val="24"/>
                <w:szCs w:val="24"/>
                <w:highlight w:val="none"/>
              </w:rPr>
              <w:t>专家库中随机抽取。</w:t>
            </w:r>
          </w:p>
        </w:tc>
      </w:tr>
      <w:tr w14:paraId="5A549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9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0843AC7">
            <w:pPr>
              <w:pStyle w:val="43"/>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1</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E2FF5E1">
            <w:pPr>
              <w:pStyle w:val="43"/>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电子投标须知</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32CF6006">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请投标单位提前自学线上开标流程；投标截止时间当天，线上开标环节，投标文件解密时长30分钟，各投标单位务必提前调试好在线参标电脑的各项配置及CA锁网上进行签到、文件解密以及操作投标，投标文件报价确认签字时间为10分钟，超过时间视为报价无</w:t>
            </w:r>
            <w:r>
              <w:rPr>
                <w:rFonts w:hint="eastAsia" w:ascii="宋体" w:hAnsi="宋体" w:cs="宋体"/>
                <w:color w:val="auto"/>
                <w:sz w:val="24"/>
                <w:szCs w:val="24"/>
                <w:highlight w:val="none"/>
                <w:lang w:val="en-US" w:eastAsia="zh-CN"/>
              </w:rPr>
              <w:t>异议</w:t>
            </w:r>
            <w:r>
              <w:rPr>
                <w:rFonts w:hint="eastAsia" w:ascii="宋体" w:hAnsi="宋体" w:eastAsia="宋体" w:cs="宋体"/>
                <w:color w:val="auto"/>
                <w:sz w:val="24"/>
                <w:szCs w:val="24"/>
                <w:highlight w:val="none"/>
                <w:lang w:val="en-US" w:eastAsia="zh-CN"/>
              </w:rPr>
              <w:t>。</w:t>
            </w:r>
          </w:p>
          <w:p w14:paraId="070B1D1A">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（如投标单位对电子投标</w:t>
            </w:r>
            <w:r>
              <w:rPr>
                <w:rFonts w:hint="eastAsia" w:ascii="宋体" w:hAnsi="宋体" w:cs="宋体"/>
                <w:color w:val="auto"/>
                <w:sz w:val="24"/>
                <w:szCs w:val="24"/>
                <w:highlight w:val="none"/>
                <w:lang w:val="en-US" w:eastAsia="zh-CN"/>
              </w:rPr>
              <w:t>操作</w:t>
            </w:r>
            <w:r>
              <w:rPr>
                <w:rFonts w:hint="eastAsia" w:ascii="宋体" w:hAnsi="宋体" w:eastAsia="宋体" w:cs="宋体"/>
                <w:color w:val="auto"/>
                <w:sz w:val="24"/>
                <w:szCs w:val="24"/>
                <w:highlight w:val="none"/>
                <w:lang w:val="en-US" w:eastAsia="zh-CN"/>
              </w:rPr>
              <w:t>不清楚</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无法完成</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可到招标现场，请自带笔记本电脑及</w:t>
            </w:r>
            <w:r>
              <w:rPr>
                <w:rFonts w:hint="eastAsia" w:ascii="宋体" w:hAnsi="宋体" w:cs="宋体"/>
                <w:color w:val="auto"/>
                <w:sz w:val="24"/>
                <w:szCs w:val="24"/>
                <w:highlight w:val="none"/>
                <w:lang w:val="en-US" w:eastAsia="zh-CN"/>
              </w:rPr>
              <w:t>本单位</w:t>
            </w:r>
            <w:r>
              <w:rPr>
                <w:rFonts w:hint="eastAsia" w:ascii="宋体" w:hAnsi="宋体" w:eastAsia="宋体" w:cs="宋体"/>
                <w:color w:val="auto"/>
                <w:sz w:val="24"/>
                <w:szCs w:val="24"/>
                <w:highlight w:val="none"/>
                <w:lang w:val="en-US" w:eastAsia="zh-CN"/>
              </w:rPr>
              <w:t>CA锁网上进行签到、文件解密以及操作投标。）</w:t>
            </w:r>
          </w:p>
          <w:p w14:paraId="450DA894">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2.招标文件中采购清单、技术需求等如有偏差，如有</w:t>
            </w:r>
            <w:r>
              <w:rPr>
                <w:rFonts w:hint="eastAsia" w:ascii="宋体" w:hAnsi="宋体" w:cs="宋体"/>
                <w:color w:val="auto"/>
                <w:sz w:val="24"/>
                <w:szCs w:val="24"/>
                <w:highlight w:val="none"/>
                <w:lang w:val="en-US" w:eastAsia="zh-CN"/>
              </w:rPr>
              <w:t>异议</w:t>
            </w:r>
            <w:r>
              <w:rPr>
                <w:rFonts w:hint="eastAsia" w:ascii="宋体" w:hAnsi="宋体" w:eastAsia="宋体" w:cs="宋体"/>
                <w:color w:val="auto"/>
                <w:sz w:val="24"/>
                <w:szCs w:val="24"/>
                <w:highlight w:val="none"/>
                <w:lang w:val="en-US" w:eastAsia="zh-CN"/>
              </w:rPr>
              <w:t>请澄清中及时提出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否则视为充分理解招标文件各项要求。</w:t>
            </w:r>
          </w:p>
          <w:p w14:paraId="17E7B6E7">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3.本次采用政府采购云平台线上招标、投标，请各潜在投标单位及时办理CA锁和学习政府采购云平台线上投标相关知识。请在政府采购云平台登录后，进行下载招标文件，投标单位获取招标文件后及时关注云平台答疑文件获取栏目，具体相关事宜见政府采购云平台。本项目采用资格后审，请投标单位仔细阅读招标文件的各项要求，制作投标文件，并准备相关资料，若投标单位未按招标文件规定的时间和地点递交投标文件、资格条件不符或提供资料不全等原因导致投标失败，则由投标单位自行承担由此而引起的所有不利后果。</w:t>
            </w:r>
          </w:p>
        </w:tc>
      </w:tr>
      <w:tr w14:paraId="4F9676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7F7C90C8">
            <w:pPr>
              <w:pStyle w:val="43"/>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2</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46CE36F2">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highlight w:val="none"/>
                <w:lang w:val="en-US" w:eastAsia="zh-CN" w:bidi="ar-SA"/>
              </w:rPr>
              <w:t>中小企业政策</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3BBEAEE8">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根据工信部等部委发布的《关于印发中小企业划型标准规定的通知》（工信部联企业〔2011〕300号）；财政部《关于进一步加大政府采购支持中小企业力度的通知》（财库〔2022〕19号）规定，本次采购标的</w:t>
            </w:r>
            <w:r>
              <w:rPr>
                <w:rFonts w:hint="eastAsia" w:ascii="宋体" w:hAnsi="宋体" w:eastAsia="宋体" w:cs="宋体"/>
                <w:b/>
                <w:bCs/>
                <w:color w:val="auto"/>
                <w:kern w:val="2"/>
                <w:sz w:val="24"/>
                <w:szCs w:val="24"/>
                <w:highlight w:val="none"/>
                <w:lang w:val="en-US" w:eastAsia="zh-CN" w:bidi="ar-SA"/>
              </w:rPr>
              <w:t>所属行业为工业（制造业）</w:t>
            </w:r>
            <w:r>
              <w:rPr>
                <w:rFonts w:hint="eastAsia" w:ascii="宋体" w:hAnsi="宋体" w:eastAsia="宋体" w:cs="宋体"/>
                <w:color w:val="auto"/>
                <w:kern w:val="2"/>
                <w:sz w:val="24"/>
                <w:szCs w:val="24"/>
                <w:highlight w:val="none"/>
                <w:lang w:val="en-US" w:eastAsia="zh-CN" w:bidi="ar-SA"/>
              </w:rPr>
              <w:t>、《政府采购需求管理办法的通知》（财库〔2021〕22 号）、《政府采购促进中小企业发展管理办法》（财库[2020]46 号）、《财政部 司法部关于政府采购支持监狱企业发展有关问题的通知》（财库〔2014〕68 号）和《三部门联合发布关于促进残疾人就业政府采购政策的通知》（财库〔2017〕 141 号）的规定，对满足价格扣除条件且在投标文件中提交了《供应商企业类型声明函》或省级以上监狱管理局、戒毒管理局（含新疆生产建设兵团）出具的属于监狱企业的证明文件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的供应商。</w:t>
            </w:r>
          </w:p>
          <w:p w14:paraId="113FA2FD">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符合以下条件的中小微型企业应按照采购文件格式要求提供《中小企业声明函》。</w:t>
            </w:r>
          </w:p>
          <w:p w14:paraId="70C79BF1">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863B6AE">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29EFE89D">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（3）依据本办法规</w:t>
            </w:r>
            <w:r>
              <w:rPr>
                <w:rFonts w:hint="eastAsia" w:ascii="宋体" w:hAnsi="宋体" w:eastAsia="宋体" w:cs="宋体"/>
                <w:color w:val="auto"/>
                <w:kern w:val="2"/>
                <w:sz w:val="24"/>
                <w:szCs w:val="24"/>
                <w:highlight w:val="none"/>
                <w:lang w:val="en-US" w:eastAsia="zh-CN" w:bidi="ar-SA"/>
              </w:rPr>
              <w:t>定享受扶持政策获得政府采购合同的，小微企业不得将合同分包给大中型企业，中型企业不得将合同分包给大型企业。</w:t>
            </w:r>
          </w:p>
          <w:p w14:paraId="503AF61A">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（4）联合体各方均为中小企业的,联合体视同中小企业。其中,联合体各方均为小微企业的,联合体视同小微企业。组成联合体的小微企业与其他企业之间存在直接控股、管理关系的,不享受价格扣除优惠政策。</w:t>
            </w:r>
          </w:p>
        </w:tc>
      </w:tr>
      <w:tr w14:paraId="380C09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0815594A">
            <w:pPr>
              <w:pStyle w:val="43"/>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3</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61118A2">
            <w:pPr>
              <w:keepNext w:val="0"/>
              <w:keepLines w:val="0"/>
              <w:pageBreakBefore w:val="0"/>
              <w:widowControl w:val="0"/>
              <w:kinsoku/>
              <w:wordWrap/>
              <w:overflowPunct/>
              <w:topLinePunct w:val="0"/>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通讯联系</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BE44E80">
            <w:pPr>
              <w:keepNext w:val="0"/>
              <w:keepLines w:val="0"/>
              <w:pageBreakBefore w:val="0"/>
              <w:widowControl w:val="0"/>
              <w:kinsoku/>
              <w:wordWrap/>
              <w:overflowPunct/>
              <w:topLinePunct w:val="0"/>
              <w:autoSpaceDE/>
              <w:autoSpaceDN/>
              <w:bidi w:val="0"/>
              <w:spacing w:beforeAutospacing="0" w:after="0" w:afterAutospacing="0" w:line="40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之时起至评标结束止，应确保其提供的联系方式一直保持有效和畅通，以保证在招投标期间需进行往来函件或与之有关的事宜能及时发送或通知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，并能及时反馈信息。否则，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（或招标代理机构）不承担由此（提供的联系方式无效或通讯不畅）引起的一切后果。</w:t>
            </w:r>
          </w:p>
        </w:tc>
      </w:tr>
      <w:tr w14:paraId="1D999B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96337CD">
            <w:pPr>
              <w:pStyle w:val="43"/>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4</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5E6D39D">
            <w:pPr>
              <w:pStyle w:val="43"/>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对招标文件资质要求、技术参数、商务要求、评分办法等采购需求提出的询问和质疑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E883DE1">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受理单位：</w:t>
            </w:r>
            <w:r>
              <w:rPr>
                <w:rFonts w:hint="eastAsia" w:ascii="宋体" w:hAnsi="宋体" w:eastAsia="宋体" w:cs="宋体"/>
                <w:color w:val="auto"/>
                <w:sz w:val="24"/>
                <w:szCs w:val="24"/>
                <w:lang w:eastAsia="zh-CN"/>
              </w:rPr>
              <w:t>新疆华域天恒工程管理有限公司</w:t>
            </w:r>
          </w:p>
          <w:p w14:paraId="0599C308">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马丽娜</w:t>
            </w:r>
          </w:p>
          <w:p w14:paraId="5869BF6B">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联系电话：099</w:t>
            </w:r>
            <w:r>
              <w:rPr>
                <w:rFonts w:hint="eastAsia" w:ascii="宋体" w:hAnsi="宋体" w:eastAsia="宋体" w:cs="宋体"/>
                <w:color w:val="auto"/>
                <w:sz w:val="24"/>
                <w:szCs w:val="24"/>
                <w:lang w:val="en-US" w:eastAsia="zh-CN"/>
              </w:rPr>
              <w:t>5-8637000、13</w:t>
            </w:r>
            <w:r>
              <w:rPr>
                <w:rFonts w:hint="eastAsia" w:ascii="宋体" w:hAnsi="宋体" w:cs="宋体"/>
                <w:color w:val="auto"/>
                <w:sz w:val="24"/>
                <w:szCs w:val="24"/>
                <w:lang w:val="en-US" w:eastAsia="zh-CN"/>
              </w:rPr>
              <w:t>899314280  邮箱：769382338@qq.com</w:t>
            </w:r>
          </w:p>
          <w:p w14:paraId="48AC0DB3">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质疑函接受方式：</w:t>
            </w:r>
            <w:r>
              <w:rPr>
                <w:rFonts w:hint="eastAsia" w:ascii="宋体" w:hAnsi="宋体" w:cs="宋体"/>
                <w:color w:val="auto"/>
                <w:sz w:val="24"/>
                <w:szCs w:val="24"/>
                <w:lang w:val="en-US" w:eastAsia="zh-CN"/>
              </w:rPr>
              <w:t>书面形式</w:t>
            </w:r>
          </w:p>
          <w:p w14:paraId="25DC3E69">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地址：吐鲁番市高昌区示范区和平街11幢2层201号</w:t>
            </w:r>
          </w:p>
          <w:p w14:paraId="56F69308">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提出质疑时间：招标文件公告期限届满之日起七个工作日内。</w:t>
            </w:r>
          </w:p>
          <w:p w14:paraId="35A50842">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备注：供应商应当在法定质疑期内一次性提出针对统一采购程序环节的质疑。</w:t>
            </w:r>
          </w:p>
        </w:tc>
      </w:tr>
      <w:tr w14:paraId="7CC954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3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9520344">
            <w:pPr>
              <w:pStyle w:val="43"/>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5</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924D6C4">
            <w:pPr>
              <w:pStyle w:val="43"/>
              <w:keepNext w:val="0"/>
              <w:keepLines w:val="0"/>
              <w:pageBreakBefore w:val="0"/>
              <w:kinsoku/>
              <w:wordWrap/>
              <w:topLinePunct w:val="0"/>
              <w:bidi w:val="0"/>
              <w:spacing w:line="400" w:lineRule="exact"/>
              <w:ind w:left="96"/>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对</w:t>
            </w:r>
            <w:r>
              <w:rPr>
                <w:rFonts w:hint="eastAsia" w:ascii="宋体" w:hAnsi="宋体" w:eastAsia="宋体" w:cs="宋体"/>
                <w:color w:val="auto"/>
                <w:sz w:val="24"/>
                <w:szCs w:val="24"/>
              </w:rPr>
              <w:t>招标文件除资质要求、技术参数、商务要求、评分办法等采购需求内容以外事项、</w:t>
            </w:r>
            <w:r>
              <w:rPr>
                <w:rFonts w:hint="eastAsia" w:ascii="宋体" w:hAnsi="宋体" w:eastAsia="宋体" w:cs="宋体"/>
                <w:color w:val="auto"/>
                <w:kern w:val="2"/>
                <w:sz w:val="24"/>
                <w:szCs w:val="24"/>
              </w:rPr>
              <w:t>采购过程和采购结果的询问和质疑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7B6FF3D">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受理单位：</w:t>
            </w:r>
            <w:r>
              <w:rPr>
                <w:rFonts w:hint="eastAsia" w:ascii="宋体" w:hAnsi="宋体" w:eastAsia="宋体" w:cs="宋体"/>
                <w:color w:val="auto"/>
                <w:sz w:val="24"/>
                <w:szCs w:val="24"/>
                <w:lang w:eastAsia="zh-CN"/>
              </w:rPr>
              <w:t>新疆华域天恒工程管理有限公司</w:t>
            </w:r>
          </w:p>
          <w:p w14:paraId="7ADC7D7D">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马丽娜</w:t>
            </w:r>
          </w:p>
          <w:p w14:paraId="7F4DFA9A">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联系电话：099</w:t>
            </w:r>
            <w:r>
              <w:rPr>
                <w:rFonts w:hint="eastAsia" w:ascii="宋体" w:hAnsi="宋体" w:eastAsia="宋体" w:cs="宋体"/>
                <w:color w:val="auto"/>
                <w:sz w:val="24"/>
                <w:szCs w:val="24"/>
                <w:lang w:val="en-US" w:eastAsia="zh-CN"/>
              </w:rPr>
              <w:t>5-8637000、13</w:t>
            </w:r>
            <w:r>
              <w:rPr>
                <w:rFonts w:hint="eastAsia" w:ascii="宋体" w:hAnsi="宋体" w:cs="宋体"/>
                <w:color w:val="auto"/>
                <w:sz w:val="24"/>
                <w:szCs w:val="24"/>
                <w:lang w:val="en-US" w:eastAsia="zh-CN"/>
              </w:rPr>
              <w:t>899314280  邮箱：769382338@qq.com</w:t>
            </w:r>
          </w:p>
          <w:p w14:paraId="2C6F5D66">
            <w:pPr>
              <w:keepNext w:val="0"/>
              <w:keepLines w:val="0"/>
              <w:pageBreakBefore w:val="0"/>
              <w:kinsoku/>
              <w:wordWrap/>
              <w:topLinePunct w:val="0"/>
              <w:bidi w:val="0"/>
              <w:spacing w:line="400" w:lineRule="exact"/>
              <w:ind w:right="105" w:rightChars="5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rPr>
              <w:t>质疑函接受方式：</w:t>
            </w:r>
            <w:r>
              <w:rPr>
                <w:rFonts w:hint="eastAsia" w:ascii="宋体" w:hAnsi="宋体" w:cs="宋体"/>
                <w:color w:val="auto"/>
                <w:sz w:val="24"/>
                <w:szCs w:val="24"/>
                <w:lang w:val="en-US" w:eastAsia="zh-CN"/>
              </w:rPr>
              <w:t>书面形式</w:t>
            </w:r>
          </w:p>
          <w:p w14:paraId="3F3704C2">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地址：吐鲁番市高昌区示范区和平街11幢2层201号</w:t>
            </w:r>
          </w:p>
          <w:p w14:paraId="35BF5265">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对采购过程提出质疑时间：为各采购程序环节结束之日起七个工作日内。</w:t>
            </w:r>
          </w:p>
          <w:p w14:paraId="7E0927BF">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对采购结果提出质疑时间：为中标结果公告发布次日后七个工作日内。</w:t>
            </w:r>
          </w:p>
          <w:p w14:paraId="37824485">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备注：1、采购单位无正当理由不按照依法推荐的中标候选供应商顺序确定中标供应商，或者在评标委员会依法推荐的中标候选供应商以外确定中标供应商的质疑由采购单位受理。</w:t>
            </w:r>
          </w:p>
          <w:p w14:paraId="4B3B917B">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2、供应商应当在法定质疑期内一次性提出针对统一采购程序环节的质疑。</w:t>
            </w:r>
          </w:p>
        </w:tc>
      </w:tr>
      <w:tr w14:paraId="0C0605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35A4F287">
            <w:pPr>
              <w:keepNext w:val="0"/>
              <w:keepLines w:val="0"/>
              <w:pageBreakBefore w:val="0"/>
              <w:kinsoku/>
              <w:wordWrap/>
              <w:topLinePunct w:val="0"/>
              <w:bidi w:val="0"/>
              <w:spacing w:line="400" w:lineRule="exact"/>
              <w:ind w:right="80" w:rightChars="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6</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1823B30">
            <w:pPr>
              <w:pStyle w:val="43"/>
              <w:keepNext w:val="0"/>
              <w:keepLines w:val="0"/>
              <w:pageBreakBefore w:val="0"/>
              <w:kinsoku/>
              <w:wordWrap/>
              <w:topLinePunct w:val="0"/>
              <w:bidi w:val="0"/>
              <w:spacing w:line="400" w:lineRule="exact"/>
              <w:ind w:left="96"/>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投诉</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7057D894">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投诉受理单位：本采购项目同级财政部门，即</w:t>
            </w:r>
            <w:r>
              <w:rPr>
                <w:rFonts w:hint="eastAsia" w:ascii="宋体" w:hAnsi="宋体" w:cs="宋体"/>
                <w:color w:val="auto"/>
                <w:sz w:val="24"/>
                <w:szCs w:val="24"/>
                <w:u w:val="single"/>
                <w:lang w:val="en-US" w:eastAsia="zh-CN"/>
              </w:rPr>
              <w:t>吐鲁番市</w:t>
            </w:r>
            <w:r>
              <w:rPr>
                <w:rFonts w:hint="eastAsia" w:ascii="宋体" w:hAnsi="宋体" w:eastAsia="宋体" w:cs="宋体"/>
                <w:color w:val="auto"/>
                <w:sz w:val="24"/>
                <w:szCs w:val="24"/>
                <w:u w:val="single"/>
                <w:lang w:eastAsia="zh-CN"/>
              </w:rPr>
              <w:t>财政局</w:t>
            </w:r>
            <w:r>
              <w:rPr>
                <w:rFonts w:hint="eastAsia" w:ascii="宋体" w:hAnsi="宋体" w:eastAsia="宋体" w:cs="宋体"/>
                <w:color w:val="auto"/>
                <w:sz w:val="24"/>
                <w:szCs w:val="24"/>
              </w:rPr>
              <w:t>。</w:t>
            </w:r>
          </w:p>
        </w:tc>
      </w:tr>
      <w:tr w14:paraId="4F92A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5EFCD0D5">
            <w:pPr>
              <w:keepNext w:val="0"/>
              <w:keepLines w:val="0"/>
              <w:pageBreakBefore w:val="0"/>
              <w:kinsoku/>
              <w:wordWrap/>
              <w:topLinePunct w:val="0"/>
              <w:bidi w:val="0"/>
              <w:spacing w:line="400" w:lineRule="exact"/>
              <w:ind w:right="80" w:rightChars="0"/>
              <w:jc w:val="center"/>
              <w:rPr>
                <w:rFonts w:hint="default" w:ascii="宋体" w:hAnsi="宋体" w:eastAsia="宋体" w:cs="宋体"/>
                <w:color w:val="auto"/>
                <w:kern w:val="2"/>
                <w:sz w:val="24"/>
                <w:szCs w:val="24"/>
                <w:lang w:val="en-US" w:eastAsia="zh-CN" w:bidi="ar-SA"/>
              </w:rPr>
            </w:pPr>
            <w:r>
              <w:rPr>
                <w:rFonts w:hint="eastAsia" w:ascii="宋体" w:hAnsi="宋体" w:cs="宋体"/>
                <w:bCs/>
                <w:color w:val="auto"/>
                <w:sz w:val="24"/>
                <w:szCs w:val="24"/>
                <w:lang w:val="en-US" w:eastAsia="zh-CN"/>
              </w:rPr>
              <w:t>27</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45600ABB">
            <w:pPr>
              <w:pStyle w:val="43"/>
              <w:keepNext w:val="0"/>
              <w:keepLines w:val="0"/>
              <w:pageBreakBefore w:val="0"/>
              <w:kinsoku/>
              <w:wordWrap/>
              <w:topLinePunct w:val="0"/>
              <w:bidi w:val="0"/>
              <w:spacing w:line="400" w:lineRule="exact"/>
              <w:jc w:val="center"/>
              <w:rPr>
                <w:rFonts w:hint="eastAsia" w:ascii="宋体" w:hAnsi="宋体" w:eastAsia="宋体" w:cs="宋体"/>
                <w:color w:val="auto"/>
                <w:kern w:val="2"/>
                <w:sz w:val="24"/>
                <w:szCs w:val="24"/>
              </w:rPr>
            </w:pPr>
            <w:r>
              <w:rPr>
                <w:rFonts w:hint="eastAsia" w:ascii="宋体" w:hAnsi="宋体" w:eastAsia="宋体" w:cs="宋体"/>
                <w:color w:val="auto"/>
                <w:sz w:val="24"/>
                <w:szCs w:val="24"/>
              </w:rPr>
              <w:t>评审情况的公告</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5643BB0">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评审结果将在新疆政府采购网上采购结果公告栏中予以公告。</w:t>
            </w:r>
          </w:p>
        </w:tc>
      </w:tr>
      <w:tr w14:paraId="775487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7B27B7C">
            <w:pPr>
              <w:pStyle w:val="43"/>
              <w:keepNext w:val="0"/>
              <w:keepLines w:val="0"/>
              <w:pageBreakBefore w:val="0"/>
              <w:kinsoku/>
              <w:wordWrap/>
              <w:topLinePunct w:val="0"/>
              <w:bidi w:val="0"/>
              <w:spacing w:line="400" w:lineRule="exact"/>
              <w:ind w:right="230" w:rightChars="0"/>
              <w:jc w:val="center"/>
              <w:rPr>
                <w:rFonts w:hint="default" w:ascii="宋体" w:hAnsi="宋体" w:eastAsia="宋体" w:cs="宋体"/>
                <w:color w:val="auto"/>
                <w:sz w:val="24"/>
                <w:szCs w:val="24"/>
                <w:lang w:val="en-US" w:eastAsia="zh-CN" w:bidi="ar-SA"/>
              </w:rPr>
            </w:pPr>
            <w:r>
              <w:rPr>
                <w:rFonts w:hint="eastAsia" w:cs="宋体"/>
                <w:color w:val="auto"/>
                <w:sz w:val="24"/>
                <w:szCs w:val="24"/>
                <w:lang w:val="en-US" w:eastAsia="zh-CN"/>
              </w:rPr>
              <w:t>28</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CFA9904">
            <w:pPr>
              <w:keepNext w:val="0"/>
              <w:keepLines w:val="0"/>
              <w:pageBreakBefore w:val="0"/>
              <w:kinsoku/>
              <w:wordWrap/>
              <w:topLinePunct w:val="0"/>
              <w:bidi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政府采购合同</w:t>
            </w:r>
          </w:p>
          <w:p w14:paraId="455E5540">
            <w:pPr>
              <w:keepNext w:val="0"/>
              <w:keepLines w:val="0"/>
              <w:pageBreakBefore w:val="0"/>
              <w:kinsoku/>
              <w:wordWrap/>
              <w:topLinePunct w:val="0"/>
              <w:bidi w:val="0"/>
              <w:spacing w:line="4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备案</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A227E7E">
            <w:pPr>
              <w:keepNext w:val="0"/>
              <w:keepLines w:val="0"/>
              <w:pageBreakBefore w:val="0"/>
              <w:kinsoku/>
              <w:wordWrap/>
              <w:topLinePunct w:val="0"/>
              <w:bidi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政府采购合同签订之日起2个工作日内，采购人应将政府采购合同在新疆政府采购网公告；政府采购合同签订之日起七个工作日内，政府采购合同将向本采购项目同级财政部门备案。</w:t>
            </w:r>
          </w:p>
          <w:p w14:paraId="4809772E">
            <w:pPr>
              <w:keepNext w:val="0"/>
              <w:keepLines w:val="0"/>
              <w:pageBreakBefore w:val="0"/>
              <w:kinsoku/>
              <w:wordWrap/>
              <w:topLinePunct w:val="0"/>
              <w:bidi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政府采购合同签订之日起2个工作日内，成交供应商应将政府采购合同向采购代理机构审核</w:t>
            </w:r>
            <w:r>
              <w:rPr>
                <w:rFonts w:hint="eastAsia" w:ascii="宋体" w:hAnsi="宋体" w:eastAsia="宋体" w:cs="宋体"/>
                <w:color w:val="auto"/>
                <w:sz w:val="24"/>
                <w:szCs w:val="24"/>
                <w:lang w:val="zh-CN"/>
              </w:rPr>
              <w:t>备案。</w:t>
            </w:r>
          </w:p>
        </w:tc>
      </w:tr>
      <w:tr w14:paraId="509A2DC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9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D974CDE">
            <w:pPr>
              <w:keepNext w:val="0"/>
              <w:keepLines w:val="0"/>
              <w:pageBreakBefore w:val="0"/>
              <w:kinsoku/>
              <w:wordWrap/>
              <w:topLinePunct w:val="0"/>
              <w:bidi w:val="0"/>
              <w:spacing w:line="400" w:lineRule="exact"/>
              <w:ind w:right="80"/>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29</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0C8DD32">
            <w:pPr>
              <w:pStyle w:val="59"/>
              <w:keepNext w:val="0"/>
              <w:keepLines w:val="0"/>
              <w:pageBreakBefore w:val="0"/>
              <w:kinsoku/>
              <w:wordWrap/>
              <w:topLinePunct w:val="0"/>
              <w:bidi w:val="0"/>
              <w:spacing w:before="100" w:beforeAutospacing="1" w:after="100" w:afterAutospacing="1"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低于成本价不正当竞争预防措施</w:t>
            </w:r>
          </w:p>
          <w:p w14:paraId="764B7921">
            <w:pPr>
              <w:pStyle w:val="59"/>
              <w:keepNext w:val="0"/>
              <w:keepLines w:val="0"/>
              <w:pageBreakBefore w:val="0"/>
              <w:kinsoku/>
              <w:wordWrap/>
              <w:topLinePunct w:val="0"/>
              <w:bidi w:val="0"/>
              <w:spacing w:before="100" w:beforeAutospacing="1" w:after="100" w:afterAutospacing="1"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
                <w:bCs/>
                <w:color w:val="auto"/>
                <w:sz w:val="24"/>
                <w:szCs w:val="24"/>
              </w:rPr>
              <w:t>实质性要求</w:t>
            </w:r>
            <w:r>
              <w:rPr>
                <w:rFonts w:hint="eastAsia" w:ascii="宋体" w:hAnsi="宋体" w:eastAsia="宋体" w:cs="宋体"/>
                <w:bCs/>
                <w:color w:val="auto"/>
                <w:sz w:val="24"/>
                <w:szCs w:val="24"/>
              </w:rPr>
              <w:t>）</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390331F6">
            <w:pPr>
              <w:pStyle w:val="43"/>
              <w:keepNext w:val="0"/>
              <w:keepLines w:val="0"/>
              <w:pageBreakBefore w:val="0"/>
              <w:kinsoku/>
              <w:wordWrap/>
              <w:topLinePunct w:val="0"/>
              <w:bidi w:val="0"/>
              <w:spacing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在评标过程中，评审委员会认为投标人报价低于成本价，有可能影响产品质量或者不能诚信履约的，评标委员会应当要求其在评标现场</w:t>
            </w:r>
            <w:r>
              <w:rPr>
                <w:rFonts w:hint="eastAsia" w:ascii="宋体" w:hAnsi="宋体" w:eastAsia="宋体" w:cs="宋体"/>
                <w:color w:val="auto"/>
                <w:sz w:val="24"/>
                <w:szCs w:val="24"/>
                <w:lang w:val="en-US" w:eastAsia="zh-CN"/>
              </w:rPr>
              <w:t>30分钟</w:t>
            </w:r>
            <w:r>
              <w:rPr>
                <w:rFonts w:hint="eastAsia" w:ascii="宋体" w:hAnsi="宋体" w:eastAsia="宋体" w:cs="宋体"/>
                <w:color w:val="auto"/>
                <w:sz w:val="24"/>
                <w:szCs w:val="24"/>
              </w:rPr>
              <w:t>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4CFF021">
            <w:pPr>
              <w:keepNext w:val="0"/>
              <w:keepLines w:val="0"/>
              <w:pageBreakBefore w:val="0"/>
              <w:kinsoku/>
              <w:wordWrap/>
              <w:topLinePunct w:val="0"/>
              <w:bidi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供应商提供书面说明后，评标委员会应当结合采购项目采购需求、专业实际情况、供应商财务状况报告、与其他供应商比较情况等就供应商书面说明进行审查评价。</w:t>
            </w:r>
            <w:r>
              <w:rPr>
                <w:rFonts w:hint="eastAsia" w:ascii="宋体" w:hAnsi="宋体" w:eastAsia="宋体" w:cs="宋体"/>
                <w:b/>
                <w:color w:val="auto"/>
                <w:sz w:val="24"/>
                <w:szCs w:val="24"/>
              </w:rPr>
              <w:t>供应商</w:t>
            </w:r>
            <w:r>
              <w:rPr>
                <w:rFonts w:hint="eastAsia" w:ascii="宋体" w:hAnsi="宋体" w:eastAsia="宋体" w:cs="宋体"/>
                <w:b/>
                <w:color w:val="auto"/>
                <w:sz w:val="24"/>
                <w:szCs w:val="24"/>
                <w:lang w:val="en-US" w:eastAsia="zh-CN"/>
              </w:rPr>
              <w:t>逾期、</w:t>
            </w:r>
            <w:r>
              <w:rPr>
                <w:rFonts w:hint="eastAsia" w:ascii="宋体" w:hAnsi="宋体" w:eastAsia="宋体" w:cs="宋体"/>
                <w:b/>
                <w:color w:val="auto"/>
                <w:sz w:val="24"/>
                <w:szCs w:val="24"/>
              </w:rPr>
              <w:t>拒绝或者变相拒绝提供有效书面说明或者书面说明不能证明其报价合理性的，评标委员会应当将其</w:t>
            </w:r>
            <w:r>
              <w:rPr>
                <w:rFonts w:hint="eastAsia" w:ascii="宋体" w:hAnsi="宋体" w:eastAsia="宋体" w:cs="宋体"/>
                <w:b/>
                <w:color w:val="auto"/>
                <w:sz w:val="24"/>
                <w:szCs w:val="24"/>
                <w:lang w:eastAsia="zh-CN"/>
              </w:rPr>
              <w:t>投标文件</w:t>
            </w:r>
            <w:r>
              <w:rPr>
                <w:rFonts w:hint="eastAsia" w:ascii="宋体" w:hAnsi="宋体" w:eastAsia="宋体" w:cs="宋体"/>
                <w:b/>
                <w:color w:val="auto"/>
                <w:sz w:val="24"/>
                <w:szCs w:val="24"/>
              </w:rPr>
              <w:t>作为无效处理。</w:t>
            </w:r>
          </w:p>
        </w:tc>
      </w:tr>
      <w:tr w14:paraId="73F65D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2"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DFAF8AC">
            <w:pPr>
              <w:keepNext w:val="0"/>
              <w:keepLines w:val="0"/>
              <w:pageBreakBefore w:val="0"/>
              <w:kinsoku/>
              <w:wordWrap/>
              <w:topLinePunct w:val="0"/>
              <w:bidi w:val="0"/>
              <w:spacing w:line="400" w:lineRule="exact"/>
              <w:ind w:right="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0</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C88814F">
            <w:pPr>
              <w:pStyle w:val="43"/>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招标代理费</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0D30BB7">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代理费收取方式：电汇或银行转账</w:t>
            </w:r>
          </w:p>
          <w:p w14:paraId="090BE135">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代理费收取标准：</w:t>
            </w:r>
            <w:r>
              <w:rPr>
                <w:rFonts w:hint="eastAsia" w:ascii="宋体" w:hAnsi="宋体" w:eastAsia="宋体" w:cs="宋体"/>
                <w:color w:val="auto"/>
                <w:sz w:val="24"/>
                <w:szCs w:val="24"/>
                <w:lang w:val="en-US" w:eastAsia="zh-CN"/>
              </w:rPr>
              <w:t>参照发改价格</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2011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534号文和发改价格</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2003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857号标准下浮20%由中标人支付</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支付方式电汇或转账</w:t>
            </w:r>
            <w:r>
              <w:rPr>
                <w:rFonts w:hint="eastAsia" w:ascii="宋体" w:hAnsi="宋体" w:eastAsia="宋体" w:cs="宋体"/>
                <w:color w:val="auto"/>
                <w:sz w:val="24"/>
                <w:szCs w:val="24"/>
                <w:lang w:val="zh-CN"/>
              </w:rPr>
              <w:t>。</w:t>
            </w:r>
          </w:p>
        </w:tc>
      </w:tr>
      <w:tr w14:paraId="2544B3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060EBDFF">
            <w:pPr>
              <w:pStyle w:val="43"/>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1</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0076CBC8">
            <w:pPr>
              <w:pStyle w:val="43"/>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信用查询记录</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ECE5E37">
            <w:pPr>
              <w:keepNext w:val="0"/>
              <w:keepLines w:val="0"/>
              <w:pageBreakBefore w:val="0"/>
              <w:tabs>
                <w:tab w:val="left" w:pos="7665"/>
              </w:tabs>
              <w:kinsoku/>
              <w:wordWrap/>
              <w:topLinePunct w:val="0"/>
              <w:bidi w:val="0"/>
              <w:spacing w:line="400" w:lineRule="exact"/>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资格审查时，通过“信用中国”网站(www.creditchina.gov.cn)、中国政府采购网(www.ccgp.gov.cn)</w:t>
            </w:r>
            <w:r>
              <w:rPr>
                <w:rFonts w:hint="eastAsia" w:ascii="宋体" w:hAnsi="宋体" w:cs="宋体"/>
                <w:color w:val="auto"/>
                <w:sz w:val="24"/>
                <w:szCs w:val="24"/>
                <w:lang w:val="zh-CN"/>
              </w:rPr>
              <w:t>、</w:t>
            </w:r>
            <w:r>
              <w:rPr>
                <w:rFonts w:hint="eastAsia" w:ascii="宋体" w:hAnsi="宋体" w:eastAsia="宋体" w:cs="宋体"/>
                <w:sz w:val="24"/>
                <w:szCs w:val="24"/>
                <w:highlight w:val="none"/>
                <w:lang w:val="en-US" w:eastAsia="zh-CN"/>
              </w:rPr>
              <w:t>国家企业信用信息公示系统（www.gsxt.gov.cn）</w:t>
            </w:r>
            <w:r>
              <w:rPr>
                <w:rFonts w:hint="eastAsia" w:ascii="宋体" w:hAnsi="宋体" w:eastAsia="宋体" w:cs="宋体"/>
                <w:color w:val="auto"/>
                <w:sz w:val="24"/>
                <w:szCs w:val="24"/>
                <w:lang w:val="zh-CN"/>
              </w:rPr>
              <w:t>渠道查询投标人信用记录，经查询列入失信被执行人、重大税收违法案件当事人名单、政府采购严重违法失信行为记录名单，其投标无效，无效投标人的信用记录查询结果截图将作为项目材料的组成部分。</w:t>
            </w:r>
          </w:p>
        </w:tc>
      </w:tr>
      <w:tr w14:paraId="076AA1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5"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BBE8EE2">
            <w:pPr>
              <w:pStyle w:val="43"/>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2</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0C0DB55C">
            <w:pPr>
              <w:pStyle w:val="43"/>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节能环保</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A7C3B1A">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政府采购强制采购：</w:t>
            </w:r>
            <w:r>
              <w:rPr>
                <w:rFonts w:hint="eastAsia" w:ascii="宋体" w:hAnsi="宋体" w:eastAsia="宋体" w:cs="宋体"/>
                <w:color w:val="000000"/>
                <w:kern w:val="0"/>
                <w:sz w:val="24"/>
                <w:szCs w:val="24"/>
                <w:lang w:val="en-US" w:eastAsia="zh-CN" w:bidi="ar"/>
              </w:rPr>
              <w:t xml:space="preserve">(1)标记符号的节能产品；(2)其他。采购最新一期《节能产品政府采购清单》的产品。 </w:t>
            </w:r>
          </w:p>
          <w:p w14:paraId="27F9DBE0">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政府采购优先采购：</w:t>
            </w:r>
            <w:r>
              <w:rPr>
                <w:rFonts w:hint="eastAsia" w:ascii="宋体" w:hAnsi="宋体" w:eastAsia="宋体" w:cs="宋体"/>
                <w:color w:val="000000"/>
                <w:kern w:val="0"/>
                <w:sz w:val="24"/>
                <w:szCs w:val="24"/>
                <w:lang w:val="en-US" w:eastAsia="zh-CN" w:bidi="ar"/>
              </w:rPr>
              <w:t xml:space="preserve">(1)非标记符号的节能产品；(2)环境标志产品； </w:t>
            </w:r>
          </w:p>
          <w:p w14:paraId="7ED6A9EA">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采购产品为《节能产品政府采购清单》(最新期)内非标记符号的节能产品及《环境标 志产品政府采购清单》(最新期)内的产品： </w:t>
            </w:r>
          </w:p>
          <w:p w14:paraId="49441EBE">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b/>
                <w:sz w:val="24"/>
                <w:szCs w:val="24"/>
              </w:rPr>
            </w:pPr>
            <w:r>
              <w:rPr>
                <w:rFonts w:hint="eastAsia" w:ascii="宋体" w:hAnsi="宋体" w:eastAsia="宋体" w:cs="宋体"/>
                <w:color w:val="000000"/>
                <w:kern w:val="0"/>
                <w:sz w:val="24"/>
                <w:szCs w:val="24"/>
                <w:lang w:val="en-US" w:eastAsia="zh-CN" w:bidi="ar"/>
              </w:rPr>
              <w:t>投标文件（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574C50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105852DF">
            <w:pPr>
              <w:pStyle w:val="43"/>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3</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7F6911E6">
            <w:pPr>
              <w:pStyle w:val="43"/>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提别提示</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F0A37B4">
            <w:pPr>
              <w:pStyle w:val="68"/>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14" w:firstLineChars="6"/>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本项目核心产品</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：本安型灭火机器人、多功能破拆机器人</w:t>
            </w:r>
            <w:bookmarkStart w:id="38" w:name="_GoBack"/>
            <w:bookmarkEnd w:id="38"/>
          </w:p>
          <w:p w14:paraId="6D5B00CE">
            <w:pPr>
              <w:pStyle w:val="68"/>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14" w:firstLineChars="6"/>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提供相同核心品牌产品且通过资格审查、符合性审查的不同投标人参加同一合同项下投标的，按一家投标人计算，评审后得分最高的同品牌投标人获得中标人推荐资格；评审得分相同的，由采购人或采购人委托评标委员会按照投标人投标总报价最低确定一个投标人获得中标人推荐资格，其他同品牌投标人不作为中标候选人。</w:t>
            </w:r>
          </w:p>
          <w:p w14:paraId="41509A71">
            <w:pPr>
              <w:keepNext w:val="0"/>
              <w:keepLines w:val="0"/>
              <w:pageBreakBefore w:val="0"/>
              <w:tabs>
                <w:tab w:val="left" w:pos="7665"/>
              </w:tabs>
              <w:kinsoku/>
              <w:wordWrap/>
              <w:topLinePunct w:val="0"/>
              <w:bidi w:val="0"/>
              <w:spacing w:line="400" w:lineRule="exact"/>
              <w:jc w:val="left"/>
              <w:rPr>
                <w:rFonts w:hint="eastAsia" w:ascii="宋体" w:hAnsi="宋体" w:eastAsia="宋体" w:cs="宋体"/>
                <w:b/>
                <w:sz w:val="24"/>
                <w:szCs w:val="24"/>
                <w:lang w:val="zh-CN" w:eastAsia="zh-CN" w:bidi="ar-SA"/>
              </w:rPr>
            </w:pPr>
            <w:r>
              <w:rPr>
                <w:rFonts w:hint="eastAsia" w:ascii="宋体" w:hAnsi="宋体" w:eastAsia="宋体" w:cs="宋体"/>
                <w:b/>
                <w:sz w:val="24"/>
                <w:szCs w:val="24"/>
                <w:lang w:val="en-US" w:eastAsia="zh-CN"/>
              </w:rPr>
              <w:t>招标</w:t>
            </w:r>
            <w:r>
              <w:rPr>
                <w:rFonts w:hint="eastAsia" w:ascii="宋体" w:hAnsi="宋体" w:eastAsia="宋体" w:cs="宋体"/>
                <w:b/>
                <w:sz w:val="24"/>
                <w:szCs w:val="24"/>
              </w:rPr>
              <w:t>文件中部分</w:t>
            </w:r>
            <w:r>
              <w:rPr>
                <w:rFonts w:hint="eastAsia" w:ascii="宋体" w:hAnsi="宋体" w:eastAsia="宋体" w:cs="宋体"/>
                <w:b/>
                <w:sz w:val="24"/>
                <w:szCs w:val="24"/>
                <w:lang w:eastAsia="zh-CN"/>
              </w:rPr>
              <w:t>标有</w:t>
            </w:r>
            <w:r>
              <w:rPr>
                <w:rFonts w:hint="eastAsia" w:ascii="宋体" w:hAnsi="宋体" w:eastAsia="宋体" w:cs="宋体"/>
                <w:b/>
                <w:bCs/>
                <w:color w:val="auto"/>
                <w:sz w:val="24"/>
                <w:szCs w:val="24"/>
              </w:rPr>
              <w:t>实质性要求</w:t>
            </w:r>
            <w:r>
              <w:rPr>
                <w:rFonts w:hint="eastAsia" w:ascii="宋体" w:hAnsi="宋体" w:eastAsia="宋体" w:cs="宋体"/>
                <w:b/>
                <w:bCs/>
                <w:color w:val="auto"/>
                <w:sz w:val="24"/>
                <w:szCs w:val="24"/>
                <w:lang w:eastAsia="zh-CN"/>
              </w:rPr>
              <w:t>、</w:t>
            </w:r>
            <w:r>
              <w:rPr>
                <w:rFonts w:hint="eastAsia" w:ascii="宋体" w:hAnsi="宋体" w:eastAsia="宋体" w:cs="宋体"/>
                <w:b/>
                <w:sz w:val="24"/>
                <w:szCs w:val="24"/>
              </w:rPr>
              <w:t>加粗、加下划线、废标、无效标、投标被拒绝字样的条款，为招标的实质性要求和条件，着重提醒各投标人注意，并认真查看</w:t>
            </w:r>
            <w:r>
              <w:rPr>
                <w:rFonts w:hint="eastAsia" w:ascii="宋体" w:hAnsi="宋体" w:eastAsia="宋体" w:cs="宋体"/>
                <w:b/>
                <w:sz w:val="24"/>
                <w:szCs w:val="24"/>
                <w:lang w:eastAsia="zh-CN"/>
              </w:rPr>
              <w:t>采购</w:t>
            </w:r>
            <w:r>
              <w:rPr>
                <w:rFonts w:hint="eastAsia" w:ascii="宋体" w:hAnsi="宋体" w:eastAsia="宋体" w:cs="宋体"/>
                <w:b/>
                <w:sz w:val="24"/>
                <w:szCs w:val="24"/>
              </w:rPr>
              <w:t>文件中的每一个条款及要求，因误读</w:t>
            </w:r>
            <w:r>
              <w:rPr>
                <w:rFonts w:hint="eastAsia" w:ascii="宋体" w:hAnsi="宋体" w:eastAsia="宋体" w:cs="宋体"/>
                <w:b/>
                <w:sz w:val="24"/>
                <w:szCs w:val="24"/>
                <w:lang w:eastAsia="zh-CN"/>
              </w:rPr>
              <w:t>采购</w:t>
            </w:r>
            <w:r>
              <w:rPr>
                <w:rFonts w:hint="eastAsia" w:ascii="宋体" w:hAnsi="宋体" w:eastAsia="宋体" w:cs="宋体"/>
                <w:b/>
                <w:sz w:val="24"/>
                <w:szCs w:val="24"/>
              </w:rPr>
              <w:t>文件而造成的后果，采购人概不负责。</w:t>
            </w:r>
          </w:p>
        </w:tc>
      </w:tr>
      <w:tr w14:paraId="352A1E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DBD5D2A">
            <w:pPr>
              <w:pStyle w:val="43"/>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p>
        </w:tc>
        <w:tc>
          <w:tcPr>
            <w:tcW w:w="1619" w:type="dxa"/>
            <w:tcBorders>
              <w:top w:val="single" w:color="auto" w:sz="8" w:space="0"/>
              <w:left w:val="single" w:color="auto" w:sz="8" w:space="0"/>
              <w:bottom w:val="single" w:color="auto" w:sz="8" w:space="0"/>
              <w:right w:val="single" w:color="auto" w:sz="8" w:space="0"/>
            </w:tcBorders>
            <w:noWrap w:val="0"/>
            <w:vAlign w:val="center"/>
          </w:tcPr>
          <w:p w14:paraId="7B2BCB21">
            <w:pPr>
              <w:pStyle w:val="43"/>
              <w:keepNext w:val="0"/>
              <w:keepLines w:val="0"/>
              <w:pageBreakBefore w:val="0"/>
              <w:kinsoku/>
              <w:wordWrap/>
              <w:topLinePunct w:val="0"/>
              <w:bidi w:val="0"/>
              <w:spacing w:line="400" w:lineRule="exact"/>
              <w:ind w:left="96" w:leftChars="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注</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18694027">
            <w:pPr>
              <w:pStyle w:val="43"/>
              <w:keepNext w:val="0"/>
              <w:keepLines w:val="0"/>
              <w:pageBreakBefore w:val="0"/>
              <w:kinsoku/>
              <w:wordWrap/>
              <w:topLinePunct w:val="0"/>
              <w:bidi w:val="0"/>
              <w:spacing w:line="400" w:lineRule="exact"/>
              <w:ind w:left="96" w:leftChars="0"/>
              <w:jc w:val="both"/>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招标</w:t>
            </w:r>
            <w:r>
              <w:rPr>
                <w:rFonts w:hint="eastAsia" w:ascii="宋体" w:hAnsi="宋体" w:eastAsia="宋体" w:cs="宋体"/>
                <w:b/>
                <w:bCs/>
                <w:color w:val="auto"/>
                <w:sz w:val="24"/>
                <w:szCs w:val="24"/>
                <w:lang w:val="en-US" w:eastAsia="zh-CN"/>
              </w:rPr>
              <w:t>文件内容如有不一致的以前附表为准。</w:t>
            </w:r>
          </w:p>
        </w:tc>
      </w:tr>
    </w:tbl>
    <w:p w14:paraId="1DCF51FE">
      <w:pPr>
        <w:pStyle w:val="23"/>
        <w:numPr>
          <w:ilvl w:val="0"/>
          <w:numId w:val="0"/>
        </w:numPr>
        <w:ind w:leftChars="400"/>
        <w:rPr>
          <w:rFonts w:hint="eastAsia" w:ascii="宋体" w:hAnsi="宋体" w:eastAsia="宋体" w:cs="宋体"/>
          <w:lang w:val="en-US" w:eastAsia="zh-CN"/>
        </w:rPr>
      </w:pPr>
    </w:p>
    <w:p w14:paraId="1176F53B">
      <w:pPr>
        <w:pStyle w:val="23"/>
        <w:numPr>
          <w:ilvl w:val="0"/>
          <w:numId w:val="0"/>
        </w:numPr>
        <w:ind w:leftChars="400"/>
        <w:rPr>
          <w:rFonts w:hint="eastAsia" w:ascii="宋体" w:hAnsi="宋体" w:eastAsia="宋体" w:cs="宋体"/>
          <w:lang w:val="en-US" w:eastAsia="zh-CN"/>
        </w:rPr>
      </w:pPr>
    </w:p>
    <w:p w14:paraId="20D21A63">
      <w:pPr>
        <w:pStyle w:val="23"/>
        <w:numPr>
          <w:ilvl w:val="0"/>
          <w:numId w:val="0"/>
        </w:numPr>
        <w:ind w:leftChars="400"/>
        <w:rPr>
          <w:rFonts w:hint="eastAsia" w:ascii="宋体" w:hAnsi="宋体" w:eastAsia="宋体" w:cs="宋体"/>
          <w:lang w:val="en-US" w:eastAsia="zh-CN"/>
        </w:rPr>
      </w:pPr>
    </w:p>
    <w:p w14:paraId="6574110F">
      <w:pPr>
        <w:rPr>
          <w:rFonts w:hint="eastAsia"/>
        </w:rPr>
      </w:pPr>
    </w:p>
    <w:p w14:paraId="47E36F4B">
      <w:pPr>
        <w:rPr>
          <w:rFonts w:hint="eastAsia"/>
        </w:rPr>
      </w:pPr>
    </w:p>
    <w:p w14:paraId="7DDA9D81">
      <w:pPr>
        <w:pStyle w:val="2"/>
        <w:rPr>
          <w:rFonts w:hint="eastAsia"/>
        </w:rPr>
      </w:pPr>
    </w:p>
    <w:p w14:paraId="01AA57A6">
      <w:pPr>
        <w:pStyle w:val="3"/>
        <w:rPr>
          <w:rFonts w:hint="eastAsia"/>
        </w:rPr>
      </w:pPr>
    </w:p>
    <w:p w14:paraId="78DB0B4C">
      <w:pPr>
        <w:pStyle w:val="4"/>
        <w:rPr>
          <w:rFonts w:hint="eastAsia"/>
        </w:rPr>
      </w:pPr>
    </w:p>
    <w:p w14:paraId="182473C3">
      <w:pPr>
        <w:rPr>
          <w:rFonts w:hint="eastAsia"/>
        </w:rPr>
      </w:pPr>
    </w:p>
    <w:p w14:paraId="0F2BE5DD">
      <w:pPr>
        <w:pStyle w:val="2"/>
        <w:rPr>
          <w:rFonts w:hint="eastAsia"/>
        </w:rPr>
      </w:pPr>
    </w:p>
    <w:p w14:paraId="6FEB3504">
      <w:pPr>
        <w:pStyle w:val="3"/>
        <w:rPr>
          <w:rFonts w:hint="eastAsia"/>
        </w:rPr>
      </w:pPr>
    </w:p>
    <w:p w14:paraId="6677C68E">
      <w:pPr>
        <w:pStyle w:val="4"/>
        <w:rPr>
          <w:rFonts w:hint="eastAsia"/>
        </w:rPr>
      </w:pPr>
    </w:p>
    <w:p w14:paraId="650EB08D">
      <w:pPr>
        <w:rPr>
          <w:rFonts w:hint="eastAsia"/>
        </w:rPr>
      </w:pPr>
    </w:p>
    <w:p w14:paraId="5AB57699">
      <w:pPr>
        <w:rPr>
          <w:rFonts w:hint="eastAsia"/>
        </w:rPr>
      </w:pPr>
    </w:p>
    <w:p w14:paraId="4FF15C37">
      <w:pPr>
        <w:rPr>
          <w:rFonts w:hint="eastAsia"/>
        </w:rPr>
      </w:pPr>
    </w:p>
    <w:p w14:paraId="5E70CDF9">
      <w:pPr>
        <w:rPr>
          <w:rFonts w:hint="eastAsia"/>
        </w:rPr>
      </w:pPr>
    </w:p>
    <w:p w14:paraId="659F30E9">
      <w:pPr>
        <w:rPr>
          <w:rFonts w:hint="eastAsia"/>
        </w:rPr>
      </w:pPr>
    </w:p>
    <w:p w14:paraId="3DDFE215">
      <w:pPr>
        <w:rPr>
          <w:rFonts w:hint="eastAsia"/>
        </w:rPr>
      </w:pPr>
    </w:p>
    <w:p w14:paraId="42419859">
      <w:pPr>
        <w:rPr>
          <w:rFonts w:hint="eastAsia"/>
        </w:rPr>
      </w:pPr>
    </w:p>
    <w:p w14:paraId="583E387D">
      <w:pPr>
        <w:rPr>
          <w:rFonts w:hint="eastAsia"/>
        </w:rPr>
      </w:pPr>
    </w:p>
    <w:p w14:paraId="481476A3">
      <w:pPr>
        <w:rPr>
          <w:rFonts w:hint="eastAsia"/>
        </w:rPr>
      </w:pPr>
    </w:p>
    <w:p w14:paraId="70F803D9">
      <w:pPr>
        <w:rPr>
          <w:rFonts w:hint="eastAsia"/>
        </w:rPr>
      </w:pPr>
    </w:p>
    <w:p w14:paraId="470052B6">
      <w:pPr>
        <w:rPr>
          <w:rFonts w:hint="eastAsia"/>
        </w:rPr>
      </w:pPr>
    </w:p>
    <w:p w14:paraId="75348122">
      <w:pPr>
        <w:rPr>
          <w:rFonts w:hint="eastAsia"/>
        </w:rPr>
      </w:pPr>
    </w:p>
    <w:p w14:paraId="7A0F271B">
      <w:pPr>
        <w:rPr>
          <w:rFonts w:hint="eastAsia"/>
        </w:rPr>
      </w:pPr>
    </w:p>
    <w:p w14:paraId="40708C83">
      <w:pPr>
        <w:rPr>
          <w:rFonts w:hint="eastAsia"/>
        </w:rPr>
      </w:pPr>
    </w:p>
    <w:p w14:paraId="58C9279D">
      <w:pPr>
        <w:rPr>
          <w:rFonts w:hint="eastAsia"/>
        </w:rPr>
      </w:pPr>
    </w:p>
    <w:p w14:paraId="737A6E02">
      <w:pPr>
        <w:rPr>
          <w:rFonts w:hint="eastAsia"/>
        </w:rPr>
      </w:pPr>
    </w:p>
    <w:p w14:paraId="1DB3349C">
      <w:pPr>
        <w:rPr>
          <w:rFonts w:hint="eastAsia"/>
        </w:rPr>
      </w:pPr>
    </w:p>
    <w:p w14:paraId="1DA174EE">
      <w:pPr>
        <w:rPr>
          <w:rFonts w:hint="eastAsia"/>
        </w:rPr>
      </w:pPr>
    </w:p>
    <w:p w14:paraId="4FE71EAA">
      <w:pPr>
        <w:rPr>
          <w:rFonts w:hint="eastAsia"/>
        </w:rPr>
      </w:pPr>
    </w:p>
    <w:p w14:paraId="2071A2BF">
      <w:pPr>
        <w:rPr>
          <w:rFonts w:hint="eastAsia"/>
        </w:rPr>
      </w:pPr>
    </w:p>
    <w:p w14:paraId="75113ED8">
      <w:pPr>
        <w:rPr>
          <w:rFonts w:hint="eastAsia"/>
        </w:rPr>
      </w:pPr>
    </w:p>
    <w:p w14:paraId="2C5BBD9D">
      <w:pPr>
        <w:rPr>
          <w:rFonts w:hint="eastAsia"/>
        </w:rPr>
      </w:pPr>
    </w:p>
    <w:p w14:paraId="3B5DB195">
      <w:pPr>
        <w:rPr>
          <w:rFonts w:hint="eastAsia"/>
        </w:rPr>
      </w:pPr>
    </w:p>
    <w:p w14:paraId="3234D13A">
      <w:pPr>
        <w:rPr>
          <w:rFonts w:hint="eastAsia"/>
        </w:rPr>
      </w:pPr>
    </w:p>
    <w:p w14:paraId="2F916137">
      <w:pPr>
        <w:rPr>
          <w:rFonts w:hint="eastAsia"/>
        </w:rPr>
      </w:pPr>
    </w:p>
    <w:p w14:paraId="423695E4">
      <w:pPr>
        <w:pageBreakBefore w:val="0"/>
        <w:widowControl/>
        <w:kinsoku/>
        <w:wordWrap/>
        <w:overflowPunct/>
        <w:topLinePunct w:val="0"/>
        <w:bidi w:val="0"/>
        <w:spacing w:line="40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第</w:t>
      </w:r>
      <w:r>
        <w:rPr>
          <w:rFonts w:hint="eastAsia" w:ascii="宋体" w:hAnsi="宋体" w:eastAsia="宋体" w:cs="宋体"/>
          <w:b/>
          <w:color w:val="000000"/>
          <w:sz w:val="36"/>
          <w:szCs w:val="36"/>
          <w:highlight w:val="none"/>
          <w:lang w:val="en-US" w:eastAsia="zh-CN"/>
        </w:rPr>
        <w:t>三</w:t>
      </w:r>
      <w:r>
        <w:rPr>
          <w:rFonts w:hint="eastAsia" w:ascii="宋体" w:hAnsi="宋体" w:eastAsia="宋体" w:cs="宋体"/>
          <w:b/>
          <w:color w:val="000000"/>
          <w:sz w:val="36"/>
          <w:szCs w:val="36"/>
          <w:highlight w:val="none"/>
        </w:rPr>
        <w:t>章 投标</w:t>
      </w:r>
      <w:r>
        <w:rPr>
          <w:rFonts w:hint="eastAsia" w:ascii="宋体" w:hAnsi="宋体" w:eastAsia="宋体" w:cs="宋体"/>
          <w:b/>
          <w:color w:val="000000"/>
          <w:sz w:val="36"/>
          <w:szCs w:val="36"/>
          <w:highlight w:val="none"/>
          <w:lang w:val="en-US" w:eastAsia="zh-CN"/>
        </w:rPr>
        <w:t>人</w:t>
      </w:r>
      <w:r>
        <w:rPr>
          <w:rFonts w:hint="eastAsia" w:ascii="宋体" w:hAnsi="宋体" w:eastAsia="宋体" w:cs="宋体"/>
          <w:b/>
          <w:color w:val="000000"/>
          <w:sz w:val="36"/>
          <w:szCs w:val="36"/>
          <w:highlight w:val="none"/>
        </w:rPr>
        <w:t>须知</w:t>
      </w:r>
    </w:p>
    <w:p w14:paraId="01CE21F3">
      <w:pPr>
        <w:pageBreakBefore w:val="0"/>
        <w:kinsoku/>
        <w:wordWrap/>
        <w:overflowPunct/>
        <w:topLinePunct w:val="0"/>
        <w:bidi w:val="0"/>
        <w:adjustRightInd w:val="0"/>
        <w:snapToGrid w:val="0"/>
        <w:spacing w:line="40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一、总  则</w:t>
      </w:r>
    </w:p>
    <w:p w14:paraId="450FB0AE">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1、适用范围</w:t>
      </w:r>
    </w:p>
    <w:p w14:paraId="2FFC92D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1.1 </w:t>
      </w:r>
      <w:r>
        <w:rPr>
          <w:rFonts w:hint="eastAsia" w:ascii="宋体" w:hAnsi="宋体" w:eastAsia="宋体" w:cs="宋体"/>
          <w:sz w:val="24"/>
          <w:szCs w:val="24"/>
          <w:highlight w:val="none"/>
        </w:rPr>
        <w:t>本次招标采取公开招标方式，本招标文件仅适用于招标公告中所述项目。</w:t>
      </w:r>
    </w:p>
    <w:p w14:paraId="6D505138">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2、合格的投标人</w:t>
      </w:r>
    </w:p>
    <w:p w14:paraId="5A5B8066">
      <w:pPr>
        <w:pageBreakBefore w:val="0"/>
        <w:kinsoku/>
        <w:wordWrap/>
        <w:overflowPunct/>
        <w:topLinePunct w:val="0"/>
        <w:bidi w:val="0"/>
        <w:adjustRightInd w:val="0"/>
        <w:snapToGrid w:val="0"/>
        <w:spacing w:beforeAutospacing="0" w:afterAutospacing="0" w:line="400" w:lineRule="exact"/>
        <w:ind w:firstLine="463" w:firstLineChars="19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2.1投标人资格要求：</w:t>
      </w:r>
    </w:p>
    <w:p w14:paraId="55C0E30B">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2.1.1.满足《中华人民共和国政府采购法》第二十二条规定；</w:t>
      </w:r>
    </w:p>
    <w:p w14:paraId="43EB9F9C">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2.1.2.落实政府采购政策需满足的资格要求：专门面向中小企业；</w:t>
      </w:r>
    </w:p>
    <w:p w14:paraId="7850BEDA">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2.1.3.本项目的特定资格要求：无。</w:t>
      </w:r>
    </w:p>
    <w:p w14:paraId="5CA2B61D">
      <w:pPr>
        <w:pageBreakBefore w:val="0"/>
        <w:kinsoku/>
        <w:wordWrap/>
        <w:overflowPunct/>
        <w:topLinePunct w:val="0"/>
        <w:autoSpaceDE w:val="0"/>
        <w:autoSpaceDN w:val="0"/>
        <w:bidi w:val="0"/>
        <w:adjustRightInd w:val="0"/>
        <w:snapToGrid w:val="0"/>
        <w:spacing w:beforeAutospacing="0" w:afterAutospacing="0" w:line="400" w:lineRule="exact"/>
        <w:ind w:firstLine="241" w:firstLineChars="100"/>
        <w:rPr>
          <w:rFonts w:hint="eastAsia" w:ascii="宋体" w:hAnsi="宋体" w:eastAsia="宋体" w:cs="宋体"/>
          <w:b/>
          <w:color w:val="000000"/>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2.2 投标人在本次招标活动中，必须遵守《中华人民</w:t>
      </w:r>
      <w:r>
        <w:rPr>
          <w:rFonts w:hint="eastAsia" w:ascii="宋体" w:hAnsi="宋体" w:eastAsia="宋体" w:cs="宋体"/>
          <w:b/>
          <w:color w:val="000000"/>
          <w:sz w:val="24"/>
          <w:szCs w:val="24"/>
          <w:highlight w:val="none"/>
        </w:rPr>
        <w:t>共和国招标投标法》、《中华人民共和国政府招标法》及相关法律的规定。</w:t>
      </w:r>
    </w:p>
    <w:p w14:paraId="25FF2F59">
      <w:pPr>
        <w:pageBreakBefore w:val="0"/>
        <w:numPr>
          <w:ilvl w:val="0"/>
          <w:numId w:val="1"/>
        </w:numPr>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定义</w:t>
      </w:r>
    </w:p>
    <w:p w14:paraId="0875D420">
      <w:pPr>
        <w:pageBreakBefore w:val="0"/>
        <w:kinsoku/>
        <w:wordWrap/>
        <w:overflowPunct/>
        <w:topLinePunct w:val="0"/>
        <w:autoSpaceDE w:val="0"/>
        <w:autoSpaceDN w:val="0"/>
        <w:bidi w:val="0"/>
        <w:adjustRightInd w:val="0"/>
        <w:snapToGrid w:val="0"/>
        <w:spacing w:beforeAutospacing="0" w:afterAutospacing="0"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3.1 “</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”系指合同中明确规定的实际购买货物和服务的法人、行政事业单位、团体组织。</w:t>
      </w:r>
      <w:r>
        <w:rPr>
          <w:rFonts w:hint="eastAsia" w:ascii="宋体" w:hAnsi="宋体" w:eastAsia="宋体" w:cs="宋体"/>
          <w:color w:val="000000"/>
          <w:sz w:val="24"/>
          <w:szCs w:val="24"/>
          <w:highlight w:val="none"/>
          <w:lang w:val="en-US" w:eastAsia="zh-CN"/>
        </w:rPr>
        <w:t>本项目中系指</w:t>
      </w:r>
      <w:r>
        <w:rPr>
          <w:rFonts w:hint="eastAsia" w:ascii="宋体" w:hAnsi="宋体" w:cs="宋体"/>
          <w:color w:val="000000"/>
          <w:sz w:val="24"/>
          <w:szCs w:val="24"/>
          <w:highlight w:val="none"/>
          <w:lang w:val="en-US" w:eastAsia="zh-CN"/>
        </w:rPr>
        <w:t>吐鲁番市应急救援队</w:t>
      </w:r>
      <w:r>
        <w:rPr>
          <w:rFonts w:hint="eastAsia" w:ascii="宋体" w:hAnsi="宋体" w:eastAsia="宋体" w:cs="宋体"/>
          <w:color w:val="000000"/>
          <w:sz w:val="24"/>
          <w:szCs w:val="24"/>
          <w:highlight w:val="none"/>
          <w:lang w:val="en-US" w:eastAsia="zh-CN"/>
        </w:rPr>
        <w:t>。</w:t>
      </w:r>
    </w:p>
    <w:p w14:paraId="2A60D36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“投标人”系指响应招标，并按照招标文件的要求参与</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任务竞争的法人，中标后即为中标人，签定合同后即为卖方。</w:t>
      </w:r>
    </w:p>
    <w:p w14:paraId="13EB333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“招标</w:t>
      </w:r>
      <w:r>
        <w:rPr>
          <w:rFonts w:hint="eastAsia" w:ascii="宋体" w:hAnsi="宋体" w:eastAsia="宋体" w:cs="宋体"/>
          <w:color w:val="000000"/>
          <w:sz w:val="24"/>
          <w:szCs w:val="24"/>
          <w:highlight w:val="none"/>
          <w:lang w:val="en-US" w:eastAsia="zh-CN"/>
        </w:rPr>
        <w:t>代理</w:t>
      </w:r>
      <w:r>
        <w:rPr>
          <w:rFonts w:hint="eastAsia" w:ascii="宋体" w:hAnsi="宋体" w:eastAsia="宋体" w:cs="宋体"/>
          <w:color w:val="000000"/>
          <w:sz w:val="24"/>
          <w:szCs w:val="24"/>
          <w:highlight w:val="none"/>
        </w:rPr>
        <w:t>机构”为</w:t>
      </w:r>
      <w:r>
        <w:rPr>
          <w:rFonts w:hint="eastAsia" w:ascii="宋体" w:hAnsi="宋体" w:eastAsia="宋体" w:cs="宋体"/>
          <w:color w:val="000000"/>
          <w:sz w:val="24"/>
          <w:szCs w:val="24"/>
          <w:highlight w:val="none"/>
          <w:lang w:eastAsia="zh-CN"/>
        </w:rPr>
        <w:t>新疆华域天恒工程管理有限公司</w:t>
      </w:r>
      <w:r>
        <w:rPr>
          <w:rFonts w:hint="eastAsia" w:ascii="宋体" w:hAnsi="宋体" w:eastAsia="宋体" w:cs="宋体"/>
          <w:color w:val="000000"/>
          <w:sz w:val="24"/>
          <w:szCs w:val="24"/>
          <w:highlight w:val="none"/>
        </w:rPr>
        <w:t>。</w:t>
      </w:r>
    </w:p>
    <w:p w14:paraId="3862A91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 “货物”系指卖方按合同要求，须向买方提供的一切产品及其它技术资料和材料。</w:t>
      </w:r>
    </w:p>
    <w:p w14:paraId="451448B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 “服务”系指合同规定卖方须承担的技术协助、本地化开发、运输、安装、调试和交付使用后免费维护期内及质保期外应履行的义务及售后服务等其他类似的义务。</w:t>
      </w:r>
    </w:p>
    <w:p w14:paraId="7EA107B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 “卖方”系指提供合同货物和服务的法人。</w:t>
      </w:r>
    </w:p>
    <w:p w14:paraId="7758447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 “买方”系指购买</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的单位。</w:t>
      </w:r>
    </w:p>
    <w:p w14:paraId="6E26CC6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4、投标费用</w:t>
      </w:r>
    </w:p>
    <w:p w14:paraId="7BEE7F8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 无论投标结果如何，投标人须自行承担所有与参加投标有关的全部费用。</w:t>
      </w:r>
    </w:p>
    <w:p w14:paraId="34002C9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二、招标文件</w:t>
      </w:r>
    </w:p>
    <w:p w14:paraId="2928B01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5、招标文件</w:t>
      </w:r>
    </w:p>
    <w:p w14:paraId="79FB7DB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招标文件用以阐明所招标的内容，</w:t>
      </w:r>
      <w:r>
        <w:rPr>
          <w:rFonts w:hint="eastAsia" w:ascii="宋体" w:hAnsi="宋体" w:eastAsia="宋体" w:cs="宋体"/>
          <w:color w:val="000000"/>
          <w:sz w:val="24"/>
          <w:szCs w:val="24"/>
          <w:highlight w:val="none"/>
          <w:lang w:val="en-US" w:eastAsia="zh-CN"/>
        </w:rPr>
        <w:t>招标文件内容</w:t>
      </w:r>
      <w:r>
        <w:rPr>
          <w:rFonts w:hint="eastAsia" w:ascii="宋体" w:hAnsi="宋体" w:eastAsia="宋体" w:cs="宋体"/>
          <w:color w:val="000000"/>
          <w:sz w:val="24"/>
          <w:szCs w:val="24"/>
          <w:highlight w:val="none"/>
        </w:rPr>
        <w:t>包括：</w:t>
      </w:r>
    </w:p>
    <w:p w14:paraId="54581FD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5.1.1</w:t>
      </w:r>
      <w:r>
        <w:rPr>
          <w:rFonts w:hint="eastAsia" w:ascii="宋体" w:hAnsi="宋体" w:eastAsia="宋体" w:cs="宋体"/>
          <w:color w:val="000000"/>
          <w:sz w:val="24"/>
          <w:szCs w:val="24"/>
          <w:highlight w:val="none"/>
        </w:rPr>
        <w:t>投标邀请（招标公告）</w:t>
      </w:r>
    </w:p>
    <w:p w14:paraId="2BF43655">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5.1.2</w:t>
      </w:r>
      <w:r>
        <w:rPr>
          <w:rFonts w:hint="eastAsia" w:ascii="宋体" w:hAnsi="宋体" w:eastAsia="宋体" w:cs="宋体"/>
          <w:color w:val="000000"/>
          <w:sz w:val="24"/>
          <w:szCs w:val="24"/>
          <w:highlight w:val="none"/>
        </w:rPr>
        <w:t>投标人须知前附表</w:t>
      </w:r>
    </w:p>
    <w:p w14:paraId="58FB2F7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5.1.3</w:t>
      </w:r>
      <w:r>
        <w:rPr>
          <w:rFonts w:hint="eastAsia" w:ascii="宋体" w:hAnsi="宋体" w:eastAsia="宋体" w:cs="宋体"/>
          <w:color w:val="000000"/>
          <w:sz w:val="24"/>
          <w:szCs w:val="24"/>
          <w:highlight w:val="none"/>
        </w:rPr>
        <w:t>投标人须知</w:t>
      </w:r>
    </w:p>
    <w:p w14:paraId="01878E1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5.1.4</w:t>
      </w:r>
      <w:r>
        <w:rPr>
          <w:rFonts w:hint="eastAsia" w:ascii="宋体" w:hAnsi="宋体" w:eastAsia="宋体" w:cs="宋体"/>
          <w:color w:val="000000"/>
          <w:sz w:val="24"/>
          <w:szCs w:val="24"/>
          <w:highlight w:val="none"/>
        </w:rPr>
        <w:t>合同文本格式</w:t>
      </w:r>
    </w:p>
    <w:p w14:paraId="266FF19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5.1.5</w:t>
      </w:r>
      <w:r>
        <w:rPr>
          <w:rFonts w:hint="eastAsia" w:ascii="宋体" w:hAnsi="宋体" w:eastAsia="宋体" w:cs="宋体"/>
          <w:color w:val="000000"/>
          <w:sz w:val="24"/>
          <w:szCs w:val="24"/>
          <w:highlight w:val="none"/>
        </w:rPr>
        <w:t>采购需求</w:t>
      </w:r>
    </w:p>
    <w:p w14:paraId="108490C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5.1.6</w:t>
      </w:r>
      <w:r>
        <w:rPr>
          <w:rFonts w:hint="eastAsia" w:ascii="宋体" w:hAnsi="宋体" w:eastAsia="宋体" w:cs="宋体"/>
          <w:color w:val="000000"/>
          <w:sz w:val="24"/>
          <w:szCs w:val="24"/>
          <w:highlight w:val="none"/>
        </w:rPr>
        <w:t>评标方法及评标标准</w:t>
      </w:r>
    </w:p>
    <w:p w14:paraId="6C272AD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5.1.7</w:t>
      </w:r>
      <w:r>
        <w:rPr>
          <w:rFonts w:hint="eastAsia" w:ascii="宋体" w:hAnsi="宋体" w:eastAsia="宋体" w:cs="宋体"/>
          <w:color w:val="000000"/>
          <w:sz w:val="24"/>
          <w:szCs w:val="24"/>
          <w:highlight w:val="none"/>
        </w:rPr>
        <w:t>投标文件格式</w:t>
      </w:r>
    </w:p>
    <w:p w14:paraId="7471CD1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5.2投标人应仔细阅读招标文件中的所有内容。</w:t>
      </w: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将拒绝未按招标文件的要求提供全部资料或提交的投标文件未对招标文件作出实质性响应的投标。</w:t>
      </w:r>
    </w:p>
    <w:p w14:paraId="5E6469D5">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6、招标文件的澄清</w:t>
      </w:r>
      <w:r>
        <w:rPr>
          <w:rFonts w:hint="eastAsia" w:ascii="宋体" w:hAnsi="宋体" w:eastAsia="宋体" w:cs="宋体"/>
          <w:b/>
          <w:color w:val="000000"/>
          <w:sz w:val="24"/>
          <w:szCs w:val="24"/>
          <w:highlight w:val="none"/>
          <w:lang w:eastAsia="zh-CN"/>
        </w:rPr>
        <w:t>或者修改</w:t>
      </w:r>
    </w:p>
    <w:p w14:paraId="030211F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rPr>
        <w:t>.1澄清或者修改的内容可能影响投标文件编制的，在投标截止期十五日前的任何时间，招标方可主动或依据投标人要求澄清的问题而修改或补充招标文件，并以书面形式</w:t>
      </w:r>
      <w:r>
        <w:rPr>
          <w:rFonts w:hint="eastAsia" w:ascii="宋体" w:hAnsi="宋体" w:eastAsia="宋体" w:cs="宋体"/>
          <w:b w:val="0"/>
          <w:bCs/>
          <w:color w:val="000000"/>
          <w:sz w:val="24"/>
          <w:szCs w:val="24"/>
          <w:highlight w:val="none"/>
          <w:lang w:eastAsia="zh-CN"/>
        </w:rPr>
        <w:t>及</w:t>
      </w:r>
      <w:r>
        <w:rPr>
          <w:rFonts w:hint="eastAsia" w:ascii="宋体" w:hAnsi="宋体" w:eastAsia="宋体" w:cs="宋体"/>
          <w:b w:val="0"/>
          <w:bCs/>
          <w:color w:val="000000"/>
          <w:sz w:val="24"/>
          <w:szCs w:val="24"/>
          <w:highlight w:val="none"/>
        </w:rPr>
        <w:t>网上公告通知所有投标人，投标人在收到该通知后应立即以</w:t>
      </w:r>
      <w:r>
        <w:rPr>
          <w:rFonts w:hint="eastAsia" w:ascii="宋体" w:hAnsi="宋体" w:eastAsia="宋体" w:cs="宋体"/>
          <w:b w:val="0"/>
          <w:bCs/>
          <w:color w:val="000000"/>
          <w:sz w:val="24"/>
          <w:szCs w:val="24"/>
          <w:highlight w:val="none"/>
          <w:lang w:eastAsia="zh-CN"/>
        </w:rPr>
        <w:t>书面</w:t>
      </w:r>
      <w:r>
        <w:rPr>
          <w:rFonts w:hint="eastAsia" w:ascii="宋体" w:hAnsi="宋体" w:eastAsia="宋体" w:cs="宋体"/>
          <w:b w:val="0"/>
          <w:bCs/>
          <w:color w:val="000000"/>
          <w:sz w:val="24"/>
          <w:szCs w:val="24"/>
          <w:highlight w:val="none"/>
        </w:rPr>
        <w:t>形式予以确认。</w:t>
      </w:r>
    </w:p>
    <w:p w14:paraId="0B2D2E2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rPr>
        <w:t>.2为使投标人在准备投标时有适当的时间考虑投标文件的修改，招标方有权决定推迟投标截止时间和开标时间，并将此变更通知所有的投标人。</w:t>
      </w:r>
    </w:p>
    <w:p w14:paraId="2FA5BD0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rPr>
        <w:t>.3招标文件的修改和补充文件</w:t>
      </w:r>
      <w:r>
        <w:rPr>
          <w:rFonts w:hint="eastAsia" w:ascii="宋体" w:hAnsi="宋体" w:eastAsia="宋体" w:cs="宋体"/>
          <w:color w:val="000000"/>
          <w:sz w:val="24"/>
          <w:szCs w:val="24"/>
          <w:highlight w:val="none"/>
        </w:rPr>
        <w:t>将在新疆政府采购网公布</w:t>
      </w:r>
      <w:r>
        <w:rPr>
          <w:rFonts w:hint="eastAsia" w:ascii="宋体" w:hAnsi="宋体" w:eastAsia="宋体" w:cs="宋体"/>
          <w:color w:val="000000"/>
          <w:sz w:val="24"/>
          <w:szCs w:val="24"/>
          <w:highlight w:val="none"/>
          <w:lang w:eastAsia="zh-CN"/>
        </w:rPr>
        <w:t>，修改、补充</w:t>
      </w:r>
      <w:r>
        <w:rPr>
          <w:rFonts w:hint="eastAsia" w:ascii="宋体" w:hAnsi="宋体" w:eastAsia="宋体" w:cs="宋体"/>
          <w:b w:val="0"/>
          <w:bCs/>
          <w:color w:val="000000"/>
          <w:sz w:val="24"/>
          <w:szCs w:val="24"/>
          <w:highlight w:val="none"/>
        </w:rPr>
        <w:t>将构成招标文件的一部分，并且对投标人具有优先约束力</w:t>
      </w:r>
      <w:r>
        <w:rPr>
          <w:rFonts w:hint="eastAsia" w:ascii="宋体" w:hAnsi="宋体" w:eastAsia="宋体" w:cs="宋体"/>
          <w:b w:val="0"/>
          <w:bCs/>
          <w:color w:val="000000"/>
          <w:sz w:val="24"/>
          <w:szCs w:val="24"/>
          <w:highlight w:val="none"/>
          <w:lang w:eastAsia="zh-CN"/>
        </w:rPr>
        <w:t>。</w:t>
      </w:r>
    </w:p>
    <w:p w14:paraId="1BF0EC9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7</w:t>
      </w:r>
      <w:r>
        <w:rPr>
          <w:rFonts w:hint="eastAsia" w:ascii="宋体" w:hAnsi="宋体" w:eastAsia="宋体" w:cs="宋体"/>
          <w:b/>
          <w:color w:val="000000"/>
          <w:sz w:val="24"/>
          <w:szCs w:val="24"/>
          <w:highlight w:val="none"/>
        </w:rPr>
        <w:t>.</w:t>
      </w:r>
      <w:r>
        <w:rPr>
          <w:rFonts w:hint="eastAsia" w:ascii="宋体" w:hAnsi="宋体" w:eastAsia="宋体" w:cs="宋体"/>
          <w:b/>
          <w:sz w:val="24"/>
          <w:szCs w:val="24"/>
        </w:rPr>
        <w:t>询问和质疑</w:t>
      </w:r>
    </w:p>
    <w:p w14:paraId="4653C6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.1投标人对政府采购活动事项有疑问的，可以提出询问；</w:t>
      </w:r>
    </w:p>
    <w:p w14:paraId="7F47B0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.2投标人认为采购文件、采购过程、中标或者中标结果使自己的权益受到损害的，可以在知道或者应知权益受到损害之日起7个工作日内，提出质疑。</w:t>
      </w:r>
    </w:p>
    <w:p w14:paraId="5C75B4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.3接收质疑函的方式：投标人应提交书面质疑函，投标人应在法定质疑期内一次性提出针对同一采购程序环节的质疑。</w:t>
      </w:r>
    </w:p>
    <w:p w14:paraId="1FE4EE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.4投标人提出质疑应当提交质疑函和必要的证明材料。质疑函应当包括下列内容：</w:t>
      </w:r>
    </w:p>
    <w:p w14:paraId="2A3846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（1）投标人的姓名或者名称、地址、邮编、联系人及联系电话；</w:t>
      </w:r>
    </w:p>
    <w:p w14:paraId="377D1B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14:paraId="6CE85D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4B61BE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（4）事实依据；</w:t>
      </w:r>
    </w:p>
    <w:p w14:paraId="0C1278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（5）必要的法律依据；</w:t>
      </w:r>
    </w:p>
    <w:p w14:paraId="7429E9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（6）提出质疑的日期。</w:t>
      </w:r>
    </w:p>
    <w:p w14:paraId="5C42F3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.5投标人为自然人的，质疑函应当由本人签字；投标人为法人或者其他组织的，质疑函应当由法定代表人、主要负责人，或者其授权代表签字或者盖章，并加盖公章。</w:t>
      </w:r>
    </w:p>
    <w:p w14:paraId="3E0BCA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6投标人委托代理人递交质疑函的，应提供法定代表人授权委托书和代理人身份证复印件。授权委托书应当载明代理人的姓名、授权事项、具体权限、期限和相关事项。投标人为自然人的，授权委托书应当由本人签字；投标人为法人或者其他组织的，授权委托书应当由法定代表人、主要负责人签字或者盖章，并加盖公章。</w:t>
      </w:r>
    </w:p>
    <w:p w14:paraId="35D470DB">
      <w:pPr>
        <w:pStyle w:val="23"/>
        <w:rPr>
          <w:rFonts w:hint="eastAsia" w:ascii="宋体" w:hAnsi="宋体" w:eastAsia="宋体" w:cs="宋体"/>
          <w:lang w:val="en-US" w:eastAsia="zh-CN"/>
        </w:rPr>
      </w:pPr>
    </w:p>
    <w:p w14:paraId="6D4E440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p>
    <w:p w14:paraId="4A5CE9E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三、投标文件的编制</w:t>
      </w:r>
    </w:p>
    <w:p w14:paraId="4AD4E8A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 投标文件的编写</w:t>
      </w:r>
    </w:p>
    <w:p w14:paraId="1FC3360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rPr>
        <w:t>.1投标人应认真阅读招标文件的所有内容，按招标文件的要求提供投标文件，投标文件应当对招标文件提出的要求和条件作出明确响应，并保证所提供的全部资料的真实性、完整性，以使其投标文件对招标文件做出实质性响应。</w:t>
      </w:r>
    </w:p>
    <w:p w14:paraId="7F11991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rPr>
        <w:t>.2采购人或采购代理机构有权随时检查投标人所提供的全部资料的真实性。如果发现投标人在投标资料中使用有虚假的证明材料的，由此所产生的经济责任和法律责任由投标人自行承担。</w:t>
      </w:r>
    </w:p>
    <w:p w14:paraId="4AC86E8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9、 投标的语言</w:t>
      </w:r>
    </w:p>
    <w:p w14:paraId="5C0FD5E9">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9.1 投标人提交的投标文件以及投标人与采购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就有关投标的所有来往通知、函件和文件均应使用简体中文。</w:t>
      </w:r>
    </w:p>
    <w:p w14:paraId="0790081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9.2投标文件中使用的计量单位除招标文件中有特殊规定外，一律使用法定计量单位。</w:t>
      </w:r>
    </w:p>
    <w:p w14:paraId="00C8A41D">
      <w:pPr>
        <w:pageBreakBefore w:val="0"/>
        <w:kinsoku/>
        <w:wordWrap/>
        <w:overflowPunct/>
        <w:topLinePunct w:val="0"/>
        <w:bidi w:val="0"/>
        <w:adjustRightInd w:val="0"/>
        <w:snapToGrid w:val="0"/>
        <w:spacing w:beforeAutospacing="0" w:afterAutospacing="0" w:line="400" w:lineRule="exact"/>
        <w:ind w:firstLine="56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10、投标文件的格式</w:t>
      </w:r>
    </w:p>
    <w:p w14:paraId="06077CDC">
      <w:pPr>
        <w:pageBreakBefore w:val="0"/>
        <w:kinsoku/>
        <w:wordWrap/>
        <w:overflowPunct/>
        <w:topLinePunct w:val="0"/>
        <w:bidi w:val="0"/>
        <w:adjustRightInd w:val="0"/>
        <w:snapToGrid w:val="0"/>
        <w:spacing w:beforeAutospacing="0" w:afterAutospacing="0" w:line="400" w:lineRule="exact"/>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10.1投标人应按招标文件提供的格式及投标报价说明完整地填写所提供的产品、品牌、服务、数量及价格。</w:t>
      </w:r>
    </w:p>
    <w:p w14:paraId="3519467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w:t>
      </w:r>
      <w:r>
        <w:rPr>
          <w:rFonts w:hint="eastAsia" w:ascii="宋体" w:hAnsi="宋体" w:eastAsia="宋体" w:cs="宋体"/>
          <w:color w:val="auto"/>
          <w:sz w:val="24"/>
          <w:szCs w:val="24"/>
          <w:highlight w:val="none"/>
        </w:rPr>
        <w:t>废标处理。</w:t>
      </w:r>
    </w:p>
    <w:p w14:paraId="1F56AA18">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11、投标文件的组成和顺序:投标文件由经济报价部分、商务部分、技术部分三部分组成。开标一览表需按招标文件提供的格式填写，统一规范，并单独提供且与投标文件中提供的一致。</w:t>
      </w:r>
    </w:p>
    <w:p w14:paraId="11AF2A88">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11.1.1</w:t>
      </w:r>
      <w:r>
        <w:rPr>
          <w:rFonts w:hint="eastAsia" w:ascii="宋体" w:hAnsi="宋体" w:eastAsia="宋体" w:cs="宋体"/>
          <w:color w:val="000000"/>
          <w:sz w:val="24"/>
          <w:szCs w:val="24"/>
          <w:highlight w:val="none"/>
          <w:lang w:val="en-US" w:eastAsia="zh-CN"/>
        </w:rPr>
        <w:t>投标书</w:t>
      </w:r>
    </w:p>
    <w:p w14:paraId="4F031E63">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开标一览表；</w:t>
      </w:r>
    </w:p>
    <w:p w14:paraId="1BBEF859">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报价明细表；</w:t>
      </w:r>
    </w:p>
    <w:p w14:paraId="64D6600E">
      <w:pPr>
        <w:pageBreakBefore w:val="0"/>
        <w:widowControl/>
        <w:kinsoku/>
        <w:wordWrap/>
        <w:overflowPunct/>
        <w:topLinePunct w:val="0"/>
        <w:bidi w:val="0"/>
        <w:adjustRightInd w:val="0"/>
        <w:snapToGrid w:val="0"/>
        <w:spacing w:line="400" w:lineRule="exact"/>
        <w:ind w:firstLine="463" w:firstLineChars="19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11.2商务部分：</w:t>
      </w:r>
    </w:p>
    <w:p w14:paraId="692633B7">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11.2.1投标方的资格声明</w:t>
      </w:r>
    </w:p>
    <w:p w14:paraId="138752BE">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投标单位简介</w:t>
      </w:r>
    </w:p>
    <w:p w14:paraId="6340D678">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11.2.3</w:t>
      </w:r>
      <w:r>
        <w:rPr>
          <w:rFonts w:hint="eastAsia" w:ascii="宋体" w:hAnsi="宋体" w:eastAsia="宋体" w:cs="宋体"/>
          <w:color w:val="000000"/>
          <w:sz w:val="24"/>
          <w:szCs w:val="24"/>
          <w:highlight w:val="none"/>
        </w:rPr>
        <w:t>法人营业执照函</w:t>
      </w:r>
    </w:p>
    <w:p w14:paraId="2FD4CCE5">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法定代表人证明书</w:t>
      </w:r>
    </w:p>
    <w:p w14:paraId="5EBE83C7">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法定代表人授权委托书</w:t>
      </w:r>
    </w:p>
    <w:p w14:paraId="0F6AFFFC">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投标人</w:t>
      </w:r>
      <w:r>
        <w:rPr>
          <w:rFonts w:hint="eastAsia" w:ascii="宋体" w:hAnsi="宋体" w:eastAsia="宋体" w:cs="宋体"/>
          <w:color w:val="000000"/>
          <w:sz w:val="24"/>
          <w:szCs w:val="24"/>
          <w:highlight w:val="none"/>
          <w:lang w:val="en-US" w:eastAsia="zh-CN"/>
        </w:rPr>
        <w:t>在</w:t>
      </w:r>
      <w:r>
        <w:rPr>
          <w:rFonts w:hint="eastAsia" w:ascii="宋体" w:hAnsi="宋体" w:eastAsia="宋体" w:cs="宋体"/>
          <w:color w:val="000000"/>
          <w:sz w:val="24"/>
          <w:szCs w:val="24"/>
          <w:highlight w:val="none"/>
        </w:rPr>
        <w:t>本项目投标截止期前在“信用中国（</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www.creditchina.gov.cn）”“中国政府招标网（www.ccgp.gov.cn）”</w:t>
      </w:r>
      <w:r>
        <w:rPr>
          <w:rFonts w:hint="eastAsia" w:ascii="宋体" w:hAnsi="宋体" w:eastAsia="宋体" w:cs="宋体"/>
          <w:color w:val="000000"/>
          <w:sz w:val="24"/>
          <w:szCs w:val="24"/>
          <w:highlight w:val="none"/>
          <w:lang w:val="en-US" w:eastAsia="zh-CN"/>
        </w:rPr>
        <w:t>国家企业信用信息公示系统（www.gsxt.gov.cn）网络查询截图加盖投标企业公章</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rPr>
        <w:fldChar w:fldCharType="end"/>
      </w:r>
    </w:p>
    <w:p w14:paraId="339C3EAB">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11.2.7近三年的业绩表及相关证明</w:t>
      </w:r>
    </w:p>
    <w:p w14:paraId="348AF589">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11.2.8质保期、交货期</w:t>
      </w:r>
    </w:p>
    <w:p w14:paraId="05D23A8C">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11.2.9商务条款偏离表</w:t>
      </w:r>
    </w:p>
    <w:p w14:paraId="0ADD96C4">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11.2.1</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zh-CN"/>
          <w14:textFill>
            <w14:solidFill>
              <w14:schemeClr w14:val="tx1"/>
            </w14:solidFill>
          </w14:textFill>
        </w:rPr>
        <w:t>投标单位（投标人）反商业贿赂承诺书</w:t>
      </w:r>
    </w:p>
    <w:p w14:paraId="3D610460">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投标人企业类型声明函</w:t>
      </w:r>
    </w:p>
    <w:p w14:paraId="7B5B189D">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11.3 </w:t>
      </w:r>
      <w:r>
        <w:rPr>
          <w:rFonts w:hint="eastAsia" w:ascii="宋体" w:hAnsi="宋体" w:eastAsia="宋体" w:cs="宋体"/>
          <w:b/>
          <w:color w:val="000000" w:themeColor="text1"/>
          <w:sz w:val="24"/>
          <w:szCs w:val="24"/>
          <w:highlight w:val="none"/>
          <w14:textFill>
            <w14:solidFill>
              <w14:schemeClr w14:val="tx1"/>
            </w14:solidFill>
          </w14:textFill>
        </w:rPr>
        <w:t>技术部分：</w:t>
      </w:r>
    </w:p>
    <w:p w14:paraId="67844A47">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11.3.1</w:t>
      </w:r>
      <w:r>
        <w:rPr>
          <w:rFonts w:hint="eastAsia" w:ascii="宋体" w:hAnsi="宋体" w:eastAsia="宋体" w:cs="宋体"/>
          <w:color w:val="000000" w:themeColor="text1"/>
          <w:sz w:val="24"/>
          <w:szCs w:val="24"/>
          <w:highlight w:val="none"/>
          <w:lang w:val="zh-CN"/>
          <w14:textFill>
            <w14:solidFill>
              <w14:schemeClr w14:val="tx1"/>
            </w14:solidFill>
          </w14:textFill>
        </w:rPr>
        <w:t>综合实力</w:t>
      </w:r>
    </w:p>
    <w:p w14:paraId="145BDACE">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11.3.2</w:t>
      </w:r>
      <w:r>
        <w:rPr>
          <w:rFonts w:hint="eastAsia" w:ascii="宋体" w:hAnsi="宋体" w:eastAsia="宋体" w:cs="宋体"/>
          <w:color w:val="000000" w:themeColor="text1"/>
          <w:sz w:val="24"/>
          <w:szCs w:val="24"/>
          <w:highlight w:val="none"/>
          <w:lang w:val="zh-CN"/>
          <w14:textFill>
            <w14:solidFill>
              <w14:schemeClr w14:val="tx1"/>
            </w14:solidFill>
          </w14:textFill>
        </w:rPr>
        <w:t>配置及性能指标</w:t>
      </w:r>
    </w:p>
    <w:p w14:paraId="04BC81E3">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11.3.3项目实施方案</w:t>
      </w:r>
    </w:p>
    <w:p w14:paraId="487037D4">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11.3.4验收方案、质量保证方案</w:t>
      </w:r>
    </w:p>
    <w:p w14:paraId="50422BFC">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11.3.5</w:t>
      </w:r>
      <w:r>
        <w:rPr>
          <w:rFonts w:hint="eastAsia" w:ascii="宋体" w:hAnsi="宋体" w:eastAsia="宋体" w:cs="宋体"/>
          <w:color w:val="000000" w:themeColor="text1"/>
          <w:sz w:val="24"/>
          <w:szCs w:val="24"/>
          <w:highlight w:val="none"/>
          <w:lang w:val="zh-CN"/>
          <w14:textFill>
            <w14:solidFill>
              <w14:schemeClr w14:val="tx1"/>
            </w14:solidFill>
          </w14:textFill>
        </w:rPr>
        <w:t>培训方案</w:t>
      </w:r>
    </w:p>
    <w:p w14:paraId="7418EEA0">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11.3.6售后服务方案</w:t>
      </w:r>
    </w:p>
    <w:p w14:paraId="40A2F476">
      <w:pPr>
        <w:pageBreakBefore w:val="0"/>
        <w:widowControl/>
        <w:kinsoku/>
        <w:wordWrap/>
        <w:overflowPunct/>
        <w:topLinePunct w:val="0"/>
        <w:bidi w:val="0"/>
        <w:adjustRightInd w:val="0"/>
        <w:snapToGrid w:val="0"/>
        <w:spacing w:line="400" w:lineRule="exact"/>
        <w:ind w:firstLine="460" w:firstLineChars="19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11.3.7企业的承诺及优惠条件</w:t>
      </w:r>
    </w:p>
    <w:p w14:paraId="442FD957">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11.3.8技术条款偏离表</w:t>
      </w:r>
    </w:p>
    <w:p w14:paraId="57D03A25">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11.3.9投标人认为需要提供的其他资料。</w:t>
      </w:r>
    </w:p>
    <w:p w14:paraId="016E9118">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12、投标报价：</w:t>
      </w:r>
    </w:p>
    <w:p w14:paraId="42141E7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bookmarkStart w:id="0" w:name="OLE_LINK1"/>
      <w:r>
        <w:rPr>
          <w:rFonts w:hint="eastAsia" w:ascii="宋体" w:hAnsi="宋体" w:eastAsia="宋体" w:cs="宋体"/>
          <w:color w:val="000000"/>
          <w:sz w:val="24"/>
          <w:szCs w:val="24"/>
          <w:highlight w:val="none"/>
        </w:rPr>
        <w:t>12.1投标单位应在投标</w:t>
      </w:r>
      <w:r>
        <w:rPr>
          <w:rFonts w:hint="eastAsia" w:ascii="宋体" w:hAnsi="宋体" w:eastAsia="宋体" w:cs="宋体"/>
          <w:sz w:val="24"/>
          <w:szCs w:val="24"/>
          <w:highlight w:val="none"/>
        </w:rPr>
        <w:t>的报价表上标</w:t>
      </w:r>
      <w:r>
        <w:rPr>
          <w:rFonts w:hint="eastAsia" w:ascii="宋体" w:hAnsi="宋体" w:eastAsia="宋体" w:cs="宋体"/>
          <w:color w:val="000000"/>
          <w:sz w:val="24"/>
          <w:szCs w:val="24"/>
          <w:highlight w:val="none"/>
        </w:rPr>
        <w:t>明总价。</w:t>
      </w:r>
    </w:p>
    <w:p w14:paraId="4B52AE4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12.1.1</w:t>
      </w:r>
      <w:r>
        <w:rPr>
          <w:rFonts w:hint="eastAsia" w:ascii="宋体" w:hAnsi="宋体" w:eastAsia="宋体" w:cs="宋体"/>
          <w:color w:val="000000"/>
          <w:sz w:val="24"/>
          <w:szCs w:val="24"/>
          <w:highlight w:val="none"/>
        </w:rPr>
        <w:t>投标文件中开标一览表内容与投标文件中相应内容不一致的，以开标一览表为准；</w:t>
      </w:r>
    </w:p>
    <w:p w14:paraId="3F98C04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12.1.2</w:t>
      </w:r>
      <w:r>
        <w:rPr>
          <w:rFonts w:hint="eastAsia" w:ascii="宋体" w:hAnsi="宋体" w:eastAsia="宋体" w:cs="宋体"/>
          <w:color w:val="000000"/>
          <w:sz w:val="24"/>
          <w:szCs w:val="24"/>
          <w:highlight w:val="none"/>
        </w:rPr>
        <w:t>大写金额和小写金额不一致的，以大写金额为准；</w:t>
      </w:r>
    </w:p>
    <w:p w14:paraId="7323D69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12.1.3</w:t>
      </w:r>
      <w:r>
        <w:rPr>
          <w:rFonts w:hint="eastAsia" w:ascii="宋体" w:hAnsi="宋体" w:eastAsia="宋体" w:cs="宋体"/>
          <w:color w:val="000000"/>
          <w:sz w:val="24"/>
          <w:szCs w:val="24"/>
          <w:highlight w:val="none"/>
        </w:rPr>
        <w:t>单价金额小数点或者百分比有明显错位的，以开标一览表的总价为准，并修改单价；</w:t>
      </w:r>
    </w:p>
    <w:p w14:paraId="128596C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12.1.4</w:t>
      </w:r>
      <w:r>
        <w:rPr>
          <w:rFonts w:hint="eastAsia" w:ascii="宋体" w:hAnsi="宋体" w:eastAsia="宋体" w:cs="宋体"/>
          <w:color w:val="000000"/>
          <w:sz w:val="24"/>
          <w:szCs w:val="24"/>
          <w:highlight w:val="none"/>
        </w:rPr>
        <w:t>总价金额与按单价汇总金额不一致的，以单价金额计算结果为准。投标单位应在投标报价表中标明其提供的所有货物及其相关工作范围内所在费用的总价。</w:t>
      </w:r>
    </w:p>
    <w:p w14:paraId="0880E9C2">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12.2 除非合同中另有规定，投标人对《投标报价表》中的全部</w:t>
      </w:r>
      <w:r>
        <w:rPr>
          <w:rFonts w:hint="eastAsia" w:ascii="宋体" w:hAnsi="宋体" w:eastAsia="宋体" w:cs="宋体"/>
          <w:color w:val="000000"/>
          <w:sz w:val="24"/>
          <w:szCs w:val="24"/>
          <w:highlight w:val="none"/>
          <w:lang w:eastAsia="zh-CN"/>
        </w:rPr>
        <w:t>货物、</w:t>
      </w:r>
      <w:r>
        <w:rPr>
          <w:rFonts w:hint="eastAsia" w:ascii="宋体" w:hAnsi="宋体" w:eastAsia="宋体" w:cs="宋体"/>
          <w:color w:val="000000"/>
          <w:sz w:val="24"/>
          <w:szCs w:val="24"/>
          <w:highlight w:val="none"/>
        </w:rPr>
        <w:t>服务的报价应包括所投</w:t>
      </w:r>
      <w:r>
        <w:rPr>
          <w:rFonts w:hint="eastAsia" w:ascii="宋体" w:hAnsi="宋体" w:eastAsia="宋体" w:cs="宋体"/>
          <w:color w:val="000000"/>
          <w:sz w:val="24"/>
          <w:szCs w:val="24"/>
          <w:highlight w:val="none"/>
          <w:lang w:eastAsia="zh-CN"/>
        </w:rPr>
        <w:t>货物、</w:t>
      </w:r>
      <w:r>
        <w:rPr>
          <w:rFonts w:hint="eastAsia" w:ascii="宋体" w:hAnsi="宋体" w:eastAsia="宋体" w:cs="宋体"/>
          <w:color w:val="000000"/>
          <w:sz w:val="24"/>
          <w:szCs w:val="24"/>
          <w:highlight w:val="none"/>
        </w:rPr>
        <w:t>服务项目所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14:paraId="0A6B3ED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12.3 投标人应对招标文件内所要招标的全部内容进行报价，报价采用总</w:t>
      </w:r>
      <w:r>
        <w:rPr>
          <w:rFonts w:hint="eastAsia" w:ascii="宋体" w:hAnsi="宋体" w:eastAsia="宋体" w:cs="宋体"/>
          <w:color w:val="000000"/>
          <w:sz w:val="24"/>
          <w:szCs w:val="24"/>
          <w:highlight w:val="none"/>
          <w:lang w:eastAsia="zh-CN"/>
        </w:rPr>
        <w:t>报价</w:t>
      </w:r>
      <w:r>
        <w:rPr>
          <w:rFonts w:hint="eastAsia" w:ascii="宋体" w:hAnsi="宋体" w:eastAsia="宋体" w:cs="宋体"/>
          <w:color w:val="000000"/>
          <w:sz w:val="24"/>
          <w:szCs w:val="24"/>
          <w:highlight w:val="none"/>
        </w:rPr>
        <w:t>方式，投标人的报价应包括所投产品费用、安装调试费、测试验收费、培训费、运行维护费用、税金、国际国内运输保险及其他有关的为完成本项目发生的所有费用，招标文件中另有规定的除外。</w:t>
      </w:r>
    </w:p>
    <w:p w14:paraId="63135CB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 一项投标内容只允许一个报价，</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不接受任何有选择性的投标报价。</w:t>
      </w:r>
    </w:p>
    <w:p w14:paraId="4774B54C">
      <w:pPr>
        <w:pStyle w:val="23"/>
        <w:keepNext w:val="0"/>
        <w:keepLines w:val="0"/>
        <w:pageBreakBefore w:val="0"/>
        <w:widowControl w:val="0"/>
        <w:kinsoku/>
        <w:wordWrap/>
        <w:overflowPunct/>
        <w:topLinePunct w:val="0"/>
        <w:autoSpaceDE/>
        <w:autoSpaceDN/>
        <w:bidi w:val="0"/>
        <w:spacing w:after="0" w:line="400" w:lineRule="exact"/>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12.5投标人不得违反《中华人民共和国反不正当竞争法》的规定，以低于成本的价格销售货物或服务，否则对其价格构成情况做出详细说明并提供相关证明资料。评标委员会认为投标人的报价明显低于其他通过符合性审查投标人的报价，有可能影响产品质量或者不能诚信履约的，应当要求在发出询标函的30分钟内提供书面说明，必要时提交相关证明材料；投标人逾期或拒绝或不能证明其报价合理性的，评标委员会应当将其作为无效投标处理。投标人的澄清、说明或者补正应当采用书面形式，由其授权代表签字，并不得超出投标文件的范围或者改变投标文件的实质性内容，书面承诺为其投标文件的组成部分。</w:t>
      </w:r>
    </w:p>
    <w:p w14:paraId="5C5D637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投标文件报价中的单价和总价全部采用人民币表示，除非合同的主要条款另有规定。</w:t>
      </w:r>
      <w:bookmarkEnd w:id="0"/>
    </w:p>
    <w:p w14:paraId="7D326B46">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13、投标人应逐条详细阅读招标文件有关要求，表明所提供的服务是否对招标文件做出实质性响应。</w:t>
      </w:r>
    </w:p>
    <w:p w14:paraId="248271D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14、投标文件的有效期</w:t>
      </w:r>
    </w:p>
    <w:p w14:paraId="15D516D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投标文件从实际开标之</w:t>
      </w:r>
      <w:r>
        <w:rPr>
          <w:rFonts w:hint="eastAsia" w:ascii="宋体" w:hAnsi="宋体" w:eastAsia="宋体" w:cs="宋体"/>
          <w:sz w:val="24"/>
          <w:szCs w:val="24"/>
          <w:highlight w:val="none"/>
        </w:rPr>
        <w:t>日起</w:t>
      </w:r>
      <w:r>
        <w:rPr>
          <w:rFonts w:hint="eastAsia" w:ascii="宋体" w:hAnsi="宋体" w:eastAsia="宋体" w:cs="宋体"/>
          <w:b/>
          <w:bCs/>
          <w:sz w:val="24"/>
          <w:szCs w:val="24"/>
          <w:highlight w:val="none"/>
          <w:u w:val="single"/>
        </w:rPr>
        <w:t>60</w:t>
      </w:r>
      <w:r>
        <w:rPr>
          <w:rFonts w:hint="eastAsia" w:ascii="宋体" w:hAnsi="宋体" w:eastAsia="宋体" w:cs="宋体"/>
          <w:sz w:val="24"/>
          <w:szCs w:val="24"/>
          <w:highlight w:val="none"/>
        </w:rPr>
        <w:t>天内有</w:t>
      </w:r>
      <w:r>
        <w:rPr>
          <w:rFonts w:hint="eastAsia" w:ascii="宋体" w:hAnsi="宋体" w:eastAsia="宋体" w:cs="宋体"/>
          <w:color w:val="000000"/>
          <w:sz w:val="24"/>
          <w:szCs w:val="24"/>
          <w:highlight w:val="none"/>
        </w:rPr>
        <w:t>效。</w:t>
      </w:r>
    </w:p>
    <w:p w14:paraId="7C6728F5">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如遇特殊情况，在原投标有效期届满之前，</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可与投标人协商延长投标文件的有效期，并经投标人确认。</w:t>
      </w:r>
    </w:p>
    <w:p w14:paraId="0400747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15、投标文件的份数、签署、字体、装订</w:t>
      </w:r>
    </w:p>
    <w:p w14:paraId="62783AD0">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15.1 投标人必须按“投标人须知前附表”中规定的“正本”和“副本”份数，投标文件正本和副本如有不一致之处，以正本为准。</w:t>
      </w:r>
    </w:p>
    <w:p w14:paraId="5DB05B86">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15.2 投标文件正本与副本须用不褪色的墨水笔书写或打印。投标文件的书写应清楚工整，修改处应由投标人全权代表签章。</w:t>
      </w:r>
    </w:p>
    <w:p w14:paraId="512A5572">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15.3 投标文件应由企业法人或法人授权代表在凡规定签章处逐一签署及加盖单位公章。</w:t>
      </w:r>
    </w:p>
    <w:p w14:paraId="439A1C85">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15.4 投标文件一律采用胶装方式进行装订</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不得活页装订</w:t>
      </w:r>
      <w:r>
        <w:rPr>
          <w:rFonts w:hint="eastAsia" w:ascii="宋体" w:hAnsi="宋体" w:eastAsia="宋体" w:cs="宋体"/>
          <w:color w:val="000000"/>
          <w:sz w:val="24"/>
          <w:szCs w:val="24"/>
          <w:highlight w:val="none"/>
        </w:rPr>
        <w:t>。</w:t>
      </w:r>
    </w:p>
    <w:p w14:paraId="0FF49C4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16、投标保证金</w:t>
      </w:r>
    </w:p>
    <w:p w14:paraId="28D6993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投标保证金数额</w:t>
      </w:r>
      <w:r>
        <w:rPr>
          <w:rFonts w:hint="eastAsia" w:ascii="宋体" w:hAnsi="宋体" w:eastAsia="宋体" w:cs="宋体"/>
          <w:b/>
          <w:color w:val="000000"/>
          <w:sz w:val="24"/>
          <w:szCs w:val="24"/>
          <w:highlight w:val="none"/>
          <w:u w:val="single"/>
        </w:rPr>
        <w:t xml:space="preserve">详见投标人须知前附表 </w:t>
      </w:r>
      <w:r>
        <w:rPr>
          <w:rFonts w:hint="eastAsia" w:ascii="宋体" w:hAnsi="宋体" w:eastAsia="宋体" w:cs="宋体"/>
          <w:color w:val="000000"/>
          <w:sz w:val="24"/>
          <w:szCs w:val="24"/>
          <w:highlight w:val="none"/>
        </w:rPr>
        <w:t>。</w:t>
      </w:r>
    </w:p>
    <w:p w14:paraId="42557D9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投标保证金用于应对本次招标因投标人违规、违约而产生的风险。</w:t>
      </w:r>
    </w:p>
    <w:p w14:paraId="30D15627">
      <w:pPr>
        <w:pageBreakBefore w:val="0"/>
        <w:widowControl/>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r>
        <w:rPr>
          <w:rFonts w:hint="eastAsia" w:ascii="宋体" w:hAnsi="宋体" w:eastAsia="宋体" w:cs="宋体"/>
          <w:color w:val="FF0000"/>
          <w:sz w:val="24"/>
          <w:szCs w:val="24"/>
          <w:highlight w:val="none"/>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投标人必须于投标截止时间</w:t>
      </w:r>
      <w:r>
        <w:rPr>
          <w:rFonts w:hint="eastAsia" w:ascii="宋体" w:hAnsi="宋体" w:eastAsia="宋体" w:cs="宋体"/>
          <w:sz w:val="24"/>
          <w:szCs w:val="24"/>
          <w:highlight w:val="none"/>
        </w:rPr>
        <w:t>前</w:t>
      </w:r>
      <w:r>
        <w:rPr>
          <w:rFonts w:hint="eastAsia" w:ascii="宋体" w:hAnsi="宋体" w:eastAsia="宋体" w:cs="宋体"/>
          <w:color w:val="000000"/>
          <w:sz w:val="24"/>
          <w:szCs w:val="24"/>
          <w:highlight w:val="none"/>
        </w:rPr>
        <w:t>将投标保证金交纳至规定的帐号，对未按要求提交投标保证金的投标文件，</w:t>
      </w: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将视为不响应投标予以拒绝。</w:t>
      </w:r>
    </w:p>
    <w:p w14:paraId="54A5CC4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 投标保证金应以银行电汇或转账</w:t>
      </w:r>
      <w:r>
        <w:rPr>
          <w:rFonts w:hint="eastAsia" w:ascii="宋体" w:hAnsi="宋体" w:eastAsia="宋体" w:cs="宋体"/>
          <w:color w:val="000000"/>
          <w:sz w:val="24"/>
          <w:szCs w:val="24"/>
          <w:highlight w:val="none"/>
          <w:lang w:val="en-US" w:eastAsia="zh-CN"/>
        </w:rPr>
        <w:t>等非现金</w:t>
      </w:r>
      <w:r>
        <w:rPr>
          <w:rFonts w:hint="eastAsia" w:ascii="宋体" w:hAnsi="宋体" w:eastAsia="宋体" w:cs="宋体"/>
          <w:color w:val="000000"/>
          <w:sz w:val="24"/>
          <w:szCs w:val="24"/>
          <w:highlight w:val="none"/>
        </w:rPr>
        <w:t>方式提交。</w:t>
      </w:r>
    </w:p>
    <w:p w14:paraId="1746FA4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16.5投标保证金的退还条件：</w:t>
      </w:r>
    </w:p>
    <w:p w14:paraId="3F8497E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16.5.1</w:t>
      </w:r>
      <w:r>
        <w:rPr>
          <w:rFonts w:hint="eastAsia" w:ascii="宋体" w:hAnsi="宋体" w:eastAsia="宋体" w:cs="宋体"/>
          <w:color w:val="000000"/>
          <w:sz w:val="24"/>
          <w:szCs w:val="24"/>
          <w:highlight w:val="none"/>
        </w:rPr>
        <w:t>未中标的投标人保证金，在该采购项目的中标通知书发出后5个工作日内,投标保证金退回投标人。</w:t>
      </w:r>
    </w:p>
    <w:p w14:paraId="1C0AE12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16.5.2</w:t>
      </w:r>
      <w:r>
        <w:rPr>
          <w:rFonts w:hint="eastAsia" w:ascii="宋体" w:hAnsi="宋体" w:eastAsia="宋体" w:cs="宋体"/>
          <w:color w:val="000000"/>
          <w:sz w:val="24"/>
          <w:szCs w:val="24"/>
          <w:highlight w:val="none"/>
        </w:rPr>
        <w:t>中标的投标人，其投标保证金将保持全部的约束力，直至中标人按规定和采购人签订采购合同后，5个工作日内办理投标保证金退回手续。</w:t>
      </w:r>
    </w:p>
    <w:p w14:paraId="4F01EF72">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16.6在招标方规定的投标有效期满之前，招标方将以书面形式发出《中标通知书》，《中标通知书》一经发出即发生法律效力。</w:t>
      </w:r>
    </w:p>
    <w:p w14:paraId="0649AD10">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 下列情况投标保证金将会被没收：</w:t>
      </w:r>
    </w:p>
    <w:p w14:paraId="66924B5D">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供应商在采购文件文件规定的投标有效期内撤回其投标文件文件的；</w:t>
      </w:r>
    </w:p>
    <w:p w14:paraId="3B6A70A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开标过程中未经评标委员会同意擅自中途退场；</w:t>
      </w:r>
    </w:p>
    <w:p w14:paraId="5BA4CAF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供应商恶意串通使投标失去竞争性的；</w:t>
      </w:r>
    </w:p>
    <w:p w14:paraId="27C5616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向采购代理机构或评标委员会有意提供虚假材料的；</w:t>
      </w:r>
    </w:p>
    <w:p w14:paraId="5B7D8DCD">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供应商投标文件出现妨碍公平竞争的行为的；</w:t>
      </w:r>
    </w:p>
    <w:p w14:paraId="244AFB6A">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未在规定的期限内领取成交通知书的；</w:t>
      </w:r>
    </w:p>
    <w:p w14:paraId="6F13B0FC">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成交单位因自身原因在成交通知书规定的时间内未能与采购单位签订合同的；</w:t>
      </w:r>
    </w:p>
    <w:p w14:paraId="7BBD7437">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违反政府采购法及有关法律、法规的。</w:t>
      </w:r>
    </w:p>
    <w:p w14:paraId="6FC34CE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16.8有下列情形之一的，视为供应商串通投标，其投标无效：</w:t>
      </w:r>
    </w:p>
    <w:p w14:paraId="0A31EAD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16.8.1不同供应商的投标文件由同一单位或者个人编制;</w:t>
      </w:r>
    </w:p>
    <w:p w14:paraId="16E1F1B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16.8.2不同供应商委托同一单位或者个人办理投标事宜;</w:t>
      </w:r>
    </w:p>
    <w:p w14:paraId="443B6A4C">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16.8.3不同供应商的投标文件载明的项目管理成员或者联系人员为同一人;</w:t>
      </w:r>
    </w:p>
    <w:p w14:paraId="6D176B46">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16.8.4不同供应商的投标文件异常一致或者投标报价呈规律性差异;</w:t>
      </w:r>
    </w:p>
    <w:p w14:paraId="738E6212">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16.8.5不同供应商的投标文件相互混装;</w:t>
      </w:r>
    </w:p>
    <w:p w14:paraId="0A0D3630">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16.8.6不同供应商的投标保证金从同一单位或者个人的账户转出。</w:t>
      </w:r>
    </w:p>
    <w:p w14:paraId="228CAC2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17. 投标文件的修改和撤销</w:t>
      </w:r>
    </w:p>
    <w:p w14:paraId="43D42C7F">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17.1　投标人在递交投标文件后，可在规定的投标截止时间之前，对其投标文件以书面通知的形式进行修改或撤消。该通知须有投标人的法定代表人或其委托代理人的签字，并得到招标方的确认。</w:t>
      </w:r>
    </w:p>
    <w:p w14:paraId="3B80C22D">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17.2  投标人对投标文件修改的书面材料或撤消通知应按招标文件要求进行密封、标注和递交，并注明“修改投标文件”或“撤消投标”字样，修改或撤销的内容须按招标文件的要求签署、盖章，并作为投标文件的组成部分。</w:t>
      </w:r>
    </w:p>
    <w:p w14:paraId="1DC4AA42">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17.3　对投标文件修改的书面材料应于投标截止日前送达招标方，投标截止时间以后不得修改投标文件。</w:t>
      </w:r>
    </w:p>
    <w:p w14:paraId="2BEAD7D0">
      <w:pPr>
        <w:pStyle w:val="9"/>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p>
    <w:p w14:paraId="00B93DC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四、投标文件的递交</w:t>
      </w:r>
    </w:p>
    <w:p w14:paraId="11D3D6F3">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r>
        <w:rPr>
          <w:rFonts w:hint="eastAsia" w:ascii="宋体" w:hAnsi="宋体" w:eastAsia="宋体" w:cs="宋体"/>
          <w:b/>
          <w:color w:val="000000"/>
          <w:sz w:val="24"/>
          <w:szCs w:val="24"/>
          <w:highlight w:val="none"/>
          <w:lang w:val="en-US" w:eastAsia="zh-CN"/>
        </w:rPr>
        <w:t>8</w:t>
      </w:r>
      <w:r>
        <w:rPr>
          <w:rFonts w:hint="eastAsia" w:ascii="宋体" w:hAnsi="宋体" w:eastAsia="宋体" w:cs="宋体"/>
          <w:b/>
          <w:color w:val="000000"/>
          <w:sz w:val="24"/>
          <w:szCs w:val="24"/>
          <w:highlight w:val="none"/>
        </w:rPr>
        <w:t>、投标文件的</w:t>
      </w:r>
      <w:r>
        <w:rPr>
          <w:rFonts w:hint="eastAsia" w:ascii="宋体" w:hAnsi="宋体" w:eastAsia="宋体" w:cs="宋体"/>
          <w:b/>
          <w:color w:val="000000"/>
          <w:sz w:val="24"/>
          <w:szCs w:val="24"/>
          <w:highlight w:val="none"/>
          <w:lang w:eastAsia="zh-CN"/>
        </w:rPr>
        <w:t>加密</w:t>
      </w:r>
      <w:r>
        <w:rPr>
          <w:rFonts w:hint="eastAsia" w:ascii="宋体" w:hAnsi="宋体" w:eastAsia="宋体" w:cs="宋体"/>
          <w:b/>
          <w:color w:val="000000"/>
          <w:sz w:val="24"/>
          <w:szCs w:val="24"/>
          <w:highlight w:val="none"/>
        </w:rPr>
        <w:t>和标记</w:t>
      </w:r>
    </w:p>
    <w:p w14:paraId="26C3E6E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18.1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21F1BC9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18.2投标截止时间以政采云平台中心交易平台显示的时间为准，逾期系统将自动关闭，未完成上传的投标文件视为逾期送达，将被拒绝</w:t>
      </w:r>
      <w:r>
        <w:rPr>
          <w:rFonts w:hint="eastAsia" w:ascii="宋体" w:hAnsi="宋体" w:eastAsia="宋体" w:cs="宋体"/>
          <w:b w:val="0"/>
          <w:bCs/>
          <w:color w:val="000000"/>
          <w:sz w:val="24"/>
          <w:szCs w:val="24"/>
          <w:highlight w:val="none"/>
        </w:rPr>
        <w:t>。</w:t>
      </w:r>
    </w:p>
    <w:p w14:paraId="563B2C1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1</w:t>
      </w:r>
      <w:r>
        <w:rPr>
          <w:rFonts w:hint="eastAsia" w:ascii="宋体" w:hAnsi="宋体" w:eastAsia="宋体" w:cs="宋体"/>
          <w:b/>
          <w:bCs w:val="0"/>
          <w:color w:val="000000"/>
          <w:sz w:val="24"/>
          <w:szCs w:val="24"/>
          <w:highlight w:val="none"/>
          <w:lang w:val="en-US" w:eastAsia="zh-CN"/>
        </w:rPr>
        <w:t>9</w:t>
      </w:r>
      <w:r>
        <w:rPr>
          <w:rFonts w:hint="eastAsia" w:ascii="宋体" w:hAnsi="宋体" w:eastAsia="宋体" w:cs="宋体"/>
          <w:b/>
          <w:bCs w:val="0"/>
          <w:color w:val="000000"/>
          <w:sz w:val="24"/>
          <w:szCs w:val="24"/>
          <w:highlight w:val="none"/>
        </w:rPr>
        <w:t>、投标文件递交的截止日期</w:t>
      </w:r>
    </w:p>
    <w:p w14:paraId="3DE56379">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sz w:val="24"/>
          <w:szCs w:val="24"/>
          <w:highlight w:val="none"/>
          <w:lang w:val="en-US" w:eastAsia="zh-CN"/>
        </w:rPr>
        <w:t>9.1本次采用网上评标系统，供应商在线参加开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14:paraId="0554613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19.2供应商登录政采云平台，在开标时间后30分钟内用“项目采购----开标评标”功能进行解密电子版投标文件。若供应商在规定时间内未按时解密的，视为无效响应。解密与加密电子版投标文件须使用同一个CA。</w:t>
      </w:r>
    </w:p>
    <w:p w14:paraId="395599B1">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19.3如果供应商未按上述要求加密并上传，采购代理机构对投标文件的误投、无法解密、传输错误等问题概不负责。对由此造成无法正常开启的投标文件，采购代理机构有权予以拒绝，并退回供应商。</w:t>
      </w:r>
    </w:p>
    <w:p w14:paraId="474B2D66">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19.4 开标时检查响应文件上传情况。</w:t>
      </w:r>
    </w:p>
    <w:p w14:paraId="3EA6069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19.5开标原则在开标会议上宣布。</w:t>
      </w:r>
    </w:p>
    <w:p w14:paraId="1D99B1C0">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20</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投标截止时间</w:t>
      </w:r>
    </w:p>
    <w:p w14:paraId="0FA8D7C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20.1  投标文件应在投标人须知前附表规定的投标截止时间之前上传送到投标人须知前附表指定的地点。</w:t>
      </w:r>
    </w:p>
    <w:p w14:paraId="4DEC4AB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20.2　所有投标文件不论何种方式递交，都必须在招标方规定的投标截止时间之前递交到招标文件指定地点，在此之后送达的投标文件，为无效投标，投标文件将一律被拒绝。任何单位和个人不得在开标前开启投标文件。</w:t>
      </w:r>
    </w:p>
    <w:p w14:paraId="511F472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20.3  出现因招标文件的修改而推迟投标截止时间的情况时，投标人则需按招标方的书面修改通知重新规定的投标时间递交。</w:t>
      </w:r>
    </w:p>
    <w:p w14:paraId="2FACA027">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rPr>
        <w:t>、投标文件的修改和撤消</w:t>
      </w:r>
    </w:p>
    <w:p w14:paraId="6CEBA2E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.1 投标人在递交投标文件后，可以修改或撤回其投标文件。但投标人必须在规定的投标截止时间之前向采购代理机构发出书面通知。</w:t>
      </w:r>
    </w:p>
    <w:p w14:paraId="1407DE9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.2 在投标截止时间之后，投标人不得对其投标文件做任何修改。从投标截止时间起至投标有效终止时间前，投标人不得撤回其投标。</w:t>
      </w:r>
    </w:p>
    <w:p w14:paraId="6F2381F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.3 采购代理机构不接受电话、电传、传真等形式的投标。</w:t>
      </w:r>
    </w:p>
    <w:p w14:paraId="1C5B3B7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.4 采购代理机构对不可抗力事件所造成投标文件的损坏、丢失不承担任何责任。</w:t>
      </w:r>
    </w:p>
    <w:p w14:paraId="5171CFB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p>
    <w:p w14:paraId="18883E8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五、开    标</w:t>
      </w:r>
    </w:p>
    <w:p w14:paraId="7011AD5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、开标</w:t>
      </w:r>
    </w:p>
    <w:p w14:paraId="6AF4358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22.2.1采购代理机构按照招标文件规定的时间、地点主持开标。开标前，采购代理机构将会同监督人员进行验标（检查网上招标系统正常与否，检查电子版响应文件，检查供应商报名及保证金交纳情况），确认无误后开标。开标时，各供应商应对本单位的加密的电子响应文件解密，采购代理机构工作人员在监督人员的监督下解密所有响应文件。逾期未解密的投标文件视为无效投标文件（解密时长30分钟）。</w:t>
      </w:r>
    </w:p>
    <w:p w14:paraId="0318AFF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22.2.2开标时，采购代理机构将通过网上开标系统公布供应商名称、投标价格，以及采购代理机构认为合适的其它详细内容。供应商若有报价和优惠未被唱出，应在开标时及时声明或提请注意，否则采购代理机构对此不承担任何责任。</w:t>
      </w:r>
    </w:p>
    <w:p w14:paraId="38250CF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22.2.3在评审结束前，未得到采购代理机构允许，供应商法定代表人或授权代理人不得离开开标现场。</w:t>
      </w:r>
    </w:p>
    <w:p w14:paraId="299F623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22.2.4监督人员对开标过程进行全程监督。</w:t>
      </w:r>
    </w:p>
    <w:p w14:paraId="7FFEEF5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.3 开标异议</w:t>
      </w:r>
    </w:p>
    <w:p w14:paraId="3BB8B0E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供应商对开标有异议的，应当在开标现场提出，采购人当场作出答复，并制作记录。</w:t>
      </w:r>
    </w:p>
    <w:p w14:paraId="01BA174A">
      <w:pPr>
        <w:pStyle w:val="23"/>
        <w:ind w:left="0" w:leftChars="0" w:firstLine="0" w:firstLineChars="0"/>
        <w:rPr>
          <w:rFonts w:hint="eastAsia"/>
        </w:rPr>
      </w:pPr>
    </w:p>
    <w:p w14:paraId="136A12A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六、评标、定标</w:t>
      </w:r>
    </w:p>
    <w:p w14:paraId="1D84553C">
      <w:pPr>
        <w:pageBreakBefore w:val="0"/>
        <w:kinsoku/>
        <w:wordWrap/>
        <w:overflowPunct/>
        <w:topLinePunct w:val="0"/>
        <w:bidi w:val="0"/>
        <w:adjustRightInd w:val="0"/>
        <w:snapToGrid w:val="0"/>
        <w:spacing w:beforeAutospacing="0" w:afterAutospacing="0" w:line="400" w:lineRule="exact"/>
        <w:ind w:firstLine="472" w:firstLineChars="196"/>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、评标</w:t>
      </w:r>
    </w:p>
    <w:p w14:paraId="56973F2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b/>
          <w:color w:val="000000"/>
          <w:sz w:val="24"/>
          <w:szCs w:val="24"/>
          <w:highlight w:val="none"/>
        </w:rPr>
        <w:t xml:space="preserve">评标委员会或评标小组 </w:t>
      </w:r>
    </w:p>
    <w:p w14:paraId="236DC732">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.1.1评标委员会或评标小组（以下简称评标委员会）的评标工作由招标单位负责组织，具体评标事务由评标委员会</w:t>
      </w:r>
      <w:r>
        <w:rPr>
          <w:rFonts w:hint="eastAsia" w:ascii="宋体" w:hAnsi="宋体" w:eastAsia="宋体" w:cs="宋体"/>
          <w:color w:val="auto"/>
          <w:sz w:val="24"/>
          <w:szCs w:val="24"/>
          <w:highlight w:val="none"/>
        </w:rPr>
        <w:t>负责，并独立履行其法规规定的职责。</w:t>
      </w:r>
    </w:p>
    <w:p w14:paraId="1D3F1824">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.1.2评标委员会由</w:t>
      </w:r>
      <w:r>
        <w:rPr>
          <w:rFonts w:hint="eastAsia" w:ascii="宋体" w:hAnsi="宋体" w:eastAsia="宋体" w:cs="宋体"/>
          <w:color w:val="auto"/>
          <w:sz w:val="24"/>
          <w:szCs w:val="24"/>
          <w:highlight w:val="none"/>
          <w:lang w:eastAsia="zh-CN"/>
        </w:rPr>
        <w:t>采购人（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和专家库中熟悉相关技术的专家</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组成，成员人数为</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rPr>
        <w:t>，其中熟悉相关技术方面的专家不得少于成员总数的三之二。评标委员会设</w:t>
      </w:r>
      <w:r>
        <w:rPr>
          <w:rFonts w:hint="eastAsia" w:ascii="宋体" w:hAnsi="宋体" w:eastAsia="宋体" w:cs="宋体"/>
          <w:color w:val="auto"/>
          <w:sz w:val="24"/>
          <w:szCs w:val="24"/>
          <w:highlight w:val="none"/>
          <w:lang w:val="en-US" w:eastAsia="zh-CN"/>
        </w:rPr>
        <w:t>组长</w:t>
      </w:r>
      <w:r>
        <w:rPr>
          <w:rFonts w:hint="eastAsia" w:ascii="宋体" w:hAnsi="宋体" w:eastAsia="宋体" w:cs="宋体"/>
          <w:color w:val="auto"/>
          <w:sz w:val="24"/>
          <w:szCs w:val="24"/>
          <w:highlight w:val="none"/>
        </w:rPr>
        <w:t>的，评标委员会</w:t>
      </w:r>
      <w:r>
        <w:rPr>
          <w:rFonts w:hint="eastAsia" w:ascii="宋体" w:hAnsi="宋体" w:eastAsia="宋体" w:cs="宋体"/>
          <w:color w:val="auto"/>
          <w:sz w:val="24"/>
          <w:szCs w:val="24"/>
          <w:highlight w:val="none"/>
          <w:lang w:val="en-US" w:eastAsia="zh-CN"/>
        </w:rPr>
        <w:t>组长</w:t>
      </w:r>
      <w:r>
        <w:rPr>
          <w:rFonts w:hint="eastAsia" w:ascii="宋体" w:hAnsi="宋体" w:eastAsia="宋体" w:cs="宋体"/>
          <w:color w:val="auto"/>
          <w:sz w:val="24"/>
          <w:szCs w:val="24"/>
          <w:highlight w:val="none"/>
        </w:rPr>
        <w:t>由评标委员会</w:t>
      </w:r>
      <w:r>
        <w:rPr>
          <w:rFonts w:hint="eastAsia" w:ascii="宋体" w:hAnsi="宋体" w:eastAsia="宋体" w:cs="宋体"/>
          <w:color w:val="auto"/>
          <w:sz w:val="24"/>
          <w:szCs w:val="24"/>
          <w:highlight w:val="none"/>
          <w:lang w:val="en-US" w:eastAsia="zh-CN"/>
        </w:rPr>
        <w:t>现场投票</w:t>
      </w:r>
      <w:r>
        <w:rPr>
          <w:rFonts w:hint="eastAsia" w:ascii="宋体" w:hAnsi="宋体" w:eastAsia="宋体" w:cs="宋体"/>
          <w:color w:val="auto"/>
          <w:sz w:val="24"/>
          <w:szCs w:val="24"/>
          <w:highlight w:val="none"/>
        </w:rPr>
        <w:t>产生。评标委员会</w:t>
      </w:r>
      <w:r>
        <w:rPr>
          <w:rFonts w:hint="eastAsia" w:ascii="宋体" w:hAnsi="宋体" w:eastAsia="宋体" w:cs="宋体"/>
          <w:color w:val="auto"/>
          <w:sz w:val="24"/>
          <w:szCs w:val="24"/>
          <w:highlight w:val="none"/>
          <w:lang w:val="en-US" w:eastAsia="zh-CN"/>
        </w:rPr>
        <w:t>组长</w:t>
      </w:r>
      <w:r>
        <w:rPr>
          <w:rFonts w:hint="eastAsia" w:ascii="宋体" w:hAnsi="宋体" w:eastAsia="宋体" w:cs="宋体"/>
          <w:color w:val="auto"/>
          <w:sz w:val="24"/>
          <w:szCs w:val="24"/>
          <w:highlight w:val="none"/>
        </w:rPr>
        <w:t>与评标委员会的其他成员有同等的表决权。</w:t>
      </w:r>
    </w:p>
    <w:p w14:paraId="50DFA7C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.1.3 评标委员会或评标小组负责具体的评标事务，并</w:t>
      </w:r>
      <w:r>
        <w:rPr>
          <w:rFonts w:hint="eastAsia" w:ascii="宋体" w:hAnsi="宋体" w:eastAsia="宋体" w:cs="宋体"/>
          <w:color w:val="000000"/>
          <w:sz w:val="24"/>
          <w:szCs w:val="24"/>
          <w:highlight w:val="none"/>
        </w:rPr>
        <w:t>独立履行以下职责：</w:t>
      </w:r>
    </w:p>
    <w:p w14:paraId="4DC6D55D">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.1.3.1 审查投标文件是否符合招标文件的要求，并作出评价；</w:t>
      </w:r>
    </w:p>
    <w:p w14:paraId="3381CD2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.1.3.2 可以要求投标投标人对投标文件有关事项作出解释或澄清；</w:t>
      </w:r>
    </w:p>
    <w:p w14:paraId="6EAE2F4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.1.3.3 推荐中标候选投标人名单，或者受</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委托按照事先确定的办法直接确定中标人；</w:t>
      </w:r>
    </w:p>
    <w:p w14:paraId="5CA75058">
      <w:pPr>
        <w:pageBreakBefore w:val="0"/>
        <w:kinsoku/>
        <w:wordWrap/>
        <w:overflowPunct/>
        <w:topLinePunct w:val="0"/>
        <w:bidi w:val="0"/>
        <w:adjustRightInd w:val="0"/>
        <w:snapToGrid w:val="0"/>
        <w:spacing w:beforeAutospacing="0" w:afterAutospacing="0" w:line="4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.1.3.4 向招标单位或者有关部门报告非法干预评标工作的行为。</w:t>
      </w:r>
    </w:p>
    <w:p w14:paraId="05B50350">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 评标委员会成员应当履行下列义务：</w:t>
      </w:r>
    </w:p>
    <w:p w14:paraId="6C65446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.1.4.1 遵纪守法，客观、公正、廉洁地履行职责；</w:t>
      </w:r>
    </w:p>
    <w:p w14:paraId="399B392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.1.4.2 按照招标文件规定的评标办法和评标标准进行评标，对评审意见承担个人责任；</w:t>
      </w:r>
    </w:p>
    <w:p w14:paraId="6B0A375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.1.4.3 对评标过程和结果，以及投标人的商业秘密保密；</w:t>
      </w:r>
    </w:p>
    <w:p w14:paraId="038B325D">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.1.4.4 参与评标报告的起草；</w:t>
      </w:r>
    </w:p>
    <w:p w14:paraId="105D188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.1.4.5 配合财政部门的投诉处理工作；</w:t>
      </w:r>
    </w:p>
    <w:p w14:paraId="10CC820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.1.4.6 配合招标单位答复投标投标人提出的质疑。</w:t>
      </w:r>
    </w:p>
    <w:p w14:paraId="0E58D015">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2按国家计委等七部委颁发的《评标委员会和评标方法暂行规定》，结合本工程特点，本项目采用综合评分法，对于经济报价的评分，按以下方法进行：价格分采用低价优先法计算，即满足招标文件要求且投标价格最低的投标报价为评标基准价，其价格分为满分。其他投标人的价格分统一按照下列公式计算：</w:t>
      </w:r>
    </w:p>
    <w:p w14:paraId="434838AA">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投标报价得分=(评标基准价/投标报价)×</w:t>
      </w:r>
      <w:r>
        <w:rPr>
          <w:rFonts w:hint="eastAsia" w:ascii="宋体" w:hAnsi="宋体" w:cs="宋体"/>
          <w:b/>
          <w:color w:val="auto"/>
          <w:sz w:val="24"/>
          <w:szCs w:val="24"/>
          <w:highlight w:val="none"/>
          <w:u w:val="single"/>
          <w:lang w:val="en-US" w:eastAsia="zh-CN"/>
        </w:rPr>
        <w:t>3</w:t>
      </w:r>
      <w:r>
        <w:rPr>
          <w:rFonts w:hint="eastAsia" w:ascii="宋体" w:hAnsi="宋体" w:eastAsia="宋体" w:cs="宋体"/>
          <w:b/>
          <w:color w:val="auto"/>
          <w:sz w:val="24"/>
          <w:szCs w:val="24"/>
          <w:highlight w:val="none"/>
          <w:u w:val="single"/>
        </w:rPr>
        <w:t>0%×100</w:t>
      </w:r>
      <w:r>
        <w:rPr>
          <w:rFonts w:hint="eastAsia" w:ascii="宋体" w:hAnsi="宋体" w:eastAsia="宋体" w:cs="宋体"/>
          <w:b/>
          <w:color w:val="auto"/>
          <w:sz w:val="24"/>
          <w:szCs w:val="24"/>
          <w:highlight w:val="none"/>
        </w:rPr>
        <w:t>（总分100分：其中商务部分和技术部分占</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分，投标报价占</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分），最终合计得分最高的投标人作为第一中标候选人，以此类推确定第二、第三中标候选人。</w:t>
      </w:r>
    </w:p>
    <w:p w14:paraId="0D1BD18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评标的依据为招标文件和投标文件。</w:t>
      </w:r>
    </w:p>
    <w:p w14:paraId="62F9BE1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.4评标过程的保密性。开标后，直到授予中标人合同止，凡是属于审查、澄清、评价和比较的有关资料以及授标建议等均不得向投标人或其他无关的人员透露。</w:t>
      </w:r>
    </w:p>
    <w:p w14:paraId="2F2AD14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.5 投标人在评标过程中所进行的力图影响评标结果、有悖于招标规则的活动，可能导致取消其中标资格。</w:t>
      </w:r>
    </w:p>
    <w:p w14:paraId="56DD9BA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.6 与招标文件有重大偏离的投标文件将被拒绝。且此重大偏离在开标后不许修改。</w:t>
      </w:r>
    </w:p>
    <w:p w14:paraId="0A4C8D7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.7 按国家计委等七部委颁发的《评标委员会和评标办法暂行规定</w:t>
      </w:r>
      <w:r>
        <w:rPr>
          <w:rFonts w:hint="eastAsia" w:ascii="宋体" w:hAnsi="宋体" w:eastAsia="宋体" w:cs="宋体"/>
          <w:sz w:val="24"/>
          <w:szCs w:val="24"/>
          <w:highlight w:val="none"/>
        </w:rPr>
        <w:t>》及政府招标货物和服务招标投标管理办法（财政部令第87号）以下行为将视为无效投标和废标</w:t>
      </w:r>
      <w:r>
        <w:rPr>
          <w:rFonts w:hint="eastAsia" w:ascii="宋体" w:hAnsi="宋体" w:eastAsia="宋体" w:cs="宋体"/>
          <w:sz w:val="24"/>
          <w:szCs w:val="24"/>
          <w:highlight w:val="none"/>
          <w:lang w:val="en-US" w:eastAsia="zh-CN"/>
        </w:rPr>
        <w:t>条款。</w:t>
      </w:r>
    </w:p>
    <w:p w14:paraId="43794F8C">
      <w:pPr>
        <w:pStyle w:val="7"/>
        <w:pageBreakBefore w:val="0"/>
        <w:kinsoku/>
        <w:wordWrap/>
        <w:overflowPunct/>
        <w:topLinePunct w:val="0"/>
        <w:bidi w:val="0"/>
        <w:spacing w:beforeAutospacing="0" w:afterAutospacing="0" w:line="400" w:lineRule="exact"/>
        <w:ind w:left="639" w:leftChars="184" w:hanging="253" w:hangingChars="105"/>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23.8无效投标：</w:t>
      </w:r>
    </w:p>
    <w:p w14:paraId="5F0B1D9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23.8.1</w:t>
      </w:r>
      <w:r>
        <w:rPr>
          <w:rFonts w:hint="eastAsia" w:ascii="宋体" w:hAnsi="宋体" w:eastAsia="宋体" w:cs="宋体"/>
          <w:color w:val="000000"/>
          <w:sz w:val="24"/>
          <w:szCs w:val="24"/>
          <w:highlight w:val="none"/>
        </w:rPr>
        <w:t>投标保证金的缴纳主体与投标人不一致的，没有按照招标文件要求提供投标担保，或者所提供的投标担保有瑕疵的；</w:t>
      </w:r>
    </w:p>
    <w:p w14:paraId="655A9EE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23.8.2</w:t>
      </w:r>
      <w:r>
        <w:rPr>
          <w:rFonts w:hint="eastAsia" w:ascii="宋体" w:hAnsi="宋体" w:eastAsia="宋体" w:cs="宋体"/>
          <w:color w:val="000000"/>
          <w:sz w:val="24"/>
          <w:szCs w:val="24"/>
          <w:highlight w:val="none"/>
        </w:rPr>
        <w:t>投标文件没有投标人法定代表人或其授权代表签字（</w:t>
      </w:r>
      <w:r>
        <w:rPr>
          <w:rFonts w:hint="eastAsia" w:ascii="宋体" w:hAnsi="宋体" w:cs="宋体"/>
          <w:color w:val="000000"/>
          <w:sz w:val="24"/>
          <w:szCs w:val="24"/>
          <w:highlight w:val="none"/>
          <w:lang w:val="en-US" w:eastAsia="zh-CN"/>
        </w:rPr>
        <w:t>或盖</w:t>
      </w:r>
      <w:r>
        <w:rPr>
          <w:rFonts w:hint="eastAsia" w:ascii="宋体" w:hAnsi="宋体" w:eastAsia="宋体" w:cs="宋体"/>
          <w:color w:val="000000"/>
          <w:sz w:val="24"/>
          <w:szCs w:val="24"/>
          <w:highlight w:val="none"/>
        </w:rPr>
        <w:t>章）和加盖投标单位公章的；</w:t>
      </w:r>
    </w:p>
    <w:p w14:paraId="2282A1D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23.8.3</w:t>
      </w:r>
      <w:r>
        <w:rPr>
          <w:rFonts w:hint="eastAsia" w:ascii="宋体" w:hAnsi="宋体" w:eastAsia="宋体" w:cs="宋体"/>
          <w:color w:val="000000"/>
          <w:sz w:val="24"/>
          <w:szCs w:val="24"/>
          <w:highlight w:val="none"/>
        </w:rPr>
        <w:t>投标文件记载的招标项目完成期限超过招标文件规定的完成期限；</w:t>
      </w:r>
    </w:p>
    <w:p w14:paraId="62A166A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23.8.4</w:t>
      </w:r>
      <w:r>
        <w:rPr>
          <w:rFonts w:hint="eastAsia" w:ascii="宋体" w:hAnsi="宋体" w:eastAsia="宋体" w:cs="宋体"/>
          <w:color w:val="000000"/>
          <w:sz w:val="24"/>
          <w:szCs w:val="24"/>
          <w:highlight w:val="none"/>
        </w:rPr>
        <w:t>不具备招标文件中规定的资格要求的；</w:t>
      </w:r>
    </w:p>
    <w:p w14:paraId="2B52084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23.8.5</w:t>
      </w:r>
      <w:r>
        <w:rPr>
          <w:rFonts w:hint="eastAsia" w:ascii="宋体" w:hAnsi="宋体" w:eastAsia="宋体" w:cs="宋体"/>
          <w:color w:val="000000"/>
          <w:sz w:val="24"/>
          <w:szCs w:val="24"/>
          <w:highlight w:val="none"/>
        </w:rPr>
        <w:t>明显不符合技术规格和技术标准的要求；</w:t>
      </w:r>
    </w:p>
    <w:p w14:paraId="78122B7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23.8.6</w:t>
      </w:r>
      <w:r>
        <w:rPr>
          <w:rFonts w:hint="eastAsia" w:ascii="宋体" w:hAnsi="宋体" w:eastAsia="宋体" w:cs="宋体"/>
          <w:color w:val="000000"/>
          <w:sz w:val="24"/>
          <w:szCs w:val="24"/>
          <w:highlight w:val="none"/>
        </w:rPr>
        <w:t>投标附有</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不能接受的条件；</w:t>
      </w:r>
    </w:p>
    <w:p w14:paraId="43CFB83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23.8.7</w:t>
      </w:r>
      <w:r>
        <w:rPr>
          <w:rFonts w:hint="eastAsia" w:ascii="宋体" w:hAnsi="宋体" w:eastAsia="宋体" w:cs="宋体"/>
          <w:color w:val="000000"/>
          <w:sz w:val="24"/>
          <w:szCs w:val="24"/>
          <w:highlight w:val="none"/>
        </w:rPr>
        <w:t>不符合招标文件中规定的其他实质性要求；</w:t>
      </w:r>
    </w:p>
    <w:p w14:paraId="5F674B1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23.8.8</w:t>
      </w:r>
      <w:r>
        <w:rPr>
          <w:rFonts w:hint="eastAsia" w:ascii="宋体" w:hAnsi="宋体" w:eastAsia="宋体" w:cs="宋体"/>
          <w:color w:val="000000"/>
          <w:sz w:val="24"/>
          <w:szCs w:val="24"/>
          <w:highlight w:val="none"/>
        </w:rPr>
        <w:t>投标报价不符合招标文件规定的要求；</w:t>
      </w:r>
    </w:p>
    <w:p w14:paraId="4D309875">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23.8.9</w:t>
      </w:r>
      <w:r>
        <w:rPr>
          <w:rFonts w:hint="eastAsia" w:ascii="宋体" w:hAnsi="宋体" w:eastAsia="宋体" w:cs="宋体"/>
          <w:color w:val="000000"/>
          <w:sz w:val="24"/>
          <w:szCs w:val="24"/>
          <w:highlight w:val="none"/>
        </w:rPr>
        <w:t>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w:t>
      </w:r>
    </w:p>
    <w:p w14:paraId="26F84A4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23.8.10</w:t>
      </w:r>
      <w:r>
        <w:rPr>
          <w:rFonts w:hint="eastAsia" w:ascii="宋体" w:hAnsi="宋体" w:eastAsia="宋体" w:cs="宋体"/>
          <w:color w:val="000000"/>
          <w:sz w:val="24"/>
          <w:szCs w:val="24"/>
          <w:highlight w:val="none"/>
        </w:rPr>
        <w:t>其他法律、法规及本招标文件规定的属无效投标的情形</w:t>
      </w:r>
      <w:r>
        <w:rPr>
          <w:rFonts w:hint="eastAsia" w:ascii="宋体" w:hAnsi="宋体" w:eastAsia="宋体" w:cs="宋体"/>
          <w:color w:val="000000"/>
          <w:sz w:val="24"/>
          <w:szCs w:val="24"/>
          <w:highlight w:val="none"/>
          <w:lang w:eastAsia="zh-CN"/>
        </w:rPr>
        <w:t>。</w:t>
      </w:r>
    </w:p>
    <w:p w14:paraId="5082682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23.8.11</w:t>
      </w:r>
      <w:r>
        <w:rPr>
          <w:rFonts w:hint="eastAsia" w:ascii="宋体" w:hAnsi="宋体" w:eastAsia="宋体" w:cs="宋体"/>
          <w:b w:val="0"/>
          <w:bCs w:val="0"/>
          <w:color w:val="000000"/>
          <w:kern w:val="2"/>
          <w:sz w:val="24"/>
          <w:szCs w:val="24"/>
          <w:highlight w:val="none"/>
          <w:lang w:val="en-US" w:eastAsia="zh-CN" w:bidi="ar-SA"/>
        </w:rPr>
        <w:t>投标人被“信用中国”网站（www.creditchina.gov.cn）列入失信被执行人或重大税收违法案件当事人名单或政府采购严重失信行为记录名单。</w:t>
      </w:r>
    </w:p>
    <w:p w14:paraId="7456F58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投标文件有上述情形之一的，视为非实质性响应招标，并按规定作无效标处理。</w:t>
      </w:r>
    </w:p>
    <w:p w14:paraId="310A7E57">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23.9废标条款：</w:t>
      </w:r>
    </w:p>
    <w:p w14:paraId="19EF2A30">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23.9.1</w:t>
      </w:r>
      <w:r>
        <w:rPr>
          <w:rFonts w:hint="eastAsia" w:ascii="宋体" w:hAnsi="宋体" w:eastAsia="宋体" w:cs="宋体"/>
          <w:color w:val="000000"/>
          <w:sz w:val="24"/>
          <w:szCs w:val="24"/>
          <w:highlight w:val="none"/>
        </w:rPr>
        <w:t>符合专业条件的供应商或者对招标文件作实质响应的供应商不足三家的。</w:t>
      </w:r>
    </w:p>
    <w:p w14:paraId="52BC5645">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23.9.2</w:t>
      </w:r>
      <w:r>
        <w:rPr>
          <w:rFonts w:hint="eastAsia" w:ascii="宋体" w:hAnsi="宋体" w:eastAsia="宋体" w:cs="宋体"/>
          <w:color w:val="000000"/>
          <w:sz w:val="24"/>
          <w:szCs w:val="24"/>
          <w:highlight w:val="none"/>
        </w:rPr>
        <w:t>出现影响采购公正的违法、违规行为的。</w:t>
      </w:r>
    </w:p>
    <w:p w14:paraId="0E81169F">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23.9.3</w:t>
      </w:r>
      <w:r>
        <w:rPr>
          <w:rFonts w:hint="eastAsia" w:ascii="宋体" w:hAnsi="宋体" w:eastAsia="宋体" w:cs="宋体"/>
          <w:color w:val="000000"/>
          <w:sz w:val="24"/>
          <w:szCs w:val="24"/>
          <w:highlight w:val="none"/>
        </w:rPr>
        <w:t>因重大变故，采购任务取消的。</w:t>
      </w:r>
    </w:p>
    <w:p w14:paraId="7C98D40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23.9.4</w:t>
      </w:r>
      <w:r>
        <w:rPr>
          <w:rFonts w:hint="eastAsia" w:ascii="宋体" w:hAnsi="宋体" w:eastAsia="宋体" w:cs="宋体"/>
          <w:color w:val="000000"/>
          <w:sz w:val="24"/>
          <w:szCs w:val="24"/>
          <w:highlight w:val="none"/>
        </w:rPr>
        <w:t>评标委员会认定招标文件存在歧义、重大缺陷导致评审工作无法进行。</w:t>
      </w:r>
    </w:p>
    <w:p w14:paraId="413EBF80">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Cs/>
          <w:sz w:val="24"/>
          <w:szCs w:val="24"/>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4</w:t>
      </w:r>
      <w:r>
        <w:rPr>
          <w:rFonts w:hint="eastAsia" w:ascii="宋体" w:hAnsi="宋体" w:eastAsia="宋体" w:cs="宋体"/>
          <w:b/>
          <w:color w:val="000000"/>
          <w:sz w:val="24"/>
          <w:szCs w:val="24"/>
          <w:highlight w:val="none"/>
        </w:rPr>
        <w:t>、对投标文件的初步审查和响应性确定</w:t>
      </w:r>
    </w:p>
    <w:p w14:paraId="0A5770C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.1.1 资格审查：依据法律法规和招标文件的规定，由采购人对投标文件中的资格证明文件进行审查。资格审查的结论，采购人以书面形式向评委会进行反馈。</w:t>
      </w:r>
    </w:p>
    <w:p w14:paraId="1D7B403F">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14:paraId="4128EAE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.1.2 符合性审查：依据招标文件的规定，由评委会从投标文件的有效性、完整性和对招标文件的响应程度进行审查，以确定是否对招标文件的实质性要求作出响应。</w:t>
      </w:r>
    </w:p>
    <w:p w14:paraId="7997A5E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.1.3 未通过资格审查或符合性审查的投标人，</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将在评标现场向其授权代表告知未通过资格审查或符合性审查的原因，评审结束后，</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将不再告知未通过资格审查或符合性审查的原因。</w:t>
      </w:r>
    </w:p>
    <w:p w14:paraId="08AD892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.2在详细评标之前，评委会将首先审查每份投标文件是否实质性响应了招标文件的要求。实质性响应的投标应该是与招标文件要求的全部条款、条件和规格相符，没有重大偏离或保留的投标。</w:t>
      </w:r>
    </w:p>
    <w:p w14:paraId="67065F8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三分二及以上成员的认定。评委决定投标文件的响应性只根据投标文件本身的内容，而不寻求外部的证据。</w:t>
      </w:r>
    </w:p>
    <w:p w14:paraId="2F84FBF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.3如果投标文件实质上没有响应招标文件的要求，评委会将予以拒绝，投标人不得通过修改或撤销不合要求的偏离或保留而使其投标成为实质性响应的投标。</w:t>
      </w:r>
    </w:p>
    <w:p w14:paraId="7262906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.4评委会将对确定为实质性响应的投标进行进一步审核，看其是否有计算上或累加上的算术错误，修正错误的原则如下：</w:t>
      </w:r>
    </w:p>
    <w:p w14:paraId="49E5C2B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24.4.1</w:t>
      </w:r>
      <w:r>
        <w:rPr>
          <w:rFonts w:hint="eastAsia" w:ascii="宋体" w:hAnsi="宋体" w:eastAsia="宋体" w:cs="宋体"/>
          <w:color w:val="000000"/>
          <w:sz w:val="24"/>
          <w:szCs w:val="24"/>
          <w:highlight w:val="none"/>
        </w:rPr>
        <w:t>投标文件中开标一览表内容与投标文件中相应内容不一致的，以开标一览表为准。</w:t>
      </w:r>
    </w:p>
    <w:p w14:paraId="4FDFAB3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24.4.2</w:t>
      </w:r>
      <w:r>
        <w:rPr>
          <w:rFonts w:hint="eastAsia" w:ascii="宋体" w:hAnsi="宋体" w:eastAsia="宋体" w:cs="宋体"/>
          <w:color w:val="000000"/>
          <w:sz w:val="24"/>
          <w:szCs w:val="24"/>
          <w:highlight w:val="none"/>
        </w:rPr>
        <w:t>大写金额和小写金额不一致的，以大写金额为准。</w:t>
      </w:r>
    </w:p>
    <w:p w14:paraId="0B3476C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24.4.3</w:t>
      </w:r>
      <w:r>
        <w:rPr>
          <w:rFonts w:hint="eastAsia" w:ascii="宋体" w:hAnsi="宋体" w:eastAsia="宋体" w:cs="宋体"/>
          <w:color w:val="000000"/>
          <w:sz w:val="24"/>
          <w:szCs w:val="24"/>
          <w:highlight w:val="none"/>
        </w:rPr>
        <w:t>单价金额小数点或者百分比有明显错位的，以开标一览表的总价为准，并修改单价。</w:t>
      </w:r>
    </w:p>
    <w:p w14:paraId="5CF70FD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24.4.4</w:t>
      </w:r>
      <w:r>
        <w:rPr>
          <w:rFonts w:hint="eastAsia" w:ascii="宋体" w:hAnsi="宋体" w:eastAsia="宋体" w:cs="宋体"/>
          <w:color w:val="000000"/>
          <w:sz w:val="24"/>
          <w:szCs w:val="24"/>
          <w:highlight w:val="none"/>
        </w:rPr>
        <w:t>总价金额与按单价汇总金额不一致的，以单价金额计算结果为准。</w:t>
      </w:r>
    </w:p>
    <w:p w14:paraId="784056D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同时出现两种以上错误的，按照前款规定的顺序修正。</w:t>
      </w:r>
    </w:p>
    <w:p w14:paraId="422C923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.5评委会将按上述修正错误的方法调整投标文件中的投标报价，调整后的价格应对投标人具有约束力。如果投标人不接受修正后的价格，则其投标将被拒绝，其投标保证金不予退还。</w:t>
      </w:r>
    </w:p>
    <w:p w14:paraId="0036BF6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color w:val="000000"/>
          <w:kern w:val="2"/>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.6评委会将允许修正投标文件中不构成重大偏离的、微小的、非正规的、不一致的或不规则的地方，但这些修改不能影响任何投标人相应的名次排列。</w:t>
      </w:r>
    </w:p>
    <w:p w14:paraId="37B60F4C">
      <w:pPr>
        <w:pageBreakBefore w:val="0"/>
        <w:numPr>
          <w:ilvl w:val="0"/>
          <w:numId w:val="0"/>
        </w:numPr>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5</w:t>
      </w:r>
      <w:r>
        <w:rPr>
          <w:rFonts w:hint="eastAsia" w:ascii="宋体" w:hAnsi="宋体" w:eastAsia="宋体" w:cs="宋体"/>
          <w:b/>
          <w:color w:val="000000"/>
          <w:sz w:val="24"/>
          <w:szCs w:val="24"/>
          <w:highlight w:val="none"/>
        </w:rPr>
        <w:t>、投标文件的澄清</w:t>
      </w:r>
    </w:p>
    <w:p w14:paraId="6FCA002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.1 评标委员会在评标过程中有权随时请投标人就投标文件中含混之处加以澄清或答疑。</w:t>
      </w:r>
    </w:p>
    <w:p w14:paraId="15ABA91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.2 投标人对要求澄清的问题应以书面形式明确答复，并应有法人授权代表的签署。</w:t>
      </w:r>
    </w:p>
    <w:p w14:paraId="6A777DA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.3 投标人的澄清文件是投标文件的组成部分，并取代投标文件中被澄清的部分。</w:t>
      </w:r>
    </w:p>
    <w:p w14:paraId="60498F2F">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.4 投标文件的澄清不得改变投标的实质内容。</w:t>
      </w:r>
    </w:p>
    <w:p w14:paraId="08C221E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.5如果投标人在投标文件中未对招标文件中的条款或参数要求提出偏离意见或澄清将视同投标人同意招标文件的全部或部分要求。</w:t>
      </w:r>
    </w:p>
    <w:p w14:paraId="063792DD">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、定标</w:t>
      </w:r>
    </w:p>
    <w:p w14:paraId="7187B482">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.1 评标委员会有权选择和拒绝投标人中标，且无需向投标人进行任何有关评标的解释工作。</w:t>
      </w:r>
    </w:p>
    <w:p w14:paraId="1CC9130D">
      <w:pPr>
        <w:pStyle w:val="37"/>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.2 评标委员会通过上述评标方法以</w:t>
      </w:r>
      <w:r>
        <w:rPr>
          <w:rFonts w:hint="eastAsia" w:ascii="宋体" w:hAnsi="宋体" w:eastAsia="宋体" w:cs="宋体"/>
          <w:b/>
          <w:color w:val="000000"/>
          <w:sz w:val="24"/>
          <w:szCs w:val="24"/>
          <w:highlight w:val="none"/>
        </w:rPr>
        <w:t>最终合计得分最高的投标人作为第一中标候选人，以此类推确定第二、第三中标候选人。</w:t>
      </w:r>
    </w:p>
    <w:p w14:paraId="3740A3F6">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 若有充分证据证明，中标人出现下列情况之一的，一经查实，将被取消中标资格：</w:t>
      </w:r>
    </w:p>
    <w:p w14:paraId="21FA086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提供虚假材料谋取中标的。</w:t>
      </w:r>
    </w:p>
    <w:p w14:paraId="0371AD2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向采购人、采购中心行贿或者提供其他不正当利益的。</w:t>
      </w:r>
    </w:p>
    <w:p w14:paraId="533814E9">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恶意竞争，投标总报价明显低于其自身合理成本且又无法提供证明的。</w:t>
      </w:r>
    </w:p>
    <w:p w14:paraId="1B9D38C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属于本文件规定的无效条件，但在评标过程中又未被评委会发现的。</w:t>
      </w:r>
    </w:p>
    <w:p w14:paraId="2BC5AE2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与采购人或者其他供应商恶意串通的。</w:t>
      </w:r>
    </w:p>
    <w:p w14:paraId="39E5390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采取不正当手段诋毁、排挤其他供应商的。</w:t>
      </w:r>
    </w:p>
    <w:p w14:paraId="1F6086B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w:t>
      </w:r>
      <w:r>
        <w:rPr>
          <w:rFonts w:hint="eastAsia" w:ascii="宋体" w:hAnsi="宋体" w:eastAsia="宋体" w:cs="宋体"/>
          <w:color w:val="000000"/>
          <w:sz w:val="24"/>
          <w:szCs w:val="24"/>
          <w:highlight w:val="none"/>
        </w:rPr>
        <w:t>有下列情形之一的，视为投标人串通投标，投标无效：</w:t>
      </w:r>
    </w:p>
    <w:p w14:paraId="4A73BCD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26.4.1</w:t>
      </w:r>
      <w:r>
        <w:rPr>
          <w:rFonts w:hint="eastAsia" w:ascii="宋体" w:hAnsi="宋体" w:eastAsia="宋体" w:cs="宋体"/>
          <w:color w:val="000000"/>
          <w:sz w:val="24"/>
          <w:szCs w:val="24"/>
          <w:highlight w:val="none"/>
        </w:rPr>
        <w:t>不同投标人的投标文件由同一单位或者个人编制。</w:t>
      </w:r>
    </w:p>
    <w:p w14:paraId="50F6160E">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26.4.2</w:t>
      </w:r>
      <w:r>
        <w:rPr>
          <w:rFonts w:hint="eastAsia" w:ascii="宋体" w:hAnsi="宋体" w:eastAsia="宋体" w:cs="宋体"/>
          <w:color w:val="000000"/>
          <w:sz w:val="24"/>
          <w:szCs w:val="24"/>
          <w:highlight w:val="none"/>
        </w:rPr>
        <w:t>不同投标人委托同一单位或者个人办理投标事宜。</w:t>
      </w:r>
    </w:p>
    <w:p w14:paraId="7202A6C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26.4.3</w:t>
      </w:r>
      <w:r>
        <w:rPr>
          <w:rFonts w:hint="eastAsia" w:ascii="宋体" w:hAnsi="宋体" w:eastAsia="宋体" w:cs="宋体"/>
          <w:color w:val="000000"/>
          <w:sz w:val="24"/>
          <w:szCs w:val="24"/>
          <w:highlight w:val="none"/>
        </w:rPr>
        <w:t>不同投标人的投标文件载明的项目管理成员或者联系人员为同一人。</w:t>
      </w:r>
    </w:p>
    <w:p w14:paraId="409BD2C7">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26.4.4</w:t>
      </w:r>
      <w:r>
        <w:rPr>
          <w:rFonts w:hint="eastAsia" w:ascii="宋体" w:hAnsi="宋体" w:eastAsia="宋体" w:cs="宋体"/>
          <w:color w:val="000000"/>
          <w:sz w:val="24"/>
          <w:szCs w:val="24"/>
          <w:highlight w:val="none"/>
        </w:rPr>
        <w:t>不同投标人的投标文件异常一致或者投标报价呈规律性差异。</w:t>
      </w:r>
    </w:p>
    <w:p w14:paraId="3449678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26.4.5</w:t>
      </w:r>
      <w:r>
        <w:rPr>
          <w:rFonts w:hint="eastAsia" w:ascii="宋体" w:hAnsi="宋体" w:eastAsia="宋体" w:cs="宋体"/>
          <w:color w:val="000000"/>
          <w:sz w:val="24"/>
          <w:szCs w:val="24"/>
          <w:highlight w:val="none"/>
        </w:rPr>
        <w:t>不同投标人的投标文件相互混装。</w:t>
      </w:r>
    </w:p>
    <w:p w14:paraId="112CD4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26.4.6</w:t>
      </w:r>
      <w:r>
        <w:rPr>
          <w:rFonts w:hint="eastAsia" w:ascii="宋体" w:hAnsi="宋体" w:eastAsia="宋体" w:cs="宋体"/>
          <w:color w:val="000000"/>
          <w:sz w:val="24"/>
          <w:szCs w:val="24"/>
          <w:highlight w:val="none"/>
        </w:rPr>
        <w:t>不同投标人的投标保证金从同一单位或者个人的账户转出。</w:t>
      </w:r>
    </w:p>
    <w:p w14:paraId="5EDBFE86">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7</w:t>
      </w:r>
      <w:r>
        <w:rPr>
          <w:rFonts w:hint="eastAsia" w:ascii="宋体" w:hAnsi="宋体" w:eastAsia="宋体" w:cs="宋体"/>
          <w:b/>
          <w:color w:val="000000"/>
          <w:sz w:val="24"/>
          <w:szCs w:val="24"/>
          <w:highlight w:val="none"/>
        </w:rPr>
        <w:t>、中标通知</w:t>
      </w:r>
    </w:p>
    <w:p w14:paraId="1A956F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.1中标公示期：在“新疆政府采购网”发布中标公告，期限为1个工作日。</w:t>
      </w:r>
    </w:p>
    <w:p w14:paraId="4505DC68">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.2招标代理机构根据定标结果，在投标有效期届满前，以书面形式向中标单位发出中标通知书。</w:t>
      </w:r>
    </w:p>
    <w:p w14:paraId="4DEDE5F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.3 招标代理机构将定标结果及时通知未中标单位并退还投标保证金。无需解释落标原因。</w:t>
      </w:r>
    </w:p>
    <w:p w14:paraId="037B8F98">
      <w:pPr>
        <w:pStyle w:val="15"/>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28、质疑处理</w:t>
      </w:r>
    </w:p>
    <w:p w14:paraId="791C54C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.1 提出质疑的供应商应当是参与所质疑项目采购活动的供应商。潜在供应商依法获取其可质疑的采购文件的，可以对采购文件提出质疑。</w:t>
      </w:r>
    </w:p>
    <w:p w14:paraId="441E57F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.2供应商认为采购文件、采购过程和采购结果使自己的权益受到损害的，可以在知道或应知其权益受到损害之日起七个工作日内，以书面形式向</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或采购人提出质疑。上述应知其权益受到损害之日，是指：</w:t>
      </w:r>
    </w:p>
    <w:p w14:paraId="6D56967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.2.1对可以质疑的采购文件提出质疑的，为收到采购文件之日或者采购文件公告期限届满之日；</w:t>
      </w:r>
    </w:p>
    <w:p w14:paraId="0676CF0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.2.2对采购过程提出质疑的，为各采购程序环节结束之日；</w:t>
      </w:r>
    </w:p>
    <w:p w14:paraId="2D22B9E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.2.3对中标或者成交结果提出质疑的，为中标或者成交结果公告期限届满之日。</w:t>
      </w:r>
    </w:p>
    <w:p w14:paraId="761DF8F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将只对供应商第一次质疑作出答复。</w:t>
      </w:r>
    </w:p>
    <w:p w14:paraId="713D249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只接收以</w:t>
      </w:r>
      <w:r>
        <w:rPr>
          <w:rFonts w:hint="eastAsia" w:ascii="宋体" w:hAnsi="宋体" w:eastAsia="宋体" w:cs="宋体"/>
          <w:color w:val="000000"/>
          <w:sz w:val="24"/>
          <w:szCs w:val="24"/>
          <w:highlight w:val="none"/>
          <w:lang w:eastAsia="zh-CN"/>
        </w:rPr>
        <w:t>书面</w:t>
      </w:r>
      <w:r>
        <w:rPr>
          <w:rFonts w:hint="eastAsia" w:ascii="宋体" w:hAnsi="宋体" w:eastAsia="宋体" w:cs="宋体"/>
          <w:color w:val="000000"/>
          <w:sz w:val="24"/>
          <w:szCs w:val="24"/>
          <w:highlight w:val="none"/>
        </w:rPr>
        <w:t>形式送达的质疑。</w:t>
      </w:r>
      <w:r>
        <w:rPr>
          <w:rFonts w:hint="eastAsia" w:ascii="宋体" w:hAnsi="宋体" w:eastAsia="宋体" w:cs="宋体"/>
          <w:color w:val="000000"/>
          <w:sz w:val="24"/>
          <w:szCs w:val="24"/>
          <w:highlight w:val="none"/>
          <w:lang w:val="en-US" w:eastAsia="zh-CN"/>
        </w:rPr>
        <w:t>联系方式见前附表</w:t>
      </w:r>
      <w:r>
        <w:rPr>
          <w:rFonts w:hint="eastAsia" w:ascii="宋体" w:hAnsi="宋体" w:eastAsia="宋体" w:cs="宋体"/>
          <w:color w:val="000000"/>
          <w:sz w:val="24"/>
          <w:szCs w:val="24"/>
          <w:highlight w:val="none"/>
        </w:rPr>
        <w:t>。</w:t>
      </w:r>
    </w:p>
    <w:p w14:paraId="18196D96">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 以下情形的质疑不予受理</w:t>
      </w:r>
    </w:p>
    <w:p w14:paraId="2545095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.5.1 内容不符合《政府采购质疑和投诉办法》第十二条规定的质疑。</w:t>
      </w:r>
    </w:p>
    <w:p w14:paraId="2F037B01">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.5.2 超出政府采购法定期限的质疑。</w:t>
      </w:r>
    </w:p>
    <w:p w14:paraId="4F9C8C9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未参加投标活动的供应商或在投标活动中自身权益未受到损害的供应商所提出的质疑。</w:t>
      </w:r>
    </w:p>
    <w:p w14:paraId="081368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供应商组成联合体参加投标，联合体中任何一方或多方未按要求签字、盖章、加盖公章的质疑。</w:t>
      </w:r>
    </w:p>
    <w:p w14:paraId="4F8B4691">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14:paraId="5639B008">
      <w:pPr>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color w:val="000000"/>
          <w:sz w:val="24"/>
          <w:szCs w:val="24"/>
          <w:highlight w:val="none"/>
        </w:rPr>
      </w:pPr>
    </w:p>
    <w:p w14:paraId="643493FD">
      <w:pPr>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七、签定合同</w:t>
      </w:r>
    </w:p>
    <w:p w14:paraId="2A9A9BBE">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29</w:t>
      </w:r>
      <w:r>
        <w:rPr>
          <w:rFonts w:hint="eastAsia" w:ascii="宋体" w:hAnsi="宋体" w:eastAsia="宋体" w:cs="宋体"/>
          <w:b/>
          <w:color w:val="000000"/>
          <w:sz w:val="24"/>
          <w:szCs w:val="24"/>
          <w:highlight w:val="none"/>
        </w:rPr>
        <w:t>、签定合同</w:t>
      </w:r>
    </w:p>
    <w:p w14:paraId="17503BD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 xml:space="preserve">.1 </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和中标人在自中标通知书发出之日起</w:t>
      </w:r>
      <w:r>
        <w:rPr>
          <w:rFonts w:hint="eastAsia" w:ascii="宋体" w:hAnsi="宋体" w:eastAsia="宋体" w:cs="宋体"/>
          <w:b/>
          <w:bCs/>
          <w:sz w:val="24"/>
          <w:szCs w:val="24"/>
          <w:highlight w:val="none"/>
        </w:rPr>
        <w:t>30</w:t>
      </w:r>
      <w:r>
        <w:rPr>
          <w:rFonts w:hint="eastAsia" w:ascii="宋体" w:hAnsi="宋体" w:eastAsia="宋体" w:cs="宋体"/>
          <w:color w:val="000000"/>
          <w:sz w:val="24"/>
          <w:szCs w:val="24"/>
          <w:highlight w:val="none"/>
        </w:rPr>
        <w:t>日内，依据《中华人民共和国经济合同法》和有关法规及招、投标文件签定合同。</w:t>
      </w:r>
    </w:p>
    <w:p w14:paraId="2B260E7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.2 中标合同不得转让。合同分包需在投标文件中予以说明，并需经</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同意。否则，</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有权取消中标人的中标资格。</w:t>
      </w:r>
    </w:p>
    <w:p w14:paraId="751A230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 xml:space="preserve">.3 </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如遇中标人违约，可从侯选中标人中重新选定中标人，并签定经济合同。</w:t>
      </w:r>
    </w:p>
    <w:p w14:paraId="6220FF89">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.4 合同的制订由</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、中标人、招标代理机构三方参加，为确保合同双方的利益均等，由招标代理机构在合同制订过程中进行协调。</w:t>
      </w:r>
    </w:p>
    <w:p w14:paraId="69DEE754">
      <w:pPr>
        <w:pStyle w:val="8"/>
        <w:pageBreakBefore w:val="0"/>
        <w:widowControl w:val="0"/>
        <w:kinsoku/>
        <w:wordWrap/>
        <w:overflowPunct/>
        <w:topLinePunct w:val="0"/>
        <w:autoSpaceDE/>
        <w:autoSpaceDN/>
        <w:bidi w:val="0"/>
        <w:spacing w:beforeAutospacing="0" w:afterAutospacing="0" w:line="400" w:lineRule="exact"/>
        <w:ind w:firstLine="482" w:firstLineChars="200"/>
        <w:textAlignment w:val="auto"/>
        <w:rPr>
          <w:rFonts w:hint="eastAsia" w:ascii="宋体" w:hAnsi="宋体" w:eastAsia="宋体" w:cs="宋体"/>
          <w:b/>
          <w:color w:val="000000"/>
          <w:kern w:val="2"/>
          <w:sz w:val="24"/>
          <w:szCs w:val="24"/>
          <w:highlight w:val="none"/>
          <w:lang w:val="en-US" w:eastAsia="zh-CN" w:bidi="ar-SA"/>
        </w:rPr>
      </w:pPr>
      <w:bookmarkStart w:id="1" w:name="_Toc16938559"/>
      <w:bookmarkStart w:id="2" w:name="_Toc20823315"/>
      <w:bookmarkStart w:id="3" w:name="_Toc513029243"/>
      <w:r>
        <w:rPr>
          <w:rFonts w:hint="eastAsia" w:ascii="宋体" w:hAnsi="宋体" w:eastAsia="宋体" w:cs="宋体"/>
          <w:b/>
          <w:color w:val="000000"/>
          <w:kern w:val="2"/>
          <w:sz w:val="24"/>
          <w:szCs w:val="24"/>
          <w:highlight w:val="none"/>
          <w:lang w:val="en-US" w:eastAsia="zh-CN" w:bidi="ar-SA"/>
        </w:rPr>
        <w:t>30、货物和服务的追加、减少和添购</w:t>
      </w:r>
    </w:p>
    <w:p w14:paraId="779B2E1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14:paraId="267EE25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.2采购结束后，采购人若由于各种客观原因，必须对采购项目所牵涉的货物和服务进行适当的减少时，在双方协商一致的前提下，可以按照招标采购时的价格水平做相应的调减，并据此签订补充合同</w:t>
      </w:r>
      <w:r>
        <w:rPr>
          <w:rFonts w:hint="eastAsia" w:ascii="宋体" w:hAnsi="宋体" w:eastAsia="宋体" w:cs="宋体"/>
          <w:color w:val="000000"/>
          <w:sz w:val="24"/>
          <w:szCs w:val="24"/>
          <w:highlight w:val="none"/>
          <w:lang w:eastAsia="zh-CN"/>
        </w:rPr>
        <w:t>。</w:t>
      </w:r>
    </w:p>
    <w:p w14:paraId="56B48587">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rPr>
      </w:pPr>
      <w:r>
        <w:rPr>
          <w:rFonts w:hint="eastAsia" w:ascii="宋体" w:hAnsi="宋体" w:eastAsia="宋体" w:cs="宋体"/>
          <w:b/>
          <w:bCs/>
          <w:color w:val="000000"/>
          <w:sz w:val="24"/>
          <w:szCs w:val="24"/>
          <w:highlight w:val="none"/>
          <w:lang w:val="en-US" w:eastAsia="zh-CN"/>
        </w:rPr>
        <w:t>31</w:t>
      </w:r>
      <w:r>
        <w:rPr>
          <w:rFonts w:hint="eastAsia" w:ascii="宋体" w:hAnsi="宋体" w:eastAsia="宋体" w:cs="宋体"/>
          <w:b/>
          <w:bCs/>
          <w:color w:val="000000"/>
          <w:sz w:val="24"/>
          <w:szCs w:val="24"/>
          <w:highlight w:val="none"/>
        </w:rPr>
        <w:t>. 履约保证金：</w:t>
      </w:r>
      <w:bookmarkEnd w:id="1"/>
      <w:bookmarkEnd w:id="2"/>
      <w:bookmarkEnd w:id="3"/>
      <w:r>
        <w:rPr>
          <w:rFonts w:hint="eastAsia" w:ascii="宋体" w:hAnsi="宋体" w:cs="宋体"/>
          <w:color w:val="000000" w:themeColor="text1"/>
          <w:sz w:val="24"/>
          <w:szCs w:val="24"/>
          <w:lang w:val="en-US" w:eastAsia="zh-CN"/>
          <w14:textFill>
            <w14:solidFill>
              <w14:schemeClr w14:val="tx1"/>
            </w14:solidFill>
          </w14:textFill>
        </w:rPr>
        <w:t>合同价的5％。</w:t>
      </w:r>
    </w:p>
    <w:p w14:paraId="2609BF86">
      <w:pPr>
        <w:pStyle w:val="2"/>
        <w:pageBreakBefore w:val="0"/>
        <w:kinsoku/>
        <w:wordWrap/>
        <w:overflowPunct/>
        <w:topLinePunct w:val="0"/>
        <w:bidi w:val="0"/>
        <w:spacing w:beforeAutospacing="0" w:after="0" w:afterAutospacing="0" w:line="400" w:lineRule="exact"/>
        <w:jc w:val="center"/>
        <w:rPr>
          <w:rFonts w:hint="eastAsia" w:asciiTheme="minorEastAsia" w:hAnsiTheme="minorEastAsia" w:eastAsiaTheme="minorEastAsia" w:cstheme="minorEastAsia"/>
          <w:color w:val="FF0000"/>
          <w:sz w:val="24"/>
          <w:szCs w:val="24"/>
        </w:rPr>
      </w:pPr>
      <w:r>
        <w:rPr>
          <w:rStyle w:val="29"/>
          <w:rFonts w:hint="eastAsia" w:asciiTheme="minorEastAsia" w:hAnsiTheme="minorEastAsia" w:eastAsiaTheme="minorEastAsia" w:cstheme="minorEastAsia"/>
          <w:b/>
          <w:bCs/>
          <w:color w:val="auto"/>
          <w:w w:val="90"/>
          <w:sz w:val="36"/>
          <w:szCs w:val="36"/>
          <w:u w:val="none"/>
        </w:rPr>
        <w:t>第四章 合同文本格式</w:t>
      </w:r>
    </w:p>
    <w:p w14:paraId="6F1C7BB1">
      <w:pPr>
        <w:keepLines w:val="0"/>
        <w:pageBreakBefore w:val="0"/>
        <w:kinsoku/>
        <w:wordWrap/>
        <w:overflowPunct/>
        <w:topLinePunct w:val="0"/>
        <w:bidi w:val="0"/>
        <w:adjustRightInd w:val="0"/>
        <w:snapToGrid w:val="0"/>
        <w:spacing w:line="42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采 购 （专 用） 合 同</w:t>
      </w:r>
    </w:p>
    <w:p w14:paraId="1970D658">
      <w:pPr>
        <w:keepNext w:val="0"/>
        <w:keepLines w:val="0"/>
        <w:pageBreakBefore w:val="0"/>
        <w:kinsoku/>
        <w:wordWrap/>
        <w:overflowPunct/>
        <w:topLinePunct w:val="0"/>
        <w:bidi w:val="0"/>
        <w:adjustRightInd w:val="0"/>
        <w:snapToGrid w:val="0"/>
        <w:spacing w:beforeAutospacing="0" w:afterAutospacing="0" w:line="32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（仅供参考，以采购人实际签订为准）</w:t>
      </w:r>
    </w:p>
    <w:p w14:paraId="180EFBB0">
      <w:pPr>
        <w:pStyle w:val="33"/>
        <w:rPr>
          <w:rFonts w:hint="eastAsia" w:asciiTheme="minorEastAsia" w:hAnsiTheme="minorEastAsia" w:eastAsiaTheme="minorEastAsia" w:cstheme="minorEastAsia"/>
        </w:rPr>
      </w:pPr>
    </w:p>
    <w:p w14:paraId="704D8A5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甲方（招标用户采购方）：                                合同编号：</w:t>
      </w:r>
    </w:p>
    <w:p w14:paraId="6E64D16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乙方（投标中标供应方）：                                 签约地点：</w:t>
      </w:r>
    </w:p>
    <w:p w14:paraId="5355D807">
      <w:pPr>
        <w:pStyle w:val="3"/>
        <w:numPr>
          <w:ilvl w:val="0"/>
          <w:numId w:val="0"/>
        </w:num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根据《中华人民共和国政府采购法》及       年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月   </w:t>
      </w:r>
      <w:r>
        <w:rPr>
          <w:rFonts w:hint="eastAsia" w:asciiTheme="minorEastAsia" w:hAnsiTheme="minorEastAsia" w:eastAsiaTheme="minorEastAsia" w:cstheme="minorEastAsia"/>
          <w:color w:val="000000"/>
          <w:sz w:val="24"/>
          <w:szCs w:val="24"/>
          <w:lang w:val="en-US" w:eastAsia="zh-CN"/>
        </w:rPr>
        <w:t>日新疆吐鲁番市应急救援队设备更新项目（结余资金）补充采购文件（招标编号：    ，采购代理机构：</w:t>
      </w:r>
      <w:r>
        <w:rPr>
          <w:rFonts w:hint="eastAsia" w:asciiTheme="minorEastAsia" w:hAnsiTheme="minorEastAsia" w:eastAsiaTheme="minorEastAsia" w:cstheme="minorEastAsia"/>
          <w:color w:val="000000"/>
          <w:sz w:val="24"/>
          <w:szCs w:val="24"/>
          <w:lang w:eastAsia="zh-CN"/>
        </w:rPr>
        <w:t>新疆华域天恒工程管理有限公司</w:t>
      </w:r>
      <w:r>
        <w:rPr>
          <w:rFonts w:hint="eastAsia" w:asciiTheme="minorEastAsia" w:hAnsiTheme="minorEastAsia" w:eastAsiaTheme="minorEastAsia" w:cstheme="minorEastAsia"/>
          <w:color w:val="000000"/>
          <w:sz w:val="24"/>
          <w:szCs w:val="24"/>
        </w:rPr>
        <w:t>）的要求，经双方协商一致，签订本合同。</w:t>
      </w:r>
    </w:p>
    <w:p w14:paraId="539656BC">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1、合同设备</w:t>
      </w:r>
    </w:p>
    <w:p w14:paraId="0785D565">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乙方负责向甲方供应下表中所列</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及负责安装调试。</w:t>
      </w:r>
    </w:p>
    <w:tbl>
      <w:tblPr>
        <w:tblStyle w:val="2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14:paraId="75B9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43B76F3B">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货物名称</w:t>
            </w:r>
          </w:p>
        </w:tc>
        <w:tc>
          <w:tcPr>
            <w:tcW w:w="1365" w:type="dxa"/>
            <w:noWrap w:val="0"/>
            <w:vAlign w:val="center"/>
          </w:tcPr>
          <w:p w14:paraId="2F012A47">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规格型号</w:t>
            </w:r>
          </w:p>
        </w:tc>
        <w:tc>
          <w:tcPr>
            <w:tcW w:w="829" w:type="dxa"/>
            <w:noWrap w:val="0"/>
            <w:vAlign w:val="center"/>
          </w:tcPr>
          <w:p w14:paraId="6C968FA8">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产地厂家</w:t>
            </w:r>
          </w:p>
        </w:tc>
        <w:tc>
          <w:tcPr>
            <w:tcW w:w="878" w:type="dxa"/>
            <w:noWrap w:val="0"/>
            <w:vAlign w:val="center"/>
          </w:tcPr>
          <w:p w14:paraId="61E1B996">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w:t>
            </w:r>
          </w:p>
        </w:tc>
        <w:tc>
          <w:tcPr>
            <w:tcW w:w="878" w:type="dxa"/>
            <w:noWrap w:val="0"/>
            <w:vAlign w:val="center"/>
          </w:tcPr>
          <w:p w14:paraId="3CC95CF4">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w:t>
            </w:r>
          </w:p>
        </w:tc>
        <w:tc>
          <w:tcPr>
            <w:tcW w:w="878" w:type="dxa"/>
            <w:noWrap w:val="0"/>
            <w:vAlign w:val="center"/>
          </w:tcPr>
          <w:p w14:paraId="6EF0487A">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单价</w:t>
            </w:r>
          </w:p>
        </w:tc>
        <w:tc>
          <w:tcPr>
            <w:tcW w:w="878" w:type="dxa"/>
            <w:noWrap w:val="0"/>
            <w:vAlign w:val="center"/>
          </w:tcPr>
          <w:p w14:paraId="0BF37F3D">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878" w:type="dxa"/>
            <w:noWrap w:val="0"/>
            <w:vAlign w:val="center"/>
          </w:tcPr>
          <w:p w14:paraId="0367257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随机配件</w:t>
            </w:r>
          </w:p>
        </w:tc>
        <w:tc>
          <w:tcPr>
            <w:tcW w:w="878" w:type="dxa"/>
            <w:noWrap w:val="0"/>
            <w:vAlign w:val="center"/>
          </w:tcPr>
          <w:p w14:paraId="36A1C03E">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交货地点</w:t>
            </w:r>
          </w:p>
        </w:tc>
        <w:tc>
          <w:tcPr>
            <w:tcW w:w="938" w:type="dxa"/>
            <w:noWrap w:val="0"/>
            <w:vAlign w:val="center"/>
          </w:tcPr>
          <w:p w14:paraId="5FBE782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交货 时间</w:t>
            </w:r>
          </w:p>
        </w:tc>
      </w:tr>
      <w:tr w14:paraId="3F9E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14:paraId="5826397B">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1365" w:type="dxa"/>
            <w:noWrap w:val="0"/>
            <w:vAlign w:val="top"/>
          </w:tcPr>
          <w:p w14:paraId="7BB94024">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29" w:type="dxa"/>
            <w:noWrap w:val="0"/>
            <w:vAlign w:val="top"/>
          </w:tcPr>
          <w:p w14:paraId="59A59A2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653457F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7CB0C0B5">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7B8CE4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6482DD4">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1113253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6147F7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938" w:type="dxa"/>
            <w:noWrap w:val="0"/>
            <w:vAlign w:val="top"/>
          </w:tcPr>
          <w:p w14:paraId="2A1325A1">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r>
      <w:tr w14:paraId="338D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14:paraId="750C16A2">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1365" w:type="dxa"/>
            <w:noWrap w:val="0"/>
            <w:vAlign w:val="top"/>
          </w:tcPr>
          <w:p w14:paraId="2A164B80">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29" w:type="dxa"/>
            <w:noWrap w:val="0"/>
            <w:vAlign w:val="top"/>
          </w:tcPr>
          <w:p w14:paraId="3B1055C5">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1874AA10">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6DAAFB4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77BB0CD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7BA72FF1">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19FD4EA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2BEB9F6">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938" w:type="dxa"/>
            <w:noWrap w:val="0"/>
            <w:vAlign w:val="top"/>
          </w:tcPr>
          <w:p w14:paraId="7A0E12E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r>
    </w:tbl>
    <w:p w14:paraId="14AC7AC6">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2、合同总价和支付方式</w:t>
      </w:r>
    </w:p>
    <w:p w14:paraId="767861C1">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2.1合同总价</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：总价为人民币（大写）：</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，即RMB￥</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元，该合同总金额是设计、设备制造、包装、仓储、运输、安装及验收合格之前及保修期与备品备件发生的所有含税费用。本合同执行期间合同总金额不变。</w:t>
      </w:r>
    </w:p>
    <w:p w14:paraId="10ACF749">
      <w:pPr>
        <w:spacing w:line="560" w:lineRule="exact"/>
        <w:jc w:val="left"/>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2.2支付方式：</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合同签定后，支付合同价</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30%为预付款；项目完成验收，支付合同总额65%；项目结算完成，支付合同总额5%；质保期三年，三年内出现质量问题，需在24小时内响应，并72小时内到场解决。</w:t>
      </w:r>
    </w:p>
    <w:p w14:paraId="10BCC44B">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 乙方开户银行：</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；乙方账号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32A46965">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3、合同组成</w:t>
      </w:r>
    </w:p>
    <w:p w14:paraId="1C8DC52F">
      <w:pPr>
        <w:keepNext w:val="0"/>
        <w:keepLines w:val="0"/>
        <w:pageBreakBefore w:val="0"/>
        <w:kinsoku/>
        <w:wordWrap/>
        <w:overflowPunct/>
        <w:topLinePunct w:val="0"/>
        <w:autoSpaceDE/>
        <w:autoSpaceDN/>
        <w:bidi w:val="0"/>
        <w:spacing w:line="400" w:lineRule="exact"/>
        <w:ind w:left="630" w:leftChars="3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详细价格、技术说明及其它有关合同设备的特定信息由合同附件说明。所有附件及本项目的招投标文件、会议纪要、协议等均为本合同不可分割之一部分。</w:t>
      </w:r>
    </w:p>
    <w:p w14:paraId="4C04AAA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4、技术要求</w:t>
      </w:r>
    </w:p>
    <w:p w14:paraId="0A8D5E6D">
      <w:pPr>
        <w:keepNext w:val="0"/>
        <w:keepLines w:val="0"/>
        <w:pageBreakBefore w:val="0"/>
        <w:kinsoku/>
        <w:wordWrap/>
        <w:overflowPunct/>
        <w:topLinePunct w:val="0"/>
        <w:autoSpaceDE/>
        <w:autoSpaceDN/>
        <w:bidi w:val="0"/>
        <w:spacing w:line="400" w:lineRule="exact"/>
        <w:ind w:left="630" w:hanging="720" w:hangingChars="3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乙方所提供设备，必须符合国家有关规范和环保要求及甲方的技术要求，并提供设备的出厂测试报告。</w:t>
      </w:r>
    </w:p>
    <w:p w14:paraId="21744B90">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5、合同设备包装、交货、安装、调试及验收</w:t>
      </w:r>
    </w:p>
    <w:p w14:paraId="7B2673D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5.1 合同设备的包装：</w:t>
      </w:r>
    </w:p>
    <w:p w14:paraId="6E2217C4">
      <w:pPr>
        <w:keepNext w:val="0"/>
        <w:keepLines w:val="0"/>
        <w:pageBreakBefore w:val="0"/>
        <w:kinsoku/>
        <w:wordWrap/>
        <w:overflowPunct/>
        <w:topLinePunct w:val="0"/>
        <w:autoSpaceDE/>
        <w:autoSpaceDN/>
        <w:bidi w:val="0"/>
        <w:spacing w:line="400" w:lineRule="exact"/>
        <w:ind w:left="785" w:leftChars="37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设备的包装均应有良好的防湿、防锈、防潮、防雨、防腐及防碰撞的措施。凡由于包装不良造成的损失和由此产生的费用均由乙方承担。</w:t>
      </w:r>
    </w:p>
    <w:p w14:paraId="42B044C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 合同设备的交货：</w:t>
      </w:r>
    </w:p>
    <w:p w14:paraId="184A9719">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5.2.1 乙方交货时间：合同签订后</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天交货。</w:t>
      </w:r>
    </w:p>
    <w:p w14:paraId="49CA04C5">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5.2.2 乙方交货地点：</w:t>
      </w:r>
      <w:r>
        <w:rPr>
          <w:rFonts w:hint="eastAsia" w:asciiTheme="minorEastAsia" w:hAnsiTheme="minorEastAsia" w:eastAsiaTheme="minorEastAsia" w:cstheme="minorEastAsia"/>
          <w:sz w:val="24"/>
          <w:szCs w:val="24"/>
        </w:rPr>
        <w:t>各设备使用方</w:t>
      </w:r>
      <w:r>
        <w:rPr>
          <w:rFonts w:hint="eastAsia" w:asciiTheme="minorEastAsia" w:hAnsiTheme="minorEastAsia" w:eastAsiaTheme="minorEastAsia" w:cstheme="minorEastAsia"/>
          <w:color w:val="000000"/>
          <w:sz w:val="24"/>
          <w:szCs w:val="24"/>
        </w:rPr>
        <w:t>。</w:t>
      </w:r>
    </w:p>
    <w:p w14:paraId="541CD2C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  设备的验收：</w:t>
      </w:r>
    </w:p>
    <w:p w14:paraId="3F689AC2">
      <w:pPr>
        <w:keepNext w:val="0"/>
        <w:keepLines w:val="0"/>
        <w:pageBreakBefore w:val="0"/>
        <w:kinsoku/>
        <w:wordWrap/>
        <w:overflowPunct/>
        <w:topLinePunct w:val="0"/>
        <w:autoSpaceDE/>
        <w:autoSpaceDN/>
        <w:bidi w:val="0"/>
        <w:spacing w:line="400" w:lineRule="exact"/>
        <w:ind w:left="782" w:leftChars="200" w:right="-420" w:rightChars="-200" w:hanging="362" w:hangingChars="151"/>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5.3.1中标</w:t>
      </w:r>
      <w:r>
        <w:rPr>
          <w:rFonts w:hint="eastAsia" w:asciiTheme="minorEastAsia" w:hAnsiTheme="minorEastAsia" w:eastAsiaTheme="minorEastAsia" w:cstheme="minorEastAsia"/>
          <w:color w:val="000000"/>
          <w:sz w:val="24"/>
          <w:szCs w:val="24"/>
        </w:rPr>
        <w:t>设备安装调试，试运行一个月后组织验收，如中标设备在试运行期间出现故障，则应相应延长试</w:t>
      </w:r>
    </w:p>
    <w:p w14:paraId="6FCE933E">
      <w:pPr>
        <w:keepNext w:val="0"/>
        <w:keepLines w:val="0"/>
        <w:pageBreakBefore w:val="0"/>
        <w:kinsoku/>
        <w:wordWrap/>
        <w:overflowPunct/>
        <w:topLinePunct w:val="0"/>
        <w:autoSpaceDE/>
        <w:autoSpaceDN/>
        <w:bidi w:val="0"/>
        <w:spacing w:line="400" w:lineRule="exact"/>
        <w:ind w:left="735" w:leftChars="350" w:right="-420" w:rightChars="-200"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运行时间,</w:t>
      </w:r>
      <w:r>
        <w:rPr>
          <w:rFonts w:hint="eastAsia" w:asciiTheme="minorEastAsia" w:hAnsiTheme="minorEastAsia" w:eastAsiaTheme="minorEastAsia" w:cstheme="minorEastAsia"/>
          <w:sz w:val="24"/>
          <w:szCs w:val="24"/>
        </w:rPr>
        <w:t>验收应在甲乙双方共同参加下进行。</w:t>
      </w:r>
    </w:p>
    <w:p w14:paraId="085E832F">
      <w:pPr>
        <w:keepNext w:val="0"/>
        <w:keepLines w:val="0"/>
        <w:pageBreakBefore w:val="0"/>
        <w:kinsoku/>
        <w:wordWrap/>
        <w:overflowPunct/>
        <w:topLinePunct w:val="0"/>
        <w:autoSpaceDE/>
        <w:autoSpaceDN/>
        <w:bidi w:val="0"/>
        <w:spacing w:line="400" w:lineRule="exact"/>
        <w:ind w:left="1020" w:leftChars="200" w:right="-420" w:righ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5.3.2 验收按国家有关的规定、规范进行。验收时如</w:t>
      </w:r>
      <w:r>
        <w:rPr>
          <w:rFonts w:hint="eastAsia" w:asciiTheme="minorEastAsia" w:hAnsiTheme="minorEastAsia" w:eastAsiaTheme="minorEastAsia" w:cstheme="minorEastAsia"/>
          <w:color w:val="000000"/>
          <w:sz w:val="24"/>
          <w:szCs w:val="24"/>
        </w:rPr>
        <w:t>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2D7CFF74">
      <w:pPr>
        <w:keepNext w:val="0"/>
        <w:keepLines w:val="0"/>
        <w:pageBreakBefore w:val="0"/>
        <w:kinsoku/>
        <w:wordWrap/>
        <w:overflowPunct/>
        <w:topLinePunct w:val="0"/>
        <w:autoSpaceDE/>
        <w:autoSpaceDN/>
        <w:bidi w:val="0"/>
        <w:spacing w:line="400" w:lineRule="exact"/>
        <w:ind w:left="1023" w:leftChars="190" w:hanging="624" w:hangingChars="26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5.3.3 如果合同设备运输过程中因事故造成货物短缺、损坏，乙方应及时安排换装，以保证合同设备安装调试的成功完成。换货的相关费用由乙方承担。</w:t>
      </w:r>
    </w:p>
    <w:p w14:paraId="1E328F98">
      <w:pPr>
        <w:keepNext w:val="0"/>
        <w:keepLines w:val="0"/>
        <w:pageBreakBefore w:val="0"/>
        <w:kinsoku/>
        <w:wordWrap/>
        <w:overflowPunct/>
        <w:topLinePunct w:val="0"/>
        <w:autoSpaceDE/>
        <w:autoSpaceDN/>
        <w:bidi w:val="0"/>
        <w:spacing w:line="400" w:lineRule="exact"/>
        <w:ind w:left="684" w:leftChars="200" w:hanging="264" w:hangingChars="11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5.3.4 国内产品产品必须具备出厂合格证。</w:t>
      </w:r>
    </w:p>
    <w:p w14:paraId="7FC5E12D">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5.5  乙方保证合同项下提供的设备不侵犯任何第三方的专利、商标或版权。否则，乙方须承担对第三方的专利或版权的侵权责任并承担因此而发生的所有费用。</w:t>
      </w:r>
    </w:p>
    <w:p w14:paraId="1E64905D">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6、质量保证及售后服务</w:t>
      </w:r>
    </w:p>
    <w:p w14:paraId="71B6A7DB">
      <w:pPr>
        <w:keepNext w:val="0"/>
        <w:keepLines w:val="0"/>
        <w:pageBreakBefore w:val="0"/>
        <w:kinsoku/>
        <w:wordWrap/>
        <w:overflowPunct/>
        <w:topLinePunct w:val="0"/>
        <w:autoSpaceDE/>
        <w:autoSpaceDN/>
        <w:bidi w:val="0"/>
        <w:spacing w:line="400" w:lineRule="exact"/>
        <w:ind w:left="420" w:left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 乙方保证合同设备是全新、未曾使用过的，其质量、规格及技术特征符合合同附件的要求。</w:t>
      </w:r>
    </w:p>
    <w:p w14:paraId="47B1F674">
      <w:pPr>
        <w:keepNext w:val="0"/>
        <w:keepLines w:val="0"/>
        <w:pageBreakBefore w:val="0"/>
        <w:kinsoku/>
        <w:wordWrap/>
        <w:overflowPunct/>
        <w:topLinePunct w:val="0"/>
        <w:autoSpaceDE/>
        <w:autoSpaceDN/>
        <w:bidi w:val="0"/>
        <w:spacing w:line="400" w:lineRule="exact"/>
        <w:ind w:left="420" w:left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6.2 合同设备保质保用期按生产厂家的标准执行，但不得少于</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年（用户单位验收之日起计算）。</w:t>
      </w:r>
    </w:p>
    <w:p w14:paraId="195E9227">
      <w:pPr>
        <w:keepNext w:val="0"/>
        <w:keepLines w:val="0"/>
        <w:pageBreakBefore w:val="0"/>
        <w:kinsoku/>
        <w:wordWrap/>
        <w:overflowPunct/>
        <w:topLinePunct w:val="0"/>
        <w:autoSpaceDE/>
        <w:autoSpaceDN/>
        <w:bidi w:val="0"/>
        <w:spacing w:line="400" w:lineRule="exact"/>
        <w:ind w:left="840" w:leftChars="4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保质保用期内非甲方的人为原因而出现产品质量及安装问题，由乙方负责包修、包换或包退，并承担因此而产生的一切费用。乙方应在收到甲方通知后24小时内派员到现场维修。</w:t>
      </w:r>
    </w:p>
    <w:p w14:paraId="1628DAC0">
      <w:pPr>
        <w:keepNext w:val="0"/>
        <w:keepLines w:val="0"/>
        <w:pageBreakBefore w:val="0"/>
        <w:kinsoku/>
        <w:wordWrap/>
        <w:overflowPunct/>
        <w:topLinePunct w:val="0"/>
        <w:autoSpaceDE/>
        <w:autoSpaceDN/>
        <w:bidi w:val="0"/>
        <w:spacing w:line="400" w:lineRule="exact"/>
        <w:ind w:firstLine="960" w:firstLineChars="4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下列情况乙方不负责免费保修：</w:t>
      </w:r>
    </w:p>
    <w:p w14:paraId="2EDB5E76">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1）甲方不按照乙方提供的正确使用方法而引致设备故障损坏；</w:t>
      </w:r>
    </w:p>
    <w:p w14:paraId="04DC85AD">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2）甲方擅自改装设备；</w:t>
      </w:r>
    </w:p>
    <w:p w14:paraId="11C8FDB2">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3）各种人为因素或天灾等外来因素造成的损坏。</w:t>
      </w:r>
    </w:p>
    <w:p w14:paraId="496B4376">
      <w:pPr>
        <w:keepNext w:val="0"/>
        <w:keepLines w:val="0"/>
        <w:pageBreakBefore w:val="0"/>
        <w:kinsoku/>
        <w:wordWrap/>
        <w:overflowPunct/>
        <w:topLinePunct w:val="0"/>
        <w:autoSpaceDE/>
        <w:autoSpaceDN/>
        <w:bidi w:val="0"/>
        <w:spacing w:line="400" w:lineRule="exact"/>
        <w:ind w:left="795" w:leftChars="150" w:hanging="480" w:hanging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6.3 因设备的质量问题而发生争议，由省级质检部门进行质量鉴定。设备符合质量标准的，鉴定费用由甲方承担；设备不符合质量标准的，鉴定费用由乙方承担。</w:t>
      </w:r>
    </w:p>
    <w:p w14:paraId="372E59C0">
      <w:pPr>
        <w:keepNext w:val="0"/>
        <w:keepLines w:val="0"/>
        <w:pageBreakBefore w:val="0"/>
        <w:kinsoku/>
        <w:wordWrap/>
        <w:overflowPunct/>
        <w:topLinePunct w:val="0"/>
        <w:autoSpaceDE/>
        <w:autoSpaceDN/>
        <w:bidi w:val="0"/>
        <w:spacing w:line="400" w:lineRule="exact"/>
        <w:ind w:left="795" w:leftChars="150" w:hanging="480" w:hanging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6.4 乙方为甲方提供操作及维护培训，主要内容为设备的基本结构、性能、主要部件的构造及原理，日常使用操作、保养与管理，常见故障的排除，紧急情况的处理等，培训地点主要在设备安装现场或按甲乙双方协商安排。</w:t>
      </w:r>
    </w:p>
    <w:p w14:paraId="0405AB5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7、技术服务</w:t>
      </w:r>
    </w:p>
    <w:p w14:paraId="360CE2C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7.1 乙方应派员到甲方指定地点配合工作。</w:t>
      </w:r>
    </w:p>
    <w:p w14:paraId="27DCF4D1">
      <w:pPr>
        <w:keepNext w:val="0"/>
        <w:keepLines w:val="0"/>
        <w:pageBreakBefore w:val="0"/>
        <w:kinsoku/>
        <w:wordWrap/>
        <w:overflowPunct/>
        <w:topLinePunct w:val="0"/>
        <w:autoSpaceDE/>
        <w:autoSpaceDN/>
        <w:bidi w:val="0"/>
        <w:spacing w:line="400" w:lineRule="exact"/>
        <w:ind w:left="900" w:leftChars="200" w:hanging="480" w:hanging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7.2 乙方按甲方提供的合同执行进度计划，再配合甲方及有关单位，做好合同执行进度上的配合工作。</w:t>
      </w:r>
    </w:p>
    <w:p w14:paraId="24B7E2D7">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8、不可抗力</w:t>
      </w:r>
    </w:p>
    <w:p w14:paraId="3FC02A55">
      <w:pPr>
        <w:keepNext w:val="0"/>
        <w:keepLines w:val="0"/>
        <w:pageBreakBefore w:val="0"/>
        <w:kinsoku/>
        <w:wordWrap/>
        <w:overflowPunct/>
        <w:topLinePunct w:val="0"/>
        <w:autoSpaceDE/>
        <w:autoSpaceDN/>
        <w:bidi w:val="0"/>
        <w:spacing w:line="400" w:lineRule="exact"/>
        <w:ind w:right="-420" w:rightChars="-20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8.1  不可抗力指战争、严重火灾、洪水、台风、地震等或其它双方认定的不可抗力事件。</w:t>
      </w:r>
    </w:p>
    <w:p w14:paraId="0CF70A0A">
      <w:pPr>
        <w:keepNext w:val="0"/>
        <w:keepLines w:val="0"/>
        <w:pageBreakBefore w:val="0"/>
        <w:kinsoku/>
        <w:wordWrap/>
        <w:overflowPunct/>
        <w:topLinePunct w:val="0"/>
        <w:autoSpaceDE/>
        <w:autoSpaceDN/>
        <w:bidi w:val="0"/>
        <w:spacing w:line="400" w:lineRule="exact"/>
        <w:ind w:left="1020" w:leftChars="200" w:right="-609"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8.2  签约双方中任何一方由于不可抗力影响合同执行时，发生不可抗力一方应尽快将事故通知另一方。 在此情况下，乙方仍然有责任采取必要的措施加速供货，双方应通过友好协商尽快解决本合同的执行问题。</w:t>
      </w:r>
    </w:p>
    <w:p w14:paraId="7F9C5BD6">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9、索赔</w:t>
      </w:r>
    </w:p>
    <w:p w14:paraId="2807DE3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9.1 如有异议，甲方有权根据有关政府部门的检验结果向乙方提出索赔。</w:t>
      </w:r>
    </w:p>
    <w:p w14:paraId="3E6994AB">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9.2 在合同执行期间，如果乙方对甲方提出的索赔和差异负有责任，乙方应按照甲方同意的下列一种或多种方式解决索赔事宜：</w:t>
      </w:r>
    </w:p>
    <w:p w14:paraId="2979EFBB">
      <w:pPr>
        <w:keepNext w:val="0"/>
        <w:keepLines w:val="0"/>
        <w:pageBreakBefore w:val="0"/>
        <w:kinsoku/>
        <w:wordWrap/>
        <w:overflowPunct/>
        <w:topLinePunct w:val="0"/>
        <w:autoSpaceDE/>
        <w:autoSpaceDN/>
        <w:bidi w:val="0"/>
        <w:spacing w:line="400" w:lineRule="exact"/>
        <w:ind w:left="1389" w:leftChars="433" w:right="-399" w:rightChars="-190" w:hanging="480" w:hanging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1）乙方同意退货，并按合同规定的同种货币将货款退还给甲方，并承担由此发生的一切损失和费用。</w:t>
      </w:r>
    </w:p>
    <w:p w14:paraId="1F74883A">
      <w:pPr>
        <w:keepNext w:val="0"/>
        <w:keepLines w:val="0"/>
        <w:pageBreakBefore w:val="0"/>
        <w:kinsoku/>
        <w:wordWrap/>
        <w:overflowPunct/>
        <w:topLinePunct w:val="0"/>
        <w:autoSpaceDE/>
        <w:autoSpaceDN/>
        <w:bidi w:val="0"/>
        <w:spacing w:line="400" w:lineRule="exact"/>
        <w:ind w:firstLine="1080" w:firstLineChars="4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2）根据货物低劣程度、损坏程度以及甲方所遭受损失的数额甲乙双方商定降低货物的价格。</w:t>
      </w:r>
    </w:p>
    <w:p w14:paraId="65752805">
      <w:pPr>
        <w:keepNext w:val="0"/>
        <w:keepLines w:val="0"/>
        <w:pageBreakBefore w:val="0"/>
        <w:kinsoku/>
        <w:wordWrap/>
        <w:overflowPunct/>
        <w:topLinePunct w:val="0"/>
        <w:autoSpaceDE/>
        <w:autoSpaceDN/>
        <w:bidi w:val="0"/>
        <w:spacing w:line="400" w:lineRule="exact"/>
        <w:ind w:left="1303" w:leftChars="448" w:hanging="362" w:hangingChars="151"/>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3）用符合规格、质量和性能要求的新零件、部件或货物来更换有缺陷的部分或修补缺陷的部分，乙方应承担一切费用和风险并负有甲方所发生的一切直接费用。同时，相应延长质量保证期。</w:t>
      </w:r>
    </w:p>
    <w:p w14:paraId="10DD2A4A">
      <w:pPr>
        <w:keepNext w:val="0"/>
        <w:keepLines w:val="0"/>
        <w:pageBreakBefore w:val="0"/>
        <w:kinsoku/>
        <w:wordWrap/>
        <w:overflowPunct/>
        <w:topLinePunct w:val="0"/>
        <w:autoSpaceDE/>
        <w:autoSpaceDN/>
        <w:bidi w:val="0"/>
        <w:spacing w:line="400" w:lineRule="exact"/>
        <w:ind w:left="1058" w:leftChars="200" w:hanging="638" w:hangingChars="266"/>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9.3 如果在甲方发出索赔通知后</w:t>
      </w:r>
      <w:r>
        <w:rPr>
          <w:rFonts w:hint="eastAsia" w:asciiTheme="minorEastAsia" w:hAnsiTheme="minorEastAsia" w:eastAsiaTheme="minorEastAsia" w:cstheme="minorEastAsia"/>
          <w:color w:val="000000"/>
          <w:sz w:val="24"/>
          <w:szCs w:val="24"/>
          <w:shd w:val="clear" w:color="auto" w:fill="FFFFFF"/>
        </w:rPr>
        <w:t>30</w:t>
      </w:r>
      <w:r>
        <w:rPr>
          <w:rFonts w:hint="eastAsia" w:asciiTheme="minorEastAsia" w:hAnsiTheme="minorEastAsia" w:eastAsiaTheme="minorEastAsia" w:cstheme="minorEastAsia"/>
          <w:color w:val="000000"/>
          <w:sz w:val="24"/>
          <w:szCs w:val="24"/>
        </w:rPr>
        <w:t>天内，乙方未作答复，上述索赔应视为已被乙方接受。甲方将从合同款项中扣回索赔金额。如果这些金额不足以补偿索赔金额，甲方有权向乙方提出不足部分的补偿。</w:t>
      </w:r>
    </w:p>
    <w:p w14:paraId="38D77E2C">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10、违约与处罚</w:t>
      </w:r>
    </w:p>
    <w:p w14:paraId="0C4DCAB3">
      <w:pPr>
        <w:keepNext w:val="0"/>
        <w:keepLines w:val="0"/>
        <w:pageBreakBefore w:val="0"/>
        <w:kinsoku/>
        <w:wordWrap/>
        <w:overflowPunct/>
        <w:topLinePunct w:val="0"/>
        <w:autoSpaceDE/>
        <w:autoSpaceDN/>
        <w:bidi w:val="0"/>
        <w:spacing w:line="400" w:lineRule="exact"/>
        <w:ind w:left="1017" w:leftChars="200" w:hanging="597" w:hangingChars="249"/>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10.1 甲方应依合同规定时间内，向乙方支付货款，每拖延一天乙方可向甲方加收合同金额的</w:t>
      </w:r>
      <w:r>
        <w:rPr>
          <w:rFonts w:hint="eastAsia" w:asciiTheme="minorEastAsia" w:hAnsiTheme="minorEastAsia" w:eastAsiaTheme="minorEastAsia" w:cstheme="minorEastAsia"/>
          <w:color w:val="000000"/>
          <w:sz w:val="24"/>
          <w:szCs w:val="24"/>
          <w:shd w:val="clear" w:color="auto" w:fill="FFFFFF"/>
        </w:rPr>
        <w:t>3‰</w:t>
      </w:r>
      <w:r>
        <w:rPr>
          <w:rFonts w:hint="eastAsia" w:asciiTheme="minorEastAsia" w:hAnsiTheme="minorEastAsia" w:eastAsiaTheme="minorEastAsia" w:cstheme="minorEastAsia"/>
          <w:color w:val="000000"/>
          <w:sz w:val="24"/>
          <w:szCs w:val="24"/>
        </w:rPr>
        <w:t>的违约金。</w:t>
      </w:r>
    </w:p>
    <w:p w14:paraId="76770036">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10.2 乙方未能按时交货，每拖延一天，须向甲方支付合同金额的</w:t>
      </w:r>
      <w:r>
        <w:rPr>
          <w:rFonts w:hint="eastAsia" w:asciiTheme="minorEastAsia" w:hAnsiTheme="minorEastAsia" w:eastAsiaTheme="minorEastAsia" w:cstheme="minorEastAsia"/>
          <w:color w:val="000000"/>
          <w:sz w:val="24"/>
          <w:szCs w:val="24"/>
          <w:shd w:val="clear" w:color="auto" w:fill="FFFFFF"/>
        </w:rPr>
        <w:t>3‰</w:t>
      </w:r>
      <w:r>
        <w:rPr>
          <w:rFonts w:hint="eastAsia" w:asciiTheme="minorEastAsia" w:hAnsiTheme="minorEastAsia" w:eastAsiaTheme="minorEastAsia" w:cstheme="minorEastAsia"/>
          <w:color w:val="000000"/>
          <w:sz w:val="24"/>
          <w:szCs w:val="24"/>
        </w:rPr>
        <w:t>的违约金，此部份金额从乙方履约保证金中扣除，不足部份，甲方有权向乙方提出追偿。</w:t>
      </w:r>
    </w:p>
    <w:p w14:paraId="06B0423D">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10.3 乙方交付的货物不符合合同规定的，甲方有权拒收，乙方向甲方支付合同金额的</w:t>
      </w:r>
      <w:r>
        <w:rPr>
          <w:rFonts w:hint="eastAsia" w:asciiTheme="minorEastAsia" w:hAnsiTheme="minorEastAsia" w:eastAsiaTheme="minorEastAsia" w:cstheme="minorEastAsia"/>
          <w:color w:val="000000"/>
          <w:sz w:val="24"/>
          <w:szCs w:val="24"/>
          <w:shd w:val="clear" w:color="auto" w:fill="FFFFFF"/>
        </w:rPr>
        <w:t>5%</w:t>
      </w:r>
      <w:r>
        <w:rPr>
          <w:rFonts w:hint="eastAsia" w:asciiTheme="minorEastAsia" w:hAnsiTheme="minorEastAsia" w:eastAsiaTheme="minorEastAsia" w:cstheme="minorEastAsia"/>
          <w:color w:val="000000"/>
          <w:sz w:val="24"/>
          <w:szCs w:val="24"/>
        </w:rPr>
        <w:t>的违约金，此部份金额从乙方履约保证金中扣除。</w:t>
      </w:r>
    </w:p>
    <w:p w14:paraId="009C501A">
      <w:pPr>
        <w:keepNext w:val="0"/>
        <w:keepLines w:val="0"/>
        <w:pageBreakBefore w:val="0"/>
        <w:kinsoku/>
        <w:wordWrap/>
        <w:overflowPunct/>
        <w:topLinePunct w:val="0"/>
        <w:autoSpaceDE/>
        <w:autoSpaceDN/>
        <w:bidi w:val="0"/>
        <w:spacing w:line="400" w:lineRule="exact"/>
        <w:ind w:left="660" w:leftChars="200" w:hanging="240" w:hanging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10.4 甲方无正当理由拒收货物的，甲方向乙方支付合同金额的</w:t>
      </w:r>
      <w:r>
        <w:rPr>
          <w:rFonts w:hint="eastAsia" w:asciiTheme="minorEastAsia" w:hAnsiTheme="minorEastAsia" w:eastAsiaTheme="minorEastAsia" w:cstheme="minorEastAsia"/>
          <w:color w:val="000000"/>
          <w:sz w:val="24"/>
          <w:szCs w:val="24"/>
          <w:shd w:val="clear" w:color="auto" w:fill="FFFFFF"/>
        </w:rPr>
        <w:t>5%</w:t>
      </w:r>
      <w:r>
        <w:rPr>
          <w:rFonts w:hint="eastAsia" w:asciiTheme="minorEastAsia" w:hAnsiTheme="minorEastAsia" w:eastAsiaTheme="minorEastAsia" w:cstheme="minorEastAsia"/>
          <w:color w:val="000000"/>
          <w:sz w:val="24"/>
          <w:szCs w:val="24"/>
        </w:rPr>
        <w:t>的违约金。</w:t>
      </w:r>
    </w:p>
    <w:p w14:paraId="55163433">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10.5 乙方未能交付货物，则须向甲方支付合同采购金额</w:t>
      </w:r>
      <w:r>
        <w:rPr>
          <w:rFonts w:hint="eastAsia" w:asciiTheme="minorEastAsia" w:hAnsiTheme="minorEastAsia" w:eastAsiaTheme="minorEastAsia" w:cstheme="minorEastAsia"/>
          <w:color w:val="000000"/>
          <w:sz w:val="24"/>
          <w:szCs w:val="24"/>
          <w:shd w:val="clear" w:color="auto" w:fill="FFFFFF"/>
        </w:rPr>
        <w:t>5%</w:t>
      </w:r>
      <w:r>
        <w:rPr>
          <w:rFonts w:hint="eastAsia" w:asciiTheme="minorEastAsia" w:hAnsiTheme="minorEastAsia" w:eastAsiaTheme="minorEastAsia" w:cstheme="minorEastAsia"/>
          <w:color w:val="000000"/>
          <w:sz w:val="24"/>
          <w:szCs w:val="24"/>
        </w:rPr>
        <w:t>的违约金，此部份金额从乙方履约保证金中扣除。在乙方未能交货</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天后，视为其不能交付货物，甲方将有权终止合同并提出进一步索赔的权力。</w:t>
      </w:r>
    </w:p>
    <w:p w14:paraId="6380C4E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11、合同终止</w:t>
      </w:r>
    </w:p>
    <w:p w14:paraId="49BD19CD">
      <w:pPr>
        <w:keepNext w:val="0"/>
        <w:keepLines w:val="0"/>
        <w:pageBreakBefore w:val="0"/>
        <w:kinsoku/>
        <w:wordWrap/>
        <w:overflowPunct/>
        <w:topLinePunct w:val="0"/>
        <w:autoSpaceDE/>
        <w:autoSpaceDN/>
        <w:bidi w:val="0"/>
        <w:spacing w:line="400" w:lineRule="exact"/>
        <w:ind w:left="420" w:leftChars="200" w:right="-84" w:rightChars="-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如果一方严重违反合同，并在收到对方违约通知书后在</w:t>
      </w:r>
      <w:r>
        <w:rPr>
          <w:rFonts w:hint="eastAsia" w:asciiTheme="minorEastAsia" w:hAnsiTheme="minorEastAsia" w:eastAsiaTheme="minorEastAsia" w:cstheme="minorEastAsia"/>
          <w:color w:val="000000"/>
          <w:sz w:val="24"/>
          <w:szCs w:val="24"/>
          <w:shd w:val="clear" w:color="auto" w:fill="FFFFFF"/>
        </w:rPr>
        <w:t>30</w:t>
      </w:r>
      <w:r>
        <w:rPr>
          <w:rFonts w:hint="eastAsia" w:asciiTheme="minorEastAsia" w:hAnsiTheme="minorEastAsia" w:eastAsiaTheme="minorEastAsia" w:cstheme="minorEastAsia"/>
          <w:color w:val="000000"/>
          <w:sz w:val="24"/>
          <w:szCs w:val="24"/>
        </w:rPr>
        <w:t>天内仍未能改正违约的，另一方可立即终止本合同。</w:t>
      </w:r>
    </w:p>
    <w:p w14:paraId="2EBA3D51">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12、法律诉讼</w:t>
      </w:r>
    </w:p>
    <w:p w14:paraId="6823B9D3">
      <w:pPr>
        <w:keepNext w:val="0"/>
        <w:keepLines w:val="0"/>
        <w:pageBreakBefore w:val="0"/>
        <w:kinsoku/>
        <w:wordWrap/>
        <w:overflowPunct/>
        <w:topLinePunct w:val="0"/>
        <w:autoSpaceDE/>
        <w:autoSpaceDN/>
        <w:bidi w:val="0"/>
        <w:spacing w:line="400" w:lineRule="exact"/>
        <w:ind w:left="630" w:leftChars="3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签约双方在履约中发生争执和分歧，双方应通过友好协商解决，若经协商不能达成协议时，则由合同签订地或招标人所在地人民法院提起诉讼。受理期间，双方应继续执行合同其余部分。</w:t>
      </w:r>
    </w:p>
    <w:p w14:paraId="2ADAD9DE">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13、其它</w:t>
      </w:r>
    </w:p>
    <w:p w14:paraId="4697751F">
      <w:pPr>
        <w:keepNext w:val="0"/>
        <w:keepLines w:val="0"/>
        <w:pageBreakBefore w:val="0"/>
        <w:kinsoku/>
        <w:wordWrap/>
        <w:overflowPunct/>
        <w:topLinePunct w:val="0"/>
        <w:autoSpaceDE/>
        <w:autoSpaceDN/>
        <w:bidi w:val="0"/>
        <w:spacing w:line="400" w:lineRule="exact"/>
        <w:ind w:left="1125" w:leftChars="25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13.1 本合同正本四份，具有同等法律效力，甲、乙双方各执一份，财政局一份，采购代理机构一份。合同自签字之日起即时生效。</w:t>
      </w:r>
    </w:p>
    <w:p w14:paraId="1B436713">
      <w:pPr>
        <w:keepNext w:val="0"/>
        <w:keepLines w:val="0"/>
        <w:pageBreakBefore w:val="0"/>
        <w:kinsoku/>
        <w:wordWrap/>
        <w:overflowPunct/>
        <w:topLinePunct w:val="0"/>
        <w:autoSpaceDE/>
        <w:autoSpaceDN/>
        <w:bidi w:val="0"/>
        <w:snapToGrid w:val="0"/>
        <w:spacing w:line="400" w:lineRule="exact"/>
        <w:ind w:firstLine="600" w:firstLine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13.2下列文件是本合同的一部分，并与本合同一起阅读和解释</w:t>
      </w:r>
    </w:p>
    <w:p w14:paraId="0896C047">
      <w:pPr>
        <w:keepNext w:val="0"/>
        <w:keepLines w:val="0"/>
        <w:pageBreakBefore w:val="0"/>
        <w:kinsoku/>
        <w:wordWrap/>
        <w:overflowPunct/>
        <w:topLinePunct w:val="0"/>
        <w:autoSpaceDE/>
        <w:autoSpaceDN/>
        <w:bidi w:val="0"/>
        <w:snapToGrid w:val="0"/>
        <w:spacing w:line="400" w:lineRule="exact"/>
        <w:ind w:firstLine="1080" w:firstLineChars="4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13.2.1 中标人提交的投标函和投标一览表；</w:t>
      </w:r>
    </w:p>
    <w:p w14:paraId="01FB9769">
      <w:pPr>
        <w:keepNext w:val="0"/>
        <w:keepLines w:val="0"/>
        <w:pageBreakBefore w:val="0"/>
        <w:kinsoku/>
        <w:wordWrap/>
        <w:overflowPunct/>
        <w:topLinePunct w:val="0"/>
        <w:autoSpaceDE/>
        <w:autoSpaceDN/>
        <w:bidi w:val="0"/>
        <w:snapToGrid w:val="0"/>
        <w:spacing w:line="400" w:lineRule="exact"/>
        <w:ind w:firstLine="1056" w:firstLineChars="4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13.2.2 资格声明函；</w:t>
      </w:r>
    </w:p>
    <w:p w14:paraId="3AB1DD9F">
      <w:pPr>
        <w:keepNext w:val="0"/>
        <w:keepLines w:val="0"/>
        <w:pageBreakBefore w:val="0"/>
        <w:kinsoku/>
        <w:wordWrap/>
        <w:overflowPunct/>
        <w:topLinePunct w:val="0"/>
        <w:autoSpaceDE/>
        <w:autoSpaceDN/>
        <w:bidi w:val="0"/>
        <w:snapToGrid w:val="0"/>
        <w:spacing w:line="400" w:lineRule="exact"/>
        <w:ind w:firstLine="1056" w:firstLineChars="4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13.2.3 中标通知书；</w:t>
      </w:r>
    </w:p>
    <w:p w14:paraId="5BF1E022">
      <w:pPr>
        <w:keepNext w:val="0"/>
        <w:keepLines w:val="0"/>
        <w:pageBreakBefore w:val="0"/>
        <w:kinsoku/>
        <w:wordWrap/>
        <w:overflowPunct/>
        <w:topLinePunct w:val="0"/>
        <w:autoSpaceDE/>
        <w:autoSpaceDN/>
        <w:bidi w:val="0"/>
        <w:snapToGrid w:val="0"/>
        <w:spacing w:line="400" w:lineRule="exact"/>
        <w:ind w:firstLine="1058" w:firstLineChars="441"/>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13.2.4 其他相关投标文件。 </w:t>
      </w:r>
    </w:p>
    <w:p w14:paraId="1A1A6D6B">
      <w:pPr>
        <w:keepNext w:val="0"/>
        <w:keepLines w:val="0"/>
        <w:pageBreakBefore w:val="0"/>
        <w:kinsoku/>
        <w:wordWrap/>
        <w:overflowPunct/>
        <w:topLinePunct w:val="0"/>
        <w:autoSpaceDE/>
        <w:autoSpaceDN/>
        <w:bidi w:val="0"/>
        <w:spacing w:line="400" w:lineRule="exact"/>
        <w:ind w:firstLine="600" w:firstLine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13.3 本合同未尽事宜，由双方协商处理。</w:t>
      </w:r>
    </w:p>
    <w:p w14:paraId="721BA6BB">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p w14:paraId="686EBE3E">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                                                 乙方：</w:t>
      </w:r>
    </w:p>
    <w:p w14:paraId="76D6E536">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单位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公司</w:t>
      </w:r>
    </w:p>
    <w:p w14:paraId="6AD871A4">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签约代表：                                              签约代表：</w:t>
      </w:r>
    </w:p>
    <w:p w14:paraId="2976DBD6">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                                                  地址：</w:t>
      </w:r>
    </w:p>
    <w:p w14:paraId="4DFC5F71">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电话：　　　                                            电话：</w:t>
      </w:r>
    </w:p>
    <w:p w14:paraId="282BA54D">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传真：　　　                                            传真：</w:t>
      </w:r>
    </w:p>
    <w:p w14:paraId="6116599A">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签约日期：20</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            签约日期：20</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450F89EE">
      <w:pPr>
        <w:keepNext w:val="0"/>
        <w:keepLines w:val="0"/>
        <w:pageBreakBefore w:val="0"/>
        <w:kinsoku/>
        <w:wordWrap/>
        <w:overflowPunct/>
        <w:topLinePunct w:val="0"/>
        <w:autoSpaceDE/>
        <w:autoSpaceDN/>
        <w:bidi w:val="0"/>
        <w:adjustRightInd w:val="0"/>
        <w:snapToGrid w:val="0"/>
        <w:spacing w:line="400" w:lineRule="exact"/>
        <w:ind w:left="-359" w:leftChars="-171" w:right="-506" w:rightChars="-241"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735BFAFC">
      <w:pPr>
        <w:tabs>
          <w:tab w:val="left" w:pos="486"/>
        </w:tabs>
        <w:bidi w:val="0"/>
        <w:jc w:val="left"/>
        <w:rPr>
          <w:color w:val="auto"/>
          <w:lang w:val="en-US" w:eastAsia="zh-CN"/>
        </w:rPr>
        <w:sectPr>
          <w:footerReference r:id="rId4" w:type="default"/>
          <w:pgSz w:w="11906" w:h="16838"/>
          <w:pgMar w:top="1531" w:right="1531" w:bottom="1531" w:left="1531" w:header="851" w:footer="992" w:gutter="0"/>
          <w:pgNumType w:fmt="decimal" w:start="1"/>
          <w:cols w:space="720" w:num="1"/>
          <w:docGrid w:type="lines" w:linePitch="312" w:charSpace="0"/>
        </w:sectPr>
      </w:pPr>
    </w:p>
    <w:p w14:paraId="0D4A15B0">
      <w:pPr>
        <w:pStyle w:val="3"/>
        <w:numPr>
          <w:ilvl w:val="0"/>
          <w:numId w:val="0"/>
        </w:numPr>
        <w:ind w:firstLine="482" w:firstLineChars="200"/>
        <w:jc w:val="center"/>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新疆吐鲁番市应急救援队设备更新项目（结余资金）补充采购</w:t>
      </w:r>
    </w:p>
    <w:p w14:paraId="694CD4ED">
      <w:pPr>
        <w:pStyle w:val="3"/>
        <w:numPr>
          <w:ilvl w:val="0"/>
          <w:numId w:val="0"/>
        </w:numPr>
        <w:ind w:firstLine="482" w:firstLineChars="20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廉洁合同</w:t>
      </w:r>
    </w:p>
    <w:p w14:paraId="197D2B6C">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甲方：</w:t>
      </w:r>
      <w:r>
        <w:rPr>
          <w:rFonts w:hint="eastAsia" w:ascii="宋体" w:hAnsi="宋体" w:cs="宋体"/>
          <w:kern w:val="0"/>
          <w:sz w:val="24"/>
          <w:szCs w:val="24"/>
          <w:lang w:val="en-US" w:eastAsia="zh-CN"/>
        </w:rPr>
        <w:t>吐鲁番市应急救援队</w:t>
      </w:r>
    </w:p>
    <w:p w14:paraId="76F4F86F">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乙方： </w:t>
      </w:r>
    </w:p>
    <w:p w14:paraId="784AD36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项目名称：                        </w:t>
      </w:r>
    </w:p>
    <w:p w14:paraId="52CAA7FB">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中标金额：            元</w:t>
      </w:r>
    </w:p>
    <w:p w14:paraId="43C3746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为进一步加强中心行风建设，规范中心物资采购行为，有效防范商业贿赂行为，营造公平交易、诚实守信的采购环境，经甲、乙双方协商，同意签订本合同，并共同遵守：</w:t>
      </w:r>
    </w:p>
    <w:p w14:paraId="7E13CC2D">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一、甲乙双方按照《</w:t>
      </w:r>
      <w:r>
        <w:rPr>
          <w:rFonts w:hint="eastAsia" w:ascii="宋体" w:hAnsi="宋体" w:cs="宋体"/>
          <w:kern w:val="0"/>
          <w:sz w:val="24"/>
          <w:szCs w:val="24"/>
          <w:lang w:val="en-US" w:eastAsia="zh-CN"/>
        </w:rPr>
        <w:t>中华人民共和国民法典</w:t>
      </w:r>
      <w:r>
        <w:rPr>
          <w:rFonts w:hint="eastAsia" w:ascii="宋体" w:hAnsi="宋体" w:eastAsia="宋体" w:cs="宋体"/>
          <w:kern w:val="0"/>
          <w:sz w:val="24"/>
          <w:szCs w:val="24"/>
        </w:rPr>
        <w:t>》及物资采购合同约定采购工程建设、仪器设备、药品、疫苗、试剂耗材、生物制品、印刷、办公设备、办公用品、图书、后勤物资、服务等等各类物资。</w:t>
      </w:r>
    </w:p>
    <w:p w14:paraId="34B6307A">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二、甲方应当严格执行物资采购合同验收、入库制度对采购物资及发票进行查验，不得违反有关规定合同外采购、违价采购或从非规定渠道采购。</w:t>
      </w:r>
    </w:p>
    <w:p w14:paraId="6F9C6EB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CC322D0">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四、严禁甲方工作人员利用任何途径和方式，私自为乙方提供物资用量、底价等信息，或为乙方投标提供便利。</w:t>
      </w:r>
    </w:p>
    <w:p w14:paraId="2A365161">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五、乙方不得以回扣、宴请等方式影响甲方工作人员采购或使用物资的选择权，不得在学术活动中提供旅游、超标准支付食宿费用。</w:t>
      </w:r>
    </w:p>
    <w:p w14:paraId="78522AE3">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六、乙方指定作为销售代表洽谈业务。销售代表必须在工作时间到甲方指定地点联系商谈，不得到各科室推销产品，不得借故到甲方相关领导、部门负责人及相关工作人员家中访谈并提供任何好处费。</w:t>
      </w:r>
    </w:p>
    <w:p w14:paraId="420AEC38">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七、乙方如违反本合同，一经发现，甲方有权终止购销合同，并向有关部门报告。如乙方被列入商业贿赂不良记录，</w:t>
      </w:r>
      <w:r>
        <w:rPr>
          <w:rFonts w:hint="eastAsia" w:ascii="宋体" w:hAnsi="宋体" w:eastAsia="宋体" w:cs="宋体"/>
          <w:kern w:val="0"/>
          <w:sz w:val="24"/>
          <w:szCs w:val="24"/>
          <w:lang w:eastAsia="zh-CN"/>
        </w:rPr>
        <w:t>则严格按照</w:t>
      </w:r>
      <w:r>
        <w:rPr>
          <w:rFonts w:hint="eastAsia" w:ascii="宋体" w:hAnsi="宋体" w:eastAsia="宋体" w:cs="宋体"/>
          <w:kern w:val="0"/>
          <w:sz w:val="24"/>
          <w:szCs w:val="24"/>
        </w:rPr>
        <w:t>相关规定处理。</w:t>
      </w:r>
    </w:p>
    <w:p w14:paraId="2F37F3F4">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八、本合同作为中心物资购销合同的重要组成部分，与购销合同一并执行，具有同等的法律效力。</w:t>
      </w:r>
    </w:p>
    <w:p w14:paraId="5CEA8340">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九、本合同一式四份，甲、乙双方各执一份，甲方纪检监察部门执一份，并从签订之日起生效。</w:t>
      </w:r>
    </w:p>
    <w:p w14:paraId="14F79EEF">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p>
    <w:p w14:paraId="0C152189">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甲方申请部门负责人：            乙方（盖章）：</w:t>
      </w:r>
    </w:p>
    <w:p w14:paraId="63D8FE9D">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甲方采购部门负责人：            法定代表人（负责人）： </w:t>
      </w:r>
    </w:p>
    <w:p w14:paraId="15AB139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Style w:val="29"/>
          <w:rFonts w:hint="eastAsia" w:ascii="宋体" w:hAnsi="宋体" w:eastAsia="宋体" w:cs="宋体"/>
          <w:b/>
          <w:bCs/>
          <w:color w:val="FF0000"/>
          <w:w w:val="90"/>
          <w:sz w:val="36"/>
          <w:szCs w:val="36"/>
          <w:u w:val="none"/>
          <w:lang w:val="en-US" w:eastAsia="zh-CN"/>
        </w:rPr>
      </w:pPr>
      <w:r>
        <w:rPr>
          <w:rFonts w:hint="eastAsia" w:ascii="宋体" w:hAnsi="宋体" w:eastAsia="宋体" w:cs="宋体"/>
          <w:kern w:val="0"/>
          <w:sz w:val="24"/>
          <w:szCs w:val="24"/>
        </w:rPr>
        <w:t>甲方纪检监察室签章：             经办人签名：</w:t>
      </w:r>
    </w:p>
    <w:p w14:paraId="51BEF839">
      <w:pPr>
        <w:pStyle w:val="2"/>
        <w:pageBreakBefore w:val="0"/>
        <w:kinsoku/>
        <w:wordWrap/>
        <w:overflowPunct/>
        <w:topLinePunct w:val="0"/>
        <w:bidi w:val="0"/>
        <w:spacing w:beforeAutospacing="0" w:after="0" w:afterAutospacing="0" w:line="400" w:lineRule="exact"/>
        <w:jc w:val="center"/>
        <w:rPr>
          <w:rStyle w:val="29"/>
          <w:rFonts w:hint="eastAsia" w:ascii="宋体" w:hAnsi="宋体" w:eastAsia="宋体" w:cs="宋体"/>
          <w:b/>
          <w:bCs/>
          <w:color w:val="FF0000"/>
          <w:w w:val="90"/>
          <w:sz w:val="36"/>
          <w:szCs w:val="36"/>
          <w:u w:val="none"/>
          <w:lang w:val="en-US" w:eastAsia="zh-CN"/>
        </w:rPr>
      </w:pPr>
    </w:p>
    <w:p w14:paraId="74C52796">
      <w:pPr>
        <w:pStyle w:val="2"/>
        <w:pageBreakBefore w:val="0"/>
        <w:numPr>
          <w:ilvl w:val="0"/>
          <w:numId w:val="2"/>
        </w:numPr>
        <w:kinsoku/>
        <w:wordWrap/>
        <w:overflowPunct/>
        <w:topLinePunct w:val="0"/>
        <w:bidi w:val="0"/>
        <w:spacing w:beforeAutospacing="0" w:after="0" w:afterAutospacing="0" w:line="400" w:lineRule="exact"/>
        <w:jc w:val="center"/>
        <w:rPr>
          <w:rStyle w:val="29"/>
          <w:rFonts w:hint="eastAsia" w:ascii="宋体" w:hAnsi="宋体" w:eastAsia="宋体" w:cs="宋体"/>
          <w:b/>
          <w:bCs/>
          <w:color w:val="auto"/>
          <w:w w:val="90"/>
          <w:sz w:val="36"/>
          <w:szCs w:val="36"/>
          <w:u w:val="none"/>
          <w:lang w:eastAsia="zh-Hans"/>
        </w:rPr>
      </w:pPr>
      <w:r>
        <w:rPr>
          <w:rStyle w:val="29"/>
          <w:rFonts w:hint="eastAsia" w:ascii="宋体" w:hAnsi="宋体" w:eastAsia="宋体" w:cs="宋体"/>
          <w:b/>
          <w:bCs/>
          <w:color w:val="auto"/>
          <w:w w:val="90"/>
          <w:sz w:val="36"/>
          <w:szCs w:val="36"/>
          <w:u w:val="none"/>
        </w:rPr>
        <w:t xml:space="preserve"> </w:t>
      </w:r>
      <w:r>
        <w:rPr>
          <w:rStyle w:val="29"/>
          <w:rFonts w:hint="eastAsia" w:ascii="宋体" w:hAnsi="宋体" w:eastAsia="宋体" w:cs="宋体"/>
          <w:b/>
          <w:bCs/>
          <w:color w:val="auto"/>
          <w:w w:val="90"/>
          <w:sz w:val="36"/>
          <w:szCs w:val="36"/>
          <w:u w:val="none"/>
          <w:lang w:eastAsia="zh-Hans"/>
        </w:rPr>
        <w:t>采购需求</w:t>
      </w:r>
      <w:bookmarkStart w:id="4" w:name="_Toc1579209951"/>
      <w:bookmarkEnd w:id="4"/>
    </w:p>
    <w:p w14:paraId="276F461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1.</w:t>
      </w:r>
      <w:r>
        <w:rPr>
          <w:rFonts w:hint="eastAsia" w:asciiTheme="minorEastAsia" w:hAnsiTheme="minorEastAsia" w:eastAsiaTheme="minorEastAsia" w:cstheme="minorEastAsia"/>
          <w:b/>
          <w:bCs/>
          <w:sz w:val="21"/>
          <w:szCs w:val="21"/>
          <w:lang w:val="en-US" w:eastAsia="zh-CN"/>
        </w:rPr>
        <w:t>本安型灭火机器人</w:t>
      </w:r>
      <w:r>
        <w:rPr>
          <w:rFonts w:hint="eastAsia" w:asciiTheme="minorEastAsia" w:hAnsiTheme="minorEastAsia" w:cstheme="minorEastAsia"/>
          <w:b/>
          <w:bCs/>
          <w:sz w:val="21"/>
          <w:szCs w:val="21"/>
          <w:lang w:val="en-US" w:eastAsia="zh-CN"/>
        </w:rPr>
        <w:t>1</w:t>
      </w:r>
      <w:r>
        <w:rPr>
          <w:rFonts w:hint="eastAsia" w:asciiTheme="minorEastAsia" w:hAnsiTheme="minorEastAsia" w:eastAsiaTheme="minorEastAsia" w:cstheme="minorEastAsia"/>
          <w:b/>
          <w:bCs/>
          <w:sz w:val="21"/>
          <w:szCs w:val="21"/>
          <w:lang w:val="en-US" w:eastAsia="zh-CN"/>
        </w:rPr>
        <w:t>台</w:t>
      </w:r>
    </w:p>
    <w:p w14:paraId="34AFD96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主要功能：需具备危险场所超前侦测或灭火、搬运功能，具有一定爬坡和连续工作能力。用于在高温、有毒气体等极端环境下进入火场，对火源进行精准打击，有效控制火势的扩散。</w:t>
      </w:r>
      <w:r>
        <w:rPr>
          <w:rFonts w:hint="eastAsia" w:asciiTheme="minorEastAsia" w:hAnsiTheme="minorEastAsia" w:eastAsiaTheme="minorEastAsia" w:cstheme="minorEastAsia"/>
          <w:b/>
          <w:bCs/>
          <w:sz w:val="21"/>
          <w:szCs w:val="21"/>
          <w:vertAlign w:val="baseline"/>
          <w:lang w:val="en-US" w:eastAsia="zh-CN"/>
        </w:rPr>
        <w:t>采用本质安全防爆设计，满足现场防爆使用要求。</w:t>
      </w:r>
    </w:p>
    <w:p w14:paraId="24205B3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主要参数： </w:t>
      </w:r>
    </w:p>
    <w:p w14:paraId="56DD23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1.爬坡角度≥38°； </w:t>
      </w:r>
    </w:p>
    <w:p w14:paraId="50C81F7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2.行走速度：≥1.5m/s； </w:t>
      </w:r>
    </w:p>
    <w:p w14:paraId="63CA545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3.远程控制与实时智能预警距离≥200m。</w:t>
      </w:r>
    </w:p>
    <w:p w14:paraId="4023454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4.车体带有避障功能，当前端遇到障碍物时可规避碰撞； </w:t>
      </w:r>
    </w:p>
    <w:p w14:paraId="1E1DBFE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5.水炮能够旋转和俯仰，全方位灭火；带有喷淋头，可以在温度较高场所进行自降温，以保证车体正常运行； </w:t>
      </w:r>
    </w:p>
    <w:p w14:paraId="2FFA211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6.动力：≥3Kw*2； </w:t>
      </w:r>
    </w:p>
    <w:p w14:paraId="10642FE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7.越障：≥600mm； </w:t>
      </w:r>
    </w:p>
    <w:p w14:paraId="5B1BB16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8.爬坡：≥38°； </w:t>
      </w:r>
    </w:p>
    <w:p w14:paraId="576EA70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9.减震：≥12 个独立避震器； </w:t>
      </w:r>
    </w:p>
    <w:p w14:paraId="1FA8790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10.续航能力：≥2h； </w:t>
      </w:r>
    </w:p>
    <w:p w14:paraId="6E80EA0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11.外形尺寸（长*宽*高mm）：1400*840*1250～2000*1100*1250 </w:t>
      </w:r>
    </w:p>
    <w:p w14:paraId="5323FCB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12.离地间隙：≥150mm； </w:t>
      </w:r>
    </w:p>
    <w:p w14:paraId="0DA25A1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13.自重：700kg～1200kg； </w:t>
      </w:r>
    </w:p>
    <w:p w14:paraId="33B88EA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14.电池类型：可充电防爆电池、容量：≥60AH； </w:t>
      </w:r>
    </w:p>
    <w:p w14:paraId="6A224CD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15.灭火水炮参数：额定工作压力：≥1Mpa；水炮水平旋转角度：≥-75°—75 °, 俯仰角度：0～90°；所用电动电源：≥DC 24V。水炮射程：≥80m； </w:t>
      </w:r>
    </w:p>
    <w:p w14:paraId="1B92CDA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16.需具备≥6 种气体的探测功能，气体种类为：CH4、O2、CO、H2S、CO2、SO2；（须提供产品检测报告）； </w:t>
      </w:r>
    </w:p>
    <w:p w14:paraId="6D0ABA3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17.摄像头参数：图像分辨率:≥1080P，具备照明功能； </w:t>
      </w:r>
    </w:p>
    <w:p w14:paraId="0AD2D8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19.报警方式：声光报警；</w:t>
      </w:r>
    </w:p>
    <w:p w14:paraId="1816343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20.直行跑偏量：≤2%； </w:t>
      </w:r>
    </w:p>
    <w:p w14:paraId="614F38C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21.最大牵引力≥8000N； </w:t>
      </w:r>
    </w:p>
    <w:p w14:paraId="06D9DF4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22.提供省级及以上权威检测机构出具的检测报告，提供安标证书、防爆证书。</w:t>
      </w:r>
    </w:p>
    <w:p w14:paraId="31486D0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vertAlign w:val="baseline"/>
          <w:lang w:val="en-US" w:eastAsia="zh-CN"/>
        </w:rPr>
        <w:t>2.</w:t>
      </w:r>
      <w:r>
        <w:rPr>
          <w:rFonts w:hint="eastAsia" w:asciiTheme="minorEastAsia" w:hAnsiTheme="minorEastAsia" w:eastAsiaTheme="minorEastAsia" w:cstheme="minorEastAsia"/>
          <w:b/>
          <w:bCs/>
          <w:sz w:val="21"/>
          <w:szCs w:val="21"/>
          <w:vertAlign w:val="baseline"/>
          <w:lang w:val="en-US" w:eastAsia="zh-CN"/>
        </w:rPr>
        <w:t>多功能破拆机器人</w:t>
      </w:r>
      <w:r>
        <w:rPr>
          <w:rFonts w:hint="eastAsia" w:asciiTheme="minorEastAsia" w:hAnsiTheme="minorEastAsia" w:cstheme="minorEastAsia"/>
          <w:b/>
          <w:bCs/>
          <w:sz w:val="21"/>
          <w:szCs w:val="21"/>
          <w:lang w:val="en-US" w:eastAsia="zh-CN"/>
        </w:rPr>
        <w:t>1</w:t>
      </w:r>
      <w:r>
        <w:rPr>
          <w:rFonts w:hint="eastAsia" w:asciiTheme="minorEastAsia" w:hAnsiTheme="minorEastAsia" w:eastAsiaTheme="minorEastAsia" w:cstheme="minorEastAsia"/>
          <w:b/>
          <w:bCs/>
          <w:sz w:val="21"/>
          <w:szCs w:val="21"/>
          <w:lang w:val="en-US" w:eastAsia="zh-CN"/>
        </w:rPr>
        <w:t>台</w:t>
      </w:r>
    </w:p>
    <w:p w14:paraId="5D61C89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（一）整机要求：</w:t>
      </w:r>
    </w:p>
    <w:p w14:paraId="6457CBA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1.尺寸（长*宽*高mm）：3100*880*1850～3700×1300×1900；</w:t>
      </w:r>
    </w:p>
    <w:p w14:paraId="4A5898C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2.整机重量（kg）：2100～3000；</w:t>
      </w:r>
    </w:p>
    <w:p w14:paraId="3E7080D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3.底盘结构：履带式底盘；</w:t>
      </w:r>
    </w:p>
    <w:p w14:paraId="3788662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4.动力：四冲程柴油发动机（≥27kw）；</w:t>
      </w:r>
    </w:p>
    <w:p w14:paraId="379DFBB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5.直线最大速度：≥0.8m/s；</w:t>
      </w:r>
    </w:p>
    <w:p w14:paraId="7E45681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6.爬坡能力：≥30°；</w:t>
      </w:r>
    </w:p>
    <w:p w14:paraId="3350BF3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7.遥控距离（m）：＞100；</w:t>
      </w:r>
    </w:p>
    <w:p w14:paraId="332014C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8.作业半径（m）：＞4；</w:t>
      </w:r>
    </w:p>
    <w:p w14:paraId="526163F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9.油箱容量（L）：＞30，</w:t>
      </w:r>
    </w:p>
    <w:p w14:paraId="57034D3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10.最小离地间隙（mm）：≥160，</w:t>
      </w:r>
    </w:p>
    <w:p w14:paraId="5FC4E24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11.越障能力（mm）：≥200，</w:t>
      </w:r>
    </w:p>
    <w:p w14:paraId="692D4EB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12.连续工作时间：≥4小时，</w:t>
      </w:r>
    </w:p>
    <w:p w14:paraId="01D55B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（二）破碎锤： </w:t>
      </w:r>
    </w:p>
    <w:p w14:paraId="41F0DC2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1.冲击力（焦耳）：≥250 ，</w:t>
      </w:r>
    </w:p>
    <w:p w14:paraId="492189C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2.冲击频率（次/min）：600～900 ，</w:t>
      </w:r>
    </w:p>
    <w:p w14:paraId="4FBB525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整机需配备抓斗、挖取（用于抓取、搬运、夹持和转移长大物品）、推铲（用于清障、车体定位作业时做固定支撑）功能；</w:t>
      </w:r>
    </w:p>
    <w:p w14:paraId="3C595D4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（三）电动绞盘： </w:t>
      </w:r>
    </w:p>
    <w:p w14:paraId="6D1B6BB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1.驱动方式：电驱 ，</w:t>
      </w:r>
    </w:p>
    <w:p w14:paraId="7394CC1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2.牵引力：≥10000N ，</w:t>
      </w:r>
    </w:p>
    <w:p w14:paraId="4DF8491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功能：拖拽被困车辆、设备，也用于自救牵引 ，</w:t>
      </w:r>
    </w:p>
    <w:p w14:paraId="0813B7A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（四）控制系统： </w:t>
      </w:r>
    </w:p>
    <w:p w14:paraId="0336F10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1.基本功能：一体化集成式无线控制装置，具备视频功能（可以实现对现场环境的远程监控）；</w:t>
      </w:r>
    </w:p>
    <w:p w14:paraId="589A872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2.防护等级:≥IP6；</w:t>
      </w:r>
    </w:p>
    <w:p w14:paraId="6547CE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3.照明灯警示灯控制功能：有；</w:t>
      </w:r>
    </w:p>
    <w:p w14:paraId="35D34B3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注：</w:t>
      </w:r>
      <w:r>
        <w:rPr>
          <w:rFonts w:hint="eastAsia" w:asciiTheme="minorEastAsia" w:hAnsiTheme="minorEastAsia" w:eastAsiaTheme="minorEastAsia" w:cstheme="minorEastAsia"/>
          <w:sz w:val="21"/>
          <w:szCs w:val="21"/>
          <w:vertAlign w:val="baseline"/>
          <w:lang w:val="en-US" w:eastAsia="zh-CN"/>
        </w:rPr>
        <w:t>提供省级及以上权威检测机构出具的检测报告，检测报告上需具有 CMA 或 CNAS 标志,加盖制造商公章予以证明。</w:t>
      </w:r>
    </w:p>
    <w:p w14:paraId="55E91FA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3.</w:t>
      </w:r>
      <w:r>
        <w:rPr>
          <w:rFonts w:hint="eastAsia" w:asciiTheme="minorEastAsia" w:hAnsiTheme="minorEastAsia" w:eastAsiaTheme="minorEastAsia" w:cstheme="minorEastAsia"/>
          <w:b/>
          <w:bCs/>
          <w:sz w:val="21"/>
          <w:szCs w:val="21"/>
          <w:vertAlign w:val="baseline"/>
          <w:lang w:val="en-US" w:eastAsia="zh-CN"/>
        </w:rPr>
        <w:t>正压氧气呼吸器</w:t>
      </w:r>
      <w:r>
        <w:rPr>
          <w:rFonts w:hint="eastAsia" w:asciiTheme="minorEastAsia" w:hAnsiTheme="minorEastAsia" w:cstheme="minorEastAsia"/>
          <w:b/>
          <w:bCs/>
          <w:sz w:val="21"/>
          <w:szCs w:val="21"/>
          <w:lang w:val="en-US" w:eastAsia="zh-CN"/>
        </w:rPr>
        <w:t>4</w:t>
      </w:r>
      <w:r>
        <w:rPr>
          <w:rFonts w:hint="eastAsia" w:asciiTheme="minorEastAsia" w:hAnsiTheme="minorEastAsia" w:eastAsiaTheme="minorEastAsia" w:cstheme="minorEastAsia"/>
          <w:b/>
          <w:bCs/>
          <w:sz w:val="21"/>
          <w:szCs w:val="21"/>
          <w:lang w:val="en-US" w:eastAsia="zh-CN"/>
        </w:rPr>
        <w:t>台</w:t>
      </w:r>
    </w:p>
    <w:p w14:paraId="366F27B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rPr>
        <w:t>用途：适用于有毒有害环境下的呼吸防护</w:t>
      </w:r>
      <w:r>
        <w:rPr>
          <w:rFonts w:hint="eastAsia" w:asciiTheme="minorEastAsia" w:hAnsiTheme="minorEastAsia" w:eastAsiaTheme="minorEastAsia" w:cstheme="minorEastAsia"/>
          <w:i w:val="0"/>
          <w:iCs w:val="0"/>
          <w:color w:val="auto"/>
          <w:sz w:val="21"/>
          <w:szCs w:val="21"/>
          <w:u w:val="none"/>
          <w:lang w:eastAsia="zh-CN"/>
        </w:rPr>
        <w:t>，</w:t>
      </w:r>
      <w:r>
        <w:rPr>
          <w:rFonts w:hint="eastAsia" w:asciiTheme="minorEastAsia" w:hAnsiTheme="minorEastAsia" w:eastAsiaTheme="minorEastAsia" w:cstheme="minorEastAsia"/>
          <w:i w:val="0"/>
          <w:iCs w:val="0"/>
          <w:color w:val="auto"/>
          <w:sz w:val="21"/>
          <w:szCs w:val="21"/>
          <w:u w:val="none"/>
        </w:rPr>
        <w:t>额定防护时间：≥2小时</w:t>
      </w:r>
      <w:r>
        <w:rPr>
          <w:rFonts w:hint="eastAsia" w:asciiTheme="minorEastAsia" w:hAnsiTheme="minorEastAsia" w:eastAsiaTheme="minorEastAsia" w:cstheme="minorEastAsia"/>
          <w:i w:val="0"/>
          <w:iCs w:val="0"/>
          <w:color w:val="auto"/>
          <w:sz w:val="21"/>
          <w:szCs w:val="21"/>
          <w:u w:val="none"/>
          <w:lang w:eastAsia="zh-CN"/>
        </w:rPr>
        <w:t>；</w:t>
      </w:r>
      <w:r>
        <w:rPr>
          <w:rFonts w:hint="eastAsia" w:asciiTheme="minorEastAsia" w:hAnsiTheme="minorEastAsia" w:eastAsiaTheme="minorEastAsia" w:cstheme="minorEastAsia"/>
          <w:i w:val="0"/>
          <w:iCs w:val="0"/>
          <w:color w:val="auto"/>
          <w:sz w:val="21"/>
          <w:szCs w:val="21"/>
          <w:u w:val="none"/>
        </w:rPr>
        <w:t>呼吸器为仓式呼吸器；气瓶额定压力：≥20MPa；氧气瓶容积：≥1.6L；氧气储量：≥320L；</w:t>
      </w:r>
      <w:r>
        <w:rPr>
          <w:rFonts w:hint="eastAsia" w:asciiTheme="minorEastAsia" w:hAnsiTheme="minorEastAsia" w:eastAsiaTheme="minorEastAsia" w:cstheme="minorEastAsia"/>
          <w:i w:val="0"/>
          <w:iCs w:val="0"/>
          <w:color w:val="auto"/>
          <w:sz w:val="21"/>
          <w:szCs w:val="21"/>
          <w:u w:val="none"/>
          <w:lang w:val="en-US" w:eastAsia="zh-CN"/>
        </w:rPr>
        <w:t>定量供氧量≥1.6L/min；自动补给供氧量≥80 L/min，手动补给供氧量≥80L/min（方案中有）；吸气温度≤35℃；</w:t>
      </w:r>
    </w:p>
    <w:p w14:paraId="65E9646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全面罩</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面镜透光率高，边框固定牢固，具备抗冲击。耐磨、耐老化、耐高低温特性，配备防雾功能（可通过防雾剂、涂层或组件实现），保证视野清晰。</w:t>
      </w:r>
    </w:p>
    <w:p w14:paraId="157C7A9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报警功能：具备电子报警功能，电子报警具有氧气压力、电量显示、余压、温度监测、防跌倒功能等基础功能。</w:t>
      </w:r>
    </w:p>
    <w:p w14:paraId="72BE3C2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防爆等级：电子报警器及整机需具备煤矿井下适用的防爆认证，满足煤矿 I 类防爆等级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必备资质文件：提供有效期内的煤矿安全标志证书（MA认证），覆盖呼吸器及核心配套部件</w:t>
      </w:r>
      <w:r>
        <w:rPr>
          <w:rFonts w:hint="eastAsia" w:asciiTheme="minorEastAsia" w:hAnsiTheme="minorEastAsia" w:eastAsiaTheme="minorEastAsia" w:cstheme="minorEastAsia"/>
          <w:sz w:val="21"/>
          <w:szCs w:val="21"/>
          <w:lang w:eastAsia="zh-CN"/>
        </w:rPr>
        <w:t>。</w:t>
      </w:r>
    </w:p>
    <w:p w14:paraId="23C95080">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sz w:val="21"/>
          <w:szCs w:val="21"/>
          <w:lang w:val="en-US" w:eastAsia="zh-CN"/>
        </w:rPr>
        <w:t>另配4个备用氧气瓶（与主机气瓶规格一致，符合国标要求）。</w:t>
      </w:r>
    </w:p>
    <w:p w14:paraId="057A749B">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小标宋简体" w:hAnsi="方正小标宋简体" w:eastAsia="方正小标宋简体" w:cs="方正小标宋简体"/>
          <w:sz w:val="44"/>
          <w:szCs w:val="44"/>
          <w:vertAlign w:val="baseline"/>
          <w:lang w:val="en-US" w:eastAsia="zh-CN"/>
        </w:rPr>
      </w:pPr>
    </w:p>
    <w:p w14:paraId="7ED791E3">
      <w:pPr>
        <w:pStyle w:val="2"/>
        <w:pageBreakBefore w:val="0"/>
        <w:kinsoku/>
        <w:wordWrap/>
        <w:overflowPunct/>
        <w:topLinePunct w:val="0"/>
        <w:bidi w:val="0"/>
        <w:spacing w:beforeAutospacing="0" w:after="0" w:afterAutospacing="0" w:line="400" w:lineRule="exact"/>
        <w:ind w:left="0" w:leftChars="0" w:firstLine="0" w:firstLineChars="0"/>
        <w:jc w:val="both"/>
        <w:rPr>
          <w:rStyle w:val="29"/>
          <w:rFonts w:hint="eastAsia" w:ascii="宋体" w:hAnsi="宋体" w:eastAsia="宋体" w:cs="宋体"/>
          <w:b/>
          <w:bCs/>
          <w:color w:val="auto"/>
          <w:w w:val="90"/>
          <w:sz w:val="36"/>
          <w:szCs w:val="36"/>
          <w:u w:val="none"/>
          <w:lang w:val="en-US" w:eastAsia="zh-CN"/>
        </w:rPr>
      </w:pPr>
    </w:p>
    <w:p w14:paraId="73320A73">
      <w:pPr>
        <w:pStyle w:val="2"/>
        <w:pageBreakBefore w:val="0"/>
        <w:kinsoku/>
        <w:wordWrap/>
        <w:overflowPunct/>
        <w:topLinePunct w:val="0"/>
        <w:bidi w:val="0"/>
        <w:spacing w:beforeAutospacing="0" w:after="0" w:afterAutospacing="0" w:line="400" w:lineRule="exact"/>
        <w:ind w:left="0" w:leftChars="0" w:firstLine="0" w:firstLineChars="0"/>
        <w:jc w:val="center"/>
        <w:rPr>
          <w:rStyle w:val="29"/>
          <w:rFonts w:hint="eastAsia" w:ascii="宋体" w:hAnsi="宋体" w:eastAsia="宋体" w:cs="宋体"/>
          <w:b/>
          <w:bCs/>
          <w:color w:val="auto"/>
          <w:w w:val="90"/>
          <w:sz w:val="36"/>
          <w:szCs w:val="36"/>
          <w:u w:val="none"/>
          <w:lang w:val="en-US" w:eastAsia="zh-CN"/>
        </w:rPr>
      </w:pPr>
      <w:r>
        <w:rPr>
          <w:rStyle w:val="29"/>
          <w:rFonts w:hint="eastAsia" w:ascii="宋体" w:hAnsi="宋体" w:eastAsia="宋体" w:cs="宋体"/>
          <w:b/>
          <w:bCs/>
          <w:color w:val="auto"/>
          <w:w w:val="90"/>
          <w:sz w:val="36"/>
          <w:szCs w:val="36"/>
          <w:u w:val="none"/>
          <w:lang w:val="en-US" w:eastAsia="zh-CN"/>
        </w:rPr>
        <w:t>第六章 评标方法及评标标准</w:t>
      </w:r>
    </w:p>
    <w:p w14:paraId="5AE16724">
      <w:pPr>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p>
    <w:p w14:paraId="3F018BF5">
      <w:pPr>
        <w:pStyle w:val="33"/>
        <w:pageBreakBefore w:val="0"/>
        <w:kinsoku/>
        <w:wordWrap/>
        <w:overflowPunct/>
        <w:topLinePunct w:val="0"/>
        <w:bidi w:val="0"/>
        <w:spacing w:beforeAutospacing="0" w:afterAutospacing="0" w:line="400" w:lineRule="exact"/>
        <w:ind w:firstLine="482" w:firstLineChars="200"/>
        <w:rPr>
          <w:rFonts w:hint="eastAsia" w:ascii="宋体" w:hAnsi="宋体" w:eastAsia="宋体" w:cs="宋体"/>
          <w:b/>
          <w:color w:val="000000"/>
          <w:kern w:val="2"/>
          <w:sz w:val="24"/>
          <w:szCs w:val="24"/>
          <w:highlight w:val="none"/>
        </w:rPr>
      </w:pPr>
      <w:r>
        <w:rPr>
          <w:rFonts w:hint="eastAsia" w:ascii="宋体" w:hAnsi="宋体" w:eastAsia="宋体" w:cs="宋体"/>
          <w:b/>
          <w:color w:val="000000"/>
          <w:kern w:val="2"/>
          <w:sz w:val="24"/>
          <w:szCs w:val="24"/>
          <w:highlight w:val="none"/>
          <w:lang w:val="en-US" w:eastAsia="zh-CN"/>
        </w:rPr>
        <w:t>一</w:t>
      </w:r>
      <w:r>
        <w:rPr>
          <w:rFonts w:hint="eastAsia" w:ascii="宋体" w:hAnsi="宋体" w:eastAsia="宋体" w:cs="宋体"/>
          <w:b/>
          <w:color w:val="000000"/>
          <w:kern w:val="2"/>
          <w:sz w:val="24"/>
          <w:szCs w:val="24"/>
          <w:highlight w:val="none"/>
        </w:rPr>
        <w:t>、评标办法</w:t>
      </w:r>
    </w:p>
    <w:p w14:paraId="01B7655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招标评标标准——综合评分法</w:t>
      </w:r>
    </w:p>
    <w:p w14:paraId="28CCDC7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本项目采用综合评分法（是指投标文件满足招标文件全部实质性要求，且按照评审因素的量化指标评审得分最高的投标人为中标候选人的评标方法），总分100分，其中商务技术部分占</w:t>
      </w:r>
      <w:r>
        <w:rPr>
          <w:rFonts w:hint="eastAsia" w:ascii="宋体" w:hAnsi="宋体" w:cs="宋体"/>
          <w:sz w:val="24"/>
          <w:szCs w:val="24"/>
          <w:lang w:val="en-US" w:eastAsia="zh-CN"/>
        </w:rPr>
        <w:t>7</w:t>
      </w:r>
      <w:r>
        <w:rPr>
          <w:rFonts w:hint="eastAsia" w:ascii="宋体" w:hAnsi="宋体" w:eastAsia="宋体" w:cs="宋体"/>
          <w:sz w:val="24"/>
          <w:szCs w:val="24"/>
        </w:rPr>
        <w:t>0分</w:t>
      </w:r>
      <w:r>
        <w:rPr>
          <w:rFonts w:hint="eastAsia" w:ascii="宋体" w:hAnsi="宋体" w:eastAsia="宋体" w:cs="宋体"/>
          <w:sz w:val="24"/>
          <w:szCs w:val="24"/>
          <w:lang w:eastAsia="zh-CN"/>
        </w:rPr>
        <w:t>、</w:t>
      </w:r>
      <w:r>
        <w:rPr>
          <w:rFonts w:hint="eastAsia" w:ascii="宋体" w:hAnsi="宋体" w:eastAsia="宋体" w:cs="宋体"/>
          <w:sz w:val="24"/>
          <w:szCs w:val="24"/>
        </w:rPr>
        <w:t>价格占</w:t>
      </w:r>
      <w:r>
        <w:rPr>
          <w:rFonts w:hint="eastAsia" w:ascii="宋体" w:hAnsi="宋体" w:cs="宋体"/>
          <w:sz w:val="24"/>
          <w:szCs w:val="24"/>
          <w:lang w:val="en-US" w:eastAsia="zh-CN"/>
        </w:rPr>
        <w:t>3</w:t>
      </w:r>
      <w:r>
        <w:rPr>
          <w:rFonts w:hint="eastAsia" w:ascii="宋体" w:hAnsi="宋体" w:eastAsia="宋体" w:cs="宋体"/>
          <w:sz w:val="24"/>
          <w:szCs w:val="24"/>
        </w:rPr>
        <w:t>0分。</w:t>
      </w:r>
    </w:p>
    <w:p w14:paraId="6DC71112">
      <w:pPr>
        <w:pageBreakBefore w:val="0"/>
        <w:numPr>
          <w:ilvl w:val="0"/>
          <w:numId w:val="3"/>
        </w:numPr>
        <w:kinsoku/>
        <w:wordWrap/>
        <w:overflowPunct/>
        <w:topLinePunct w:val="0"/>
        <w:bidi w:val="0"/>
        <w:spacing w:beforeAutospacing="0" w:afterAutospacing="0" w:line="400" w:lineRule="exact"/>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资格性审查</w:t>
      </w:r>
    </w:p>
    <w:p w14:paraId="607FC99A">
      <w:pPr>
        <w:pageBreakBefore w:val="0"/>
        <w:numPr>
          <w:ilvl w:val="0"/>
          <w:numId w:val="0"/>
        </w:numPr>
        <w:kinsoku/>
        <w:wordWrap/>
        <w:overflowPunct/>
        <w:topLinePunct w:val="0"/>
        <w:bidi w:val="0"/>
        <w:spacing w:beforeAutospacing="0" w:afterAutospacing="0"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开标结束后，采购人按照以下内容对各供应商的投标文件进行资格审查。资格审查不合格的，其投标无效。</w:t>
      </w:r>
    </w:p>
    <w:p w14:paraId="0ACA8A58">
      <w:pPr>
        <w:pageBreakBefore w:val="0"/>
        <w:kinsoku/>
        <w:wordWrap/>
        <w:overflowPunct/>
        <w:topLinePunct w:val="0"/>
        <w:bidi w:val="0"/>
        <w:adjustRightInd w:val="0"/>
        <w:snapToGrid w:val="0"/>
        <w:spacing w:beforeAutospacing="0" w:afterAutospacing="0" w:line="400" w:lineRule="exact"/>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资格审查表</w:t>
      </w:r>
    </w:p>
    <w:tbl>
      <w:tblPr>
        <w:tblStyle w:val="24"/>
        <w:tblpPr w:leftFromText="180" w:rightFromText="180" w:vertAnchor="text" w:horzAnchor="page" w:tblpXSpec="center" w:tblpY="286"/>
        <w:tblOverlap w:val="never"/>
        <w:tblW w:w="56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351"/>
        <w:gridCol w:w="4349"/>
        <w:gridCol w:w="2499"/>
        <w:gridCol w:w="766"/>
        <w:gridCol w:w="1182"/>
      </w:tblGrid>
      <w:tr w14:paraId="248B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vMerge w:val="restart"/>
            <w:shd w:val="clear" w:color="auto" w:fill="FFFFFF"/>
            <w:noWrap w:val="0"/>
            <w:vAlign w:val="center"/>
          </w:tcPr>
          <w:p w14:paraId="2188DC85">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类型</w:t>
            </w:r>
          </w:p>
        </w:tc>
        <w:tc>
          <w:tcPr>
            <w:tcW w:w="2143" w:type="pct"/>
            <w:vMerge w:val="restart"/>
            <w:shd w:val="clear" w:color="auto" w:fill="FFFFFF"/>
            <w:noWrap w:val="0"/>
            <w:vAlign w:val="center"/>
          </w:tcPr>
          <w:p w14:paraId="5D809BDF">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审查要求</w:t>
            </w:r>
          </w:p>
        </w:tc>
        <w:tc>
          <w:tcPr>
            <w:tcW w:w="1231" w:type="pct"/>
            <w:vMerge w:val="restart"/>
            <w:shd w:val="clear" w:color="auto" w:fill="FFFFFF"/>
            <w:noWrap w:val="0"/>
            <w:vAlign w:val="center"/>
          </w:tcPr>
          <w:p w14:paraId="268A1592">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要求说明</w:t>
            </w:r>
          </w:p>
        </w:tc>
        <w:tc>
          <w:tcPr>
            <w:tcW w:w="959" w:type="pct"/>
            <w:gridSpan w:val="2"/>
            <w:shd w:val="clear" w:color="auto" w:fill="FFFFFF"/>
            <w:noWrap w:val="0"/>
            <w:vAlign w:val="center"/>
          </w:tcPr>
          <w:p w14:paraId="09113830">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评审意见</w:t>
            </w:r>
          </w:p>
        </w:tc>
      </w:tr>
      <w:tr w14:paraId="1DD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65" w:type="pct"/>
            <w:vMerge w:val="continue"/>
            <w:shd w:val="clear" w:color="auto" w:fill="FFFDFA"/>
            <w:noWrap w:val="0"/>
            <w:vAlign w:val="center"/>
          </w:tcPr>
          <w:p w14:paraId="7F965972">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2143" w:type="pct"/>
            <w:vMerge w:val="continue"/>
            <w:shd w:val="clear" w:color="auto" w:fill="FFFDFA"/>
            <w:noWrap w:val="0"/>
            <w:vAlign w:val="center"/>
          </w:tcPr>
          <w:p w14:paraId="2770AC19">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1231" w:type="pct"/>
            <w:vMerge w:val="continue"/>
            <w:shd w:val="clear" w:color="auto" w:fill="FFFDFA"/>
            <w:noWrap w:val="0"/>
            <w:vAlign w:val="center"/>
          </w:tcPr>
          <w:p w14:paraId="6582504D">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377" w:type="pct"/>
            <w:shd w:val="clear" w:color="auto" w:fill="FFFDFA"/>
            <w:noWrap w:val="0"/>
            <w:vAlign w:val="center"/>
          </w:tcPr>
          <w:p w14:paraId="740EF794">
            <w:pPr>
              <w:pageBreakBefore w:val="0"/>
              <w:kinsoku/>
              <w:wordWrap/>
              <w:overflowPunct/>
              <w:topLinePunct w:val="0"/>
              <w:bidi w:val="0"/>
              <w:spacing w:beforeAutospacing="0" w:afterAutospacing="0" w:line="40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符合</w:t>
            </w:r>
          </w:p>
        </w:tc>
        <w:tc>
          <w:tcPr>
            <w:tcW w:w="582" w:type="pct"/>
            <w:shd w:val="clear" w:color="auto" w:fill="FFFDFA"/>
            <w:noWrap w:val="0"/>
            <w:vAlign w:val="center"/>
          </w:tcPr>
          <w:p w14:paraId="52CA3460">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不符合</w:t>
            </w:r>
          </w:p>
        </w:tc>
      </w:tr>
      <w:tr w14:paraId="3957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16C31BFB">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基本资质</w:t>
            </w:r>
          </w:p>
        </w:tc>
        <w:tc>
          <w:tcPr>
            <w:tcW w:w="2143" w:type="pct"/>
            <w:shd w:val="clear" w:color="auto" w:fill="FFFFFF"/>
            <w:noWrap w:val="0"/>
            <w:vAlign w:val="center"/>
          </w:tcPr>
          <w:p w14:paraId="4C10DB12">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满足《中华人民共和国政府采购法》第二十二条规定；</w:t>
            </w:r>
          </w:p>
        </w:tc>
        <w:tc>
          <w:tcPr>
            <w:tcW w:w="1231" w:type="pct"/>
            <w:shd w:val="clear" w:color="auto" w:fill="FFFFFF"/>
            <w:noWrap w:val="0"/>
            <w:vAlign w:val="center"/>
          </w:tcPr>
          <w:p w14:paraId="65405A01">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请根据要求上传营业执照等相关资料。</w:t>
            </w:r>
          </w:p>
        </w:tc>
        <w:tc>
          <w:tcPr>
            <w:tcW w:w="377" w:type="pct"/>
            <w:shd w:val="clear" w:color="auto" w:fill="FFFFFF"/>
            <w:noWrap w:val="0"/>
            <w:vAlign w:val="center"/>
          </w:tcPr>
          <w:p w14:paraId="0ED37E10">
            <w:pPr>
              <w:pStyle w:val="69"/>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6CC5194B">
            <w:pPr>
              <w:pStyle w:val="69"/>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05B8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5D10BA4D">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特定资质</w:t>
            </w:r>
          </w:p>
        </w:tc>
        <w:tc>
          <w:tcPr>
            <w:tcW w:w="2143" w:type="pct"/>
            <w:shd w:val="clear" w:color="auto" w:fill="FFFFFF"/>
            <w:noWrap w:val="0"/>
            <w:vAlign w:val="center"/>
          </w:tcPr>
          <w:p w14:paraId="2377A5F4">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p>
          <w:p w14:paraId="7E0D482E">
            <w:pPr>
              <w:pStyle w:val="69"/>
              <w:pageBreakBefore w:val="0"/>
              <w:kinsoku/>
              <w:wordWrap/>
              <w:overflowPunct/>
              <w:bidi w:val="0"/>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w:t>
            </w:r>
          </w:p>
          <w:p w14:paraId="621A5445">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p>
        </w:tc>
        <w:tc>
          <w:tcPr>
            <w:tcW w:w="1231" w:type="pct"/>
            <w:shd w:val="clear" w:color="auto" w:fill="FFFFFF"/>
            <w:noWrap w:val="0"/>
            <w:vAlign w:val="center"/>
          </w:tcPr>
          <w:p w14:paraId="1C8EB232">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请上传法定代表人证明书/法人授权委托书。</w:t>
            </w:r>
          </w:p>
        </w:tc>
        <w:tc>
          <w:tcPr>
            <w:tcW w:w="377" w:type="pct"/>
            <w:shd w:val="clear" w:color="auto" w:fill="FFFFFF"/>
            <w:noWrap w:val="0"/>
            <w:vAlign w:val="center"/>
          </w:tcPr>
          <w:p w14:paraId="1D22D27E">
            <w:pPr>
              <w:pStyle w:val="69"/>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7316E82C">
            <w:pPr>
              <w:pStyle w:val="69"/>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7243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665" w:type="pct"/>
            <w:shd w:val="clear" w:color="auto" w:fill="FFFFFF"/>
            <w:noWrap w:val="0"/>
            <w:vAlign w:val="center"/>
          </w:tcPr>
          <w:p w14:paraId="4904A503">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4349" w:type="dxa"/>
            <w:shd w:val="clear" w:color="auto" w:fill="FFFFFF"/>
            <w:noWrap w:val="0"/>
            <w:vAlign w:val="center"/>
          </w:tcPr>
          <w:p w14:paraId="2942218F">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投标保证金</w:t>
            </w:r>
          </w:p>
        </w:tc>
        <w:tc>
          <w:tcPr>
            <w:tcW w:w="2499" w:type="dxa"/>
            <w:shd w:val="clear" w:color="auto" w:fill="FFFFFF"/>
            <w:noWrap w:val="0"/>
            <w:vAlign w:val="center"/>
          </w:tcPr>
          <w:p w14:paraId="3DD3ECC8">
            <w:pPr>
              <w:pStyle w:val="69"/>
              <w:pageBreakBefore w:val="0"/>
              <w:kinsoku/>
              <w:wordWrap/>
              <w:overflowPunct/>
              <w:bidi w:val="0"/>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w:t>
            </w:r>
            <w:r>
              <w:rPr>
                <w:rFonts w:hint="eastAsia" w:ascii="宋体" w:hAnsi="宋体" w:eastAsia="宋体" w:cs="宋体"/>
                <w:color w:val="000000"/>
                <w:sz w:val="24"/>
                <w:szCs w:val="24"/>
                <w:highlight w:val="none"/>
              </w:rPr>
              <w:t>投标保证金</w:t>
            </w:r>
            <w:r>
              <w:rPr>
                <w:rFonts w:hint="eastAsia" w:ascii="宋体" w:hAnsi="宋体" w:cs="宋体"/>
                <w:color w:val="000000"/>
                <w:sz w:val="24"/>
                <w:szCs w:val="24"/>
                <w:highlight w:val="none"/>
                <w:lang w:val="en-US" w:eastAsia="zh-CN"/>
              </w:rPr>
              <w:t>打款凭证或</w:t>
            </w:r>
            <w:r>
              <w:rPr>
                <w:rFonts w:hint="eastAsia" w:ascii="宋体" w:hAnsi="宋体" w:eastAsia="宋体" w:cs="宋体"/>
                <w:kern w:val="2"/>
                <w:sz w:val="24"/>
                <w:szCs w:val="24"/>
                <w:lang w:val="en-US" w:eastAsia="zh-CN" w:bidi="ar-SA"/>
              </w:rPr>
              <w:t>保函，原件扫描件加盖企业公章</w:t>
            </w:r>
          </w:p>
        </w:tc>
        <w:tc>
          <w:tcPr>
            <w:tcW w:w="377" w:type="pct"/>
            <w:shd w:val="clear" w:color="auto" w:fill="FFFFFF"/>
            <w:noWrap w:val="0"/>
            <w:vAlign w:val="center"/>
          </w:tcPr>
          <w:p w14:paraId="68BE6A44">
            <w:pPr>
              <w:pStyle w:val="69"/>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38921F17">
            <w:pPr>
              <w:pStyle w:val="69"/>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07A9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1351" w:type="dxa"/>
            <w:shd w:val="clear" w:color="auto" w:fill="FFFFFF"/>
            <w:noWrap w:val="0"/>
            <w:vAlign w:val="center"/>
          </w:tcPr>
          <w:p w14:paraId="71C7D867">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采购政策</w:t>
            </w:r>
          </w:p>
        </w:tc>
        <w:tc>
          <w:tcPr>
            <w:tcW w:w="4349" w:type="dxa"/>
            <w:shd w:val="clear" w:color="auto" w:fill="FFFFFF"/>
            <w:noWrap w:val="0"/>
            <w:vAlign w:val="center"/>
          </w:tcPr>
          <w:p w14:paraId="6E7A9DA0">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专门面向中小企业</w:t>
            </w:r>
          </w:p>
        </w:tc>
        <w:tc>
          <w:tcPr>
            <w:tcW w:w="2499" w:type="dxa"/>
            <w:shd w:val="clear" w:color="auto" w:fill="FFFFFF"/>
            <w:noWrap w:val="0"/>
            <w:vAlign w:val="center"/>
          </w:tcPr>
          <w:p w14:paraId="690F3643">
            <w:pPr>
              <w:pStyle w:val="69"/>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请根据要求单独上传《中小企业声明函》。格式以采购文件要求为准。</w:t>
            </w:r>
          </w:p>
        </w:tc>
        <w:tc>
          <w:tcPr>
            <w:tcW w:w="766" w:type="dxa"/>
            <w:shd w:val="clear" w:color="auto" w:fill="FFFFFF"/>
            <w:noWrap w:val="0"/>
            <w:vAlign w:val="center"/>
          </w:tcPr>
          <w:p w14:paraId="57F5D398">
            <w:pPr>
              <w:pStyle w:val="69"/>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1182" w:type="dxa"/>
            <w:shd w:val="clear" w:color="auto" w:fill="FFFFFF"/>
            <w:noWrap w:val="0"/>
            <w:vAlign w:val="center"/>
          </w:tcPr>
          <w:p w14:paraId="7937A2F3">
            <w:pPr>
              <w:pStyle w:val="69"/>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bl>
    <w:p w14:paraId="269E492C">
      <w:pPr>
        <w:pageBreakBefore w:val="0"/>
        <w:kinsoku/>
        <w:wordWrap/>
        <w:overflowPunct/>
        <w:topLinePunct w:val="0"/>
        <w:bidi w:val="0"/>
        <w:adjustRightInd w:val="0"/>
        <w:snapToGrid w:val="0"/>
        <w:spacing w:beforeAutospacing="0" w:afterAutospacing="0" w:line="400" w:lineRule="exact"/>
        <w:ind w:firstLine="482" w:firstLineChars="200"/>
        <w:jc w:val="center"/>
        <w:rPr>
          <w:rFonts w:hint="eastAsia" w:ascii="宋体" w:hAnsi="宋体" w:cs="宋体"/>
          <w:b/>
          <w:sz w:val="24"/>
          <w:szCs w:val="24"/>
          <w:highlight w:val="none"/>
          <w:lang w:val="en-US" w:eastAsia="zh-CN"/>
        </w:rPr>
      </w:pPr>
    </w:p>
    <w:p w14:paraId="4E57DDAC">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注：投标人有一项未通过不得参与下阶段评审，视为废标。</w:t>
      </w:r>
    </w:p>
    <w:p w14:paraId="3946BD52">
      <w:pPr>
        <w:pageBreakBefore w:val="0"/>
        <w:numPr>
          <w:ilvl w:val="0"/>
          <w:numId w:val="3"/>
        </w:numPr>
        <w:kinsoku/>
        <w:wordWrap/>
        <w:overflowPunct/>
        <w:topLinePunct w:val="0"/>
        <w:bidi w:val="0"/>
        <w:spacing w:beforeAutospacing="0" w:afterAutospacing="0"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符合性审查</w:t>
      </w:r>
    </w:p>
    <w:p w14:paraId="20AF722B">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评标委员会对符合资格的供应商的投标文件进行符合性审查，以确定其是 否满足招标文件的实质性要求，是否存在重大偏离。重大偏离系指投标文件的 有效性、真实性、合同的供货范围、质量、性能和规格等内容在实质上与招标 文件形成了重大的不一致，而这种不一致可能限制了买方的权力和供应商的义 务，纠正或承认这些偏离将会对该供应商和其它供应商合理的竞争地位产生不 公正的影响。与招标文件有重大偏离的投标文件将被拒绝，投标无效。具体评审内容系指：</w:t>
      </w:r>
    </w:p>
    <w:p w14:paraId="529260E7">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1 投标文件组成不完整，主要内容未能按招标文件规定的内容、格式填写、装订；</w:t>
      </w:r>
    </w:p>
    <w:p w14:paraId="0E9788A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.2 投标文件的有效期不满足招标文件的规定；</w:t>
      </w:r>
    </w:p>
    <w:p w14:paraId="200916C0">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2.3 投标代表授权书未能由法定代表人签署并加盖公章；</w:t>
      </w:r>
    </w:p>
    <w:p w14:paraId="10B885E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2.4 投标文件没有按照规定在应由企业法人或法人授权代表在所有规定签章处逐一签署及加盖单位公章的；</w:t>
      </w:r>
    </w:p>
    <w:p w14:paraId="1AE9EBB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2.5 投标文件出现了两个或两个以上的报价；</w:t>
      </w:r>
    </w:p>
    <w:p w14:paraId="7CFE5302">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2.6 明显不符合招标文件关于对招标货物技术规格和标准的要求；</w:t>
      </w:r>
    </w:p>
    <w:p w14:paraId="10736D2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2.7 投标文件载明的招标项目交货期限超过招标文件规定的期限；</w:t>
      </w:r>
    </w:p>
    <w:p w14:paraId="4572AE5F">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2.8 投标文件含有采购人不能接受的附加条件；</w:t>
      </w:r>
    </w:p>
    <w:p w14:paraId="5FF1C74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2.9 不符合法律、法规和招标文件中规定的其他实质性要求。</w:t>
      </w:r>
    </w:p>
    <w:p w14:paraId="79AFFFC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w:t>
      </w:r>
      <w:r>
        <w:rPr>
          <w:rFonts w:hint="eastAsia" w:ascii="宋体" w:hAnsi="宋体" w:eastAsia="宋体" w:cs="宋体"/>
          <w:sz w:val="24"/>
          <w:szCs w:val="24"/>
        </w:rPr>
        <w:t>对通过符合性审查的投标文件，评标委员会将对其进行算术性修正。 算术性修正是指对投标文件报价出现前后不一致的进行校核，并对其算术上和运算上的差错给予修正。修正的原则如下：</w:t>
      </w:r>
    </w:p>
    <w:p w14:paraId="2A53517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2.10.1</w:t>
      </w:r>
      <w:r>
        <w:rPr>
          <w:rFonts w:hint="eastAsia" w:ascii="宋体" w:hAnsi="宋体" w:eastAsia="宋体" w:cs="宋体"/>
          <w:sz w:val="24"/>
          <w:szCs w:val="24"/>
        </w:rPr>
        <w:t xml:space="preserve"> 投标文件中开标一览表内容与投标文件中相应内容不一致的，以开标一览表为准；</w:t>
      </w:r>
    </w:p>
    <w:p w14:paraId="2C29EA5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2.10.2</w:t>
      </w:r>
      <w:r>
        <w:rPr>
          <w:rFonts w:hint="eastAsia" w:ascii="宋体" w:hAnsi="宋体" w:eastAsia="宋体" w:cs="宋体"/>
          <w:sz w:val="24"/>
          <w:szCs w:val="24"/>
        </w:rPr>
        <w:t>投标文件的大写金额和小写金额不一致的，以大写金额为准；</w:t>
      </w:r>
    </w:p>
    <w:p w14:paraId="718A60B2">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2.10.3</w:t>
      </w:r>
      <w:r>
        <w:rPr>
          <w:rFonts w:hint="eastAsia" w:ascii="宋体" w:hAnsi="宋体" w:eastAsia="宋体" w:cs="宋体"/>
          <w:sz w:val="24"/>
          <w:szCs w:val="24"/>
        </w:rPr>
        <w:t xml:space="preserve"> 单价金额小数点或者百分比有明显错位的，以开标一览表的总价为准，并修改单价；</w:t>
      </w:r>
    </w:p>
    <w:p w14:paraId="16CF46D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.4 总价金额与按单价汇总金额不一致的，以单价金额计算结果为准。</w:t>
      </w:r>
    </w:p>
    <w:p w14:paraId="2C2C841E">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.5 同时出现两种以上不一致的，按照上述规定的顺序修正。修正后的报价须供应商确认，如果供应商拒绝确认，其投标无效。</w:t>
      </w:r>
    </w:p>
    <w:p w14:paraId="7237007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.6 对不同文字文本投标文件的解释发生异议的，以中文文本为准。</w:t>
      </w:r>
    </w:p>
    <w:p w14:paraId="5328C9BB">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.7 评标委员会将拒绝被定为实质上非响应性的投标，供应商不能通过修正或撤销不符之处而使其投标成为响应性投标。</w:t>
      </w:r>
    </w:p>
    <w:p w14:paraId="2A06A73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.8 评标委员会将允许投标中有微小的不正规、不一致或不规则，而该微小之处不构成重大偏离。</w:t>
      </w:r>
    </w:p>
    <w:p w14:paraId="6717E17E">
      <w:pPr>
        <w:pStyle w:val="7"/>
        <w:pageBreakBefore w:val="0"/>
        <w:kinsoku/>
        <w:wordWrap/>
        <w:overflowPunct/>
        <w:topLinePunct w:val="0"/>
        <w:bidi w:val="0"/>
        <w:spacing w:beforeAutospacing="0" w:afterAutospacing="0" w:line="400" w:lineRule="exact"/>
        <w:jc w:val="center"/>
        <w:outlineLvl w:val="9"/>
        <w:rPr>
          <w:rFonts w:hint="eastAsia" w:ascii="宋体" w:hAnsi="宋体" w:eastAsia="宋体" w:cs="宋体"/>
          <w:bCs w:val="0"/>
          <w:sz w:val="24"/>
          <w:szCs w:val="24"/>
          <w:highlight w:val="none"/>
        </w:rPr>
      </w:pPr>
    </w:p>
    <w:p w14:paraId="0772056A">
      <w:pPr>
        <w:pStyle w:val="7"/>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bCs w:val="0"/>
          <w:sz w:val="24"/>
          <w:szCs w:val="24"/>
          <w:highlight w:val="none"/>
        </w:rPr>
        <w:t>符合性审查表</w:t>
      </w:r>
    </w:p>
    <w:tbl>
      <w:tblPr>
        <w:tblStyle w:val="24"/>
        <w:tblW w:w="8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5190"/>
        <w:gridCol w:w="964"/>
        <w:gridCol w:w="930"/>
        <w:gridCol w:w="1020"/>
      </w:tblGrid>
      <w:tr w14:paraId="16CD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3BC489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7DCAF4A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评审内容</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EF7106D">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DCB197">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0307FF">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p>
        </w:tc>
      </w:tr>
      <w:tr w14:paraId="0DCF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0FBA15E">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761AD851">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报价唯一或报价未高于设定的采购限价；</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628CB64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F4EC019">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CB8F8B9">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B7E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AB721C0">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4FD5A65D">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投标文件均按招标文件要求签署、签章的；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43260A2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C44473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2FDA47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7532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AEA5F25">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78474080">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投标有效期满足招标文件要求的；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4C3A8DA3">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D37BD1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EC36FE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17EE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5694B30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69FC1B79">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投标文件内容符合招标文件要求的;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5FD3C600">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61887F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18E72E">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A13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9A8686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1A2AE2CA">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投标文件中不含采购人不能接受的附加条件的；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383370C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C4E4520">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0D0C68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62BF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6977E6FD">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091A454E">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投标声明书有法定代表人签名，或委托人提供法定代表人授权委托书、填写项目齐全；</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17334EF8">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F540BD3">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2071B68">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59C4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4CAE78D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0B45301A">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投标文件的实质性内容使用中文表述、表述明确、无前后矛盾或者使用计量单位不符合招标文件要求的（经评标委员会认定并允许其当场更正的笔误除外）；</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691C6D42">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9199D5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AFD87AC">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F9F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9F919F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52D253C7">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投标文件的关键内容未出现字迹模糊、无法辨认的，或者投标文件中经修正的内容字迹模糊难以辩认或者修改处未按规定签署、盖章的；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025DC7A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4F9DE1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7127CF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2AD5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4F283A2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9</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1E2B8644">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未出现法律、法规和招标文件规定的其他无效情形；</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27348CF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72D303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A63B9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E6B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969" w:type="dxa"/>
            <w:gridSpan w:val="2"/>
            <w:tcBorders>
              <w:top w:val="single" w:color="000000" w:sz="4" w:space="0"/>
              <w:left w:val="single" w:color="000000" w:sz="4" w:space="0"/>
              <w:bottom w:val="single" w:color="000000" w:sz="4" w:space="0"/>
              <w:right w:val="single" w:color="000000" w:sz="4" w:space="0"/>
            </w:tcBorders>
            <w:noWrap w:val="0"/>
            <w:vAlign w:val="center"/>
          </w:tcPr>
          <w:p w14:paraId="0DC24DC1">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评审结果</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178BACA">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061D7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20AADF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2254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883" w:type="dxa"/>
            <w:gridSpan w:val="5"/>
            <w:tcBorders>
              <w:top w:val="single" w:color="000000" w:sz="4" w:space="0"/>
              <w:left w:val="single" w:color="000000" w:sz="4" w:space="0"/>
              <w:bottom w:val="single" w:color="000000" w:sz="4" w:space="0"/>
              <w:right w:val="single" w:color="000000" w:sz="4" w:space="0"/>
            </w:tcBorders>
            <w:noWrap w:val="0"/>
            <w:vAlign w:val="center"/>
          </w:tcPr>
          <w:p w14:paraId="79CED332">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注：符合性评审内容只有“通过”与“不通过”，“通过”打“√”，“不通过”打“╳”，只要有一项为“不通过”， 符合性评审结果为“不通过”，“不通过”的供货商将无资格进行后续</w:t>
            </w:r>
            <w:r>
              <w:rPr>
                <w:rFonts w:hint="eastAsia" w:ascii="宋体" w:hAnsi="宋体" w:cs="宋体"/>
                <w:i w:val="0"/>
                <w:iCs w:val="0"/>
                <w:color w:val="000000"/>
                <w:kern w:val="0"/>
                <w:sz w:val="24"/>
                <w:szCs w:val="24"/>
                <w:u w:val="none"/>
                <w:lang w:val="en-US" w:eastAsia="zh-CN" w:bidi="ar"/>
              </w:rPr>
              <w:t>评审</w:t>
            </w:r>
            <w:r>
              <w:rPr>
                <w:rFonts w:hint="eastAsia" w:ascii="宋体" w:hAnsi="宋体" w:eastAsia="宋体" w:cs="宋体"/>
                <w:i w:val="0"/>
                <w:iCs w:val="0"/>
                <w:color w:val="000000"/>
                <w:kern w:val="0"/>
                <w:sz w:val="24"/>
                <w:szCs w:val="24"/>
                <w:u w:val="none"/>
                <w:lang w:val="en-US" w:eastAsia="zh-CN" w:bidi="ar"/>
              </w:rPr>
              <w:t>。</w:t>
            </w:r>
          </w:p>
        </w:tc>
      </w:tr>
    </w:tbl>
    <w:p w14:paraId="28946320">
      <w:pPr>
        <w:pageBreakBefore w:val="0"/>
        <w:widowControl/>
        <w:kinsoku/>
        <w:wordWrap/>
        <w:overflowPunct/>
        <w:topLinePunct w:val="0"/>
        <w:bidi w:val="0"/>
        <w:spacing w:beforeAutospacing="0" w:afterAutospacing="0" w:line="400" w:lineRule="exact"/>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 xml:space="preserve"> 注：投标人有一项未通过不得参与下阶段评审，视为废标。</w:t>
      </w:r>
    </w:p>
    <w:p w14:paraId="4BFFEDD7">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070EA3D1">
      <w:pPr>
        <w:pageBreakBefore w:val="0"/>
        <w:kinsoku/>
        <w:wordWrap/>
        <w:overflowPunct/>
        <w:topLinePunct w:val="0"/>
        <w:bidi w:val="0"/>
        <w:spacing w:beforeAutospacing="0" w:afterAutospacing="0" w:line="400" w:lineRule="exact"/>
        <w:ind w:firstLine="480"/>
        <w:rPr>
          <w:rFonts w:hint="eastAsia" w:ascii="宋体" w:hAnsi="宋体" w:eastAsia="宋体" w:cs="宋体"/>
          <w:b/>
          <w:bCs/>
          <w:sz w:val="24"/>
          <w:szCs w:val="24"/>
        </w:rPr>
      </w:pPr>
      <w:r>
        <w:rPr>
          <w:rFonts w:hint="eastAsia" w:ascii="宋体" w:hAnsi="宋体" w:cs="宋体"/>
          <w:b/>
          <w:bCs/>
          <w:sz w:val="24"/>
          <w:szCs w:val="24"/>
          <w:lang w:val="en-US" w:eastAsia="zh-CN"/>
        </w:rPr>
        <w:t>3、</w:t>
      </w:r>
      <w:r>
        <w:rPr>
          <w:rFonts w:hint="eastAsia" w:ascii="宋体" w:hAnsi="宋体" w:eastAsia="宋体" w:cs="宋体"/>
          <w:b/>
          <w:bCs/>
          <w:sz w:val="24"/>
          <w:szCs w:val="24"/>
        </w:rPr>
        <w:t xml:space="preserve"> 详细评审</w:t>
      </w:r>
    </w:p>
    <w:p w14:paraId="48CEAA0F">
      <w:pPr>
        <w:pageBreakBefore w:val="0"/>
        <w:kinsoku/>
        <w:wordWrap/>
        <w:overflowPunct/>
        <w:topLinePunct w:val="0"/>
        <w:bidi w:val="0"/>
        <w:spacing w:beforeAutospacing="0" w:afterAutospacing="0" w:line="400" w:lineRule="exact"/>
        <w:ind w:firstLine="480"/>
        <w:rPr>
          <w:rFonts w:hint="eastAsia" w:ascii="宋体" w:hAnsi="宋体" w:cs="宋体"/>
          <w:sz w:val="24"/>
          <w:szCs w:val="24"/>
          <w:lang w:eastAsia="zh-CN"/>
        </w:rPr>
      </w:pPr>
      <w:r>
        <w:rPr>
          <w:rFonts w:hint="eastAsia" w:ascii="宋体" w:hAnsi="宋体" w:eastAsia="宋体" w:cs="宋体"/>
          <w:sz w:val="24"/>
          <w:szCs w:val="24"/>
        </w:rPr>
        <w:t>评标委员会对符合性审查合格的投标文件进行商务和技术评审，综合比较与评价。以投标文件能最大限度地满足招标文件中规定的各项评价标准为依据，独立地对各投标文件进行评审和打分</w:t>
      </w:r>
      <w:r>
        <w:rPr>
          <w:rFonts w:hint="eastAsia" w:ascii="宋体" w:hAnsi="宋体" w:cs="宋体"/>
          <w:sz w:val="24"/>
          <w:szCs w:val="24"/>
          <w:lang w:eastAsia="zh-CN"/>
        </w:rPr>
        <w:t>。</w:t>
      </w:r>
    </w:p>
    <w:p w14:paraId="564B3EDC">
      <w:pPr>
        <w:pStyle w:val="3"/>
        <w:spacing w:before="204" w:line="356" w:lineRule="auto"/>
        <w:ind w:left="41" w:right="187" w:firstLine="554"/>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3.1评标委员会将对下述评审因素进行量化，并根据评委会每个成员 对投标文件的评审和理解进行打分，满分为100 分。</w:t>
      </w:r>
      <w:r>
        <w:rPr>
          <w:rFonts w:hint="eastAsia" w:ascii="宋体" w:hAnsi="宋体" w:cs="宋体"/>
          <w:kern w:val="2"/>
          <w:sz w:val="24"/>
          <w:szCs w:val="24"/>
          <w:lang w:val="en-US" w:eastAsia="zh-CN" w:bidi="ar-SA"/>
        </w:rPr>
        <w:t>经济</w:t>
      </w:r>
      <w:r>
        <w:rPr>
          <w:rFonts w:hint="eastAsia" w:ascii="宋体" w:hAnsi="宋体" w:eastAsia="宋体" w:cs="宋体"/>
          <w:kern w:val="2"/>
          <w:sz w:val="24"/>
          <w:szCs w:val="24"/>
          <w:lang w:val="en-US" w:eastAsia="zh-CN" w:bidi="ar-SA"/>
        </w:rPr>
        <w:t>部分权重占 3</w:t>
      </w:r>
      <w:r>
        <w:rPr>
          <w:rFonts w:hint="eastAsia" w:ascii="宋体" w:hAnsi="宋体" w:cs="宋体"/>
          <w:kern w:val="2"/>
          <w:sz w:val="24"/>
          <w:szCs w:val="24"/>
          <w:lang w:val="en-US" w:eastAsia="zh-CN" w:bidi="ar-SA"/>
        </w:rPr>
        <w:t>0</w:t>
      </w:r>
      <w:r>
        <w:rPr>
          <w:rFonts w:hint="eastAsia" w:ascii="宋体" w:hAnsi="宋体" w:eastAsia="宋体" w:cs="宋体"/>
          <w:kern w:val="2"/>
          <w:sz w:val="24"/>
          <w:szCs w:val="24"/>
          <w:lang w:val="en-US" w:eastAsia="zh-CN" w:bidi="ar-SA"/>
        </w:rPr>
        <w:t>%；满分为</w:t>
      </w:r>
      <w:r>
        <w:rPr>
          <w:rFonts w:hint="eastAsia" w:ascii="宋体" w:hAnsi="宋体" w:cs="宋体"/>
          <w:kern w:val="2"/>
          <w:sz w:val="24"/>
          <w:szCs w:val="24"/>
          <w:lang w:val="en-US" w:eastAsia="zh-CN" w:bidi="ar-SA"/>
        </w:rPr>
        <w:t>30</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商务技术部分权重占</w:t>
      </w:r>
      <w:r>
        <w:rPr>
          <w:rFonts w:hint="eastAsia" w:ascii="宋体" w:hAnsi="宋体" w:cs="宋体"/>
          <w:kern w:val="2"/>
          <w:sz w:val="24"/>
          <w:szCs w:val="24"/>
          <w:lang w:val="en-US" w:eastAsia="zh-CN" w:bidi="ar-SA"/>
        </w:rPr>
        <w:t>70</w:t>
      </w:r>
      <w:r>
        <w:rPr>
          <w:rFonts w:hint="eastAsia" w:ascii="宋体" w:hAnsi="宋体" w:eastAsia="宋体" w:cs="宋体"/>
          <w:kern w:val="2"/>
          <w:sz w:val="24"/>
          <w:szCs w:val="24"/>
          <w:lang w:val="en-US" w:eastAsia="zh-CN" w:bidi="ar-SA"/>
        </w:rPr>
        <w:t>%，满分为</w:t>
      </w:r>
      <w:r>
        <w:rPr>
          <w:rFonts w:hint="eastAsia" w:ascii="宋体" w:hAnsi="宋体" w:cs="宋体"/>
          <w:kern w:val="2"/>
          <w:sz w:val="24"/>
          <w:szCs w:val="24"/>
          <w:lang w:val="en-US" w:eastAsia="zh-CN" w:bidi="ar-SA"/>
        </w:rPr>
        <w:t>70</w:t>
      </w:r>
      <w:r>
        <w:rPr>
          <w:rFonts w:hint="eastAsia" w:ascii="宋体" w:hAnsi="宋体" w:eastAsia="宋体" w:cs="宋体"/>
          <w:kern w:val="2"/>
          <w:sz w:val="24"/>
          <w:szCs w:val="24"/>
          <w:lang w:val="en-US" w:eastAsia="zh-CN" w:bidi="ar-SA"/>
        </w:rPr>
        <w:t>分。供应商两部分的分值相加，即为该供应商的综合评估分。</w:t>
      </w:r>
    </w:p>
    <w:p w14:paraId="561DE3C7">
      <w:pPr>
        <w:pStyle w:val="3"/>
        <w:spacing w:before="205" w:line="223" w:lineRule="auto"/>
        <w:ind w:left="4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具体分值见下表：</w:t>
      </w:r>
    </w:p>
    <w:p w14:paraId="00E3C1C9">
      <w:pPr>
        <w:rPr>
          <w:rFonts w:hint="eastAsia"/>
          <w:lang w:val="en-US" w:eastAsia="zh-CN"/>
        </w:rPr>
      </w:pPr>
    </w:p>
    <w:tbl>
      <w:tblPr>
        <w:tblStyle w:val="56"/>
        <w:tblpPr w:leftFromText="180" w:rightFromText="180" w:vertAnchor="text" w:horzAnchor="page" w:tblpX="1561" w:tblpY="391"/>
        <w:tblOverlap w:val="never"/>
        <w:tblW w:w="90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5"/>
        <w:gridCol w:w="1323"/>
        <w:gridCol w:w="5920"/>
        <w:gridCol w:w="680"/>
      </w:tblGrid>
      <w:tr w14:paraId="79935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115" w:type="dxa"/>
            <w:vAlign w:val="top"/>
          </w:tcPr>
          <w:p w14:paraId="63032E25">
            <w:pPr>
              <w:spacing w:before="261" w:line="184" w:lineRule="auto"/>
              <w:ind w:left="172"/>
              <w:rPr>
                <w:rFonts w:ascii="微软雅黑" w:hAnsi="微软雅黑" w:eastAsia="微软雅黑" w:cs="微软雅黑"/>
                <w:color w:val="000000" w:themeColor="text1"/>
                <w:sz w:val="22"/>
                <w:szCs w:val="22"/>
                <w14:textFill>
                  <w14:solidFill>
                    <w14:schemeClr w14:val="tx1"/>
                  </w14:solidFill>
                </w14:textFill>
              </w:rPr>
            </w:pPr>
            <w:r>
              <w:rPr>
                <w:rFonts w:ascii="微软雅黑" w:hAnsi="微软雅黑" w:eastAsia="微软雅黑" w:cs="微软雅黑"/>
                <w:color w:val="000000" w:themeColor="text1"/>
                <w:spacing w:val="-1"/>
                <w:sz w:val="22"/>
                <w:szCs w:val="22"/>
                <w14:textFill>
                  <w14:solidFill>
                    <w14:schemeClr w14:val="tx1"/>
                  </w14:solidFill>
                </w14:textFill>
              </w:rPr>
              <w:t>评分项目</w:t>
            </w:r>
          </w:p>
        </w:tc>
        <w:tc>
          <w:tcPr>
            <w:tcW w:w="1323" w:type="dxa"/>
            <w:vAlign w:val="top"/>
          </w:tcPr>
          <w:p w14:paraId="7AAF3EF6">
            <w:pPr>
              <w:spacing w:before="261" w:line="184" w:lineRule="auto"/>
              <w:ind w:left="287"/>
              <w:rPr>
                <w:rFonts w:ascii="微软雅黑" w:hAnsi="微软雅黑" w:eastAsia="微软雅黑" w:cs="微软雅黑"/>
                <w:color w:val="000000" w:themeColor="text1"/>
                <w:sz w:val="22"/>
                <w:szCs w:val="22"/>
                <w14:textFill>
                  <w14:solidFill>
                    <w14:schemeClr w14:val="tx1"/>
                  </w14:solidFill>
                </w14:textFill>
              </w:rPr>
            </w:pPr>
            <w:r>
              <w:rPr>
                <w:rFonts w:ascii="微软雅黑" w:hAnsi="微软雅黑" w:eastAsia="微软雅黑" w:cs="微软雅黑"/>
                <w:color w:val="000000" w:themeColor="text1"/>
                <w:spacing w:val="-1"/>
                <w:sz w:val="22"/>
                <w:szCs w:val="22"/>
                <w14:textFill>
                  <w14:solidFill>
                    <w14:schemeClr w14:val="tx1"/>
                  </w14:solidFill>
                </w14:textFill>
              </w:rPr>
              <w:t>评分因素</w:t>
            </w:r>
          </w:p>
        </w:tc>
        <w:tc>
          <w:tcPr>
            <w:tcW w:w="5920" w:type="dxa"/>
            <w:vAlign w:val="top"/>
          </w:tcPr>
          <w:p w14:paraId="1D81120F">
            <w:pPr>
              <w:spacing w:before="259" w:line="185" w:lineRule="auto"/>
              <w:ind w:left="2812"/>
              <w:rPr>
                <w:rFonts w:ascii="微软雅黑" w:hAnsi="微软雅黑" w:eastAsia="微软雅黑" w:cs="微软雅黑"/>
                <w:color w:val="000000" w:themeColor="text1"/>
                <w:sz w:val="22"/>
                <w:szCs w:val="22"/>
                <w14:textFill>
                  <w14:solidFill>
                    <w14:schemeClr w14:val="tx1"/>
                  </w14:solidFill>
                </w14:textFill>
              </w:rPr>
            </w:pPr>
            <w:r>
              <w:rPr>
                <w:rFonts w:ascii="微软雅黑" w:hAnsi="微软雅黑" w:eastAsia="微软雅黑" w:cs="微软雅黑"/>
                <w:color w:val="000000" w:themeColor="text1"/>
                <w:spacing w:val="-1"/>
                <w:sz w:val="22"/>
                <w:szCs w:val="22"/>
                <w14:textFill>
                  <w14:solidFill>
                    <w14:schemeClr w14:val="tx1"/>
                  </w14:solidFill>
                </w14:textFill>
              </w:rPr>
              <w:t>评审内容</w:t>
            </w:r>
          </w:p>
        </w:tc>
        <w:tc>
          <w:tcPr>
            <w:tcW w:w="680" w:type="dxa"/>
            <w:vAlign w:val="top"/>
          </w:tcPr>
          <w:p w14:paraId="3AF28880">
            <w:pPr>
              <w:spacing w:before="261" w:line="184" w:lineRule="auto"/>
              <w:ind w:left="152"/>
              <w:rPr>
                <w:rFonts w:ascii="微软雅黑" w:hAnsi="微软雅黑" w:eastAsia="微软雅黑" w:cs="微软雅黑"/>
                <w:color w:val="000000" w:themeColor="text1"/>
                <w:sz w:val="22"/>
                <w:szCs w:val="22"/>
                <w14:textFill>
                  <w14:solidFill>
                    <w14:schemeClr w14:val="tx1"/>
                  </w14:solidFill>
                </w14:textFill>
              </w:rPr>
            </w:pPr>
            <w:r>
              <w:rPr>
                <w:rFonts w:ascii="微软雅黑" w:hAnsi="微软雅黑" w:eastAsia="微软雅黑" w:cs="微软雅黑"/>
                <w:color w:val="000000" w:themeColor="text1"/>
                <w:sz w:val="22"/>
                <w:szCs w:val="22"/>
                <w14:textFill>
                  <w14:solidFill>
                    <w14:schemeClr w14:val="tx1"/>
                  </w14:solidFill>
                </w14:textFill>
              </w:rPr>
              <w:t>分值</w:t>
            </w:r>
          </w:p>
        </w:tc>
      </w:tr>
      <w:tr w14:paraId="0CAF9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1115" w:type="dxa"/>
            <w:vAlign w:val="top"/>
          </w:tcPr>
          <w:p w14:paraId="6499BBFD">
            <w:pPr>
              <w:spacing w:line="266" w:lineRule="auto"/>
              <w:rPr>
                <w:rFonts w:ascii="Arial"/>
                <w:color w:val="000000" w:themeColor="text1"/>
                <w:sz w:val="21"/>
                <w14:textFill>
                  <w14:solidFill>
                    <w14:schemeClr w14:val="tx1"/>
                  </w14:solidFill>
                </w14:textFill>
              </w:rPr>
            </w:pPr>
          </w:p>
          <w:p w14:paraId="7368DFE5">
            <w:pPr>
              <w:spacing w:line="266" w:lineRule="auto"/>
              <w:rPr>
                <w:rFonts w:ascii="Arial"/>
                <w:color w:val="000000" w:themeColor="text1"/>
                <w:sz w:val="21"/>
                <w14:textFill>
                  <w14:solidFill>
                    <w14:schemeClr w14:val="tx1"/>
                  </w14:solidFill>
                </w14:textFill>
              </w:rPr>
            </w:pPr>
          </w:p>
          <w:p w14:paraId="3E958E0B">
            <w:pPr>
              <w:spacing w:line="266" w:lineRule="auto"/>
              <w:rPr>
                <w:rFonts w:ascii="Arial"/>
                <w:color w:val="000000" w:themeColor="text1"/>
                <w:sz w:val="21"/>
                <w14:textFill>
                  <w14:solidFill>
                    <w14:schemeClr w14:val="tx1"/>
                  </w14:solidFill>
                </w14:textFill>
              </w:rPr>
            </w:pPr>
          </w:p>
          <w:p w14:paraId="18633F31">
            <w:pPr>
              <w:pStyle w:val="57"/>
              <w:spacing w:before="71" w:line="231" w:lineRule="auto"/>
              <w:ind w:left="183" w:right="169" w:hanging="5"/>
              <w:rPr>
                <w:color w:val="000000" w:themeColor="text1"/>
                <w:sz w:val="22"/>
                <w:szCs w:val="22"/>
                <w14:textFill>
                  <w14:solidFill>
                    <w14:schemeClr w14:val="tx1"/>
                  </w14:solidFill>
                </w14:textFill>
              </w:rPr>
            </w:pPr>
            <w:r>
              <w:rPr>
                <w:color w:val="000000" w:themeColor="text1"/>
                <w:spacing w:val="-3"/>
                <w:sz w:val="22"/>
                <w:szCs w:val="22"/>
                <w14:textFill>
                  <w14:solidFill>
                    <w14:schemeClr w14:val="tx1"/>
                  </w14:solidFill>
                </w14:textFill>
              </w:rPr>
              <w:t>价格部分</w:t>
            </w:r>
            <w:r>
              <w:rPr>
                <w:color w:val="000000" w:themeColor="text1"/>
                <w:spacing w:val="2"/>
                <w:sz w:val="22"/>
                <w:szCs w:val="22"/>
                <w14:textFill>
                  <w14:solidFill>
                    <w14:schemeClr w14:val="tx1"/>
                  </w14:solidFill>
                </w14:textFill>
              </w:rPr>
              <w:t xml:space="preserve"> </w:t>
            </w:r>
            <w:r>
              <w:rPr>
                <w:color w:val="000000" w:themeColor="text1"/>
                <w:spacing w:val="-3"/>
                <w:sz w:val="22"/>
                <w:szCs w:val="22"/>
                <w14:textFill>
                  <w14:solidFill>
                    <w14:schemeClr w14:val="tx1"/>
                  </w14:solidFill>
                </w14:textFill>
              </w:rPr>
              <w:t>（30分）</w:t>
            </w:r>
          </w:p>
        </w:tc>
        <w:tc>
          <w:tcPr>
            <w:tcW w:w="1323" w:type="dxa"/>
            <w:vAlign w:val="top"/>
          </w:tcPr>
          <w:p w14:paraId="5D52E88C">
            <w:pPr>
              <w:spacing w:line="313" w:lineRule="auto"/>
              <w:jc w:val="center"/>
              <w:rPr>
                <w:rFonts w:ascii="Arial"/>
                <w:color w:val="000000" w:themeColor="text1"/>
                <w:sz w:val="21"/>
                <w14:textFill>
                  <w14:solidFill>
                    <w14:schemeClr w14:val="tx1"/>
                  </w14:solidFill>
                </w14:textFill>
              </w:rPr>
            </w:pPr>
          </w:p>
          <w:p w14:paraId="67E98A8F">
            <w:pPr>
              <w:spacing w:line="313" w:lineRule="auto"/>
              <w:jc w:val="center"/>
              <w:rPr>
                <w:rFonts w:ascii="Arial"/>
                <w:color w:val="000000" w:themeColor="text1"/>
                <w:sz w:val="21"/>
                <w14:textFill>
                  <w14:solidFill>
                    <w14:schemeClr w14:val="tx1"/>
                  </w14:solidFill>
                </w14:textFill>
              </w:rPr>
            </w:pPr>
          </w:p>
          <w:p w14:paraId="1E94C561">
            <w:pPr>
              <w:spacing w:line="314" w:lineRule="auto"/>
              <w:jc w:val="center"/>
              <w:rPr>
                <w:rFonts w:ascii="Arial"/>
                <w:color w:val="000000" w:themeColor="text1"/>
                <w:sz w:val="21"/>
                <w14:textFill>
                  <w14:solidFill>
                    <w14:schemeClr w14:val="tx1"/>
                  </w14:solidFill>
                </w14:textFill>
              </w:rPr>
            </w:pPr>
          </w:p>
          <w:p w14:paraId="085BF854">
            <w:pPr>
              <w:pStyle w:val="57"/>
              <w:spacing w:before="71" w:line="219" w:lineRule="auto"/>
              <w:ind w:left="291"/>
              <w:jc w:val="center"/>
              <w:rPr>
                <w:color w:val="000000" w:themeColor="text1"/>
                <w:sz w:val="22"/>
                <w:szCs w:val="22"/>
                <w14:textFill>
                  <w14:solidFill>
                    <w14:schemeClr w14:val="tx1"/>
                  </w14:solidFill>
                </w14:textFill>
              </w:rPr>
            </w:pPr>
            <w:r>
              <w:rPr>
                <w:rFonts w:hint="eastAsia" w:eastAsia="宋体"/>
                <w:color w:val="000000" w:themeColor="text1"/>
                <w:spacing w:val="-2"/>
                <w:sz w:val="22"/>
                <w:szCs w:val="22"/>
                <w:lang w:val="en-US" w:eastAsia="zh-CN"/>
                <w14:textFill>
                  <w14:solidFill>
                    <w14:schemeClr w14:val="tx1"/>
                  </w14:solidFill>
                </w14:textFill>
              </w:rPr>
              <w:t>投标</w:t>
            </w:r>
            <w:r>
              <w:rPr>
                <w:color w:val="000000" w:themeColor="text1"/>
                <w:spacing w:val="-2"/>
                <w:sz w:val="22"/>
                <w:szCs w:val="22"/>
                <w14:textFill>
                  <w14:solidFill>
                    <w14:schemeClr w14:val="tx1"/>
                  </w14:solidFill>
                </w14:textFill>
              </w:rPr>
              <w:t>报价</w:t>
            </w:r>
          </w:p>
        </w:tc>
        <w:tc>
          <w:tcPr>
            <w:tcW w:w="5920" w:type="dxa"/>
            <w:vAlign w:val="top"/>
          </w:tcPr>
          <w:p w14:paraId="1A9165CC">
            <w:pPr>
              <w:pStyle w:val="57"/>
              <w:spacing w:before="31" w:line="229" w:lineRule="auto"/>
              <w:ind w:left="10" w:right="115" w:firstLine="1"/>
              <w:rPr>
                <w:color w:val="000000" w:themeColor="text1"/>
                <w:sz w:val="22"/>
                <w:szCs w:val="22"/>
                <w14:textFill>
                  <w14:solidFill>
                    <w14:schemeClr w14:val="tx1"/>
                  </w14:solidFill>
                </w14:textFill>
              </w:rPr>
            </w:pPr>
            <w:r>
              <w:rPr>
                <w:color w:val="000000" w:themeColor="text1"/>
                <w:spacing w:val="-1"/>
                <w:sz w:val="22"/>
                <w:szCs w:val="22"/>
                <w14:textFill>
                  <w14:solidFill>
                    <w14:schemeClr w14:val="tx1"/>
                  </w14:solidFill>
                </w14:textFill>
              </w:rPr>
              <w:t>综合评分法中的价格分统一采用低价优先法计算，即满足</w:t>
            </w:r>
            <w:r>
              <w:rPr>
                <w:rFonts w:hint="eastAsia" w:eastAsia="宋体"/>
                <w:color w:val="000000" w:themeColor="text1"/>
                <w:spacing w:val="-1"/>
                <w:sz w:val="22"/>
                <w:szCs w:val="22"/>
                <w:lang w:val="en-US" w:eastAsia="zh-CN"/>
                <w14:textFill>
                  <w14:solidFill>
                    <w14:schemeClr w14:val="tx1"/>
                  </w14:solidFill>
                </w14:textFill>
              </w:rPr>
              <w:t>招标</w:t>
            </w:r>
            <w:r>
              <w:rPr>
                <w:color w:val="000000" w:themeColor="text1"/>
                <w:spacing w:val="-1"/>
                <w:sz w:val="22"/>
                <w:szCs w:val="22"/>
                <w14:textFill>
                  <w14:solidFill>
                    <w14:schemeClr w14:val="tx1"/>
                  </w14:solidFill>
                </w14:textFill>
              </w:rPr>
              <w:t>文件</w:t>
            </w:r>
            <w:r>
              <w:rPr>
                <w:color w:val="000000" w:themeColor="text1"/>
                <w:spacing w:val="18"/>
                <w:sz w:val="22"/>
                <w:szCs w:val="22"/>
                <w14:textFill>
                  <w14:solidFill>
                    <w14:schemeClr w14:val="tx1"/>
                  </w14:solidFill>
                </w14:textFill>
              </w:rPr>
              <w:t xml:space="preserve"> </w:t>
            </w:r>
            <w:r>
              <w:rPr>
                <w:color w:val="000000" w:themeColor="text1"/>
                <w:spacing w:val="-1"/>
                <w:sz w:val="22"/>
                <w:szCs w:val="22"/>
                <w14:textFill>
                  <w14:solidFill>
                    <w14:schemeClr w14:val="tx1"/>
                  </w14:solidFill>
                </w14:textFill>
              </w:rPr>
              <w:t>要求（通过资格、符合性审查）且最后报价最低的供应商的价格（指价格核准后的价格，下同）为</w:t>
            </w:r>
            <w:r>
              <w:rPr>
                <w:rFonts w:hint="eastAsia" w:eastAsia="宋体"/>
                <w:color w:val="000000" w:themeColor="text1"/>
                <w:spacing w:val="-1"/>
                <w:sz w:val="22"/>
                <w:szCs w:val="22"/>
                <w:lang w:val="en-US" w:eastAsia="zh-CN"/>
                <w14:textFill>
                  <w14:solidFill>
                    <w14:schemeClr w14:val="tx1"/>
                  </w14:solidFill>
                </w14:textFill>
              </w:rPr>
              <w:t>投标</w:t>
            </w:r>
            <w:r>
              <w:rPr>
                <w:color w:val="000000" w:themeColor="text1"/>
                <w:spacing w:val="-1"/>
                <w:sz w:val="22"/>
                <w:szCs w:val="22"/>
                <w14:textFill>
                  <w14:solidFill>
                    <w14:schemeClr w14:val="tx1"/>
                  </w14:solidFill>
                </w14:textFill>
              </w:rPr>
              <w:t>基准价，其价格得分为满分。其他供应商的价格得分统一按照下列公式计算：</w:t>
            </w:r>
            <w:r>
              <w:rPr>
                <w:rFonts w:hint="eastAsia" w:eastAsia="宋体"/>
                <w:color w:val="000000" w:themeColor="text1"/>
                <w:sz w:val="22"/>
                <w:szCs w:val="22"/>
                <w:lang w:val="en-US" w:eastAsia="zh-CN"/>
                <w14:textFill>
                  <w14:solidFill>
                    <w14:schemeClr w14:val="tx1"/>
                  </w14:solidFill>
                </w14:textFill>
              </w:rPr>
              <w:t>投标</w:t>
            </w:r>
            <w:r>
              <w:rPr>
                <w:color w:val="000000" w:themeColor="text1"/>
                <w:sz w:val="22"/>
                <w:szCs w:val="22"/>
                <w14:textFill>
                  <w14:solidFill>
                    <w14:schemeClr w14:val="tx1"/>
                  </w14:solidFill>
                </w14:textFill>
              </w:rPr>
              <w:t>基准价=满足</w:t>
            </w:r>
            <w:r>
              <w:rPr>
                <w:rFonts w:hint="eastAsia" w:eastAsia="宋体"/>
                <w:color w:val="000000" w:themeColor="text1"/>
                <w:sz w:val="22"/>
                <w:szCs w:val="22"/>
                <w:lang w:val="en-US" w:eastAsia="zh-CN"/>
                <w14:textFill>
                  <w14:solidFill>
                    <w14:schemeClr w14:val="tx1"/>
                  </w14:solidFill>
                </w14:textFill>
              </w:rPr>
              <w:t>招标</w:t>
            </w:r>
            <w:r>
              <w:rPr>
                <w:color w:val="000000" w:themeColor="text1"/>
                <w:sz w:val="22"/>
                <w:szCs w:val="22"/>
                <w14:textFill>
                  <w14:solidFill>
                    <w14:schemeClr w14:val="tx1"/>
                  </w14:solidFill>
                </w14:textFill>
              </w:rPr>
              <w:t>文件要求（通过资格、符合性</w:t>
            </w:r>
            <w:r>
              <w:rPr>
                <w:color w:val="000000" w:themeColor="text1"/>
                <w:spacing w:val="-1"/>
                <w:sz w:val="22"/>
                <w:szCs w:val="22"/>
                <w14:textFill>
                  <w14:solidFill>
                    <w14:schemeClr w14:val="tx1"/>
                  </w14:solidFill>
                </w14:textFill>
              </w:rPr>
              <w:t>审查）且最后报价最低的供应商的价格（指价格核准后的价格，下同）</w:t>
            </w:r>
          </w:p>
          <w:p w14:paraId="364E8902">
            <w:pPr>
              <w:pStyle w:val="57"/>
              <w:spacing w:before="24" w:line="219" w:lineRule="auto"/>
              <w:ind w:left="8"/>
              <w:rPr>
                <w:color w:val="000000" w:themeColor="text1"/>
                <w:spacing w:val="-2"/>
                <w:sz w:val="22"/>
                <w:szCs w:val="22"/>
                <w14:textFill>
                  <w14:solidFill>
                    <w14:schemeClr w14:val="tx1"/>
                  </w14:solidFill>
                </w14:textFill>
              </w:rPr>
            </w:pPr>
            <w:r>
              <w:rPr>
                <w:rFonts w:hint="eastAsia" w:eastAsia="宋体"/>
                <w:color w:val="000000" w:themeColor="text1"/>
                <w:spacing w:val="-2"/>
                <w:sz w:val="22"/>
                <w:szCs w:val="22"/>
                <w:lang w:val="en-US" w:eastAsia="zh-CN"/>
                <w14:textFill>
                  <w14:solidFill>
                    <w14:schemeClr w14:val="tx1"/>
                  </w14:solidFill>
                </w14:textFill>
              </w:rPr>
              <w:t>投标</w:t>
            </w:r>
            <w:r>
              <w:rPr>
                <w:color w:val="000000" w:themeColor="text1"/>
                <w:spacing w:val="-2"/>
                <w:sz w:val="22"/>
                <w:szCs w:val="22"/>
                <w14:textFill>
                  <w14:solidFill>
                    <w14:schemeClr w14:val="tx1"/>
                  </w14:solidFill>
                </w14:textFill>
              </w:rPr>
              <w:t>报价得分=</w:t>
            </w:r>
            <w:r>
              <w:rPr>
                <w:color w:val="000000" w:themeColor="text1"/>
                <w:spacing w:val="-57"/>
                <w:sz w:val="22"/>
                <w:szCs w:val="22"/>
                <w14:textFill>
                  <w14:solidFill>
                    <w14:schemeClr w14:val="tx1"/>
                  </w14:solidFill>
                </w14:textFill>
              </w:rPr>
              <w:t xml:space="preserve"> </w:t>
            </w:r>
            <w:r>
              <w:rPr>
                <w:color w:val="000000" w:themeColor="text1"/>
                <w:spacing w:val="-2"/>
                <w:sz w:val="22"/>
                <w:szCs w:val="22"/>
                <w14:textFill>
                  <w14:solidFill>
                    <w14:schemeClr w14:val="tx1"/>
                  </w14:solidFill>
                </w14:textFill>
              </w:rPr>
              <w:t>(</w:t>
            </w:r>
            <w:r>
              <w:rPr>
                <w:rFonts w:hint="eastAsia" w:eastAsia="宋体"/>
                <w:color w:val="000000" w:themeColor="text1"/>
                <w:spacing w:val="-2"/>
                <w:sz w:val="22"/>
                <w:szCs w:val="22"/>
                <w:lang w:val="en-US" w:eastAsia="zh-CN"/>
                <w14:textFill>
                  <w14:solidFill>
                    <w14:schemeClr w14:val="tx1"/>
                  </w14:solidFill>
                </w14:textFill>
              </w:rPr>
              <w:t>投标</w:t>
            </w:r>
            <w:r>
              <w:rPr>
                <w:color w:val="000000" w:themeColor="text1"/>
                <w:spacing w:val="-2"/>
                <w:sz w:val="22"/>
                <w:szCs w:val="22"/>
                <w14:textFill>
                  <w14:solidFill>
                    <w14:schemeClr w14:val="tx1"/>
                  </w14:solidFill>
                </w14:textFill>
              </w:rPr>
              <w:t>基准价/最后</w:t>
            </w:r>
            <w:r>
              <w:rPr>
                <w:rFonts w:hint="eastAsia" w:eastAsia="宋体"/>
                <w:color w:val="000000" w:themeColor="text1"/>
                <w:spacing w:val="-2"/>
                <w:sz w:val="22"/>
                <w:szCs w:val="22"/>
                <w:lang w:val="en-US" w:eastAsia="zh-CN"/>
                <w14:textFill>
                  <w14:solidFill>
                    <w14:schemeClr w14:val="tx1"/>
                  </w14:solidFill>
                </w14:textFill>
              </w:rPr>
              <w:t>投标</w:t>
            </w:r>
            <w:r>
              <w:rPr>
                <w:color w:val="000000" w:themeColor="text1"/>
                <w:spacing w:val="-2"/>
                <w:sz w:val="22"/>
                <w:szCs w:val="22"/>
                <w14:textFill>
                  <w14:solidFill>
                    <w14:schemeClr w14:val="tx1"/>
                  </w14:solidFill>
                </w14:textFill>
              </w:rPr>
              <w:t>报价)×价格权重×100</w:t>
            </w:r>
          </w:p>
        </w:tc>
        <w:tc>
          <w:tcPr>
            <w:tcW w:w="680" w:type="dxa"/>
            <w:vAlign w:val="top"/>
          </w:tcPr>
          <w:p w14:paraId="2364748A">
            <w:pPr>
              <w:spacing w:line="281" w:lineRule="auto"/>
              <w:rPr>
                <w:rFonts w:ascii="Arial"/>
                <w:color w:val="000000" w:themeColor="text1"/>
                <w:sz w:val="21"/>
                <w14:textFill>
                  <w14:solidFill>
                    <w14:schemeClr w14:val="tx1"/>
                  </w14:solidFill>
                </w14:textFill>
              </w:rPr>
            </w:pPr>
          </w:p>
          <w:p w14:paraId="603DDEB7">
            <w:pPr>
              <w:spacing w:line="282" w:lineRule="auto"/>
              <w:rPr>
                <w:rFonts w:ascii="Arial"/>
                <w:color w:val="000000" w:themeColor="text1"/>
                <w:sz w:val="21"/>
                <w14:textFill>
                  <w14:solidFill>
                    <w14:schemeClr w14:val="tx1"/>
                  </w14:solidFill>
                </w14:textFill>
              </w:rPr>
            </w:pPr>
          </w:p>
          <w:p w14:paraId="403C16C0">
            <w:pPr>
              <w:spacing w:line="282" w:lineRule="auto"/>
              <w:rPr>
                <w:rFonts w:ascii="Arial"/>
                <w:color w:val="000000" w:themeColor="text1"/>
                <w:sz w:val="21"/>
                <w14:textFill>
                  <w14:solidFill>
                    <w14:schemeClr w14:val="tx1"/>
                  </w14:solidFill>
                </w14:textFill>
              </w:rPr>
            </w:pPr>
          </w:p>
          <w:p w14:paraId="6B1A7BAE">
            <w:pPr>
              <w:pStyle w:val="57"/>
              <w:spacing w:before="71" w:line="184" w:lineRule="auto"/>
              <w:ind w:left="274"/>
              <w:rPr>
                <w:color w:val="000000" w:themeColor="text1"/>
                <w:sz w:val="22"/>
                <w:szCs w:val="22"/>
                <w14:textFill>
                  <w14:solidFill>
                    <w14:schemeClr w14:val="tx1"/>
                  </w14:solidFill>
                </w14:textFill>
              </w:rPr>
            </w:pPr>
            <w:r>
              <w:rPr>
                <w:color w:val="000000" w:themeColor="text1"/>
                <w:spacing w:val="-7"/>
                <w:sz w:val="22"/>
                <w:szCs w:val="22"/>
                <w14:textFill>
                  <w14:solidFill>
                    <w14:schemeClr w14:val="tx1"/>
                  </w14:solidFill>
                </w14:textFill>
              </w:rPr>
              <w:t>30</w:t>
            </w:r>
          </w:p>
        </w:tc>
      </w:tr>
      <w:tr w14:paraId="05243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115" w:type="dxa"/>
            <w:vMerge w:val="restart"/>
            <w:tcBorders>
              <w:bottom w:val="nil"/>
            </w:tcBorders>
            <w:vAlign w:val="top"/>
          </w:tcPr>
          <w:p w14:paraId="453EEA2E">
            <w:pPr>
              <w:spacing w:line="263" w:lineRule="auto"/>
              <w:rPr>
                <w:rFonts w:ascii="Arial"/>
                <w:color w:val="000000" w:themeColor="text1"/>
                <w:sz w:val="21"/>
                <w14:textFill>
                  <w14:solidFill>
                    <w14:schemeClr w14:val="tx1"/>
                  </w14:solidFill>
                </w14:textFill>
              </w:rPr>
            </w:pPr>
          </w:p>
          <w:p w14:paraId="014C37B5">
            <w:pPr>
              <w:spacing w:line="263" w:lineRule="auto"/>
              <w:rPr>
                <w:rFonts w:ascii="Arial"/>
                <w:color w:val="000000" w:themeColor="text1"/>
                <w:sz w:val="21"/>
                <w14:textFill>
                  <w14:solidFill>
                    <w14:schemeClr w14:val="tx1"/>
                  </w14:solidFill>
                </w14:textFill>
              </w:rPr>
            </w:pPr>
          </w:p>
          <w:p w14:paraId="416AEE28">
            <w:pPr>
              <w:spacing w:line="264" w:lineRule="auto"/>
              <w:rPr>
                <w:rFonts w:ascii="Arial"/>
                <w:color w:val="000000" w:themeColor="text1"/>
                <w:sz w:val="21"/>
                <w14:textFill>
                  <w14:solidFill>
                    <w14:schemeClr w14:val="tx1"/>
                  </w14:solidFill>
                </w14:textFill>
              </w:rPr>
            </w:pPr>
          </w:p>
          <w:p w14:paraId="2AB437C8">
            <w:pPr>
              <w:pStyle w:val="57"/>
              <w:spacing w:before="71" w:line="231" w:lineRule="auto"/>
              <w:ind w:right="169"/>
              <w:rPr>
                <w:color w:val="000000" w:themeColor="text1"/>
                <w:sz w:val="22"/>
                <w:szCs w:val="22"/>
                <w14:textFill>
                  <w14:solidFill>
                    <w14:schemeClr w14:val="tx1"/>
                  </w14:solidFill>
                </w14:textFill>
              </w:rPr>
            </w:pPr>
            <w:r>
              <w:rPr>
                <w:color w:val="000000" w:themeColor="text1"/>
                <w:spacing w:val="-4"/>
                <w:sz w:val="22"/>
                <w:szCs w:val="22"/>
                <w14:textFill>
                  <w14:solidFill>
                    <w14:schemeClr w14:val="tx1"/>
                  </w14:solidFill>
                </w14:textFill>
              </w:rPr>
              <w:t>商务部分</w:t>
            </w:r>
            <w:r>
              <w:rPr>
                <w:color w:val="000000" w:themeColor="text1"/>
                <w:spacing w:val="2"/>
                <w:sz w:val="22"/>
                <w:szCs w:val="22"/>
                <w14:textFill>
                  <w14:solidFill>
                    <w14:schemeClr w14:val="tx1"/>
                  </w14:solidFill>
                </w14:textFill>
              </w:rPr>
              <w:t xml:space="preserve"> </w:t>
            </w:r>
            <w:r>
              <w:rPr>
                <w:color w:val="000000" w:themeColor="text1"/>
                <w:spacing w:val="-3"/>
                <w:sz w:val="22"/>
                <w:szCs w:val="22"/>
                <w14:textFill>
                  <w14:solidFill>
                    <w14:schemeClr w14:val="tx1"/>
                  </w14:solidFill>
                </w14:textFill>
              </w:rPr>
              <w:t>（1</w:t>
            </w:r>
            <w:r>
              <w:rPr>
                <w:rFonts w:hint="eastAsia" w:eastAsia="宋体"/>
                <w:color w:val="000000" w:themeColor="text1"/>
                <w:spacing w:val="-3"/>
                <w:sz w:val="22"/>
                <w:szCs w:val="22"/>
                <w:lang w:val="en-US" w:eastAsia="zh-CN"/>
                <w14:textFill>
                  <w14:solidFill>
                    <w14:schemeClr w14:val="tx1"/>
                  </w14:solidFill>
                </w14:textFill>
              </w:rPr>
              <w:t>0</w:t>
            </w:r>
            <w:r>
              <w:rPr>
                <w:color w:val="000000" w:themeColor="text1"/>
                <w:spacing w:val="-3"/>
                <w:sz w:val="22"/>
                <w:szCs w:val="22"/>
                <w14:textFill>
                  <w14:solidFill>
                    <w14:schemeClr w14:val="tx1"/>
                  </w14:solidFill>
                </w14:textFill>
              </w:rPr>
              <w:t>分）</w:t>
            </w:r>
          </w:p>
        </w:tc>
        <w:tc>
          <w:tcPr>
            <w:tcW w:w="1323" w:type="dxa"/>
            <w:vAlign w:val="top"/>
          </w:tcPr>
          <w:p w14:paraId="443FCE71">
            <w:pPr>
              <w:keepNext w:val="0"/>
              <w:keepLines w:val="0"/>
              <w:pageBreakBefore w:val="0"/>
              <w:kinsoku/>
              <w:wordWrap/>
              <w:overflowPunct/>
              <w:topLinePunct w:val="0"/>
              <w:autoSpaceDE/>
              <w:autoSpaceDN/>
              <w:bidi w:val="0"/>
              <w:snapToGrid/>
              <w:spacing w:line="300" w:lineRule="exact"/>
              <w:jc w:val="center"/>
              <w:textAlignment w:val="auto"/>
              <w:rPr>
                <w:rFonts w:ascii="Arial"/>
                <w:color w:val="000000" w:themeColor="text1"/>
                <w:sz w:val="21"/>
                <w14:textFill>
                  <w14:solidFill>
                    <w14:schemeClr w14:val="tx1"/>
                  </w14:solidFill>
                </w14:textFill>
              </w:rPr>
            </w:pPr>
          </w:p>
          <w:p w14:paraId="4EB8CE94">
            <w:pPr>
              <w:pStyle w:val="57"/>
              <w:keepNext w:val="0"/>
              <w:keepLines w:val="0"/>
              <w:pageBreakBefore w:val="0"/>
              <w:kinsoku/>
              <w:wordWrap/>
              <w:overflowPunct/>
              <w:topLinePunct w:val="0"/>
              <w:autoSpaceDE/>
              <w:autoSpaceDN/>
              <w:bidi w:val="0"/>
              <w:snapToGrid/>
              <w:spacing w:before="71" w:line="300" w:lineRule="exact"/>
              <w:ind w:left="295" w:leftChars="0"/>
              <w:jc w:val="both"/>
              <w:textAlignment w:val="auto"/>
              <w:rPr>
                <w:color w:val="000000" w:themeColor="text1"/>
                <w:sz w:val="22"/>
                <w:szCs w:val="22"/>
                <w14:textFill>
                  <w14:solidFill>
                    <w14:schemeClr w14:val="tx1"/>
                  </w14:solidFill>
                </w14:textFill>
              </w:rPr>
            </w:pPr>
            <w:r>
              <w:rPr>
                <w:rFonts w:hint="eastAsia" w:eastAsia="宋体"/>
                <w:color w:val="000000" w:themeColor="text1"/>
                <w:spacing w:val="-3"/>
                <w:sz w:val="22"/>
                <w:szCs w:val="22"/>
                <w:lang w:val="en-US" w:eastAsia="zh-CN"/>
                <w14:textFill>
                  <w14:solidFill>
                    <w14:schemeClr w14:val="tx1"/>
                  </w14:solidFill>
                </w14:textFill>
              </w:rPr>
              <w:t>类似</w:t>
            </w:r>
            <w:r>
              <w:rPr>
                <w:color w:val="000000" w:themeColor="text1"/>
                <w:spacing w:val="-3"/>
                <w:sz w:val="22"/>
                <w:szCs w:val="22"/>
                <w14:textFill>
                  <w14:solidFill>
                    <w14:schemeClr w14:val="tx1"/>
                  </w14:solidFill>
                </w14:textFill>
              </w:rPr>
              <w:t>业绩</w:t>
            </w:r>
          </w:p>
        </w:tc>
        <w:tc>
          <w:tcPr>
            <w:tcW w:w="5920" w:type="dxa"/>
            <w:vAlign w:val="top"/>
          </w:tcPr>
          <w:p w14:paraId="3DD2526F">
            <w:pPr>
              <w:pStyle w:val="57"/>
              <w:keepNext w:val="0"/>
              <w:keepLines w:val="0"/>
              <w:pageBreakBefore w:val="0"/>
              <w:kinsoku/>
              <w:wordWrap/>
              <w:overflowPunct/>
              <w:topLinePunct w:val="0"/>
              <w:autoSpaceDE/>
              <w:autoSpaceDN/>
              <w:bidi w:val="0"/>
              <w:snapToGrid/>
              <w:spacing w:before="34" w:line="300" w:lineRule="exact"/>
              <w:ind w:left="8" w:leftChars="0" w:right="115" w:rightChars="0"/>
              <w:textAlignment w:val="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投标人或产品制造商 202</w:t>
            </w:r>
            <w:r>
              <w:rPr>
                <w:rFonts w:hint="eastAsia" w:eastAsia="宋体"/>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 xml:space="preserve">年 </w:t>
            </w:r>
            <w:r>
              <w:rPr>
                <w:rFonts w:hint="eastAsia" w:eastAsia="宋体"/>
                <w:color w:val="000000" w:themeColor="text1"/>
                <w:sz w:val="22"/>
                <w:szCs w:val="22"/>
                <w:lang w:val="en-US" w:eastAsia="zh-CN"/>
                <w14:textFill>
                  <w14:solidFill>
                    <w14:schemeClr w14:val="tx1"/>
                  </w14:solidFill>
                </w14:textFill>
              </w:rPr>
              <w:t>05</w:t>
            </w:r>
            <w:r>
              <w:rPr>
                <w:rFonts w:hint="eastAsia"/>
                <w:color w:val="000000" w:themeColor="text1"/>
                <w:sz w:val="22"/>
                <w:szCs w:val="22"/>
                <w14:textFill>
                  <w14:solidFill>
                    <w14:schemeClr w14:val="tx1"/>
                  </w14:solidFill>
                </w14:textFill>
              </w:rPr>
              <w:t xml:space="preserve">月 </w:t>
            </w:r>
            <w:r>
              <w:rPr>
                <w:rFonts w:hint="eastAsia" w:eastAsia="宋体"/>
                <w:color w:val="000000" w:themeColor="text1"/>
                <w:sz w:val="22"/>
                <w:szCs w:val="22"/>
                <w:lang w:val="en-US" w:eastAsia="zh-CN"/>
                <w14:textFill>
                  <w14:solidFill>
                    <w14:schemeClr w14:val="tx1"/>
                  </w14:solidFill>
                </w14:textFill>
              </w:rPr>
              <w:t>0</w:t>
            </w:r>
            <w:r>
              <w:rPr>
                <w:rFonts w:hint="eastAsia"/>
                <w:color w:val="000000" w:themeColor="text1"/>
                <w:sz w:val="22"/>
                <w:szCs w:val="22"/>
                <w14:textFill>
                  <w14:solidFill>
                    <w14:schemeClr w14:val="tx1"/>
                  </w14:solidFill>
                </w14:textFill>
              </w:rPr>
              <w:t>1 日至今（以合同签订日期为准），提供产品的销售业绩，每提供1个销售业绩得 1 分，最高得8分。 注：须提供中标（成交）通知书</w:t>
            </w:r>
            <w:r>
              <w:rPr>
                <w:rFonts w:hint="eastAsia" w:eastAsia="宋体"/>
                <w:color w:val="000000" w:themeColor="text1"/>
                <w:sz w:val="22"/>
                <w:szCs w:val="22"/>
                <w:lang w:val="en-US" w:eastAsia="zh-CN"/>
                <w14:textFill>
                  <w14:solidFill>
                    <w14:schemeClr w14:val="tx1"/>
                  </w14:solidFill>
                </w14:textFill>
              </w:rPr>
              <w:t>或采购</w:t>
            </w:r>
            <w:r>
              <w:rPr>
                <w:rFonts w:hint="eastAsia"/>
                <w:color w:val="000000" w:themeColor="text1"/>
                <w:sz w:val="22"/>
                <w:szCs w:val="22"/>
                <w14:textFill>
                  <w14:solidFill>
                    <w14:schemeClr w14:val="tx1"/>
                  </w14:solidFill>
                </w14:textFill>
              </w:rPr>
              <w:t>合同。</w:t>
            </w:r>
            <w:r>
              <w:rPr>
                <w:rFonts w:hint="eastAsia" w:eastAsia="宋体"/>
                <w:color w:val="000000" w:themeColor="text1"/>
                <w:sz w:val="22"/>
                <w:szCs w:val="22"/>
                <w:lang w:val="en-US" w:eastAsia="zh-CN"/>
                <w14:textFill>
                  <w14:solidFill>
                    <w14:schemeClr w14:val="tx1"/>
                  </w14:solidFill>
                </w14:textFill>
              </w:rPr>
              <w:t>未</w:t>
            </w:r>
            <w:r>
              <w:rPr>
                <w:rFonts w:hint="eastAsia"/>
                <w:color w:val="000000" w:themeColor="text1"/>
                <w:sz w:val="22"/>
                <w:szCs w:val="22"/>
                <w14:textFill>
                  <w14:solidFill>
                    <w14:schemeClr w14:val="tx1"/>
                  </w14:solidFill>
                </w14:textFill>
              </w:rPr>
              <w:t>提供不得分。</w:t>
            </w:r>
          </w:p>
        </w:tc>
        <w:tc>
          <w:tcPr>
            <w:tcW w:w="680" w:type="dxa"/>
            <w:vAlign w:val="top"/>
          </w:tcPr>
          <w:p w14:paraId="66A22E8B">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47BCE777">
            <w:pPr>
              <w:pStyle w:val="57"/>
              <w:keepNext w:val="0"/>
              <w:keepLines w:val="0"/>
              <w:pageBreakBefore w:val="0"/>
              <w:kinsoku/>
              <w:wordWrap/>
              <w:overflowPunct/>
              <w:topLinePunct w:val="0"/>
              <w:autoSpaceDE/>
              <w:autoSpaceDN/>
              <w:bidi w:val="0"/>
              <w:snapToGrid/>
              <w:spacing w:before="71" w:line="300" w:lineRule="exact"/>
              <w:ind w:left="326" w:leftChars="0"/>
              <w:textAlignment w:val="auto"/>
              <w:rPr>
                <w:rFonts w:hint="eastAsia" w:eastAsia="宋体"/>
                <w:color w:val="000000" w:themeColor="text1"/>
                <w:sz w:val="22"/>
                <w:szCs w:val="22"/>
                <w:lang w:eastAsia="zh-CN"/>
                <w14:textFill>
                  <w14:solidFill>
                    <w14:schemeClr w14:val="tx1"/>
                  </w14:solidFill>
                </w14:textFill>
              </w:rPr>
            </w:pPr>
            <w:r>
              <w:rPr>
                <w:rFonts w:hint="eastAsia" w:eastAsia="宋体"/>
                <w:color w:val="000000" w:themeColor="text1"/>
                <w:sz w:val="22"/>
                <w:szCs w:val="22"/>
                <w:lang w:val="en-US" w:eastAsia="zh-CN"/>
                <w14:textFill>
                  <w14:solidFill>
                    <w14:schemeClr w14:val="tx1"/>
                  </w14:solidFill>
                </w14:textFill>
              </w:rPr>
              <w:t>8</w:t>
            </w:r>
          </w:p>
        </w:tc>
      </w:tr>
      <w:tr w14:paraId="5472B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115" w:type="dxa"/>
            <w:vMerge w:val="continue"/>
            <w:tcBorders>
              <w:top w:val="nil"/>
            </w:tcBorders>
            <w:vAlign w:val="top"/>
          </w:tcPr>
          <w:p w14:paraId="4B019C77">
            <w:pPr>
              <w:rPr>
                <w:rFonts w:ascii="Arial"/>
                <w:color w:val="FF0000"/>
                <w:sz w:val="21"/>
              </w:rPr>
            </w:pPr>
          </w:p>
        </w:tc>
        <w:tc>
          <w:tcPr>
            <w:tcW w:w="1323" w:type="dxa"/>
            <w:vAlign w:val="top"/>
          </w:tcPr>
          <w:p w14:paraId="64B2DF3E">
            <w:pPr>
              <w:pStyle w:val="57"/>
              <w:keepNext w:val="0"/>
              <w:keepLines w:val="0"/>
              <w:pageBreakBefore w:val="0"/>
              <w:kinsoku/>
              <w:wordWrap/>
              <w:overflowPunct/>
              <w:topLinePunct w:val="0"/>
              <w:autoSpaceDE/>
              <w:autoSpaceDN/>
              <w:bidi w:val="0"/>
              <w:snapToGrid/>
              <w:spacing w:before="71" w:line="300" w:lineRule="exact"/>
              <w:ind w:left="74"/>
              <w:jc w:val="center"/>
              <w:textAlignment w:val="auto"/>
              <w:rPr>
                <w:rFonts w:hint="eastAsia" w:ascii="宋体" w:hAnsi="宋体" w:eastAsia="宋体" w:cs="宋体"/>
                <w:color w:val="000000" w:themeColor="text1"/>
                <w:sz w:val="21"/>
                <w:szCs w:val="21"/>
                <w14:textFill>
                  <w14:solidFill>
                    <w14:schemeClr w14:val="tx1"/>
                  </w14:solidFill>
                </w14:textFill>
              </w:rPr>
            </w:pPr>
          </w:p>
          <w:p w14:paraId="46DAF261">
            <w:pPr>
              <w:pStyle w:val="57"/>
              <w:keepNext w:val="0"/>
              <w:keepLines w:val="0"/>
              <w:pageBreakBefore w:val="0"/>
              <w:kinsoku/>
              <w:wordWrap/>
              <w:overflowPunct/>
              <w:topLinePunct w:val="0"/>
              <w:autoSpaceDE/>
              <w:autoSpaceDN/>
              <w:bidi w:val="0"/>
              <w:snapToGrid/>
              <w:spacing w:before="71" w:line="300" w:lineRule="exact"/>
              <w:ind w:left="74" w:leftChars="0"/>
              <w:jc w:val="center"/>
              <w:textAlignment w:val="auto"/>
              <w:rPr>
                <w:color w:val="000000" w:themeColor="text1"/>
                <w:sz w:val="22"/>
                <w:szCs w:val="22"/>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质保期、交货期</w:t>
            </w:r>
          </w:p>
        </w:tc>
        <w:tc>
          <w:tcPr>
            <w:tcW w:w="5920" w:type="dxa"/>
            <w:vAlign w:val="top"/>
          </w:tcPr>
          <w:p w14:paraId="0CBD48FB">
            <w:pPr>
              <w:pStyle w:val="63"/>
              <w:keepNext w:val="0"/>
              <w:keepLines w:val="0"/>
              <w:pageBreakBefore w:val="0"/>
              <w:kinsoku/>
              <w:wordWrap/>
              <w:overflowPunct/>
              <w:topLinePunct w:val="0"/>
              <w:autoSpaceDE/>
              <w:autoSpaceDN/>
              <w:bidi w:val="0"/>
              <w:snapToGrid/>
              <w:spacing w:before="0" w:after="0" w:line="300" w:lineRule="exact"/>
              <w:ind w:firstLine="0"/>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1、质保期响应招标文件规定（产品质保期最低为</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年）；每超过一年加1分，最高得</w:t>
            </w:r>
            <w:r>
              <w:rPr>
                <w:rFonts w:hint="eastAsia" w:ascii="宋体" w:hAnsi="宋体"/>
                <w:color w:val="000000" w:themeColor="text1"/>
                <w:sz w:val="21"/>
                <w:szCs w:val="21"/>
                <w:lang w:val="en-US" w:eastAsia="zh-CN"/>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分；</w:t>
            </w:r>
          </w:p>
          <w:p w14:paraId="2EFDD2F8">
            <w:pPr>
              <w:pStyle w:val="57"/>
              <w:keepNext w:val="0"/>
              <w:keepLines w:val="0"/>
              <w:pageBreakBefore w:val="0"/>
              <w:kinsoku/>
              <w:wordWrap/>
              <w:overflowPunct/>
              <w:topLinePunct w:val="0"/>
              <w:autoSpaceDE/>
              <w:autoSpaceDN/>
              <w:bidi w:val="0"/>
              <w:snapToGrid/>
              <w:spacing w:before="21" w:line="300" w:lineRule="exact"/>
              <w:ind w:left="13" w:leftChars="0" w:right="336" w:rightChars="0" w:hanging="4" w:firstLineChars="0"/>
              <w:textAlignment w:val="auto"/>
              <w:rPr>
                <w:color w:val="000000" w:themeColor="text1"/>
                <w:sz w:val="22"/>
                <w:szCs w:val="22"/>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lang w:val="en-US" w:eastAsia="zh-CN"/>
                <w14:textFill>
                  <w14:solidFill>
                    <w14:schemeClr w14:val="tx1"/>
                  </w14:solidFill>
                </w14:textFill>
              </w:rPr>
              <w:t>交货期</w:t>
            </w:r>
            <w:r>
              <w:rPr>
                <w:rFonts w:hint="eastAsia" w:ascii="宋体" w:hAnsi="宋体"/>
                <w:color w:val="000000" w:themeColor="text1"/>
                <w:sz w:val="21"/>
                <w:szCs w:val="21"/>
                <w14:textFill>
                  <w14:solidFill>
                    <w14:schemeClr w14:val="tx1"/>
                  </w14:solidFill>
                </w14:textFill>
              </w:rPr>
              <w:t>响应招标文件规定；每</w:t>
            </w:r>
            <w:r>
              <w:rPr>
                <w:rFonts w:hint="eastAsia" w:ascii="宋体" w:hAnsi="宋体"/>
                <w:color w:val="000000" w:themeColor="text1"/>
                <w:sz w:val="21"/>
                <w:szCs w:val="21"/>
                <w:lang w:val="en-US" w:eastAsia="zh-CN"/>
                <w14:textFill>
                  <w14:solidFill>
                    <w14:schemeClr w14:val="tx1"/>
                  </w14:solidFill>
                </w14:textFill>
              </w:rPr>
              <w:t>提前1天加</w:t>
            </w:r>
            <w:r>
              <w:rPr>
                <w:rFonts w:hint="eastAsia" w:ascii="宋体" w:hAnsi="宋体"/>
                <w:color w:val="000000" w:themeColor="text1"/>
                <w:sz w:val="21"/>
                <w:szCs w:val="21"/>
                <w14:textFill>
                  <w14:solidFill>
                    <w14:schemeClr w14:val="tx1"/>
                  </w14:solidFill>
                </w14:textFill>
              </w:rPr>
              <w:t>1分，最高得</w:t>
            </w:r>
            <w:r>
              <w:rPr>
                <w:rFonts w:hint="eastAsia" w:ascii="宋体" w:hAnsi="宋体"/>
                <w:color w:val="000000" w:themeColor="text1"/>
                <w:sz w:val="21"/>
                <w:szCs w:val="21"/>
                <w:lang w:val="en-US" w:eastAsia="zh-CN"/>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分；</w:t>
            </w:r>
          </w:p>
        </w:tc>
        <w:tc>
          <w:tcPr>
            <w:tcW w:w="680" w:type="dxa"/>
            <w:vAlign w:val="top"/>
          </w:tcPr>
          <w:p w14:paraId="31B573D7">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3A96685D">
            <w:pPr>
              <w:pStyle w:val="57"/>
              <w:keepNext w:val="0"/>
              <w:keepLines w:val="0"/>
              <w:pageBreakBefore w:val="0"/>
              <w:kinsoku/>
              <w:wordWrap/>
              <w:overflowPunct/>
              <w:topLinePunct w:val="0"/>
              <w:autoSpaceDE/>
              <w:autoSpaceDN/>
              <w:bidi w:val="0"/>
              <w:snapToGrid/>
              <w:spacing w:before="71" w:line="300" w:lineRule="exact"/>
              <w:ind w:left="326" w:leftChars="0"/>
              <w:textAlignment w:val="auto"/>
              <w:rPr>
                <w:rFonts w:hint="default" w:eastAsia="宋体"/>
                <w:color w:val="FF0000"/>
                <w:sz w:val="22"/>
                <w:szCs w:val="22"/>
                <w:lang w:val="en-US" w:eastAsia="zh-CN"/>
              </w:rPr>
            </w:pPr>
            <w:r>
              <w:rPr>
                <w:rFonts w:hint="eastAsia" w:eastAsia="宋体"/>
                <w:color w:val="000000" w:themeColor="text1"/>
                <w:sz w:val="21"/>
                <w:lang w:val="en-US" w:eastAsia="zh-CN"/>
                <w14:textFill>
                  <w14:solidFill>
                    <w14:schemeClr w14:val="tx1"/>
                  </w14:solidFill>
                </w14:textFill>
              </w:rPr>
              <w:t>2</w:t>
            </w:r>
          </w:p>
        </w:tc>
      </w:tr>
      <w:tr w14:paraId="54564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15" w:type="dxa"/>
            <w:vMerge w:val="restart"/>
            <w:vAlign w:val="top"/>
          </w:tcPr>
          <w:p w14:paraId="63B329ED">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6FADAE59">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06340A96">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4A2AE8C7">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04C06B92">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7C59F9BB">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55C3A712">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23227AA4">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1CFA9643">
            <w:pPr>
              <w:pStyle w:val="57"/>
              <w:keepNext w:val="0"/>
              <w:keepLines w:val="0"/>
              <w:pageBreakBefore w:val="0"/>
              <w:kinsoku/>
              <w:wordWrap/>
              <w:overflowPunct/>
              <w:topLinePunct w:val="0"/>
              <w:autoSpaceDE/>
              <w:autoSpaceDN/>
              <w:bidi w:val="0"/>
              <w:snapToGrid/>
              <w:spacing w:before="71" w:line="300" w:lineRule="exact"/>
              <w:ind w:left="183" w:leftChars="0" w:right="169" w:rightChars="0" w:hanging="5" w:firstLineChars="0"/>
              <w:textAlignment w:val="auto"/>
              <w:rPr>
                <w:color w:val="FF0000"/>
                <w:sz w:val="22"/>
                <w:szCs w:val="22"/>
              </w:rPr>
            </w:pPr>
            <w:r>
              <w:rPr>
                <w:color w:val="000000" w:themeColor="text1"/>
                <w:spacing w:val="-3"/>
                <w:sz w:val="22"/>
                <w:szCs w:val="22"/>
                <w14:textFill>
                  <w14:solidFill>
                    <w14:schemeClr w14:val="tx1"/>
                  </w14:solidFill>
                </w14:textFill>
              </w:rPr>
              <w:t>技术部分</w:t>
            </w:r>
            <w:r>
              <w:rPr>
                <w:color w:val="000000" w:themeColor="text1"/>
                <w:spacing w:val="2"/>
                <w:sz w:val="22"/>
                <w:szCs w:val="22"/>
                <w14:textFill>
                  <w14:solidFill>
                    <w14:schemeClr w14:val="tx1"/>
                  </w14:solidFill>
                </w14:textFill>
              </w:rPr>
              <w:t xml:space="preserve"> </w:t>
            </w:r>
            <w:r>
              <w:rPr>
                <w:color w:val="000000" w:themeColor="text1"/>
                <w:spacing w:val="-3"/>
                <w:sz w:val="22"/>
                <w:szCs w:val="22"/>
                <w14:textFill>
                  <w14:solidFill>
                    <w14:schemeClr w14:val="tx1"/>
                  </w14:solidFill>
                </w14:textFill>
              </w:rPr>
              <w:t>（</w:t>
            </w:r>
            <w:r>
              <w:rPr>
                <w:rFonts w:hint="eastAsia" w:eastAsia="宋体"/>
                <w:color w:val="000000" w:themeColor="text1"/>
                <w:spacing w:val="-3"/>
                <w:sz w:val="22"/>
                <w:szCs w:val="22"/>
                <w:lang w:val="en-US" w:eastAsia="zh-CN"/>
                <w14:textFill>
                  <w14:solidFill>
                    <w14:schemeClr w14:val="tx1"/>
                  </w14:solidFill>
                </w14:textFill>
              </w:rPr>
              <w:t>60</w:t>
            </w:r>
            <w:r>
              <w:rPr>
                <w:color w:val="000000" w:themeColor="text1"/>
                <w:spacing w:val="-3"/>
                <w:sz w:val="22"/>
                <w:szCs w:val="22"/>
                <w14:textFill>
                  <w14:solidFill>
                    <w14:schemeClr w14:val="tx1"/>
                  </w14:solidFill>
                </w14:textFill>
              </w:rPr>
              <w:t>分）</w:t>
            </w:r>
          </w:p>
        </w:tc>
        <w:tc>
          <w:tcPr>
            <w:tcW w:w="1323" w:type="dxa"/>
            <w:vAlign w:val="top"/>
          </w:tcPr>
          <w:p w14:paraId="2EE35129">
            <w:pPr>
              <w:pStyle w:val="57"/>
              <w:keepNext w:val="0"/>
              <w:keepLines w:val="0"/>
              <w:pageBreakBefore w:val="0"/>
              <w:kinsoku/>
              <w:wordWrap/>
              <w:overflowPunct/>
              <w:topLinePunct w:val="0"/>
              <w:autoSpaceDE/>
              <w:autoSpaceDN/>
              <w:bidi w:val="0"/>
              <w:snapToGrid/>
              <w:spacing w:before="72" w:line="300" w:lineRule="exact"/>
              <w:jc w:val="center"/>
              <w:textAlignment w:val="auto"/>
              <w:rPr>
                <w:rFonts w:hint="eastAsia"/>
                <w:color w:val="000000" w:themeColor="text1"/>
                <w:sz w:val="22"/>
                <w:szCs w:val="22"/>
                <w14:textFill>
                  <w14:solidFill>
                    <w14:schemeClr w14:val="tx1"/>
                  </w14:solidFill>
                </w14:textFill>
              </w:rPr>
            </w:pPr>
          </w:p>
          <w:p w14:paraId="2F83E300">
            <w:pPr>
              <w:pStyle w:val="57"/>
              <w:keepNext w:val="0"/>
              <w:keepLines w:val="0"/>
              <w:pageBreakBefore w:val="0"/>
              <w:kinsoku/>
              <w:wordWrap/>
              <w:overflowPunct/>
              <w:topLinePunct w:val="0"/>
              <w:autoSpaceDE/>
              <w:autoSpaceDN/>
              <w:bidi w:val="0"/>
              <w:snapToGrid/>
              <w:spacing w:before="72" w:line="300" w:lineRule="exact"/>
              <w:jc w:val="center"/>
              <w:textAlignment w:val="auto"/>
              <w:rPr>
                <w:rFonts w:hint="eastAsia"/>
                <w:color w:val="000000" w:themeColor="text1"/>
                <w:sz w:val="22"/>
                <w:szCs w:val="22"/>
                <w14:textFill>
                  <w14:solidFill>
                    <w14:schemeClr w14:val="tx1"/>
                  </w14:solidFill>
                </w14:textFill>
              </w:rPr>
            </w:pPr>
          </w:p>
          <w:p w14:paraId="3E6AE376">
            <w:pPr>
              <w:pStyle w:val="57"/>
              <w:keepNext w:val="0"/>
              <w:keepLines w:val="0"/>
              <w:pageBreakBefore w:val="0"/>
              <w:kinsoku/>
              <w:wordWrap/>
              <w:overflowPunct/>
              <w:topLinePunct w:val="0"/>
              <w:autoSpaceDE/>
              <w:autoSpaceDN/>
              <w:bidi w:val="0"/>
              <w:snapToGrid/>
              <w:spacing w:before="72" w:line="300" w:lineRule="exact"/>
              <w:jc w:val="center"/>
              <w:textAlignment w:val="auto"/>
              <w:rPr>
                <w:color w:val="FF0000"/>
                <w:sz w:val="22"/>
                <w:szCs w:val="22"/>
              </w:rPr>
            </w:pPr>
            <w:r>
              <w:rPr>
                <w:rFonts w:hint="eastAsia"/>
                <w:color w:val="000000" w:themeColor="text1"/>
                <w:sz w:val="22"/>
                <w:szCs w:val="22"/>
                <w14:textFill>
                  <w14:solidFill>
                    <w14:schemeClr w14:val="tx1"/>
                  </w14:solidFill>
                </w14:textFill>
              </w:rPr>
              <w:t>综合实力</w:t>
            </w:r>
          </w:p>
        </w:tc>
        <w:tc>
          <w:tcPr>
            <w:tcW w:w="5920" w:type="dxa"/>
            <w:vAlign w:val="top"/>
          </w:tcPr>
          <w:p w14:paraId="5F0276D5">
            <w:pPr>
              <w:pStyle w:val="57"/>
              <w:keepNext w:val="0"/>
              <w:keepLines w:val="0"/>
              <w:pageBreakBefore w:val="0"/>
              <w:kinsoku/>
              <w:wordWrap/>
              <w:overflowPunct/>
              <w:topLinePunct w:val="0"/>
              <w:autoSpaceDE/>
              <w:autoSpaceDN/>
              <w:bidi w:val="0"/>
              <w:snapToGrid/>
              <w:spacing w:before="21" w:line="300" w:lineRule="exact"/>
              <w:ind w:left="8"/>
              <w:textAlignment w:val="auto"/>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①投标人内部管理制度规范健全、组织分工明确、管理人员管控措施和工作信息收集、反馈等服务质量保证措施完备得</w:t>
            </w:r>
            <w:r>
              <w:rPr>
                <w:rFonts w:hint="eastAsia" w:eastAsia="宋体"/>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 xml:space="preserve"> 分。</w:t>
            </w:r>
          </w:p>
          <w:p w14:paraId="4BE1AC8F">
            <w:pPr>
              <w:pStyle w:val="57"/>
              <w:keepNext w:val="0"/>
              <w:keepLines w:val="0"/>
              <w:pageBreakBefore w:val="0"/>
              <w:kinsoku/>
              <w:wordWrap/>
              <w:overflowPunct/>
              <w:topLinePunct w:val="0"/>
              <w:autoSpaceDE/>
              <w:autoSpaceDN/>
              <w:bidi w:val="0"/>
              <w:snapToGrid/>
              <w:spacing w:before="21" w:line="300" w:lineRule="exact"/>
              <w:textAlignment w:val="auto"/>
              <w:rPr>
                <w:rFonts w:hint="eastAsia" w:eastAsia="宋体"/>
                <w:color w:val="FF0000"/>
                <w:sz w:val="22"/>
                <w:szCs w:val="22"/>
                <w:lang w:val="en-US" w:eastAsia="zh-CN"/>
              </w:rPr>
            </w:pPr>
            <w:r>
              <w:rPr>
                <w:rFonts w:hint="eastAsia"/>
                <w:color w:val="000000" w:themeColor="text1"/>
                <w:sz w:val="22"/>
                <w:szCs w:val="22"/>
                <w14:textFill>
                  <w14:solidFill>
                    <w14:schemeClr w14:val="tx1"/>
                  </w14:solidFill>
                </w14:textFill>
              </w:rPr>
              <w:t xml:space="preserve">②用户单位反馈意见，情况良好，信誉度较高，近三年售后反馈意见良好,每提供 1个，得 0.5 分，最多得 </w:t>
            </w:r>
            <w:r>
              <w:rPr>
                <w:rFonts w:hint="eastAsia" w:eastAsia="宋体"/>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 xml:space="preserve"> 分。</w:t>
            </w:r>
            <w:r>
              <w:rPr>
                <w:rFonts w:hint="eastAsia" w:eastAsia="宋体"/>
                <w:color w:val="000000" w:themeColor="text1"/>
                <w:sz w:val="22"/>
                <w:szCs w:val="22"/>
                <w:lang w:val="en-US" w:eastAsia="zh-CN"/>
                <w14:textFill>
                  <w14:solidFill>
                    <w14:schemeClr w14:val="tx1"/>
                  </w14:solidFill>
                </w14:textFill>
              </w:rPr>
              <w:t>未提供不得分。</w:t>
            </w:r>
          </w:p>
        </w:tc>
        <w:tc>
          <w:tcPr>
            <w:tcW w:w="680" w:type="dxa"/>
            <w:vAlign w:val="top"/>
          </w:tcPr>
          <w:p w14:paraId="5BBDC92E">
            <w:pPr>
              <w:pStyle w:val="57"/>
              <w:keepNext w:val="0"/>
              <w:keepLines w:val="0"/>
              <w:pageBreakBefore w:val="0"/>
              <w:kinsoku/>
              <w:wordWrap/>
              <w:overflowPunct/>
              <w:topLinePunct w:val="0"/>
              <w:autoSpaceDE/>
              <w:autoSpaceDN/>
              <w:bidi w:val="0"/>
              <w:snapToGrid/>
              <w:spacing w:before="71" w:line="300" w:lineRule="exact"/>
              <w:textAlignment w:val="auto"/>
              <w:rPr>
                <w:rFonts w:hint="eastAsia" w:eastAsia="宋体"/>
                <w:color w:val="000000" w:themeColor="text1"/>
                <w:sz w:val="22"/>
                <w:szCs w:val="22"/>
                <w:lang w:val="en-US" w:eastAsia="zh-CN"/>
                <w14:textFill>
                  <w14:solidFill>
                    <w14:schemeClr w14:val="tx1"/>
                  </w14:solidFill>
                </w14:textFill>
              </w:rPr>
            </w:pPr>
          </w:p>
          <w:p w14:paraId="18254A42">
            <w:pPr>
              <w:pStyle w:val="57"/>
              <w:keepNext w:val="0"/>
              <w:keepLines w:val="0"/>
              <w:pageBreakBefore w:val="0"/>
              <w:kinsoku/>
              <w:wordWrap/>
              <w:overflowPunct/>
              <w:topLinePunct w:val="0"/>
              <w:autoSpaceDE/>
              <w:autoSpaceDN/>
              <w:bidi w:val="0"/>
              <w:snapToGrid/>
              <w:spacing w:before="71" w:line="300" w:lineRule="exact"/>
              <w:ind w:left="272" w:leftChars="0"/>
              <w:textAlignment w:val="auto"/>
              <w:rPr>
                <w:rFonts w:hint="eastAsia" w:eastAsia="宋体"/>
                <w:color w:val="FF0000"/>
                <w:sz w:val="22"/>
                <w:szCs w:val="22"/>
                <w:lang w:eastAsia="zh-CN"/>
              </w:rPr>
            </w:pPr>
            <w:r>
              <w:rPr>
                <w:rFonts w:hint="eastAsia" w:eastAsia="宋体"/>
                <w:color w:val="000000" w:themeColor="text1"/>
                <w:sz w:val="22"/>
                <w:szCs w:val="22"/>
                <w:lang w:val="en-US" w:eastAsia="zh-CN"/>
                <w14:textFill>
                  <w14:solidFill>
                    <w14:schemeClr w14:val="tx1"/>
                  </w14:solidFill>
                </w14:textFill>
              </w:rPr>
              <w:t>4</w:t>
            </w:r>
          </w:p>
        </w:tc>
      </w:tr>
      <w:tr w14:paraId="22A7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1115" w:type="dxa"/>
            <w:vMerge w:val="continue"/>
            <w:vAlign w:val="top"/>
          </w:tcPr>
          <w:p w14:paraId="0B8E3932">
            <w:pPr>
              <w:keepNext w:val="0"/>
              <w:keepLines w:val="0"/>
              <w:pageBreakBefore w:val="0"/>
              <w:kinsoku/>
              <w:wordWrap/>
              <w:overflowPunct/>
              <w:topLinePunct w:val="0"/>
              <w:autoSpaceDE/>
              <w:autoSpaceDN/>
              <w:bidi w:val="0"/>
              <w:snapToGrid/>
              <w:spacing w:line="300" w:lineRule="exact"/>
              <w:textAlignment w:val="auto"/>
              <w:rPr>
                <w:rFonts w:ascii="Arial"/>
                <w:color w:val="FF0000"/>
                <w:sz w:val="21"/>
              </w:rPr>
            </w:pPr>
          </w:p>
        </w:tc>
        <w:tc>
          <w:tcPr>
            <w:tcW w:w="1323" w:type="dxa"/>
            <w:vAlign w:val="top"/>
          </w:tcPr>
          <w:p w14:paraId="7F7F91F8">
            <w:pPr>
              <w:pStyle w:val="57"/>
              <w:keepNext w:val="0"/>
              <w:keepLines w:val="0"/>
              <w:pageBreakBefore w:val="0"/>
              <w:kinsoku/>
              <w:wordWrap/>
              <w:overflowPunct/>
              <w:topLinePunct w:val="0"/>
              <w:autoSpaceDE/>
              <w:autoSpaceDN/>
              <w:bidi w:val="0"/>
              <w:snapToGrid/>
              <w:spacing w:before="72" w:line="300" w:lineRule="exact"/>
              <w:jc w:val="center"/>
              <w:textAlignment w:val="auto"/>
              <w:rPr>
                <w:rFonts w:hint="eastAsia" w:ascii="宋体" w:hAnsi="宋体" w:cs="宋体"/>
                <w:color w:val="000000" w:themeColor="text1"/>
                <w:sz w:val="21"/>
                <w:szCs w:val="21"/>
                <w14:textFill>
                  <w14:solidFill>
                    <w14:schemeClr w14:val="tx1"/>
                  </w14:solidFill>
                </w14:textFill>
              </w:rPr>
            </w:pPr>
          </w:p>
          <w:p w14:paraId="1FF019A9">
            <w:pPr>
              <w:pStyle w:val="57"/>
              <w:keepNext w:val="0"/>
              <w:keepLines w:val="0"/>
              <w:pageBreakBefore w:val="0"/>
              <w:kinsoku/>
              <w:wordWrap/>
              <w:overflowPunct/>
              <w:topLinePunct w:val="0"/>
              <w:autoSpaceDE/>
              <w:autoSpaceDN/>
              <w:bidi w:val="0"/>
              <w:snapToGrid/>
              <w:spacing w:before="72" w:line="300" w:lineRule="exact"/>
              <w:jc w:val="center"/>
              <w:textAlignment w:val="auto"/>
              <w:rPr>
                <w:rFonts w:hint="eastAsia" w:ascii="宋体" w:hAnsi="宋体" w:cs="宋体"/>
                <w:color w:val="000000" w:themeColor="text1"/>
                <w:sz w:val="21"/>
                <w:szCs w:val="21"/>
                <w14:textFill>
                  <w14:solidFill>
                    <w14:schemeClr w14:val="tx1"/>
                  </w14:solidFill>
                </w14:textFill>
              </w:rPr>
            </w:pPr>
          </w:p>
          <w:p w14:paraId="63F4E7BB">
            <w:pPr>
              <w:pStyle w:val="57"/>
              <w:keepNext w:val="0"/>
              <w:keepLines w:val="0"/>
              <w:pageBreakBefore w:val="0"/>
              <w:kinsoku/>
              <w:wordWrap/>
              <w:overflowPunct/>
              <w:topLinePunct w:val="0"/>
              <w:autoSpaceDE/>
              <w:autoSpaceDN/>
              <w:bidi w:val="0"/>
              <w:snapToGrid/>
              <w:spacing w:before="72" w:line="300" w:lineRule="exact"/>
              <w:jc w:val="center"/>
              <w:textAlignment w:val="auto"/>
              <w:rPr>
                <w:rFonts w:hint="eastAsia" w:ascii="宋体" w:hAnsi="宋体" w:cs="宋体"/>
                <w:color w:val="000000" w:themeColor="text1"/>
                <w:sz w:val="21"/>
                <w:szCs w:val="21"/>
                <w14:textFill>
                  <w14:solidFill>
                    <w14:schemeClr w14:val="tx1"/>
                  </w14:solidFill>
                </w14:textFill>
              </w:rPr>
            </w:pPr>
          </w:p>
          <w:p w14:paraId="5C5212DD">
            <w:pPr>
              <w:pStyle w:val="57"/>
              <w:keepNext w:val="0"/>
              <w:keepLines w:val="0"/>
              <w:pageBreakBefore w:val="0"/>
              <w:kinsoku/>
              <w:wordWrap/>
              <w:overflowPunct/>
              <w:topLinePunct w:val="0"/>
              <w:autoSpaceDE/>
              <w:autoSpaceDN/>
              <w:bidi w:val="0"/>
              <w:snapToGrid/>
              <w:spacing w:before="72" w:line="300" w:lineRule="exact"/>
              <w:jc w:val="center"/>
              <w:textAlignment w:val="auto"/>
              <w:rPr>
                <w:rFonts w:hint="eastAsia" w:ascii="宋体" w:hAnsi="宋体" w:cs="宋体"/>
                <w:color w:val="000000" w:themeColor="text1"/>
                <w:sz w:val="21"/>
                <w:szCs w:val="21"/>
                <w14:textFill>
                  <w14:solidFill>
                    <w14:schemeClr w14:val="tx1"/>
                  </w14:solidFill>
                </w14:textFill>
              </w:rPr>
            </w:pPr>
          </w:p>
          <w:p w14:paraId="2AEB6242">
            <w:pPr>
              <w:pStyle w:val="57"/>
              <w:keepNext w:val="0"/>
              <w:keepLines w:val="0"/>
              <w:pageBreakBefore w:val="0"/>
              <w:kinsoku/>
              <w:wordWrap/>
              <w:overflowPunct/>
              <w:topLinePunct w:val="0"/>
              <w:autoSpaceDE/>
              <w:autoSpaceDN/>
              <w:bidi w:val="0"/>
              <w:snapToGrid/>
              <w:spacing w:before="72" w:line="300" w:lineRule="exact"/>
              <w:jc w:val="center"/>
              <w:textAlignment w:val="auto"/>
              <w:rPr>
                <w:color w:val="FF0000"/>
                <w:sz w:val="22"/>
                <w:szCs w:val="22"/>
              </w:rPr>
            </w:pPr>
            <w:r>
              <w:rPr>
                <w:rFonts w:hint="eastAsia" w:ascii="宋体" w:hAnsi="宋体" w:cs="宋体"/>
                <w:color w:val="000000" w:themeColor="text1"/>
                <w:sz w:val="21"/>
                <w:szCs w:val="21"/>
                <w14:textFill>
                  <w14:solidFill>
                    <w14:schemeClr w14:val="tx1"/>
                  </w14:solidFill>
                </w14:textFill>
              </w:rPr>
              <w:t>配置及性能指标</w:t>
            </w:r>
          </w:p>
        </w:tc>
        <w:tc>
          <w:tcPr>
            <w:tcW w:w="5920" w:type="dxa"/>
            <w:vAlign w:val="top"/>
          </w:tcPr>
          <w:p w14:paraId="1FF43A57">
            <w:pPr>
              <w:pStyle w:val="57"/>
              <w:keepNext w:val="0"/>
              <w:keepLines w:val="0"/>
              <w:pageBreakBefore w:val="0"/>
              <w:kinsoku/>
              <w:wordWrap/>
              <w:overflowPunct/>
              <w:topLinePunct w:val="0"/>
              <w:autoSpaceDE/>
              <w:autoSpaceDN/>
              <w:bidi w:val="0"/>
              <w:snapToGrid/>
              <w:spacing w:before="21" w:line="300" w:lineRule="exact"/>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技术参数，每有一项不满足扣 </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 xml:space="preserve">分，本项共 </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14:textFill>
                  <w14:solidFill>
                    <w14:schemeClr w14:val="tx1"/>
                  </w14:solidFill>
                </w14:textFill>
              </w:rPr>
              <w:t xml:space="preserve"> 分，扣完为止。</w:t>
            </w:r>
          </w:p>
          <w:p w14:paraId="21113774">
            <w:pPr>
              <w:pStyle w:val="57"/>
              <w:keepNext w:val="0"/>
              <w:keepLines w:val="0"/>
              <w:pageBreakBefore w:val="0"/>
              <w:kinsoku/>
              <w:wordWrap/>
              <w:overflowPunct/>
              <w:topLinePunct w:val="0"/>
              <w:autoSpaceDE/>
              <w:autoSpaceDN/>
              <w:bidi w:val="0"/>
              <w:snapToGrid/>
              <w:spacing w:before="21" w:line="300" w:lineRule="exact"/>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注：负偏离评审依据： ①所提供产品技术参数要求低于招标文件要求的，视为负偏离；</w:t>
            </w:r>
          </w:p>
          <w:p w14:paraId="5E671E80">
            <w:pPr>
              <w:pStyle w:val="57"/>
              <w:keepNext w:val="0"/>
              <w:keepLines w:val="0"/>
              <w:pageBreakBefore w:val="0"/>
              <w:kinsoku/>
              <w:wordWrap/>
              <w:overflowPunct/>
              <w:topLinePunct w:val="0"/>
              <w:autoSpaceDE/>
              <w:autoSpaceDN/>
              <w:bidi w:val="0"/>
              <w:snapToGrid/>
              <w:spacing w:before="21" w:line="300" w:lineRule="exact"/>
              <w:ind w:left="8" w:leftChars="0"/>
              <w:textAlignment w:val="auto"/>
              <w:rPr>
                <w:color w:val="FF0000"/>
                <w:sz w:val="22"/>
                <w:szCs w:val="22"/>
              </w:rPr>
            </w:pPr>
            <w:r>
              <w:rPr>
                <w:rFonts w:hint="eastAsia" w:ascii="宋体" w:hAnsi="宋体" w:cs="宋体"/>
                <w:color w:val="000000" w:themeColor="text1"/>
                <w:sz w:val="21"/>
                <w:szCs w:val="21"/>
                <w14:textFill>
                  <w14:solidFill>
                    <w14:schemeClr w14:val="tx1"/>
                  </w14:solidFill>
                </w14:textFill>
              </w:rPr>
              <w:t>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产品检测报告（包括不限于产品彩页、厂家官方网站公布的截图、产品说明书、技术白皮书等任意一种资料）描述的同一产品技术参数响应值不一致的，视为负偏离；</w:t>
            </w:r>
          </w:p>
        </w:tc>
        <w:tc>
          <w:tcPr>
            <w:tcW w:w="680" w:type="dxa"/>
            <w:vAlign w:val="top"/>
          </w:tcPr>
          <w:p w14:paraId="7DFEA182">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5FBFD191">
            <w:pPr>
              <w:pStyle w:val="57"/>
              <w:keepNext w:val="0"/>
              <w:keepLines w:val="0"/>
              <w:pageBreakBefore w:val="0"/>
              <w:kinsoku/>
              <w:wordWrap/>
              <w:overflowPunct/>
              <w:topLinePunct w:val="0"/>
              <w:autoSpaceDE/>
              <w:autoSpaceDN/>
              <w:bidi w:val="0"/>
              <w:snapToGrid/>
              <w:spacing w:before="71" w:line="300" w:lineRule="exact"/>
              <w:ind w:left="272"/>
              <w:textAlignment w:val="auto"/>
              <w:rPr>
                <w:rFonts w:hint="eastAsia" w:eastAsia="宋体"/>
                <w:color w:val="000000" w:themeColor="text1"/>
                <w:spacing w:val="-6"/>
                <w:sz w:val="22"/>
                <w:szCs w:val="22"/>
                <w:lang w:val="en-US" w:eastAsia="zh-CN"/>
                <w14:textFill>
                  <w14:solidFill>
                    <w14:schemeClr w14:val="tx1"/>
                  </w14:solidFill>
                </w14:textFill>
              </w:rPr>
            </w:pPr>
          </w:p>
          <w:p w14:paraId="464BBC0D">
            <w:pPr>
              <w:pStyle w:val="57"/>
              <w:keepNext w:val="0"/>
              <w:keepLines w:val="0"/>
              <w:pageBreakBefore w:val="0"/>
              <w:kinsoku/>
              <w:wordWrap/>
              <w:overflowPunct/>
              <w:topLinePunct w:val="0"/>
              <w:autoSpaceDE/>
              <w:autoSpaceDN/>
              <w:bidi w:val="0"/>
              <w:snapToGrid/>
              <w:spacing w:before="71" w:line="300" w:lineRule="exact"/>
              <w:ind w:left="272"/>
              <w:textAlignment w:val="auto"/>
              <w:rPr>
                <w:rFonts w:hint="eastAsia" w:eastAsia="宋体"/>
                <w:color w:val="000000" w:themeColor="text1"/>
                <w:spacing w:val="-6"/>
                <w:sz w:val="22"/>
                <w:szCs w:val="22"/>
                <w:lang w:val="en-US" w:eastAsia="zh-CN"/>
                <w14:textFill>
                  <w14:solidFill>
                    <w14:schemeClr w14:val="tx1"/>
                  </w14:solidFill>
                </w14:textFill>
              </w:rPr>
            </w:pPr>
          </w:p>
          <w:p w14:paraId="0A219A34">
            <w:pPr>
              <w:pStyle w:val="57"/>
              <w:keepNext w:val="0"/>
              <w:keepLines w:val="0"/>
              <w:pageBreakBefore w:val="0"/>
              <w:kinsoku/>
              <w:wordWrap/>
              <w:overflowPunct/>
              <w:topLinePunct w:val="0"/>
              <w:autoSpaceDE/>
              <w:autoSpaceDN/>
              <w:bidi w:val="0"/>
              <w:snapToGrid/>
              <w:spacing w:before="71" w:line="300" w:lineRule="exact"/>
              <w:ind w:left="272"/>
              <w:textAlignment w:val="auto"/>
              <w:rPr>
                <w:rFonts w:hint="eastAsia" w:eastAsia="宋体"/>
                <w:color w:val="000000" w:themeColor="text1"/>
                <w:spacing w:val="-6"/>
                <w:sz w:val="22"/>
                <w:szCs w:val="22"/>
                <w:lang w:val="en-US" w:eastAsia="zh-CN"/>
                <w14:textFill>
                  <w14:solidFill>
                    <w14:schemeClr w14:val="tx1"/>
                  </w14:solidFill>
                </w14:textFill>
              </w:rPr>
            </w:pPr>
          </w:p>
          <w:p w14:paraId="6A49B241">
            <w:pPr>
              <w:pStyle w:val="57"/>
              <w:keepNext w:val="0"/>
              <w:keepLines w:val="0"/>
              <w:pageBreakBefore w:val="0"/>
              <w:kinsoku/>
              <w:wordWrap/>
              <w:overflowPunct/>
              <w:topLinePunct w:val="0"/>
              <w:autoSpaceDE/>
              <w:autoSpaceDN/>
              <w:bidi w:val="0"/>
              <w:snapToGrid/>
              <w:spacing w:before="71" w:line="300" w:lineRule="exact"/>
              <w:ind w:left="272"/>
              <w:textAlignment w:val="auto"/>
              <w:rPr>
                <w:rFonts w:hint="eastAsia" w:eastAsia="宋体"/>
                <w:color w:val="000000" w:themeColor="text1"/>
                <w:spacing w:val="-6"/>
                <w:sz w:val="22"/>
                <w:szCs w:val="22"/>
                <w:lang w:val="en-US" w:eastAsia="zh-CN"/>
                <w14:textFill>
                  <w14:solidFill>
                    <w14:schemeClr w14:val="tx1"/>
                  </w14:solidFill>
                </w14:textFill>
              </w:rPr>
            </w:pPr>
          </w:p>
          <w:p w14:paraId="2DBA627C">
            <w:pPr>
              <w:pStyle w:val="57"/>
              <w:keepNext w:val="0"/>
              <w:keepLines w:val="0"/>
              <w:pageBreakBefore w:val="0"/>
              <w:kinsoku/>
              <w:wordWrap/>
              <w:overflowPunct/>
              <w:topLinePunct w:val="0"/>
              <w:autoSpaceDE/>
              <w:autoSpaceDN/>
              <w:bidi w:val="0"/>
              <w:snapToGrid/>
              <w:spacing w:before="71" w:line="300" w:lineRule="exact"/>
              <w:ind w:left="272" w:leftChars="0"/>
              <w:textAlignment w:val="auto"/>
              <w:rPr>
                <w:rFonts w:hint="default" w:eastAsia="宋体"/>
                <w:color w:val="FF0000"/>
                <w:sz w:val="22"/>
                <w:szCs w:val="22"/>
                <w:lang w:val="en-US" w:eastAsia="zh-CN"/>
              </w:rPr>
            </w:pPr>
            <w:r>
              <w:rPr>
                <w:rFonts w:hint="eastAsia" w:eastAsia="宋体"/>
                <w:color w:val="000000" w:themeColor="text1"/>
                <w:spacing w:val="-6"/>
                <w:sz w:val="22"/>
                <w:szCs w:val="22"/>
                <w:lang w:val="en-US" w:eastAsia="zh-CN"/>
                <w14:textFill>
                  <w14:solidFill>
                    <w14:schemeClr w14:val="tx1"/>
                  </w14:solidFill>
                </w14:textFill>
              </w:rPr>
              <w:t>10</w:t>
            </w:r>
          </w:p>
        </w:tc>
      </w:tr>
      <w:tr w14:paraId="2201E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115" w:type="dxa"/>
            <w:vMerge w:val="continue"/>
            <w:vAlign w:val="top"/>
          </w:tcPr>
          <w:p w14:paraId="2376A8B0">
            <w:pPr>
              <w:keepNext w:val="0"/>
              <w:keepLines w:val="0"/>
              <w:pageBreakBefore w:val="0"/>
              <w:kinsoku/>
              <w:wordWrap/>
              <w:overflowPunct/>
              <w:topLinePunct w:val="0"/>
              <w:autoSpaceDE/>
              <w:autoSpaceDN/>
              <w:bidi w:val="0"/>
              <w:snapToGrid/>
              <w:spacing w:line="300" w:lineRule="exact"/>
              <w:textAlignment w:val="auto"/>
              <w:rPr>
                <w:rFonts w:ascii="Arial"/>
                <w:color w:val="FF0000"/>
                <w:sz w:val="21"/>
              </w:rPr>
            </w:pPr>
          </w:p>
        </w:tc>
        <w:tc>
          <w:tcPr>
            <w:tcW w:w="1323" w:type="dxa"/>
            <w:vAlign w:val="top"/>
          </w:tcPr>
          <w:p w14:paraId="27B4D3ED">
            <w:pPr>
              <w:keepNext w:val="0"/>
              <w:keepLines w:val="0"/>
              <w:pageBreakBefore w:val="0"/>
              <w:kinsoku/>
              <w:wordWrap/>
              <w:overflowPunct/>
              <w:topLinePunct w:val="0"/>
              <w:autoSpaceDE/>
              <w:autoSpaceDN/>
              <w:bidi w:val="0"/>
              <w:snapToGrid/>
              <w:spacing w:line="300" w:lineRule="exact"/>
              <w:jc w:val="both"/>
              <w:textAlignment w:val="auto"/>
              <w:rPr>
                <w:rFonts w:ascii="Arial"/>
                <w:color w:val="000000" w:themeColor="text1"/>
                <w:sz w:val="21"/>
                <w14:textFill>
                  <w14:solidFill>
                    <w14:schemeClr w14:val="tx1"/>
                  </w14:solidFill>
                </w14:textFill>
              </w:rPr>
            </w:pPr>
          </w:p>
          <w:p w14:paraId="30768D34">
            <w:pPr>
              <w:pStyle w:val="57"/>
              <w:keepNext w:val="0"/>
              <w:keepLines w:val="0"/>
              <w:pageBreakBefore w:val="0"/>
              <w:kinsoku/>
              <w:wordWrap/>
              <w:overflowPunct/>
              <w:topLinePunct w:val="0"/>
              <w:autoSpaceDE/>
              <w:autoSpaceDN/>
              <w:bidi w:val="0"/>
              <w:snapToGrid/>
              <w:spacing w:before="71" w:line="300" w:lineRule="exact"/>
              <w:ind w:left="398" w:leftChars="0" w:right="66" w:rightChars="0" w:hanging="327" w:firstLineChars="0"/>
              <w:jc w:val="left"/>
              <w:textAlignment w:val="auto"/>
              <w:rPr>
                <w:color w:val="FF0000"/>
                <w:spacing w:val="-2"/>
                <w:sz w:val="22"/>
                <w:szCs w:val="22"/>
              </w:rPr>
            </w:pPr>
            <w:r>
              <w:rPr>
                <w:rFonts w:hint="eastAsia" w:eastAsia="宋体"/>
                <w:color w:val="000000" w:themeColor="text1"/>
                <w:spacing w:val="-2"/>
                <w:sz w:val="22"/>
                <w:szCs w:val="22"/>
                <w:lang w:val="en-US" w:eastAsia="zh-CN"/>
                <w14:textFill>
                  <w14:solidFill>
                    <w14:schemeClr w14:val="tx1"/>
                  </w14:solidFill>
                </w14:textFill>
              </w:rPr>
              <w:t>项目实施方案</w:t>
            </w:r>
          </w:p>
        </w:tc>
        <w:tc>
          <w:tcPr>
            <w:tcW w:w="5920" w:type="dxa"/>
            <w:vAlign w:val="top"/>
          </w:tcPr>
          <w:p w14:paraId="3BC9F1A5">
            <w:pPr>
              <w:pStyle w:val="57"/>
              <w:keepNext w:val="0"/>
              <w:keepLines w:val="0"/>
              <w:pageBreakBefore w:val="0"/>
              <w:kinsoku/>
              <w:wordWrap/>
              <w:overflowPunct/>
              <w:topLinePunct w:val="0"/>
              <w:autoSpaceDE/>
              <w:autoSpaceDN/>
              <w:bidi w:val="0"/>
              <w:snapToGrid/>
              <w:spacing w:before="22" w:line="300" w:lineRule="exact"/>
              <w:textAlignment w:val="auto"/>
              <w:rPr>
                <w:color w:val="FF0000"/>
                <w:spacing w:val="-1"/>
                <w:sz w:val="22"/>
                <w:szCs w:val="22"/>
              </w:rPr>
            </w:pPr>
            <w:r>
              <w:rPr>
                <w:rFonts w:hint="eastAsia"/>
                <w:color w:val="000000" w:themeColor="text1"/>
                <w:spacing w:val="-1"/>
                <w:sz w:val="22"/>
                <w:szCs w:val="22"/>
                <w14:textFill>
                  <w14:solidFill>
                    <w14:schemeClr w14:val="tx1"/>
                  </w14:solidFill>
                </w14:textFill>
              </w:rPr>
              <w:t>对投标人所提供的项目实施方案（包括但不限于</w:t>
            </w:r>
            <w:r>
              <w:rPr>
                <w:rFonts w:hint="eastAsia" w:eastAsia="宋体"/>
                <w:color w:val="000000" w:themeColor="text1"/>
                <w:spacing w:val="-1"/>
                <w:sz w:val="22"/>
                <w:szCs w:val="22"/>
                <w:lang w:val="en-US" w:eastAsia="zh-CN"/>
                <w14:textFill>
                  <w14:solidFill>
                    <w14:schemeClr w14:val="tx1"/>
                  </w14:solidFill>
                </w14:textFill>
              </w:rPr>
              <w:t>1.</w:t>
            </w:r>
            <w:r>
              <w:rPr>
                <w:rFonts w:hint="eastAsia"/>
                <w:color w:val="000000" w:themeColor="text1"/>
                <w:spacing w:val="-1"/>
                <w:sz w:val="22"/>
                <w:szCs w:val="22"/>
                <w14:textFill>
                  <w14:solidFill>
                    <w14:schemeClr w14:val="tx1"/>
                  </w14:solidFill>
                </w14:textFill>
              </w:rPr>
              <w:t>供货计划安排、</w:t>
            </w:r>
            <w:r>
              <w:rPr>
                <w:rFonts w:hint="eastAsia" w:eastAsia="宋体"/>
                <w:color w:val="000000" w:themeColor="text1"/>
                <w:spacing w:val="-1"/>
                <w:sz w:val="22"/>
                <w:szCs w:val="22"/>
                <w:lang w:val="en-US" w:eastAsia="zh-CN"/>
                <w14:textFill>
                  <w14:solidFill>
                    <w14:schemeClr w14:val="tx1"/>
                  </w14:solidFill>
                </w14:textFill>
              </w:rPr>
              <w:t>2.</w:t>
            </w:r>
            <w:r>
              <w:rPr>
                <w:rFonts w:hint="eastAsia"/>
                <w:color w:val="000000" w:themeColor="text1"/>
                <w:spacing w:val="-1"/>
                <w:sz w:val="22"/>
                <w:szCs w:val="22"/>
                <w14:textFill>
                  <w14:solidFill>
                    <w14:schemeClr w14:val="tx1"/>
                  </w14:solidFill>
                </w14:textFill>
              </w:rPr>
              <w:t>运输安排、</w:t>
            </w:r>
            <w:r>
              <w:rPr>
                <w:rFonts w:hint="eastAsia" w:eastAsia="宋体"/>
                <w:color w:val="000000" w:themeColor="text1"/>
                <w:spacing w:val="-1"/>
                <w:sz w:val="22"/>
                <w:szCs w:val="22"/>
                <w:lang w:val="en-US" w:eastAsia="zh-CN"/>
                <w14:textFill>
                  <w14:solidFill>
                    <w14:schemeClr w14:val="tx1"/>
                  </w14:solidFill>
                </w14:textFill>
              </w:rPr>
              <w:t>3.</w:t>
            </w:r>
            <w:r>
              <w:rPr>
                <w:rFonts w:hint="eastAsia"/>
                <w:color w:val="000000" w:themeColor="text1"/>
                <w:spacing w:val="-1"/>
                <w:sz w:val="22"/>
                <w:szCs w:val="22"/>
                <w14:textFill>
                  <w14:solidFill>
                    <w14:schemeClr w14:val="tx1"/>
                  </w14:solidFill>
                </w14:textFill>
              </w:rPr>
              <w:t>安装调试方案、</w:t>
            </w:r>
            <w:r>
              <w:rPr>
                <w:rFonts w:hint="eastAsia" w:eastAsia="宋体"/>
                <w:color w:val="000000" w:themeColor="text1"/>
                <w:spacing w:val="-1"/>
                <w:sz w:val="22"/>
                <w:szCs w:val="22"/>
                <w:lang w:val="en-US" w:eastAsia="zh-CN"/>
                <w14:textFill>
                  <w14:solidFill>
                    <w14:schemeClr w14:val="tx1"/>
                  </w14:solidFill>
                </w14:textFill>
              </w:rPr>
              <w:t>4.</w:t>
            </w:r>
            <w:r>
              <w:rPr>
                <w:rFonts w:hint="eastAsia"/>
                <w:color w:val="000000" w:themeColor="text1"/>
                <w:spacing w:val="-1"/>
                <w:sz w:val="22"/>
                <w:szCs w:val="22"/>
                <w14:textFill>
                  <w14:solidFill>
                    <w14:schemeClr w14:val="tx1"/>
                  </w14:solidFill>
                </w14:textFill>
              </w:rPr>
              <w:t>设备交付、</w:t>
            </w:r>
            <w:r>
              <w:rPr>
                <w:rFonts w:hint="eastAsia" w:eastAsia="宋体"/>
                <w:color w:val="000000" w:themeColor="text1"/>
                <w:spacing w:val="-1"/>
                <w:sz w:val="22"/>
                <w:szCs w:val="22"/>
                <w:lang w:val="en-US" w:eastAsia="zh-CN"/>
                <w14:textFill>
                  <w14:solidFill>
                    <w14:schemeClr w14:val="tx1"/>
                  </w14:solidFill>
                </w14:textFill>
              </w:rPr>
              <w:t>5.</w:t>
            </w:r>
            <w:r>
              <w:rPr>
                <w:rFonts w:hint="eastAsia"/>
                <w:color w:val="000000" w:themeColor="text1"/>
                <w:spacing w:val="-1"/>
                <w:sz w:val="22"/>
                <w:szCs w:val="22"/>
                <w14:textFill>
                  <w14:solidFill>
                    <w14:schemeClr w14:val="tx1"/>
                  </w14:solidFill>
                </w14:textFill>
              </w:rPr>
              <w:t>备品备件库</w:t>
            </w:r>
            <w:r>
              <w:rPr>
                <w:rFonts w:hint="eastAsia" w:eastAsia="宋体"/>
                <w:color w:val="000000" w:themeColor="text1"/>
                <w:spacing w:val="-1"/>
                <w:sz w:val="22"/>
                <w:szCs w:val="22"/>
                <w:lang w:val="en-US" w:eastAsia="zh-CN"/>
                <w14:textFill>
                  <w14:solidFill>
                    <w14:schemeClr w14:val="tx1"/>
                  </w14:solidFill>
                </w14:textFill>
              </w:rPr>
              <w:t>及</w:t>
            </w:r>
            <w:r>
              <w:rPr>
                <w:rFonts w:hint="eastAsia"/>
                <w:color w:val="000000" w:themeColor="text1"/>
                <w:spacing w:val="-1"/>
                <w:sz w:val="22"/>
                <w:szCs w:val="22"/>
                <w14:textFill>
                  <w14:solidFill>
                    <w14:schemeClr w14:val="tx1"/>
                  </w14:solidFill>
                </w14:textFill>
              </w:rPr>
              <w:t>人员配备计划等内容）进行综合评价</w:t>
            </w:r>
            <w:r>
              <w:rPr>
                <w:rFonts w:hint="eastAsia" w:eastAsia="宋体"/>
                <w:color w:val="000000" w:themeColor="text1"/>
                <w:spacing w:val="-1"/>
                <w:sz w:val="22"/>
                <w:szCs w:val="22"/>
                <w:lang w:eastAsia="zh-CN"/>
                <w14:textFill>
                  <w14:solidFill>
                    <w14:schemeClr w14:val="tx1"/>
                  </w14:solidFill>
                </w14:textFill>
              </w:rPr>
              <w:t>。</w:t>
            </w:r>
            <w:r>
              <w:rPr>
                <w:rFonts w:hint="eastAsia" w:ascii="宋体" w:hAnsi="宋体" w:eastAsia="宋体" w:cs="Times New Roman"/>
                <w:color w:val="000000" w:themeColor="text1"/>
                <w:sz w:val="21"/>
                <w:szCs w:val="21"/>
                <w:lang w:val="en-US" w:eastAsia="zh-CN"/>
                <w14:textFill>
                  <w14:solidFill>
                    <w14:schemeClr w14:val="tx1"/>
                  </w14:solidFill>
                </w14:textFill>
              </w:rPr>
              <w:t>每提供一项得3分，满分15分。</w:t>
            </w:r>
            <w:r>
              <w:rPr>
                <w:rFonts w:hint="default" w:ascii="宋体" w:hAnsi="宋体" w:eastAsia="宋体" w:cs="Times New Roman"/>
                <w:color w:val="000000" w:themeColor="text1"/>
                <w:sz w:val="21"/>
                <w:szCs w:val="21"/>
                <w:lang w:val="en-US" w:eastAsia="zh-CN"/>
                <w14:textFill>
                  <w14:solidFill>
                    <w14:schemeClr w14:val="tx1"/>
                  </w14:solidFill>
                </w14:textFill>
              </w:rPr>
              <w:t xml:space="preserve">未提供或不满足要求的不得分。 </w:t>
            </w:r>
          </w:p>
        </w:tc>
        <w:tc>
          <w:tcPr>
            <w:tcW w:w="680" w:type="dxa"/>
            <w:vAlign w:val="top"/>
          </w:tcPr>
          <w:p w14:paraId="7425E726">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49138821">
            <w:pPr>
              <w:keepNext w:val="0"/>
              <w:keepLines w:val="0"/>
              <w:pageBreakBefore w:val="0"/>
              <w:kinsoku/>
              <w:wordWrap/>
              <w:overflowPunct/>
              <w:topLinePunct w:val="0"/>
              <w:autoSpaceDE/>
              <w:autoSpaceDN/>
              <w:bidi w:val="0"/>
              <w:snapToGrid/>
              <w:spacing w:line="300" w:lineRule="exact"/>
              <w:textAlignment w:val="auto"/>
              <w:rPr>
                <w:rFonts w:ascii="Arial"/>
                <w:color w:val="000000" w:themeColor="text1"/>
                <w:sz w:val="21"/>
                <w14:textFill>
                  <w14:solidFill>
                    <w14:schemeClr w14:val="tx1"/>
                  </w14:solidFill>
                </w14:textFill>
              </w:rPr>
            </w:pPr>
          </w:p>
          <w:p w14:paraId="64AB3987">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default" w:eastAsia="宋体"/>
                <w:color w:val="FF0000"/>
                <w:spacing w:val="-13"/>
                <w:sz w:val="22"/>
                <w:szCs w:val="22"/>
                <w:lang w:val="en-US" w:eastAsia="zh-CN"/>
              </w:rPr>
            </w:pPr>
            <w:r>
              <w:rPr>
                <w:rFonts w:hint="eastAsia" w:eastAsia="宋体"/>
                <w:color w:val="000000" w:themeColor="text1"/>
                <w:spacing w:val="-13"/>
                <w:sz w:val="22"/>
                <w:szCs w:val="22"/>
                <w:lang w:val="en-US" w:eastAsia="zh-CN"/>
                <w14:textFill>
                  <w14:solidFill>
                    <w14:schemeClr w14:val="tx1"/>
                  </w14:solidFill>
                </w14:textFill>
              </w:rPr>
              <w:t>15</w:t>
            </w:r>
          </w:p>
        </w:tc>
      </w:tr>
      <w:tr w14:paraId="3B399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115" w:type="dxa"/>
            <w:vMerge w:val="continue"/>
            <w:vAlign w:val="top"/>
          </w:tcPr>
          <w:p w14:paraId="7D2D4D8C">
            <w:pPr>
              <w:keepNext w:val="0"/>
              <w:keepLines w:val="0"/>
              <w:pageBreakBefore w:val="0"/>
              <w:kinsoku/>
              <w:wordWrap/>
              <w:overflowPunct/>
              <w:topLinePunct w:val="0"/>
              <w:autoSpaceDE/>
              <w:autoSpaceDN/>
              <w:bidi w:val="0"/>
              <w:snapToGrid/>
              <w:spacing w:line="300" w:lineRule="exact"/>
              <w:textAlignment w:val="auto"/>
              <w:rPr>
                <w:rFonts w:ascii="Arial"/>
                <w:color w:val="FF0000"/>
                <w:sz w:val="21"/>
              </w:rPr>
            </w:pPr>
          </w:p>
        </w:tc>
        <w:tc>
          <w:tcPr>
            <w:tcW w:w="1323" w:type="dxa"/>
            <w:vAlign w:val="top"/>
          </w:tcPr>
          <w:p w14:paraId="6E988A22">
            <w:pPr>
              <w:pStyle w:val="57"/>
              <w:keepNext w:val="0"/>
              <w:keepLines w:val="0"/>
              <w:pageBreakBefore w:val="0"/>
              <w:kinsoku/>
              <w:wordWrap/>
              <w:overflowPunct/>
              <w:topLinePunct w:val="0"/>
              <w:autoSpaceDE/>
              <w:autoSpaceDN/>
              <w:bidi w:val="0"/>
              <w:snapToGrid/>
              <w:spacing w:before="71" w:line="300" w:lineRule="exact"/>
              <w:ind w:right="66" w:rightChars="0"/>
              <w:jc w:val="left"/>
              <w:textAlignment w:val="auto"/>
              <w:rPr>
                <w:color w:val="FF0000"/>
                <w:spacing w:val="-2"/>
                <w:sz w:val="22"/>
                <w:szCs w:val="22"/>
              </w:rPr>
            </w:pPr>
            <w:r>
              <w:rPr>
                <w:rFonts w:hint="eastAsia" w:eastAsia="宋体" w:cs="Arial"/>
                <w:color w:val="000000" w:themeColor="text1"/>
                <w:spacing w:val="-2"/>
                <w:kern w:val="2"/>
                <w:sz w:val="22"/>
                <w:szCs w:val="22"/>
                <w:lang w:val="en-US" w:eastAsia="zh-CN" w:bidi="ar-SA"/>
                <w14:textFill>
                  <w14:solidFill>
                    <w14:schemeClr w14:val="tx1"/>
                  </w14:solidFill>
                </w14:textFill>
              </w:rPr>
              <w:t>验收方案、质量保证方案</w:t>
            </w:r>
          </w:p>
        </w:tc>
        <w:tc>
          <w:tcPr>
            <w:tcW w:w="5920" w:type="dxa"/>
            <w:vAlign w:val="top"/>
          </w:tcPr>
          <w:p w14:paraId="55FBD36D">
            <w:pPr>
              <w:pStyle w:val="57"/>
              <w:keepNext w:val="0"/>
              <w:keepLines w:val="0"/>
              <w:pageBreakBefore w:val="0"/>
              <w:kinsoku/>
              <w:wordWrap/>
              <w:overflowPunct/>
              <w:topLinePunct w:val="0"/>
              <w:autoSpaceDE/>
              <w:autoSpaceDN/>
              <w:bidi w:val="0"/>
              <w:snapToGrid/>
              <w:spacing w:before="22" w:line="300" w:lineRule="exact"/>
              <w:ind w:left="13"/>
              <w:textAlignment w:val="auto"/>
              <w:rPr>
                <w:color w:val="FF0000"/>
                <w:spacing w:val="-1"/>
                <w:sz w:val="22"/>
                <w:szCs w:val="22"/>
              </w:rPr>
            </w:pPr>
            <w:r>
              <w:rPr>
                <w:rFonts w:hint="eastAsia"/>
                <w:color w:val="000000" w:themeColor="text1"/>
                <w:spacing w:val="-1"/>
                <w:sz w:val="22"/>
                <w:szCs w:val="22"/>
                <w14:textFill>
                  <w14:solidFill>
                    <w14:schemeClr w14:val="tx1"/>
                  </w14:solidFill>
                </w14:textFill>
              </w:rPr>
              <w:t>对投标人所提供的</w:t>
            </w:r>
            <w:r>
              <w:rPr>
                <w:rFonts w:hint="eastAsia" w:eastAsia="宋体"/>
                <w:color w:val="000000" w:themeColor="text1"/>
                <w:spacing w:val="-1"/>
                <w:sz w:val="22"/>
                <w:szCs w:val="22"/>
                <w:lang w:val="en-US" w:eastAsia="zh-CN"/>
                <w14:textFill>
                  <w14:solidFill>
                    <w14:schemeClr w14:val="tx1"/>
                  </w14:solidFill>
                </w14:textFill>
              </w:rPr>
              <w:t>1.</w:t>
            </w:r>
            <w:r>
              <w:rPr>
                <w:rFonts w:hint="eastAsia"/>
                <w:color w:val="000000" w:themeColor="text1"/>
                <w:spacing w:val="-1"/>
                <w:sz w:val="22"/>
                <w:szCs w:val="22"/>
                <w14:textFill>
                  <w14:solidFill>
                    <w14:schemeClr w14:val="tx1"/>
                  </w14:solidFill>
                </w14:textFill>
              </w:rPr>
              <w:t>项目验收方案、</w:t>
            </w:r>
            <w:r>
              <w:rPr>
                <w:rFonts w:hint="eastAsia" w:eastAsia="宋体"/>
                <w:color w:val="000000" w:themeColor="text1"/>
                <w:spacing w:val="-1"/>
                <w:sz w:val="22"/>
                <w:szCs w:val="22"/>
                <w:lang w:val="en-US" w:eastAsia="zh-CN"/>
                <w14:textFill>
                  <w14:solidFill>
                    <w14:schemeClr w14:val="tx1"/>
                  </w14:solidFill>
                </w14:textFill>
              </w:rPr>
              <w:t>2.</w:t>
            </w:r>
            <w:r>
              <w:rPr>
                <w:rFonts w:hint="eastAsia"/>
                <w:color w:val="000000" w:themeColor="text1"/>
                <w:spacing w:val="-1"/>
                <w:sz w:val="22"/>
                <w:szCs w:val="22"/>
                <w14:textFill>
                  <w14:solidFill>
                    <w14:schemeClr w14:val="tx1"/>
                  </w14:solidFill>
                </w14:textFill>
              </w:rPr>
              <w:t>质量保证方案进行综合评价：</w:t>
            </w:r>
            <w:r>
              <w:rPr>
                <w:rFonts w:hint="eastAsia" w:ascii="宋体" w:hAnsi="宋体" w:eastAsia="宋体" w:cs="Times New Roman"/>
                <w:color w:val="000000" w:themeColor="text1"/>
                <w:sz w:val="21"/>
                <w:szCs w:val="21"/>
                <w:lang w:val="en-US" w:eastAsia="zh-CN"/>
                <w14:textFill>
                  <w14:solidFill>
                    <w14:schemeClr w14:val="tx1"/>
                  </w14:solidFill>
                </w14:textFill>
              </w:rPr>
              <w:t>每提供一项得3分，满分6分。</w:t>
            </w:r>
            <w:r>
              <w:rPr>
                <w:rFonts w:hint="default" w:ascii="宋体" w:hAnsi="宋体" w:eastAsia="宋体" w:cs="Times New Roman"/>
                <w:color w:val="000000" w:themeColor="text1"/>
                <w:sz w:val="21"/>
                <w:szCs w:val="21"/>
                <w:lang w:val="en-US" w:eastAsia="zh-CN"/>
                <w14:textFill>
                  <w14:solidFill>
                    <w14:schemeClr w14:val="tx1"/>
                  </w14:solidFill>
                </w14:textFill>
              </w:rPr>
              <w:t xml:space="preserve">未提供或不满足要求的不得分。 </w:t>
            </w:r>
          </w:p>
        </w:tc>
        <w:tc>
          <w:tcPr>
            <w:tcW w:w="680" w:type="dxa"/>
            <w:vAlign w:val="top"/>
          </w:tcPr>
          <w:p w14:paraId="0FB35197">
            <w:pPr>
              <w:pStyle w:val="57"/>
              <w:keepNext w:val="0"/>
              <w:keepLines w:val="0"/>
              <w:pageBreakBefore w:val="0"/>
              <w:kinsoku/>
              <w:wordWrap/>
              <w:overflowPunct/>
              <w:topLinePunct w:val="0"/>
              <w:autoSpaceDE/>
              <w:autoSpaceDN/>
              <w:bidi w:val="0"/>
              <w:snapToGrid/>
              <w:spacing w:before="71" w:line="300" w:lineRule="exact"/>
              <w:ind w:firstLine="388" w:firstLineChars="200"/>
              <w:textAlignment w:val="auto"/>
              <w:rPr>
                <w:rFonts w:hint="eastAsia" w:eastAsia="宋体"/>
                <w:color w:val="FF0000"/>
                <w:spacing w:val="-13"/>
                <w:sz w:val="22"/>
                <w:szCs w:val="22"/>
                <w:lang w:val="en-US" w:eastAsia="zh-CN"/>
              </w:rPr>
            </w:pPr>
            <w:r>
              <w:rPr>
                <w:rFonts w:hint="eastAsia" w:eastAsia="宋体"/>
                <w:color w:val="000000" w:themeColor="text1"/>
                <w:spacing w:val="-13"/>
                <w:sz w:val="22"/>
                <w:szCs w:val="22"/>
                <w:lang w:val="en-US" w:eastAsia="zh-CN"/>
                <w14:textFill>
                  <w14:solidFill>
                    <w14:schemeClr w14:val="tx1"/>
                  </w14:solidFill>
                </w14:textFill>
              </w:rPr>
              <w:t>6</w:t>
            </w:r>
          </w:p>
        </w:tc>
      </w:tr>
      <w:tr w14:paraId="131EC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15" w:type="dxa"/>
            <w:vMerge w:val="continue"/>
            <w:vAlign w:val="top"/>
          </w:tcPr>
          <w:p w14:paraId="63A40AF9">
            <w:pPr>
              <w:keepNext w:val="0"/>
              <w:keepLines w:val="0"/>
              <w:pageBreakBefore w:val="0"/>
              <w:kinsoku/>
              <w:wordWrap/>
              <w:overflowPunct/>
              <w:topLinePunct w:val="0"/>
              <w:autoSpaceDE/>
              <w:autoSpaceDN/>
              <w:bidi w:val="0"/>
              <w:snapToGrid/>
              <w:spacing w:line="300" w:lineRule="exact"/>
              <w:textAlignment w:val="auto"/>
              <w:rPr>
                <w:rFonts w:ascii="Arial"/>
                <w:color w:val="FF0000"/>
                <w:sz w:val="21"/>
              </w:rPr>
            </w:pPr>
          </w:p>
        </w:tc>
        <w:tc>
          <w:tcPr>
            <w:tcW w:w="1323" w:type="dxa"/>
            <w:vAlign w:val="top"/>
          </w:tcPr>
          <w:p w14:paraId="18626DFD">
            <w:pPr>
              <w:pStyle w:val="57"/>
              <w:keepNext w:val="0"/>
              <w:keepLines w:val="0"/>
              <w:pageBreakBefore w:val="0"/>
              <w:kinsoku/>
              <w:wordWrap/>
              <w:overflowPunct/>
              <w:topLinePunct w:val="0"/>
              <w:autoSpaceDE/>
              <w:autoSpaceDN/>
              <w:bidi w:val="0"/>
              <w:snapToGrid/>
              <w:spacing w:before="71" w:line="300" w:lineRule="exact"/>
              <w:ind w:right="66"/>
              <w:jc w:val="left"/>
              <w:textAlignment w:val="auto"/>
              <w:rPr>
                <w:color w:val="000000" w:themeColor="text1"/>
                <w:spacing w:val="-2"/>
                <w:sz w:val="22"/>
                <w:szCs w:val="22"/>
                <w14:textFill>
                  <w14:solidFill>
                    <w14:schemeClr w14:val="tx1"/>
                  </w14:solidFill>
                </w14:textFill>
              </w:rPr>
            </w:pPr>
          </w:p>
          <w:p w14:paraId="1A77534E">
            <w:pPr>
              <w:pStyle w:val="57"/>
              <w:keepNext w:val="0"/>
              <w:keepLines w:val="0"/>
              <w:pageBreakBefore w:val="0"/>
              <w:kinsoku/>
              <w:wordWrap/>
              <w:overflowPunct/>
              <w:topLinePunct w:val="0"/>
              <w:autoSpaceDE/>
              <w:autoSpaceDN/>
              <w:bidi w:val="0"/>
              <w:snapToGrid/>
              <w:spacing w:before="71" w:line="300" w:lineRule="exact"/>
              <w:ind w:left="398" w:leftChars="0" w:right="66" w:rightChars="0" w:hanging="327" w:firstLineChars="0"/>
              <w:jc w:val="left"/>
              <w:textAlignment w:val="auto"/>
              <w:rPr>
                <w:rFonts w:ascii="Arial" w:hAnsi="Times New Roman" w:eastAsia="宋体" w:cs="Times New Roman"/>
                <w:color w:val="FF0000"/>
                <w:kern w:val="2"/>
                <w:sz w:val="22"/>
                <w:szCs w:val="22"/>
                <w:lang w:val="en-US" w:eastAsia="zh-CN" w:bidi="ar-SA"/>
              </w:rPr>
            </w:pPr>
            <w:r>
              <w:rPr>
                <w:rFonts w:hint="eastAsia"/>
                <w:color w:val="000000" w:themeColor="text1"/>
                <w:spacing w:val="-2"/>
                <w:sz w:val="22"/>
                <w:szCs w:val="22"/>
                <w14:textFill>
                  <w14:solidFill>
                    <w14:schemeClr w14:val="tx1"/>
                  </w14:solidFill>
                </w14:textFill>
              </w:rPr>
              <w:t>培训方案</w:t>
            </w:r>
          </w:p>
        </w:tc>
        <w:tc>
          <w:tcPr>
            <w:tcW w:w="5920" w:type="dxa"/>
            <w:vAlign w:val="top"/>
          </w:tcPr>
          <w:p w14:paraId="156A4A65">
            <w:pPr>
              <w:pStyle w:val="63"/>
              <w:keepNext w:val="0"/>
              <w:keepLines w:val="0"/>
              <w:pageBreakBefore w:val="0"/>
              <w:kinsoku/>
              <w:wordWrap/>
              <w:overflowPunct/>
              <w:topLinePunct w:val="0"/>
              <w:autoSpaceDE/>
              <w:autoSpaceDN/>
              <w:bidi w:val="0"/>
              <w:snapToGrid/>
              <w:spacing w:before="0" w:after="0" w:line="300" w:lineRule="exact"/>
              <w:ind w:firstLine="0"/>
              <w:textAlignment w:val="auto"/>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根据1.培训方案及培训时间、2.培训计划、3.培训人员的完整性、可行性、科学性等方面进行评审：内容自拟，条例清晰，针对性强且符合本项目要求。每提供一项得3分，满分9分。</w:t>
            </w:r>
          </w:p>
        </w:tc>
        <w:tc>
          <w:tcPr>
            <w:tcW w:w="680" w:type="dxa"/>
            <w:vAlign w:val="top"/>
          </w:tcPr>
          <w:p w14:paraId="705B9C2A">
            <w:pPr>
              <w:pStyle w:val="57"/>
              <w:keepNext w:val="0"/>
              <w:keepLines w:val="0"/>
              <w:pageBreakBefore w:val="0"/>
              <w:kinsoku/>
              <w:wordWrap/>
              <w:overflowPunct/>
              <w:topLinePunct w:val="0"/>
              <w:autoSpaceDE/>
              <w:autoSpaceDN/>
              <w:bidi w:val="0"/>
              <w:snapToGrid/>
              <w:spacing w:before="71" w:line="300" w:lineRule="exact"/>
              <w:ind w:left="285"/>
              <w:textAlignment w:val="auto"/>
              <w:rPr>
                <w:rFonts w:hint="eastAsia" w:eastAsia="宋体"/>
                <w:color w:val="000000" w:themeColor="text1"/>
                <w:spacing w:val="-13"/>
                <w:sz w:val="22"/>
                <w:szCs w:val="22"/>
                <w:lang w:val="en-US" w:eastAsia="zh-CN"/>
                <w14:textFill>
                  <w14:solidFill>
                    <w14:schemeClr w14:val="tx1"/>
                  </w14:solidFill>
                </w14:textFill>
              </w:rPr>
            </w:pPr>
          </w:p>
          <w:p w14:paraId="736B1FE9">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FF0000"/>
                <w:spacing w:val="-13"/>
                <w:sz w:val="22"/>
                <w:szCs w:val="22"/>
                <w:lang w:val="en-US" w:eastAsia="zh-CN"/>
              </w:rPr>
            </w:pPr>
            <w:r>
              <w:rPr>
                <w:rFonts w:hint="eastAsia" w:eastAsia="宋体"/>
                <w:color w:val="000000" w:themeColor="text1"/>
                <w:spacing w:val="-13"/>
                <w:sz w:val="22"/>
                <w:szCs w:val="22"/>
                <w:lang w:val="en-US" w:eastAsia="zh-CN"/>
                <w14:textFill>
                  <w14:solidFill>
                    <w14:schemeClr w14:val="tx1"/>
                  </w14:solidFill>
                </w14:textFill>
              </w:rPr>
              <w:t>9</w:t>
            </w:r>
          </w:p>
        </w:tc>
      </w:tr>
      <w:tr w14:paraId="2F18B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15" w:type="dxa"/>
            <w:vMerge w:val="continue"/>
            <w:vAlign w:val="top"/>
          </w:tcPr>
          <w:p w14:paraId="21E26B1A">
            <w:pPr>
              <w:keepNext w:val="0"/>
              <w:keepLines w:val="0"/>
              <w:pageBreakBefore w:val="0"/>
              <w:kinsoku/>
              <w:wordWrap/>
              <w:overflowPunct/>
              <w:topLinePunct w:val="0"/>
              <w:autoSpaceDE/>
              <w:autoSpaceDN/>
              <w:bidi w:val="0"/>
              <w:snapToGrid/>
              <w:spacing w:line="300" w:lineRule="exact"/>
              <w:textAlignment w:val="auto"/>
              <w:rPr>
                <w:rFonts w:ascii="Arial"/>
                <w:color w:val="FF0000"/>
                <w:sz w:val="21"/>
              </w:rPr>
            </w:pPr>
          </w:p>
        </w:tc>
        <w:tc>
          <w:tcPr>
            <w:tcW w:w="1323" w:type="dxa"/>
            <w:vAlign w:val="center"/>
          </w:tcPr>
          <w:p w14:paraId="2F107E6D">
            <w:pPr>
              <w:keepNext w:val="0"/>
              <w:keepLines w:val="0"/>
              <w:pageBreakBefore w:val="0"/>
              <w:kinsoku/>
              <w:wordWrap/>
              <w:overflowPunct/>
              <w:topLinePunct w:val="0"/>
              <w:autoSpaceDE/>
              <w:autoSpaceDN/>
              <w:bidi w:val="0"/>
              <w:snapToGrid/>
              <w:spacing w:line="300" w:lineRule="exact"/>
              <w:jc w:val="center"/>
              <w:textAlignment w:val="auto"/>
              <w:rPr>
                <w:rFonts w:ascii="Arial" w:hAnsi="Times New Roman" w:eastAsia="宋体" w:cs="Times New Roman"/>
                <w:color w:val="FF0000"/>
                <w:kern w:val="2"/>
                <w:sz w:val="22"/>
                <w:szCs w:val="22"/>
                <w:lang w:val="en-US" w:eastAsia="zh-CN" w:bidi="ar-SA"/>
              </w:rPr>
            </w:pPr>
            <w:r>
              <w:rPr>
                <w:rFonts w:hint="eastAsia" w:ascii="Arial" w:cs="Times New Roman"/>
                <w:color w:val="000000" w:themeColor="text1"/>
                <w:kern w:val="2"/>
                <w:sz w:val="22"/>
                <w:szCs w:val="22"/>
                <w:lang w:val="en-US" w:eastAsia="zh-CN" w:bidi="ar-SA"/>
                <w14:textFill>
                  <w14:solidFill>
                    <w14:schemeClr w14:val="tx1"/>
                  </w14:solidFill>
                </w14:textFill>
              </w:rPr>
              <w:t>售后服务方案</w:t>
            </w:r>
          </w:p>
        </w:tc>
        <w:tc>
          <w:tcPr>
            <w:tcW w:w="5920" w:type="dxa"/>
            <w:vAlign w:val="center"/>
          </w:tcPr>
          <w:p w14:paraId="5C484EB6">
            <w:pPr>
              <w:pStyle w:val="63"/>
              <w:keepNext w:val="0"/>
              <w:keepLines w:val="0"/>
              <w:pageBreakBefore w:val="0"/>
              <w:kinsoku/>
              <w:wordWrap/>
              <w:overflowPunct/>
              <w:topLinePunct w:val="0"/>
              <w:autoSpaceDE/>
              <w:autoSpaceDN/>
              <w:bidi w:val="0"/>
              <w:snapToGrid/>
              <w:spacing w:before="0" w:after="0" w:line="300" w:lineRule="exact"/>
              <w:ind w:firstLine="0"/>
              <w:textAlignment w:val="auto"/>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 xml:space="preserve">投标人根据项目需求编写售后服务承诺和管理措施，包含： </w:t>
            </w:r>
          </w:p>
          <w:p w14:paraId="60DC9888">
            <w:pPr>
              <w:pStyle w:val="63"/>
              <w:keepNext w:val="0"/>
              <w:keepLines w:val="0"/>
              <w:pageBreakBefore w:val="0"/>
              <w:kinsoku/>
              <w:wordWrap/>
              <w:overflowPunct/>
              <w:topLinePunct w:val="0"/>
              <w:autoSpaceDE/>
              <w:autoSpaceDN/>
              <w:bidi w:val="0"/>
              <w:snapToGrid/>
              <w:spacing w:before="0" w:after="0" w:line="300" w:lineRule="exact"/>
              <w:ind w:firstLine="0"/>
              <w:textAlignment w:val="auto"/>
              <w:rPr>
                <w:rFonts w:hint="default" w:ascii="宋体" w:hAnsi="宋体" w:eastAsia="宋体" w:cs="Times New Roman"/>
                <w:color w:val="000000" w:themeColor="text1"/>
                <w:sz w:val="21"/>
                <w:szCs w:val="21"/>
                <w:lang w:val="en-US" w:eastAsia="zh-CN"/>
                <w14:textFill>
                  <w14:solidFill>
                    <w14:schemeClr w14:val="tx1"/>
                  </w14:solidFill>
                </w14:textFill>
              </w:rPr>
            </w:pPr>
            <w:r>
              <w:rPr>
                <w:rFonts w:hint="default" w:ascii="宋体" w:hAnsi="宋体" w:eastAsia="宋体" w:cs="Times New Roman"/>
                <w:color w:val="000000" w:themeColor="text1"/>
                <w:sz w:val="21"/>
                <w:szCs w:val="21"/>
                <w:lang w:val="en-US" w:eastAsia="zh-CN"/>
                <w14:textFill>
                  <w14:solidFill>
                    <w14:schemeClr w14:val="tx1"/>
                  </w14:solidFill>
                </w14:textFill>
              </w:rPr>
              <w:t>1、能提供 7×24 小时的电话响应售后服务（包括故障处理、上门维护、紧急维护、重要服务、电话维护、主动巡检等），出现一般性故障，接到维修通知后，在半小时内电话响应，在 8 小时内到达现场，在 24 小时内完成修复的得 3 分；</w:t>
            </w:r>
            <w:r>
              <w:rPr>
                <w:rFonts w:hint="eastAsia" w:ascii="宋体" w:hAnsi="宋体" w:eastAsia="宋体" w:cs="Times New Roman"/>
                <w:color w:val="000000" w:themeColor="text1"/>
                <w:sz w:val="21"/>
                <w:szCs w:val="21"/>
                <w:lang w:val="en-US" w:eastAsia="zh-CN"/>
                <w14:textFill>
                  <w14:solidFill>
                    <w14:schemeClr w14:val="tx1"/>
                  </w14:solidFill>
                </w14:textFill>
              </w:rPr>
              <w:t>（提供售后服务承诺）</w:t>
            </w:r>
          </w:p>
          <w:p w14:paraId="535CD077">
            <w:pPr>
              <w:pStyle w:val="63"/>
              <w:keepNext w:val="0"/>
              <w:keepLines w:val="0"/>
              <w:pageBreakBefore w:val="0"/>
              <w:kinsoku/>
              <w:wordWrap/>
              <w:overflowPunct/>
              <w:topLinePunct w:val="0"/>
              <w:autoSpaceDE/>
              <w:autoSpaceDN/>
              <w:bidi w:val="0"/>
              <w:snapToGrid/>
              <w:spacing w:before="0" w:after="0" w:line="300" w:lineRule="exact"/>
              <w:ind w:firstLine="0"/>
              <w:textAlignment w:val="auto"/>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default" w:ascii="宋体" w:hAnsi="宋体" w:eastAsia="宋体" w:cs="Times New Roman"/>
                <w:color w:val="000000" w:themeColor="text1"/>
                <w:sz w:val="21"/>
                <w:szCs w:val="21"/>
                <w:lang w:val="en-US" w:eastAsia="zh-CN"/>
                <w14:textFill>
                  <w14:solidFill>
                    <w14:schemeClr w14:val="tx1"/>
                  </w14:solidFill>
                </w14:textFill>
              </w:rPr>
              <w:t>2、提供每年 365 天的专业技术支持服务，随时解答解决采购人问题（提供</w:t>
            </w:r>
            <w:r>
              <w:rPr>
                <w:rFonts w:hint="eastAsia" w:ascii="宋体" w:hAnsi="宋体" w:eastAsia="宋体" w:cs="Times New Roman"/>
                <w:color w:val="000000" w:themeColor="text1"/>
                <w:sz w:val="21"/>
                <w:szCs w:val="21"/>
                <w:lang w:val="en-US" w:eastAsia="zh-CN"/>
                <w14:textFill>
                  <w14:solidFill>
                    <w14:schemeClr w14:val="tx1"/>
                  </w14:solidFill>
                </w14:textFill>
              </w:rPr>
              <w:t>承诺函、</w:t>
            </w:r>
            <w:r>
              <w:rPr>
                <w:rFonts w:hint="default" w:ascii="宋体" w:hAnsi="宋体" w:eastAsia="宋体" w:cs="Times New Roman"/>
                <w:color w:val="000000" w:themeColor="text1"/>
                <w:sz w:val="21"/>
                <w:szCs w:val="21"/>
                <w:lang w:val="en-US" w:eastAsia="zh-CN"/>
                <w14:textFill>
                  <w14:solidFill>
                    <w14:schemeClr w14:val="tx1"/>
                  </w14:solidFill>
                </w14:textFill>
              </w:rPr>
              <w:t xml:space="preserve">客户服务报告、客户服务质量考核评估、服务满意度调查单电话回访记录单等）的得 3 分； </w:t>
            </w:r>
          </w:p>
          <w:p w14:paraId="79E5CC46">
            <w:pPr>
              <w:pStyle w:val="63"/>
              <w:keepNext w:val="0"/>
              <w:keepLines w:val="0"/>
              <w:pageBreakBefore w:val="0"/>
              <w:kinsoku/>
              <w:wordWrap/>
              <w:overflowPunct/>
              <w:topLinePunct w:val="0"/>
              <w:autoSpaceDE/>
              <w:autoSpaceDN/>
              <w:bidi w:val="0"/>
              <w:snapToGrid/>
              <w:spacing w:before="0" w:after="0" w:line="300" w:lineRule="exact"/>
              <w:ind w:firstLine="0"/>
              <w:textAlignment w:val="auto"/>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default" w:ascii="宋体" w:hAnsi="宋体" w:eastAsia="宋体" w:cs="Times New Roman"/>
                <w:color w:val="000000" w:themeColor="text1"/>
                <w:sz w:val="21"/>
                <w:szCs w:val="21"/>
                <w:lang w:val="en-US" w:eastAsia="zh-CN"/>
                <w14:textFill>
                  <w14:solidFill>
                    <w14:schemeClr w14:val="tx1"/>
                  </w14:solidFill>
                </w14:textFill>
              </w:rPr>
              <w:t xml:space="preserve">3、制定质保期内日常保养的定期回访计划，有专门售后服务人员进行跟踪服务，在服务期间巡检、故障处理合理的得 </w:t>
            </w:r>
            <w:r>
              <w:rPr>
                <w:rFonts w:hint="eastAsia" w:ascii="宋体" w:hAnsi="宋体" w:eastAsia="宋体" w:cs="Times New Roman"/>
                <w:color w:val="000000" w:themeColor="text1"/>
                <w:sz w:val="21"/>
                <w:szCs w:val="21"/>
                <w:lang w:val="en-US" w:eastAsia="zh-CN"/>
                <w14:textFill>
                  <w14:solidFill>
                    <w14:schemeClr w14:val="tx1"/>
                  </w14:solidFill>
                </w14:textFill>
              </w:rPr>
              <w:t>3</w:t>
            </w:r>
            <w:r>
              <w:rPr>
                <w:rFonts w:hint="default" w:ascii="宋体" w:hAnsi="宋体" w:eastAsia="宋体" w:cs="Times New Roman"/>
                <w:color w:val="000000" w:themeColor="text1"/>
                <w:sz w:val="21"/>
                <w:szCs w:val="21"/>
                <w:lang w:val="en-US" w:eastAsia="zh-CN"/>
                <w14:textFill>
                  <w14:solidFill>
                    <w14:schemeClr w14:val="tx1"/>
                  </w14:solidFill>
                </w14:textFill>
              </w:rPr>
              <w:t xml:space="preserve"> 分；</w:t>
            </w:r>
            <w:r>
              <w:rPr>
                <w:rFonts w:hint="eastAsia" w:ascii="宋体" w:hAnsi="宋体" w:eastAsia="宋体" w:cs="Times New Roman"/>
                <w:color w:val="000000" w:themeColor="text1"/>
                <w:sz w:val="21"/>
                <w:szCs w:val="21"/>
                <w:lang w:val="en-US" w:eastAsia="zh-CN"/>
                <w14:textFill>
                  <w14:solidFill>
                    <w14:schemeClr w14:val="tx1"/>
                  </w14:solidFill>
                </w14:textFill>
              </w:rPr>
              <w:t>（提供售后服务承诺）</w:t>
            </w:r>
          </w:p>
          <w:p w14:paraId="6CD8F0BA">
            <w:pPr>
              <w:pStyle w:val="63"/>
              <w:keepNext w:val="0"/>
              <w:keepLines w:val="0"/>
              <w:pageBreakBefore w:val="0"/>
              <w:kinsoku/>
              <w:wordWrap/>
              <w:overflowPunct/>
              <w:topLinePunct w:val="0"/>
              <w:autoSpaceDE/>
              <w:autoSpaceDN/>
              <w:bidi w:val="0"/>
              <w:snapToGrid/>
              <w:spacing w:before="0" w:after="0" w:line="300" w:lineRule="exact"/>
              <w:ind w:firstLine="0"/>
              <w:textAlignment w:val="auto"/>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default" w:ascii="宋体" w:hAnsi="宋体" w:eastAsia="宋体" w:cs="Times New Roman"/>
                <w:color w:val="000000" w:themeColor="text1"/>
                <w:sz w:val="21"/>
                <w:szCs w:val="21"/>
                <w:lang w:val="en-US" w:eastAsia="zh-CN"/>
                <w14:textFill>
                  <w14:solidFill>
                    <w14:schemeClr w14:val="tx1"/>
                  </w14:solidFill>
                </w14:textFill>
              </w:rPr>
              <w:t xml:space="preserve">4、建立服务保障应急预案，方案对可能遇到的问题及其应对措施的考虑情况考虑周全的得 3 分； </w:t>
            </w:r>
            <w:r>
              <w:rPr>
                <w:rFonts w:hint="eastAsia" w:ascii="宋体" w:hAnsi="宋体" w:eastAsia="宋体" w:cs="Times New Roman"/>
                <w:color w:val="000000" w:themeColor="text1"/>
                <w:sz w:val="21"/>
                <w:szCs w:val="21"/>
                <w:lang w:val="en-US" w:eastAsia="zh-CN"/>
                <w14:textFill>
                  <w14:solidFill>
                    <w14:schemeClr w14:val="tx1"/>
                  </w14:solidFill>
                </w14:textFill>
              </w:rPr>
              <w:t>（提供售后服务承诺）</w:t>
            </w:r>
          </w:p>
          <w:p w14:paraId="24CACA5A">
            <w:pPr>
              <w:pStyle w:val="63"/>
              <w:keepNext w:val="0"/>
              <w:keepLines w:val="0"/>
              <w:pageBreakBefore w:val="0"/>
              <w:kinsoku/>
              <w:wordWrap/>
              <w:overflowPunct/>
              <w:topLinePunct w:val="0"/>
              <w:autoSpaceDE/>
              <w:autoSpaceDN/>
              <w:bidi w:val="0"/>
              <w:snapToGrid/>
              <w:spacing w:before="0" w:after="0" w:line="300" w:lineRule="exact"/>
              <w:ind w:firstLine="0"/>
              <w:textAlignment w:val="auto"/>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default" w:ascii="宋体" w:hAnsi="宋体" w:eastAsia="宋体" w:cs="Times New Roman"/>
                <w:color w:val="000000" w:themeColor="text1"/>
                <w:sz w:val="21"/>
                <w:szCs w:val="21"/>
                <w:lang w:val="en-US" w:eastAsia="zh-CN"/>
                <w14:textFill>
                  <w14:solidFill>
                    <w14:schemeClr w14:val="tx1"/>
                  </w14:solidFill>
                </w14:textFill>
              </w:rPr>
              <w:t>5、配备 1 名项目负责人，负责与采购人对接，对接处理技术及其他售后问题，以保证采购人的正常使用，项目负责人须具有相关工作经验，且在本单位缴纳社保，提供</w:t>
            </w:r>
            <w:r>
              <w:rPr>
                <w:rFonts w:hint="eastAsia" w:ascii="宋体" w:hAnsi="宋体" w:eastAsia="宋体" w:cs="Times New Roman"/>
                <w:color w:val="000000" w:themeColor="text1"/>
                <w:sz w:val="21"/>
                <w:szCs w:val="21"/>
                <w:lang w:val="en-US" w:eastAsia="zh-CN"/>
                <w14:textFill>
                  <w14:solidFill>
                    <w14:schemeClr w14:val="tx1"/>
                  </w14:solidFill>
                </w14:textFill>
              </w:rPr>
              <w:t>近1个月</w:t>
            </w:r>
            <w:r>
              <w:rPr>
                <w:rFonts w:hint="default" w:ascii="宋体" w:hAnsi="宋体" w:eastAsia="宋体" w:cs="Times New Roman"/>
                <w:color w:val="000000" w:themeColor="text1"/>
                <w:sz w:val="21"/>
                <w:szCs w:val="21"/>
                <w:lang w:val="en-US" w:eastAsia="zh-CN"/>
                <w14:textFill>
                  <w14:solidFill>
                    <w14:schemeClr w14:val="tx1"/>
                  </w14:solidFill>
                </w14:textFill>
              </w:rPr>
              <w:t xml:space="preserve">社保缴纳证明的得 3 分； </w:t>
            </w:r>
          </w:p>
          <w:p w14:paraId="74A4CAE8">
            <w:pPr>
              <w:pStyle w:val="63"/>
              <w:keepNext w:val="0"/>
              <w:keepLines w:val="0"/>
              <w:pageBreakBefore w:val="0"/>
              <w:kinsoku/>
              <w:wordWrap/>
              <w:overflowPunct/>
              <w:topLinePunct w:val="0"/>
              <w:autoSpaceDE/>
              <w:autoSpaceDN/>
              <w:bidi w:val="0"/>
              <w:snapToGrid/>
              <w:spacing w:before="0" w:after="0" w:line="300" w:lineRule="exact"/>
              <w:ind w:firstLine="0"/>
              <w:textAlignment w:val="auto"/>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default" w:ascii="宋体" w:hAnsi="宋体" w:eastAsia="宋体" w:cs="Times New Roman"/>
                <w:color w:val="000000" w:themeColor="text1"/>
                <w:sz w:val="21"/>
                <w:szCs w:val="21"/>
                <w:lang w:val="en-US" w:eastAsia="zh-CN"/>
                <w14:textFill>
                  <w14:solidFill>
                    <w14:schemeClr w14:val="tx1"/>
                  </w14:solidFill>
                </w14:textFill>
              </w:rPr>
              <w:t>以上</w:t>
            </w:r>
            <w:r>
              <w:rPr>
                <w:rFonts w:hint="eastAsia" w:ascii="宋体" w:hAnsi="宋体" w:eastAsia="宋体" w:cs="Times New Roman"/>
                <w:color w:val="000000" w:themeColor="text1"/>
                <w:sz w:val="21"/>
                <w:szCs w:val="21"/>
                <w:lang w:val="en-US" w:eastAsia="zh-CN"/>
                <w14:textFill>
                  <w14:solidFill>
                    <w14:schemeClr w14:val="tx1"/>
                  </w14:solidFill>
                </w14:textFill>
              </w:rPr>
              <w:t>每提供一项得3分，满分15分。</w:t>
            </w:r>
            <w:r>
              <w:rPr>
                <w:rFonts w:hint="default" w:ascii="宋体" w:hAnsi="宋体" w:eastAsia="宋体" w:cs="Times New Roman"/>
                <w:color w:val="000000" w:themeColor="text1"/>
                <w:sz w:val="21"/>
                <w:szCs w:val="21"/>
                <w:lang w:val="en-US" w:eastAsia="zh-CN"/>
                <w14:textFill>
                  <w14:solidFill>
                    <w14:schemeClr w14:val="tx1"/>
                  </w14:solidFill>
                </w14:textFill>
              </w:rPr>
              <w:t xml:space="preserve">未提供或不满足要求的不得分。 </w:t>
            </w:r>
          </w:p>
        </w:tc>
        <w:tc>
          <w:tcPr>
            <w:tcW w:w="680" w:type="dxa"/>
            <w:vAlign w:val="top"/>
          </w:tcPr>
          <w:p w14:paraId="55E07CA2">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2"/>
                <w:szCs w:val="22"/>
                <w:lang w:val="en-US" w:eastAsia="zh-CN"/>
                <w14:textFill>
                  <w14:solidFill>
                    <w14:schemeClr w14:val="tx1"/>
                  </w14:solidFill>
                </w14:textFill>
              </w:rPr>
            </w:pPr>
          </w:p>
          <w:p w14:paraId="34F1E159">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2"/>
                <w:szCs w:val="22"/>
                <w:lang w:val="en-US" w:eastAsia="zh-CN"/>
                <w14:textFill>
                  <w14:solidFill>
                    <w14:schemeClr w14:val="tx1"/>
                  </w14:solidFill>
                </w14:textFill>
              </w:rPr>
            </w:pPr>
          </w:p>
          <w:p w14:paraId="32173DAE">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2"/>
                <w:szCs w:val="22"/>
                <w:lang w:val="en-US" w:eastAsia="zh-CN"/>
                <w14:textFill>
                  <w14:solidFill>
                    <w14:schemeClr w14:val="tx1"/>
                  </w14:solidFill>
                </w14:textFill>
              </w:rPr>
            </w:pPr>
          </w:p>
          <w:p w14:paraId="6E468499">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2"/>
                <w:szCs w:val="22"/>
                <w:lang w:val="en-US" w:eastAsia="zh-CN"/>
                <w14:textFill>
                  <w14:solidFill>
                    <w14:schemeClr w14:val="tx1"/>
                  </w14:solidFill>
                </w14:textFill>
              </w:rPr>
            </w:pPr>
          </w:p>
          <w:p w14:paraId="3198FAAC">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2"/>
                <w:szCs w:val="22"/>
                <w:lang w:val="en-US" w:eastAsia="zh-CN"/>
                <w14:textFill>
                  <w14:solidFill>
                    <w14:schemeClr w14:val="tx1"/>
                  </w14:solidFill>
                </w14:textFill>
              </w:rPr>
            </w:pPr>
          </w:p>
          <w:p w14:paraId="33BAAD12">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2"/>
                <w:szCs w:val="22"/>
                <w:lang w:val="en-US" w:eastAsia="zh-CN"/>
                <w14:textFill>
                  <w14:solidFill>
                    <w14:schemeClr w14:val="tx1"/>
                  </w14:solidFill>
                </w14:textFill>
              </w:rPr>
            </w:pPr>
          </w:p>
          <w:p w14:paraId="0D9E0578">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2"/>
                <w:szCs w:val="22"/>
                <w:lang w:val="en-US" w:eastAsia="zh-CN"/>
                <w14:textFill>
                  <w14:solidFill>
                    <w14:schemeClr w14:val="tx1"/>
                  </w14:solidFill>
                </w14:textFill>
              </w:rPr>
            </w:pPr>
          </w:p>
          <w:p w14:paraId="34DFEB0A">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default" w:eastAsia="宋体"/>
                <w:color w:val="FF0000"/>
                <w:spacing w:val="-13"/>
                <w:sz w:val="22"/>
                <w:szCs w:val="22"/>
                <w:lang w:val="en-US" w:eastAsia="zh-CN"/>
              </w:rPr>
            </w:pPr>
            <w:r>
              <w:rPr>
                <w:rFonts w:hint="eastAsia" w:eastAsia="宋体"/>
                <w:color w:val="000000" w:themeColor="text1"/>
                <w:spacing w:val="-13"/>
                <w:sz w:val="22"/>
                <w:szCs w:val="22"/>
                <w:lang w:val="en-US" w:eastAsia="zh-CN"/>
                <w14:textFill>
                  <w14:solidFill>
                    <w14:schemeClr w14:val="tx1"/>
                  </w14:solidFill>
                </w14:textFill>
              </w:rPr>
              <w:t>15</w:t>
            </w:r>
          </w:p>
        </w:tc>
      </w:tr>
      <w:tr w14:paraId="7D0BA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15" w:type="dxa"/>
            <w:vMerge w:val="continue"/>
            <w:vAlign w:val="top"/>
          </w:tcPr>
          <w:p w14:paraId="5BA77F2C">
            <w:pPr>
              <w:keepNext w:val="0"/>
              <w:keepLines w:val="0"/>
              <w:pageBreakBefore w:val="0"/>
              <w:kinsoku/>
              <w:wordWrap/>
              <w:overflowPunct/>
              <w:topLinePunct w:val="0"/>
              <w:autoSpaceDE/>
              <w:autoSpaceDN/>
              <w:bidi w:val="0"/>
              <w:snapToGrid/>
              <w:spacing w:line="300" w:lineRule="exact"/>
              <w:textAlignment w:val="auto"/>
              <w:rPr>
                <w:rFonts w:ascii="Arial"/>
                <w:color w:val="FF0000"/>
                <w:sz w:val="21"/>
              </w:rPr>
            </w:pPr>
          </w:p>
        </w:tc>
        <w:tc>
          <w:tcPr>
            <w:tcW w:w="1323" w:type="dxa"/>
            <w:vAlign w:val="center"/>
          </w:tcPr>
          <w:p w14:paraId="68F03FA5">
            <w:pPr>
              <w:keepNext w:val="0"/>
              <w:keepLines w:val="0"/>
              <w:pageBreakBefore w:val="0"/>
              <w:kinsoku/>
              <w:wordWrap/>
              <w:overflowPunct/>
              <w:topLinePunct w:val="0"/>
              <w:autoSpaceDE/>
              <w:autoSpaceDN/>
              <w:bidi w:val="0"/>
              <w:snapToGrid/>
              <w:spacing w:line="300" w:lineRule="exact"/>
              <w:jc w:val="center"/>
              <w:textAlignment w:val="auto"/>
              <w:rPr>
                <w:rFonts w:ascii="Arial" w:hAnsi="Times New Roman" w:eastAsia="宋体" w:cs="Times New Roman"/>
                <w:color w:val="FF0000"/>
                <w:kern w:val="2"/>
                <w:sz w:val="22"/>
                <w:szCs w:val="22"/>
                <w:lang w:val="en-US" w:eastAsia="zh-CN" w:bidi="ar-SA"/>
              </w:rPr>
            </w:pPr>
            <w:r>
              <w:rPr>
                <w:rFonts w:hint="eastAsia" w:ascii="Arial"/>
                <w:color w:val="000000" w:themeColor="text1"/>
                <w:sz w:val="22"/>
                <w:szCs w:val="22"/>
                <w:lang w:val="en-US" w:eastAsia="zh-CN"/>
                <w14:textFill>
                  <w14:solidFill>
                    <w14:schemeClr w14:val="tx1"/>
                  </w14:solidFill>
                </w14:textFill>
              </w:rPr>
              <w:t>企业的承诺及优惠条件</w:t>
            </w:r>
          </w:p>
        </w:tc>
        <w:tc>
          <w:tcPr>
            <w:tcW w:w="5920" w:type="dxa"/>
            <w:vAlign w:val="center"/>
          </w:tcPr>
          <w:p w14:paraId="692733FC">
            <w:pPr>
              <w:keepNext w:val="0"/>
              <w:keepLines w:val="0"/>
              <w:pageBreakBefore w:val="0"/>
              <w:kinsoku/>
              <w:wordWrap/>
              <w:overflowPunct/>
              <w:topLinePunct w:val="0"/>
              <w:autoSpaceDE/>
              <w:autoSpaceDN/>
              <w:bidi w:val="0"/>
              <w:snapToGrid/>
              <w:spacing w:line="300" w:lineRule="exact"/>
              <w:textAlignment w:val="auto"/>
              <w:rPr>
                <w:rFonts w:ascii="Arial" w:hAnsi="Times New Roman" w:eastAsia="宋体" w:cs="Times New Roman"/>
                <w:color w:val="FF0000"/>
                <w:kern w:val="2"/>
                <w:sz w:val="22"/>
                <w:szCs w:val="22"/>
                <w:lang w:val="en-US" w:eastAsia="zh-CN" w:bidi="ar-SA"/>
              </w:rPr>
            </w:pPr>
            <w:r>
              <w:rPr>
                <w:rFonts w:hint="eastAsia" w:ascii="Arial"/>
                <w:color w:val="000000" w:themeColor="text1"/>
                <w:sz w:val="22"/>
                <w:szCs w:val="22"/>
                <w:lang w:val="en-US" w:eastAsia="zh-CN"/>
                <w14:textFill>
                  <w14:solidFill>
                    <w14:schemeClr w14:val="tx1"/>
                  </w14:solidFill>
                </w14:textFill>
              </w:rPr>
              <w:t>提供承诺和优惠条件得1分；没有不得分。</w:t>
            </w:r>
          </w:p>
        </w:tc>
        <w:tc>
          <w:tcPr>
            <w:tcW w:w="680" w:type="dxa"/>
            <w:vAlign w:val="top"/>
          </w:tcPr>
          <w:p w14:paraId="5C32BE09">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000000" w:themeColor="text1"/>
                <w:spacing w:val="-13"/>
                <w:sz w:val="22"/>
                <w:szCs w:val="22"/>
                <w:lang w:val="en-US" w:eastAsia="zh-CN"/>
                <w14:textFill>
                  <w14:solidFill>
                    <w14:schemeClr w14:val="tx1"/>
                  </w14:solidFill>
                </w14:textFill>
              </w:rPr>
            </w:pPr>
          </w:p>
          <w:p w14:paraId="78D64EDC">
            <w:pPr>
              <w:pStyle w:val="57"/>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eastAsia="宋体"/>
                <w:color w:val="FF0000"/>
                <w:spacing w:val="-13"/>
                <w:sz w:val="22"/>
                <w:szCs w:val="22"/>
                <w:lang w:val="en-US" w:eastAsia="zh-CN"/>
              </w:rPr>
            </w:pPr>
            <w:r>
              <w:rPr>
                <w:rFonts w:hint="eastAsia" w:eastAsia="宋体"/>
                <w:color w:val="000000" w:themeColor="text1"/>
                <w:spacing w:val="-13"/>
                <w:sz w:val="22"/>
                <w:szCs w:val="22"/>
                <w:lang w:val="en-US" w:eastAsia="zh-CN"/>
                <w14:textFill>
                  <w14:solidFill>
                    <w14:schemeClr w14:val="tx1"/>
                  </w14:solidFill>
                </w14:textFill>
              </w:rPr>
              <w:t>1</w:t>
            </w:r>
          </w:p>
        </w:tc>
      </w:tr>
    </w:tbl>
    <w:p w14:paraId="686226C6">
      <w:pPr>
        <w:pageBreakBefore w:val="0"/>
        <w:kinsoku/>
        <w:wordWrap/>
        <w:overflowPunct/>
        <w:topLinePunct w:val="0"/>
        <w:bidi w:val="0"/>
        <w:spacing w:beforeAutospacing="0" w:afterAutospacing="0" w:line="400" w:lineRule="exact"/>
        <w:jc w:val="left"/>
        <w:rPr>
          <w:rStyle w:val="55"/>
          <w:rFonts w:hint="eastAsia" w:ascii="宋体" w:hAnsi="宋体" w:eastAsia="宋体" w:cs="宋体"/>
          <w:b w:val="0"/>
          <w:i w:val="0"/>
          <w:caps w:val="0"/>
          <w:spacing w:val="0"/>
          <w:w w:val="100"/>
          <w:kern w:val="2"/>
          <w:sz w:val="21"/>
          <w:szCs w:val="21"/>
          <w:lang w:val="en-US" w:eastAsia="zh-CN" w:bidi="ar-SA"/>
        </w:rPr>
      </w:pPr>
      <w:r>
        <w:rPr>
          <w:rStyle w:val="55"/>
          <w:rFonts w:hint="eastAsia" w:ascii="宋体" w:hAnsi="宋体" w:eastAsia="宋体" w:cs="宋体"/>
          <w:b w:val="0"/>
          <w:i w:val="0"/>
          <w:caps w:val="0"/>
          <w:spacing w:val="0"/>
          <w:w w:val="100"/>
          <w:kern w:val="2"/>
          <w:sz w:val="21"/>
          <w:szCs w:val="21"/>
          <w:lang w:val="en-US" w:eastAsia="zh-CN" w:bidi="ar-SA"/>
        </w:rPr>
        <w:t>注:评委对各投标人同一评分内容量化打分时，对畸高、畸低重大差异，如评审得分与截尾平均值偏差大于25%(含25%)以上时，应做出合理的书面说明。</w:t>
      </w:r>
    </w:p>
    <w:p w14:paraId="77D1BF84">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p>
    <w:p w14:paraId="361A0AFD">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根据《关于推动解决政府采购异常低价问题的通知》财库〔2026〕2号</w:t>
      </w:r>
    </w:p>
    <w:p w14:paraId="4330E36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评审中出现下列情形之一的，评审委员会应当启动异常低价投标（响应）审查程序：</w:t>
      </w:r>
    </w:p>
    <w:p w14:paraId="2BD560C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1.投标（响应）报价低于全部通过符合性审查供应商投标（响应）报价平均值50%的，即投标（响应）报价&lt;全部通过符合性审查供应商投标（响应）报价平均值×50%；</w:t>
      </w:r>
    </w:p>
    <w:p w14:paraId="159ACFB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2.投标（响应）报价低于通过符合性审查的次低报价供应商投标（响应）报价50%的，即投标（响应）报价&lt;通过符合性审查的次低报价供应商投标（响应）报价×50%；</w:t>
      </w:r>
    </w:p>
    <w:p w14:paraId="2CE17D0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3.投标（响应）报价低于采购项目最高限价45%的，即投标（响应）报价&lt;采购项目最高限价×45%；</w:t>
      </w:r>
    </w:p>
    <w:p w14:paraId="2EB2744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rPr>
      </w:pPr>
      <w:r>
        <w:rPr>
          <w:rFonts w:hint="eastAsia" w:ascii="仿宋" w:hAnsi="仿宋" w:eastAsia="仿宋" w:cs="仿宋"/>
          <w:b/>
          <w:bCs/>
          <w:color w:val="auto"/>
          <w:sz w:val="28"/>
          <w:szCs w:val="28"/>
          <w:lang w:val="en-US" w:eastAsia="zh-CN"/>
        </w:rPr>
        <w:t>4.评审委员会基于专业判断，认为供应商报价过低，有可能影响产品质量或者不能诚信履约的其他情形。</w:t>
      </w:r>
    </w:p>
    <w:p w14:paraId="3ECE53B0">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sectPr>
          <w:footerReference r:id="rId5" w:type="default"/>
          <w:pgSz w:w="11906" w:h="16838"/>
          <w:pgMar w:top="1431" w:right="1456" w:bottom="1363" w:left="1684" w:header="0" w:footer="1203" w:gutter="0"/>
          <w:pgNumType w:fmt="decimal"/>
          <w:cols w:space="720" w:num="1"/>
        </w:sectPr>
      </w:pPr>
    </w:p>
    <w:p w14:paraId="7D97B070">
      <w:pPr>
        <w:pageBreakBefore w:val="0"/>
        <w:kinsoku/>
        <w:wordWrap/>
        <w:overflowPunct/>
        <w:topLinePunct w:val="0"/>
        <w:bidi w:val="0"/>
        <w:spacing w:beforeAutospacing="0" w:afterAutospacing="0" w:line="400" w:lineRule="exact"/>
        <w:jc w:val="left"/>
        <w:rPr>
          <w:rStyle w:val="55"/>
          <w:rFonts w:hint="eastAsia" w:ascii="宋体" w:hAnsi="宋体" w:eastAsia="宋体" w:cs="宋体"/>
          <w:b w:val="0"/>
          <w:i w:val="0"/>
          <w:caps w:val="0"/>
          <w:spacing w:val="0"/>
          <w:w w:val="100"/>
          <w:kern w:val="2"/>
          <w:sz w:val="21"/>
          <w:szCs w:val="21"/>
          <w:lang w:val="en-US" w:eastAsia="zh-CN" w:bidi="ar-SA"/>
        </w:rPr>
      </w:pPr>
    </w:p>
    <w:p w14:paraId="61174C3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 价格部分（</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0分）</w:t>
      </w:r>
    </w:p>
    <w:p w14:paraId="6466DB98">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价格得分的评分方法：采用低价优先法计算，即满足招标文件要求且投标价格最低的投标报价为评标基准价，其价格得分为满分。其他投标人的价格得分统一按照下列公式计算：价格得分=（评标基准价/投标报价）×30%×100，如此类推，算出所有投标供应商的价格得分。</w:t>
      </w:r>
    </w:p>
    <w:p w14:paraId="55291DAF">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评审优惠内容及价格扣除：</w:t>
      </w:r>
    </w:p>
    <w:p w14:paraId="33AD4EEF">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（一）小型和微型企业产品价格扣除</w:t>
      </w:r>
    </w:p>
    <w:p w14:paraId="0E35D3A3">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根据财政部印发的《政府采购促进中小企业发展管理办法》（财库[2020]46号）和《关于进一步加大政府采购支持中小企业力度的通知》（财库[2022]19号）的规定，对小型和微型企业产品给予10%-20%的价格扣除优惠，用扣除后的价格参与评审。</w:t>
      </w:r>
    </w:p>
    <w:p w14:paraId="6D6F3969">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《政府采购促进中小企业发展管理办法》（财库[2020]46号）所称中小企业（含中型、小型、微型企业，下同）应当同时符合以下条件：</w:t>
      </w:r>
    </w:p>
    <w:p w14:paraId="354265C1">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符合中小企业划分标准；</w:t>
      </w:r>
    </w:p>
    <w:p w14:paraId="716BB8A9">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提供本企业制造的货物、承担的工程或者服务，或者提供其他中小企业制造的货物。本项所称货物不包括使用大型企业注册商标的货物。</w:t>
      </w:r>
    </w:p>
    <w:p w14:paraId="27F0FB34">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1FDCE1B3">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（二）监狱企业产品价格扣除</w:t>
      </w:r>
    </w:p>
    <w:p w14:paraId="33FE8D6C">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监狱企业视同小型、微型企业，按上述条款享受评审中价格扣除。</w:t>
      </w:r>
    </w:p>
    <w:p w14:paraId="71C9D406">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A37050">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监狱企业参加政府采购活动时，应当提供由省级以上监狱管理局、戒毒管理局（含新疆生产建设兵团）出具的属于监狱企业的证明文件，否则不予认可。</w:t>
      </w:r>
    </w:p>
    <w:p w14:paraId="1FF5CF4F">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（三）残疾人福利性单位产品价格扣除</w:t>
      </w:r>
    </w:p>
    <w:p w14:paraId="4497271C">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残疾人福利性单位视同小型、微型企业，按上述条款享受评审中价格扣除。</w:t>
      </w:r>
    </w:p>
    <w:p w14:paraId="5F16A4C4">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752E98EA">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投标人同时为小型、微型企业、监狱企业、残疾人福利性单位任两种或以上情况的，评审中只享受一次价格扣除，不重复进行价格扣除。</w:t>
      </w:r>
    </w:p>
    <w:p w14:paraId="63E6FF16">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（四）节能产品、环境标志产品价格扣除</w:t>
      </w:r>
    </w:p>
    <w:p w14:paraId="7834DBF8">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产品(针对非政府强制采购产品)纳入国家行业主管部门颁布的最新一期节能产品清单的，节能产品投标报价占总投标报价比例在30%或以上的，对节能产品的价格给予2%的扣除，在30%以下的，对节能产品的价格给予1%的扣除，用扣除后的价格参与评审。（提供投标产品所在清单页加盖投标人公章）。</w:t>
      </w:r>
    </w:p>
    <w:p w14:paraId="736FDC36">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14:paraId="3AA8ADBF">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（五）本国产品和进口产品</w:t>
      </w:r>
    </w:p>
    <w:p w14:paraId="4ABF13A1">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1.本国产品标准及支持政策</w:t>
      </w:r>
    </w:p>
    <w:p w14:paraId="6D515E2D">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126AECDD">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4EA3EAC7">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（3）对国家相关部门后续发布的特定产品清单内的产品，除满足上述条件外，还需同时满足关键组件境内生产、关键工序境内完成等特定要求。</w:t>
      </w:r>
    </w:p>
    <w:p w14:paraId="6C6B967D">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41E302">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（5）供应商对其提供的产品出具《关于符合本国产品标准的声明函》（以下简称《声明函》）或财政部会同有关部门规定的有关证明文件。出具符合要求的《声明函》或有关证明文件的，该产品视为本国产品。</w:t>
      </w:r>
    </w:p>
    <w:p w14:paraId="54109252">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3CEC5B6E">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4054B66">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2.进口产品</w:t>
      </w:r>
    </w:p>
    <w:p w14:paraId="68685604">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w:t>
      </w:r>
      <w:r>
        <w:rPr>
          <w:rFonts w:hint="eastAsia" w:ascii="宋体" w:hAnsi="宋体" w:cs="宋体"/>
          <w:color w:val="000000" w:themeColor="text1"/>
          <w:kern w:val="0"/>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章 采购需求”。</w:t>
      </w:r>
    </w:p>
    <w:p w14:paraId="7C4EE636">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（2）进口产品指通过中国海关报关验放进入中国境内且产自关境外的产品，包括已经进入中国境内的进口产品。</w:t>
      </w:r>
    </w:p>
    <w:p w14:paraId="223DB5AC">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（3）若采购需求中写明允许采购进口产品，投标人应保证所投产品可履行合法报通关手续进入中国关境内。</w:t>
      </w:r>
    </w:p>
    <w:p w14:paraId="48B1823F">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（4）若采购需求中未写明允许采购进口产品，如投标人所投产品为进口产品，其投标将被认定为投标无效。</w:t>
      </w:r>
    </w:p>
    <w:p w14:paraId="2AA4BC04">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042DD126">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78DDFA4A">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33183CC7">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105ECF66">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341F1831">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51FDC461">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725D02E7">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29B49D98">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591D1DCA">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6545D4B9">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2B6E07D4">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0D618C00">
      <w:pPr>
        <w:pStyle w:val="38"/>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7E2AEDCB">
      <w:pPr>
        <w:pStyle w:val="2"/>
        <w:pageBreakBefore w:val="0"/>
        <w:kinsoku/>
        <w:wordWrap/>
        <w:overflowPunct/>
        <w:topLinePunct w:val="0"/>
        <w:bidi w:val="0"/>
        <w:spacing w:beforeAutospacing="0" w:after="0" w:afterAutospacing="0" w:line="400" w:lineRule="exact"/>
        <w:jc w:val="center"/>
        <w:rPr>
          <w:rStyle w:val="29"/>
          <w:rFonts w:hint="eastAsia" w:ascii="宋体" w:hAnsi="宋体" w:eastAsia="宋体" w:cs="宋体"/>
          <w:b/>
          <w:bCs/>
          <w:color w:val="auto"/>
          <w:w w:val="90"/>
          <w:sz w:val="36"/>
          <w:szCs w:val="36"/>
          <w:u w:val="none"/>
          <w:lang w:val="en-US" w:eastAsia="zh-CN"/>
        </w:rPr>
      </w:pPr>
      <w:r>
        <w:rPr>
          <w:rStyle w:val="29"/>
          <w:rFonts w:hint="eastAsia" w:ascii="宋体" w:hAnsi="宋体" w:eastAsia="宋体" w:cs="宋体"/>
          <w:b/>
          <w:bCs/>
          <w:color w:val="auto"/>
          <w:w w:val="90"/>
          <w:sz w:val="36"/>
          <w:szCs w:val="36"/>
          <w:u w:val="none"/>
          <w:lang w:val="en-US" w:eastAsia="zh-CN"/>
        </w:rPr>
        <w:t>第七章   投标文件格式</w:t>
      </w:r>
    </w:p>
    <w:p w14:paraId="7D92ECC4">
      <w:pPr>
        <w:pStyle w:val="38"/>
        <w:pageBreakBefore w:val="0"/>
        <w:kinsoku/>
        <w:wordWrap/>
        <w:overflowPunct/>
        <w:topLinePunct w:val="0"/>
        <w:bidi w:val="0"/>
        <w:spacing w:beforeAutospacing="0" w:afterAutospacing="0" w:line="400" w:lineRule="exact"/>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4482465</wp:posOffset>
                </wp:positionH>
                <wp:positionV relativeFrom="paragraph">
                  <wp:posOffset>137160</wp:posOffset>
                </wp:positionV>
                <wp:extent cx="825500" cy="404495"/>
                <wp:effectExtent l="5080" t="4445" r="7620" b="10160"/>
                <wp:wrapNone/>
                <wp:docPr id="6" name="文本框 6"/>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14:paraId="12836BD1">
                            <w:pPr>
                              <w:jc w:val="center"/>
                              <w:rPr>
                                <w:sz w:val="36"/>
                                <w:szCs w:val="36"/>
                              </w:rPr>
                            </w:pPr>
                            <w:r>
                              <w:rPr>
                                <w:rFonts w:hint="eastAsia"/>
                                <w:sz w:val="36"/>
                                <w:szCs w:val="36"/>
                              </w:rPr>
                              <w:t>正本</w:t>
                            </w:r>
                          </w:p>
                        </w:txbxContent>
                      </wps:txbx>
                      <wps:bodyPr lIns="91439" tIns="45720" rIns="91439" bIns="45720" upright="1"/>
                    </wps:wsp>
                  </a:graphicData>
                </a:graphic>
              </wp:anchor>
            </w:drawing>
          </mc:Choice>
          <mc:Fallback>
            <w:pict>
              <v:shape id="_x0000_s1026" o:spid="_x0000_s1026" o:spt="202" type="#_x0000_t202" style="position:absolute;left:0pt;margin-left:352.95pt;margin-top:10.8pt;height:31.85pt;width:65pt;z-index:251660288;mso-width-relative:page;mso-height-relative:page;" filled="f" stroked="t" coordsize="21600,21600" o:gfxdata="UEsDBAoAAAAAAIdO4kAAAAAAAAAAAAAAAAAEAAAAZHJzL1BLAwQUAAAACACHTuJAk0uqS9YAAAAJ&#10;AQAADwAAAGRycy9kb3ducmV2LnhtbE2PTU/DMAyG70j8h8hI3FjSjY2tNJ0QEipXChPi5jamrWic&#10;qkm78e/JTuzmj0evH2f7k+3FTKPvHGtIFgoEce1Mx42Gj/eXuy0IH5AN9o5Jwy952OfXVxmmxh35&#10;jeYyNCKGsE9RQxvCkErp65Ys+oUbiOPu240WQ2zHRpoRjzHc9nKp1EZa7DheaHGg55bqn3KyGqj6&#10;fCpw3t0X08G+YlIWh/GLtb69SdQjiECn8A/DWT+qQx6dKjex8aLX8KDWu4hqWCYbEBHYrs6DKhbr&#10;Fcg8k5cf5H9QSwMEFAAAAAgAh07iQDIfV3EdAgAAQAQAAA4AAABkcnMvZTJvRG9jLnhtbK1TzY7T&#10;MBC+I/EOlu80aWnKNmq6EpRFSAiQFh7AdZzEkv/kcZv0BeANOHHhznP1ORg73W5ZLj2QgzP2jL+Z&#10;75vx6nbQiuyFB2lNRaeTnBJhuK2laSv69cvdixtKIDBTM2WNqOhBAL1dP3+26l0pZrazqhaeIIiB&#10;sncV7UJwZZYB74RmMLFOGHQ21msWcOvbrPasR3StslmeL7Le+tp5ywUAnm5GJz0h+msAbdNILjaW&#10;77QwYUT1QrGAlKCTDug6Vds0godPTQMiEFVRZBrSiknQ3sY1W69Y2XrmOslPJbBrSnjCSTNpMOkZ&#10;asMCIzsv/4HSknsLtgkTbnU2EkmKIItp/kSb+445kbig1ODOosP/g+Uf9589kXVFF5QYprHhxx/f&#10;jz9/H399I4soT++gxKh7h3FheG0HHJqHc8DDyHpovI5/5EPQj+IezuKKIRCOhzezosjRw9E1z+fz&#10;ZRFRssfLzkN4J6wm0aiox94lSdn+A4Qx9CEk5jL2TiqV+qcM6Su6LGYFwjOcyQZnAU3tkBeYNsGA&#10;VbKOV+Jl8O32jfJkz+JcpO9UzV9hMd+GQTfGJVcMY6WWQfhkdYLVb01NwsGhdgafDI3FaFFTogS+&#10;sGilyMCkuiYSJVEGlYnCjwJHKwzbAWGiubX1AZuh3hschOV0/nKJg5028+LVDCX2l57tpWfnvGw7&#10;VDe1MKXAwUptOD2COLmX+1TI48N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S6pL1gAAAAkB&#10;AAAPAAAAAAAAAAEAIAAAACIAAABkcnMvZG93bnJldi54bWxQSwECFAAUAAAACACHTuJAMh9XcR0C&#10;AABABAAADgAAAAAAAAABACAAAAAlAQAAZHJzL2Uyb0RvYy54bWxQSwUGAAAAAAYABgBZAQAAtAUA&#10;AAAA&#10;">
                <v:fill on="f" focussize="0,0"/>
                <v:stroke color="#000000" joinstyle="miter"/>
                <v:imagedata o:title=""/>
                <o:lock v:ext="edit" aspectratio="f"/>
                <v:textbox inset="7.19992125984252pt,1.27mm,7.19992125984252pt,1.27mm">
                  <w:txbxContent>
                    <w:p w14:paraId="12836BD1">
                      <w:pPr>
                        <w:jc w:val="center"/>
                        <w:rPr>
                          <w:sz w:val="36"/>
                          <w:szCs w:val="36"/>
                        </w:rPr>
                      </w:pPr>
                      <w:r>
                        <w:rPr>
                          <w:rFonts w:hint="eastAsia"/>
                          <w:sz w:val="36"/>
                          <w:szCs w:val="36"/>
                        </w:rPr>
                        <w:t>正本</w:t>
                      </w:r>
                    </w:p>
                  </w:txbxContent>
                </v:textbox>
              </v:shape>
            </w:pict>
          </mc:Fallback>
        </mc:AlternateContent>
      </w:r>
    </w:p>
    <w:p w14:paraId="381FE687">
      <w:pPr>
        <w:pStyle w:val="38"/>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bdr w:val="single" w:color="auto" w:sz="4" w:space="0"/>
        </w:rPr>
      </w:pPr>
    </w:p>
    <w:p w14:paraId="47714AD8">
      <w:pPr>
        <w:pStyle w:val="38"/>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p w14:paraId="2E9411FB">
      <w:pPr>
        <w:pageBreakBefore w:val="0"/>
        <w:kinsoku/>
        <w:wordWrap/>
        <w:overflowPunct/>
        <w:topLinePunct w:val="0"/>
        <w:bidi w:val="0"/>
        <w:spacing w:beforeAutospacing="0" w:afterAutospacing="0" w:line="400" w:lineRule="exact"/>
        <w:ind w:right="98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p w14:paraId="0C517695">
      <w:pPr>
        <w:pageBreakBefore w:val="0"/>
        <w:kinsoku/>
        <w:wordWrap/>
        <w:overflowPunct/>
        <w:topLinePunct w:val="0"/>
        <w:bidi w:val="0"/>
        <w:spacing w:beforeAutospacing="0" w:afterAutospacing="0" w:line="400" w:lineRule="exact"/>
        <w:ind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0FC76416">
      <w:pPr>
        <w:pageBreakBefore w:val="0"/>
        <w:kinsoku/>
        <w:wordWrap/>
        <w:overflowPunct/>
        <w:topLinePunct w:val="0"/>
        <w:bidi w:val="0"/>
        <w:spacing w:beforeAutospacing="0" w:afterAutospacing="0" w:line="400" w:lineRule="exact"/>
        <w:ind w:firstLine="840" w:firstLineChars="3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项目编号： </w:t>
      </w:r>
    </w:p>
    <w:p w14:paraId="70B8835B">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2B74B7CC">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694EA0E">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FAE8812">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bookmarkStart w:id="5" w:name="_Toc7996"/>
      <w:bookmarkStart w:id="6" w:name="_Toc11015"/>
      <w:bookmarkStart w:id="7" w:name="_Toc10629"/>
      <w:bookmarkStart w:id="8" w:name="_Toc29518"/>
      <w:r>
        <w:rPr>
          <w:rFonts w:hint="eastAsia" w:ascii="宋体" w:hAnsi="宋体" w:eastAsia="宋体" w:cs="宋体"/>
          <w:b/>
          <w:bCs/>
          <w:color w:val="000000"/>
          <w:sz w:val="24"/>
          <w:szCs w:val="24"/>
          <w:highlight w:val="none"/>
        </w:rPr>
        <w:t>投  标  文  件</w:t>
      </w:r>
      <w:bookmarkEnd w:id="5"/>
      <w:bookmarkEnd w:id="6"/>
      <w:bookmarkEnd w:id="7"/>
      <w:bookmarkEnd w:id="8"/>
    </w:p>
    <w:p w14:paraId="13B07688">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299E62B3">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553A52B8">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3973981F">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576C674">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w:t>
      </w:r>
      <w:r>
        <w:rPr>
          <w:rFonts w:hint="eastAsia" w:ascii="宋体" w:hAnsi="宋体" w:eastAsia="宋体" w:cs="宋体"/>
          <w:color w:val="000000"/>
          <w:sz w:val="24"/>
          <w:szCs w:val="24"/>
          <w:highlight w:val="none"/>
          <w:lang w:eastAsia="zh-CN"/>
        </w:rPr>
        <w:t>名称</w:t>
      </w:r>
      <w:r>
        <w:rPr>
          <w:rFonts w:hint="eastAsia" w:ascii="宋体" w:hAnsi="宋体" w:eastAsia="宋体" w:cs="宋体"/>
          <w:color w:val="000000"/>
          <w:sz w:val="24"/>
          <w:szCs w:val="24"/>
          <w:highlight w:val="none"/>
        </w:rPr>
        <w:t>：（盖单位章）</w:t>
      </w:r>
    </w:p>
    <w:p w14:paraId="1B9BE626">
      <w:pPr>
        <w:pStyle w:val="18"/>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 xml:space="preserve">      投标人地址：</w:t>
      </w:r>
    </w:p>
    <w:p w14:paraId="7760908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2DB4E9FD">
      <w:pPr>
        <w:pageBreakBefore w:val="0"/>
        <w:kinsoku/>
        <w:wordWrap/>
        <w:overflowPunct/>
        <w:topLinePunct w:val="0"/>
        <w:bidi w:val="0"/>
        <w:spacing w:beforeAutospacing="0" w:afterAutospacing="0" w:line="4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法定代表人：（签字或盖章）</w:t>
      </w:r>
    </w:p>
    <w:p w14:paraId="27EDC1C8">
      <w:pPr>
        <w:pStyle w:val="18"/>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授权委托人：</w:t>
      </w:r>
    </w:p>
    <w:p w14:paraId="1C7ADB24">
      <w:pPr>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 xml:space="preserve">      联系电话：</w:t>
      </w:r>
    </w:p>
    <w:p w14:paraId="45BF616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1752BEE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2246EC8B">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bookmarkStart w:id="9" w:name="_Toc7073"/>
      <w:bookmarkStart w:id="10" w:name="_Toc22228"/>
      <w:bookmarkStart w:id="11" w:name="_Toc10107"/>
      <w:bookmarkStart w:id="12" w:name="_Toc11239"/>
      <w:r>
        <w:rPr>
          <w:rFonts w:hint="eastAsia" w:ascii="宋体" w:hAnsi="宋体" w:eastAsia="宋体" w:cs="宋体"/>
          <w:color w:val="000000"/>
          <w:sz w:val="24"/>
          <w:szCs w:val="24"/>
          <w:highlight w:val="none"/>
        </w:rPr>
        <w:t>年        月        日</w:t>
      </w:r>
      <w:bookmarkEnd w:id="9"/>
      <w:bookmarkEnd w:id="10"/>
      <w:bookmarkEnd w:id="11"/>
      <w:bookmarkEnd w:id="12"/>
    </w:p>
    <w:p w14:paraId="48FBEC60">
      <w:pPr>
        <w:pStyle w:val="38"/>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5FB2359B">
      <w:pPr>
        <w:pStyle w:val="38"/>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037F9CC8">
      <w:pPr>
        <w:pStyle w:val="38"/>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36B7D5C">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513AFEFF">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1D534D6B">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189F4D40">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04F2887A">
      <w:pPr>
        <w:pStyle w:val="2"/>
        <w:rPr>
          <w:rFonts w:hint="eastAsia"/>
        </w:rPr>
      </w:pPr>
    </w:p>
    <w:p w14:paraId="2FCB433A">
      <w:pPr>
        <w:pStyle w:val="33"/>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6A5E8B87">
      <w:pPr>
        <w:pageBreakBefore w:val="0"/>
        <w:kinsoku/>
        <w:wordWrap/>
        <w:overflowPunct/>
        <w:topLinePunct w:val="0"/>
        <w:bidi w:val="0"/>
        <w:spacing w:beforeAutospacing="0" w:afterAutospacing="0" w:line="400" w:lineRule="exact"/>
        <w:jc w:val="both"/>
        <w:rPr>
          <w:rFonts w:hint="eastAsia" w:ascii="宋体" w:hAnsi="宋体" w:eastAsia="宋体" w:cs="宋体"/>
          <w:b/>
          <w:bCs/>
          <w:color w:val="000000"/>
          <w:sz w:val="24"/>
          <w:szCs w:val="24"/>
          <w:highlight w:val="none"/>
        </w:rPr>
      </w:pPr>
    </w:p>
    <w:p w14:paraId="3E7D56B4">
      <w:pPr>
        <w:pageBreakBefore w:val="0"/>
        <w:numPr>
          <w:ilvl w:val="0"/>
          <w:numId w:val="4"/>
        </w:numPr>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bookmarkStart w:id="13" w:name="_Toc7184"/>
      <w:bookmarkStart w:id="14" w:name="_Toc23088"/>
      <w:r>
        <w:rPr>
          <w:rFonts w:hint="eastAsia" w:ascii="宋体" w:hAnsi="宋体" w:eastAsia="宋体" w:cs="宋体"/>
          <w:b/>
          <w:bCs/>
          <w:color w:val="000000"/>
          <w:sz w:val="24"/>
          <w:szCs w:val="24"/>
          <w:highlight w:val="none"/>
        </w:rPr>
        <w:t xml:space="preserve"> </w:t>
      </w:r>
      <w:bookmarkStart w:id="15" w:name="_Toc2645"/>
      <w:bookmarkStart w:id="16" w:name="_Toc10635"/>
      <w:r>
        <w:rPr>
          <w:rFonts w:hint="eastAsia" w:ascii="宋体" w:hAnsi="宋体" w:eastAsia="宋体" w:cs="宋体"/>
          <w:b/>
          <w:bCs/>
          <w:color w:val="000000"/>
          <w:sz w:val="24"/>
          <w:szCs w:val="24"/>
          <w:highlight w:val="none"/>
        </w:rPr>
        <w:t>经济报价部</w:t>
      </w:r>
      <w:bookmarkEnd w:id="13"/>
      <w:bookmarkEnd w:id="14"/>
      <w:bookmarkEnd w:id="15"/>
      <w:bookmarkEnd w:id="16"/>
      <w:r>
        <w:rPr>
          <w:rFonts w:hint="eastAsia" w:ascii="宋体" w:hAnsi="宋体" w:cs="宋体"/>
          <w:b/>
          <w:bCs/>
          <w:color w:val="000000"/>
          <w:sz w:val="24"/>
          <w:szCs w:val="24"/>
          <w:highlight w:val="none"/>
          <w:lang w:val="en-US" w:eastAsia="zh-CN"/>
        </w:rPr>
        <w:t>分</w:t>
      </w:r>
    </w:p>
    <w:p w14:paraId="519B593F">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3D19F63E">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b/>
          <w:color w:val="000000"/>
          <w:sz w:val="24"/>
          <w:szCs w:val="24"/>
          <w:highlight w:val="none"/>
          <w:lang w:val="en-US" w:eastAsia="zh-CN"/>
        </w:rPr>
        <w:t>1、</w:t>
      </w:r>
      <w:r>
        <w:rPr>
          <w:rFonts w:hint="eastAsia" w:ascii="宋体" w:hAnsi="宋体" w:eastAsia="宋体" w:cs="宋体"/>
          <w:b/>
          <w:color w:val="000000"/>
          <w:sz w:val="24"/>
          <w:szCs w:val="24"/>
          <w:highlight w:val="none"/>
        </w:rPr>
        <w:t>投   标   书</w:t>
      </w:r>
    </w:p>
    <w:p w14:paraId="34B1157B">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6C15D9A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w:t>
      </w:r>
    </w:p>
    <w:p w14:paraId="392CCD08">
      <w:pPr>
        <w:pStyle w:val="7"/>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72E648C7">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我们收到你们的</w:t>
      </w:r>
      <w:r>
        <w:rPr>
          <w:rFonts w:hint="eastAsia" w:ascii="宋体" w:hAnsi="宋体" w:eastAsia="宋体" w:cs="宋体"/>
          <w:color w:val="000000"/>
          <w:sz w:val="24"/>
          <w:szCs w:val="24"/>
          <w:highlight w:val="none"/>
          <w:u w:val="single"/>
        </w:rPr>
        <w:t xml:space="preserve">     （项目名称）     （项目编号：  ）</w:t>
      </w:r>
      <w:r>
        <w:rPr>
          <w:rFonts w:hint="eastAsia" w:ascii="宋体" w:hAnsi="宋体" w:eastAsia="宋体" w:cs="宋体"/>
          <w:color w:val="000000"/>
          <w:sz w:val="24"/>
          <w:szCs w:val="24"/>
          <w:highlight w:val="none"/>
        </w:rPr>
        <w:t>招标文件，经认真研究，我们决定参加本次招标活动。</w:t>
      </w:r>
    </w:p>
    <w:p w14:paraId="7B229CCB">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1、按照招标文件中的一切要求，提供招标相关服务。人民币    </w:t>
      </w:r>
      <w:r>
        <w:rPr>
          <w:rFonts w:hint="eastAsia" w:ascii="宋体" w:hAnsi="宋体" w:eastAsia="宋体" w:cs="宋体"/>
          <w:sz w:val="24"/>
          <w:szCs w:val="24"/>
          <w:highlight w:val="none"/>
        </w:rPr>
        <w:t>元（用阿拉伯数字书写），大写：     。</w:t>
      </w:r>
      <w:r>
        <w:rPr>
          <w:rFonts w:hint="eastAsia" w:ascii="宋体" w:hAnsi="宋体" w:eastAsia="宋体" w:cs="宋体"/>
          <w:color w:val="000000"/>
          <w:sz w:val="24"/>
          <w:szCs w:val="24"/>
          <w:highlight w:val="none"/>
        </w:rPr>
        <w:t>明细见投标报价表。</w:t>
      </w:r>
    </w:p>
    <w:p w14:paraId="14F664E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2、如果我们的投标文件被接受，我们将履行招标文件中规定的每一项义务和要求，按期、按质、按量完成交货。</w:t>
      </w:r>
    </w:p>
    <w:p w14:paraId="4C8C6A0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3、我们同意按招标文件的规定，本投标文件的有效期为开标后</w:t>
      </w:r>
      <w:r>
        <w:rPr>
          <w:rFonts w:hint="eastAsia" w:ascii="宋体" w:hAnsi="宋体" w:eastAsia="宋体" w:cs="宋体"/>
          <w:color w:val="000000"/>
          <w:sz w:val="24"/>
          <w:szCs w:val="24"/>
          <w:highlight w:val="none"/>
          <w:u w:val="single"/>
        </w:rPr>
        <w:t>60</w:t>
      </w:r>
      <w:r>
        <w:rPr>
          <w:rFonts w:hint="eastAsia" w:ascii="宋体" w:hAnsi="宋体" w:eastAsia="宋体" w:cs="宋体"/>
          <w:color w:val="000000"/>
          <w:sz w:val="24"/>
          <w:szCs w:val="24"/>
          <w:highlight w:val="none"/>
        </w:rPr>
        <w:t>天。</w:t>
      </w:r>
    </w:p>
    <w:p w14:paraId="2CD1355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4、我们愿意提供</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在招标文件中要求的所有资料。</w:t>
      </w:r>
    </w:p>
    <w:p w14:paraId="6F262C3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14:paraId="286CB58B">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6、我们愿按合同法履行自己的全部责任。</w:t>
      </w:r>
    </w:p>
    <w:p w14:paraId="15EF4CD4">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7、我们愿意遵守国家有关规定和招标文件中规定的收费标准，承付中标服务费。</w:t>
      </w:r>
    </w:p>
    <w:p w14:paraId="65B25B2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8、该项投标在开标后的全过程中保持有效，不作任何更改和变动。</w:t>
      </w:r>
    </w:p>
    <w:p w14:paraId="1C13927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9、我们同意按招标文件规定，交纳投标保证金。</w:t>
      </w:r>
    </w:p>
    <w:p w14:paraId="7A76DDF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14:paraId="3FE24D42">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14:paraId="79DB9AA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投标单位：（单位公章）</w:t>
      </w:r>
    </w:p>
    <w:p w14:paraId="4A26675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法定代表人或授权代表人（签字或盖章）：</w:t>
      </w:r>
    </w:p>
    <w:p w14:paraId="32D17AA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p w14:paraId="1FB1930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           联系人：</w:t>
      </w:r>
    </w:p>
    <w:p w14:paraId="70ACAB2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right"/>
        <w:textAlignment w:val="auto"/>
        <w:rPr>
          <w:rFonts w:hint="eastAsia" w:ascii="宋体" w:hAnsi="宋体" w:eastAsia="宋体" w:cs="宋体"/>
          <w:color w:val="000000"/>
          <w:sz w:val="24"/>
          <w:szCs w:val="24"/>
          <w:highlight w:val="none"/>
        </w:rPr>
      </w:pPr>
    </w:p>
    <w:p w14:paraId="5CE72F02">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right"/>
        <w:textAlignment w:val="auto"/>
        <w:rPr>
          <w:rFonts w:hint="eastAsia" w:ascii="宋体" w:hAnsi="宋体" w:eastAsia="宋体" w:cs="宋体"/>
          <w:sz w:val="24"/>
          <w:szCs w:val="24"/>
          <w:lang w:eastAsia="zh-CN"/>
        </w:rPr>
        <w:sectPr>
          <w:headerReference r:id="rId6" w:type="default"/>
          <w:footerReference r:id="rId7" w:type="default"/>
          <w:pgSz w:w="11906" w:h="16838"/>
          <w:pgMar w:top="1440" w:right="1800" w:bottom="1440" w:left="1380" w:header="851" w:footer="992" w:gutter="0"/>
          <w:pgNumType w:fmt="decimal"/>
          <w:cols w:space="720" w:num="1"/>
          <w:docGrid w:type="lines" w:linePitch="312" w:charSpace="0"/>
        </w:sectPr>
      </w:pPr>
      <w:r>
        <w:rPr>
          <w:rFonts w:hint="eastAsia" w:ascii="宋体" w:hAnsi="宋体" w:eastAsia="宋体" w:cs="宋体"/>
          <w:color w:val="000000"/>
          <w:sz w:val="24"/>
          <w:szCs w:val="24"/>
          <w:highlight w:val="none"/>
        </w:rPr>
        <w:t>年  月  日</w:t>
      </w:r>
    </w:p>
    <w:p w14:paraId="657C2A08">
      <w:pPr>
        <w:pStyle w:val="10"/>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2C260204">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 开标一览表</w:t>
      </w:r>
    </w:p>
    <w:p w14:paraId="3A70BEA3">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p w14:paraId="2A452B90">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tbl>
      <w:tblPr>
        <w:tblStyle w:val="24"/>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23"/>
        <w:gridCol w:w="1830"/>
        <w:gridCol w:w="1734"/>
        <w:gridCol w:w="1512"/>
      </w:tblGrid>
      <w:tr w14:paraId="444D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14:paraId="5DCC7EA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023" w:type="dxa"/>
            <w:vAlign w:val="center"/>
          </w:tcPr>
          <w:p w14:paraId="5E17CAC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1830" w:type="dxa"/>
            <w:vAlign w:val="center"/>
          </w:tcPr>
          <w:p w14:paraId="526AED7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投标报价（元）</w:t>
            </w:r>
          </w:p>
        </w:tc>
        <w:tc>
          <w:tcPr>
            <w:tcW w:w="1734" w:type="dxa"/>
            <w:vAlign w:val="center"/>
          </w:tcPr>
          <w:p w14:paraId="5776071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合同</w:t>
            </w:r>
            <w:r>
              <w:rPr>
                <w:rFonts w:hint="eastAsia" w:ascii="宋体" w:hAnsi="宋体" w:eastAsia="宋体" w:cs="宋体"/>
                <w:color w:val="000000"/>
                <w:sz w:val="24"/>
                <w:szCs w:val="24"/>
                <w:highlight w:val="none"/>
                <w:lang w:eastAsia="zh-CN"/>
              </w:rPr>
              <w:t>履约期限</w:t>
            </w:r>
          </w:p>
        </w:tc>
        <w:tc>
          <w:tcPr>
            <w:tcW w:w="1512" w:type="dxa"/>
            <w:vAlign w:val="center"/>
          </w:tcPr>
          <w:p w14:paraId="299CBC2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备注</w:t>
            </w:r>
          </w:p>
        </w:tc>
      </w:tr>
      <w:tr w14:paraId="0F8F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14:paraId="007EAF3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023" w:type="dxa"/>
            <w:vAlign w:val="center"/>
          </w:tcPr>
          <w:p w14:paraId="1E91A31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830" w:type="dxa"/>
            <w:vAlign w:val="center"/>
          </w:tcPr>
          <w:p w14:paraId="376362C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734" w:type="dxa"/>
            <w:vAlign w:val="center"/>
          </w:tcPr>
          <w:p w14:paraId="7762006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512" w:type="dxa"/>
            <w:vAlign w:val="center"/>
          </w:tcPr>
          <w:p w14:paraId="77BAF8B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1111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14:paraId="76988D2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3023" w:type="dxa"/>
            <w:vAlign w:val="center"/>
          </w:tcPr>
          <w:p w14:paraId="02016B1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总计：（人民币小写）：</w:t>
            </w:r>
          </w:p>
        </w:tc>
        <w:tc>
          <w:tcPr>
            <w:tcW w:w="5076" w:type="dxa"/>
            <w:gridSpan w:val="3"/>
            <w:vAlign w:val="center"/>
          </w:tcPr>
          <w:p w14:paraId="3A49995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r>
      <w:tr w14:paraId="3599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10" w:type="dxa"/>
            <w:vAlign w:val="center"/>
          </w:tcPr>
          <w:p w14:paraId="2896732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3023" w:type="dxa"/>
            <w:vAlign w:val="center"/>
          </w:tcPr>
          <w:p w14:paraId="5B3BF65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（人民币大写）：</w:t>
            </w:r>
          </w:p>
        </w:tc>
        <w:tc>
          <w:tcPr>
            <w:tcW w:w="5076" w:type="dxa"/>
            <w:gridSpan w:val="3"/>
            <w:vAlign w:val="center"/>
          </w:tcPr>
          <w:p w14:paraId="32255DD5">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tc>
      </w:tr>
    </w:tbl>
    <w:p w14:paraId="19A1E2DA">
      <w:pPr>
        <w:pStyle w:val="44"/>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color w:val="auto"/>
          <w:sz w:val="24"/>
          <w:szCs w:val="24"/>
          <w:highlight w:val="none"/>
        </w:rPr>
      </w:pPr>
      <w:bookmarkStart w:id="17" w:name="_Toc20945"/>
      <w:r>
        <w:rPr>
          <w:rFonts w:hint="eastAsia" w:ascii="宋体" w:hAnsi="宋体" w:eastAsia="宋体" w:cs="宋体"/>
          <w:color w:val="auto"/>
          <w:sz w:val="24"/>
          <w:szCs w:val="24"/>
          <w:highlight w:val="none"/>
        </w:rPr>
        <w:t>注：</w:t>
      </w:r>
    </w:p>
    <w:p w14:paraId="3B97A71E">
      <w:pPr>
        <w:pStyle w:val="44"/>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rPr>
        <w:t>1、此表</w:t>
      </w:r>
      <w:r>
        <w:rPr>
          <w:rFonts w:hint="eastAsia" w:cs="宋体"/>
          <w:color w:val="auto"/>
          <w:sz w:val="24"/>
          <w:szCs w:val="24"/>
          <w:highlight w:val="none"/>
          <w:lang w:val="en-US" w:eastAsia="zh-CN"/>
        </w:rPr>
        <w:t>须包含在</w:t>
      </w:r>
      <w:r>
        <w:rPr>
          <w:rFonts w:hint="eastAsia" w:ascii="宋体" w:hAnsi="宋体" w:eastAsia="宋体" w:cs="宋体"/>
          <w:color w:val="auto"/>
          <w:sz w:val="24"/>
          <w:szCs w:val="24"/>
          <w:highlight w:val="none"/>
          <w:lang w:eastAsia="zh-CN"/>
        </w:rPr>
        <w:t>投标文件中</w:t>
      </w:r>
      <w:r>
        <w:rPr>
          <w:rFonts w:hint="eastAsia" w:ascii="宋体" w:hAnsi="宋体" w:eastAsia="宋体" w:cs="宋体"/>
          <w:color w:val="auto"/>
          <w:sz w:val="24"/>
          <w:szCs w:val="24"/>
          <w:highlight w:val="none"/>
        </w:rPr>
        <w:t>。</w:t>
      </w:r>
      <w:bookmarkEnd w:id="17"/>
      <w:r>
        <w:rPr>
          <w:rFonts w:hint="eastAsia" w:cs="宋体"/>
          <w:color w:val="auto"/>
          <w:sz w:val="24"/>
          <w:szCs w:val="24"/>
          <w:highlight w:val="none"/>
          <w:lang w:eastAsia="zh-CN"/>
        </w:rPr>
        <w:t>（</w:t>
      </w:r>
      <w:r>
        <w:rPr>
          <w:rFonts w:hint="eastAsia" w:cs="宋体"/>
          <w:color w:val="auto"/>
          <w:sz w:val="24"/>
          <w:szCs w:val="24"/>
          <w:highlight w:val="none"/>
          <w:lang w:val="en-US" w:eastAsia="zh-CN"/>
        </w:rPr>
        <w:t>填报内容必须与政采云系统填报一致）</w:t>
      </w:r>
    </w:p>
    <w:p w14:paraId="57118D56">
      <w:pPr>
        <w:pStyle w:val="38"/>
        <w:pageBreakBefore w:val="0"/>
        <w:numPr>
          <w:ilvl w:val="0"/>
          <w:numId w:val="0"/>
        </w:numPr>
        <w:kinsoku/>
        <w:wordWrap/>
        <w:overflowPunct/>
        <w:topLinePunct w:val="0"/>
        <w:bidi w:val="0"/>
        <w:spacing w:beforeAutospacing="0" w:afterAutospacing="0" w:line="400" w:lineRule="exact"/>
        <w:ind w:leftChars="0"/>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2、</w:t>
      </w:r>
      <w:r>
        <w:rPr>
          <w:rFonts w:hint="eastAsia" w:ascii="宋体" w:hAnsi="宋体" w:eastAsia="宋体" w:cs="宋体"/>
          <w:b/>
          <w:bCs/>
          <w:color w:val="auto"/>
          <w:kern w:val="2"/>
          <w:sz w:val="24"/>
          <w:szCs w:val="24"/>
          <w:highlight w:val="none"/>
        </w:rPr>
        <w:t>本表格式</w:t>
      </w:r>
      <w:r>
        <w:rPr>
          <w:rFonts w:hint="eastAsia" w:ascii="宋体" w:hAnsi="宋体" w:eastAsia="宋体" w:cs="宋体"/>
          <w:b/>
          <w:bCs/>
          <w:color w:val="auto"/>
          <w:kern w:val="2"/>
          <w:sz w:val="24"/>
          <w:szCs w:val="24"/>
          <w:highlight w:val="none"/>
          <w:lang w:val="en-US" w:eastAsia="zh-CN"/>
        </w:rPr>
        <w:t>及内容</w:t>
      </w:r>
      <w:r>
        <w:rPr>
          <w:rFonts w:hint="eastAsia" w:ascii="宋体" w:hAnsi="宋体" w:eastAsia="宋体" w:cs="宋体"/>
          <w:b/>
          <w:bCs/>
          <w:color w:val="auto"/>
          <w:kern w:val="2"/>
          <w:sz w:val="24"/>
          <w:szCs w:val="24"/>
          <w:highlight w:val="none"/>
        </w:rPr>
        <w:t>不得更改，投标人只能按要求填报，否则将被视为无效投标。</w:t>
      </w:r>
    </w:p>
    <w:p w14:paraId="2B6BCBBD">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、投标总价应为各分项报价之和，投标文件差异修正准则参见投标报价说明。</w:t>
      </w:r>
    </w:p>
    <w:p w14:paraId="68DE1050">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报价中必须包含前期调研、技术咨询、资料收集、报告编制、协调服务、交通差旅费、文档和图档的打印、装订及寄送费用、成果初审、专家评审（含专家评审费、交通费、餐费、场地费、住宿费等）等所产生的费用、全额含税发票、雇员费用、合同实施过程中的应预见和不可预见费用等完成合同规定责任和义务、达到合同目的的一切费用及企业利润。并应包含应由中标人缴纳的本次招标代理服务费。</w:t>
      </w:r>
    </w:p>
    <w:p w14:paraId="5448FF0B">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、投标人必须自行考虑本项目在实施期间的一切可能产生的费用。在合同执行过程中，招标人将不再另行支付与本项目相关的任何费用（非本项目要求的其它内容除外）。</w:t>
      </w:r>
    </w:p>
    <w:p w14:paraId="0297828F">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、报价表述限于中文大写或阿拉伯数字小写，均已核定准确无误，若投标报价大小写不一致，以大写金额为准。</w:t>
      </w:r>
    </w:p>
    <w:p w14:paraId="7CA3B73C">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zh-CN"/>
        </w:rPr>
        <w:t>、如果我方未中标，贵方没有必要对我方做出任何解释和说明，我方将充分尊重和理解贵方的选择。</w:t>
      </w:r>
    </w:p>
    <w:p w14:paraId="66FFE465">
      <w:pPr>
        <w:pStyle w:val="38"/>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兹声明：以上投标报价在投标有效期内一直有效。</w:t>
      </w:r>
    </w:p>
    <w:p w14:paraId="50B85F92">
      <w:pPr>
        <w:pStyle w:val="38"/>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p>
    <w:p w14:paraId="534BF8A8">
      <w:pPr>
        <w:pStyle w:val="38"/>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p>
    <w:p w14:paraId="5795366B">
      <w:pPr>
        <w:pageBreakBefore w:val="0"/>
        <w:kinsoku/>
        <w:wordWrap/>
        <w:overflowPunct/>
        <w:topLinePunct w:val="0"/>
        <w:bidi w:val="0"/>
        <w:spacing w:beforeAutospacing="0" w:afterAutospacing="0"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投标人名称（加盖公章）：</w:t>
      </w:r>
      <w:r>
        <w:rPr>
          <w:rFonts w:hint="eastAsia" w:ascii="宋体" w:hAnsi="宋体" w:eastAsia="宋体" w:cs="宋体"/>
          <w:bCs/>
          <w:color w:val="auto"/>
          <w:sz w:val="24"/>
          <w:szCs w:val="24"/>
          <w:highlight w:val="none"/>
          <w:u w:val="single"/>
        </w:rPr>
        <w:t xml:space="preserve">                               </w:t>
      </w:r>
    </w:p>
    <w:p w14:paraId="5AB4CE5B">
      <w:pPr>
        <w:pStyle w:val="44"/>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val="0"/>
          <w:color w:val="auto"/>
          <w:kern w:val="2"/>
          <w:sz w:val="24"/>
          <w:szCs w:val="24"/>
          <w:highlight w:val="none"/>
        </w:rPr>
      </w:pPr>
      <w:bookmarkStart w:id="18" w:name="_Toc19201"/>
      <w:r>
        <w:rPr>
          <w:rFonts w:hint="eastAsia" w:ascii="宋体" w:hAnsi="宋体" w:eastAsia="宋体" w:cs="宋体"/>
          <w:b w:val="0"/>
          <w:color w:val="auto"/>
          <w:sz w:val="24"/>
          <w:szCs w:val="24"/>
          <w:highlight w:val="none"/>
        </w:rPr>
        <w:t>代理（被授权人）签字：</w:t>
      </w:r>
      <w:bookmarkEnd w:id="18"/>
      <w:r>
        <w:rPr>
          <w:rFonts w:hint="eastAsia" w:ascii="宋体" w:hAnsi="宋体" w:eastAsia="宋体" w:cs="宋体"/>
          <w:b w:val="0"/>
          <w:color w:val="auto"/>
          <w:sz w:val="24"/>
          <w:szCs w:val="24"/>
          <w:highlight w:val="none"/>
          <w:u w:val="single"/>
        </w:rPr>
        <w:t xml:space="preserve">                  </w:t>
      </w:r>
    </w:p>
    <w:p w14:paraId="36A301EE">
      <w:pPr>
        <w:pStyle w:val="44"/>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color w:val="000000"/>
          <w:sz w:val="24"/>
          <w:szCs w:val="24"/>
          <w:highlight w:val="none"/>
        </w:rPr>
      </w:pPr>
      <w:bookmarkStart w:id="19" w:name="_Toc10411"/>
      <w:r>
        <w:rPr>
          <w:rFonts w:hint="eastAsia" w:ascii="宋体" w:hAnsi="宋体" w:eastAsia="宋体" w:cs="宋体"/>
          <w:b w:val="0"/>
          <w:color w:val="auto"/>
          <w:spacing w:val="36"/>
          <w:kern w:val="2"/>
          <w:sz w:val="24"/>
          <w:szCs w:val="24"/>
          <w:highlight w:val="none"/>
        </w:rPr>
        <w:t>日期</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年</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日</w:t>
      </w:r>
      <w:bookmarkEnd w:id="19"/>
    </w:p>
    <w:p w14:paraId="221C2ECE">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p>
    <w:p w14:paraId="2ADE9DCE">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p>
    <w:p w14:paraId="6F8C895F">
      <w:pPr>
        <w:pStyle w:val="33"/>
        <w:rPr>
          <w:rFonts w:hint="eastAsia" w:ascii="宋体" w:hAnsi="宋体" w:eastAsia="宋体" w:cs="宋体"/>
        </w:rPr>
      </w:pPr>
    </w:p>
    <w:p w14:paraId="6DAE52A1">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3、报价明细表</w:t>
      </w:r>
    </w:p>
    <w:p w14:paraId="5BE16A15">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p w14:paraId="72FCEC59">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tbl>
      <w:tblPr>
        <w:tblStyle w:val="24"/>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433"/>
        <w:gridCol w:w="1089"/>
        <w:gridCol w:w="1065"/>
        <w:gridCol w:w="1275"/>
        <w:gridCol w:w="870"/>
        <w:gridCol w:w="860"/>
        <w:gridCol w:w="976"/>
      </w:tblGrid>
      <w:tr w14:paraId="4077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71" w:type="dxa"/>
            <w:vAlign w:val="center"/>
          </w:tcPr>
          <w:p w14:paraId="1AA3D6D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433" w:type="dxa"/>
            <w:vAlign w:val="center"/>
          </w:tcPr>
          <w:p w14:paraId="08AD9B5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1089" w:type="dxa"/>
            <w:vAlign w:val="center"/>
          </w:tcPr>
          <w:p w14:paraId="200FBC2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065" w:type="dxa"/>
            <w:vAlign w:val="center"/>
          </w:tcPr>
          <w:p w14:paraId="7AC7082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w:t>
            </w:r>
          </w:p>
        </w:tc>
        <w:tc>
          <w:tcPr>
            <w:tcW w:w="1275" w:type="dxa"/>
            <w:vAlign w:val="center"/>
          </w:tcPr>
          <w:p w14:paraId="72E018A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870" w:type="dxa"/>
            <w:vAlign w:val="center"/>
          </w:tcPr>
          <w:p w14:paraId="4898C9C1">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rPr>
            </w:pPr>
            <w:r>
              <w:rPr>
                <w:rFonts w:hint="eastAsia" w:ascii="宋体" w:hAnsi="宋体" w:cs="宋体"/>
                <w:color w:val="000000"/>
                <w:sz w:val="24"/>
                <w:szCs w:val="24"/>
                <w:highlight w:val="none"/>
                <w:lang w:val="en-US" w:eastAsia="zh-CN"/>
              </w:rPr>
              <w:t>小计</w:t>
            </w:r>
          </w:p>
        </w:tc>
        <w:tc>
          <w:tcPr>
            <w:tcW w:w="860" w:type="dxa"/>
            <w:vAlign w:val="center"/>
          </w:tcPr>
          <w:p w14:paraId="6AC56A5A">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生产厂家</w:t>
            </w:r>
          </w:p>
        </w:tc>
        <w:tc>
          <w:tcPr>
            <w:tcW w:w="976" w:type="dxa"/>
            <w:vAlign w:val="center"/>
          </w:tcPr>
          <w:p w14:paraId="4748FA15">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企业类型（大、中、小、微型）</w:t>
            </w:r>
          </w:p>
        </w:tc>
      </w:tr>
      <w:tr w14:paraId="4FC1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6C52720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6213462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775B531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51C53E8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4B0873A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8FEB4B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6B67FCA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5F87830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20B0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05607CE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605EDAE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1D0C468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748EF83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77D635A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666DACC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6303829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4AB62D6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7275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78DF11A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763F438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11E49DD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4756FE0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3C4A28C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66C9E3F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7AC478C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0F63638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78E1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6AEB607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1645AC0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457C60F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3944322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66403FD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1EB7CC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0233C37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0047C55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4A53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374DE78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5BDA496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382F459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7B9437F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45747BE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CDAA06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588BC4C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25B26DB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65FC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5E3A2A1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32DF3E3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0DBDFF4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6045217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446791E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07F2A0A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51878F5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2E710D4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6C2F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551F367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2CD9761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6A1BCBB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7C12573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457DC35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C1B299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55D5F33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4B4E85C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1B05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718ED01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4ADF27D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2749073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78530BD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5E5EFC9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7162DBC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6931D1B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14AC0E3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55E2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14:paraId="466B241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vAlign w:val="center"/>
          </w:tcPr>
          <w:p w14:paraId="0E7446D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89" w:type="dxa"/>
            <w:vAlign w:val="center"/>
          </w:tcPr>
          <w:p w14:paraId="49CFC8D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65" w:type="dxa"/>
            <w:vAlign w:val="center"/>
          </w:tcPr>
          <w:p w14:paraId="6AC07FD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75" w:type="dxa"/>
            <w:vAlign w:val="center"/>
          </w:tcPr>
          <w:p w14:paraId="4527DF8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0A44AFB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0" w:type="dxa"/>
            <w:vAlign w:val="center"/>
          </w:tcPr>
          <w:p w14:paraId="15909F9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76" w:type="dxa"/>
            <w:vAlign w:val="center"/>
          </w:tcPr>
          <w:p w14:paraId="14799EF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1B29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404" w:type="dxa"/>
            <w:gridSpan w:val="2"/>
            <w:vAlign w:val="center"/>
          </w:tcPr>
          <w:p w14:paraId="5ECA59D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总价</w:t>
            </w:r>
          </w:p>
        </w:tc>
        <w:tc>
          <w:tcPr>
            <w:tcW w:w="6135" w:type="dxa"/>
            <w:gridSpan w:val="6"/>
            <w:vAlign w:val="center"/>
          </w:tcPr>
          <w:p w14:paraId="7E6206F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bl>
    <w:p w14:paraId="7884DA30">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注：本表具体内容参照本招标文件“</w:t>
      </w:r>
      <w:r>
        <w:rPr>
          <w:rFonts w:hint="eastAsia" w:ascii="宋体" w:hAnsi="宋体" w:eastAsia="宋体" w:cs="宋体"/>
          <w:color w:val="000000"/>
          <w:sz w:val="24"/>
          <w:szCs w:val="24"/>
          <w:highlight w:val="none"/>
          <w:lang w:eastAsia="zh-Hans"/>
        </w:rPr>
        <w:t>采购需求</w:t>
      </w:r>
      <w:r>
        <w:rPr>
          <w:rFonts w:hint="eastAsia" w:ascii="宋体" w:hAnsi="宋体" w:eastAsia="宋体" w:cs="宋体"/>
          <w:color w:val="000000"/>
          <w:sz w:val="24"/>
          <w:szCs w:val="24"/>
          <w:highlight w:val="none"/>
        </w:rPr>
        <w:t>”所列全部内容，此表可由投标投标人根据内容自行延长。</w:t>
      </w:r>
    </w:p>
    <w:p w14:paraId="658B0521">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1ECDDDC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投标单位：（单位公章）</w:t>
      </w:r>
    </w:p>
    <w:p w14:paraId="72A8F89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64906AB3">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44E8386E">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p>
    <w:p w14:paraId="7BC41A23">
      <w:pPr>
        <w:pStyle w:val="9"/>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p>
    <w:p w14:paraId="686A77D4">
      <w:pPr>
        <w:pStyle w:val="10"/>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2DEC8A01">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34E32D7F">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109D35B6">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6EA02B72">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1B4AACB9">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388B2120">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4、</w:t>
      </w:r>
      <w:r>
        <w:rPr>
          <w:rFonts w:hint="eastAsia" w:ascii="宋体" w:hAnsi="宋体" w:eastAsia="宋体" w:cs="宋体"/>
          <w:b/>
          <w:color w:val="000000"/>
          <w:sz w:val="24"/>
          <w:szCs w:val="24"/>
          <w:highlight w:val="none"/>
        </w:rPr>
        <w:t>关于符合本国产品标准的声明函或财政部规定的其他证明文件</w:t>
      </w:r>
    </w:p>
    <w:p w14:paraId="08F6F951">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中国境内生产的组件成本核算基本规则</w:t>
      </w:r>
    </w:p>
    <w:p w14:paraId="6B299C1F">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26B0864">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一、产品的一级组件是指直接组成产品的组件。产品的二级组件是指直接组成产品一级组件的组件。一级组件不可分解的，视同二级组件。</w:t>
      </w:r>
    </w:p>
    <w:p w14:paraId="7AFA1D8D">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二、二级组件在中国境内生产的，其全部成本计入中国境内生产的组件成本；二级组件不在中国境内生产的，其成本不计入中国境内生产的组件成本。</w:t>
      </w:r>
    </w:p>
    <w:p w14:paraId="6E56D5E4">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三、产品总成本和组件成本以相关会计核算数据、采购合同、进货记录等为基础进行计算。</w:t>
      </w:r>
    </w:p>
    <w:p w14:paraId="5FAFB13F">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四、需要对成本核算规则予以进一步明确的其他有关事项，由财政部会同有关部门另行规定。</w:t>
      </w:r>
    </w:p>
    <w:p w14:paraId="18ACE45D">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53C8C24A">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关于符合本国产品标准的声明函</w:t>
      </w:r>
    </w:p>
    <w:p w14:paraId="764BCAF7">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B8377E4">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产品名称1）1，生产厂为（厂名）2，厂址为（生产厂址）。（产品名称1）的中国境内生产的组件成本占比≥（规定比例）3。（产品名称1）的（关键组件）4在中国境内生产。（产品名称1）的（关键工序）5在中国境内完成。</w:t>
      </w:r>
    </w:p>
    <w:p w14:paraId="182EBCD1">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7A7FA1D0">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p w14:paraId="62B29B79">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本公司（单位）对上述声明内容的真实性负责。如有虚假，愿承担相应法律责任。</w:t>
      </w:r>
    </w:p>
    <w:p w14:paraId="48948D56">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公司（单位）名称（盖章）：      </w:t>
      </w:r>
    </w:p>
    <w:p w14:paraId="52DF791B">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right"/>
        <w:textAlignment w:val="auto"/>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日期：　　　　　年　　月　日    </w:t>
      </w:r>
    </w:p>
    <w:p w14:paraId="66A378E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1.产品如有型号，请在“产品名称”栏一并填写。</w:t>
      </w:r>
    </w:p>
    <w:p w14:paraId="70EC64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2.生产厂名与厂址应与生产厂营业执照载明的相关信息保持一致。</w:t>
      </w:r>
    </w:p>
    <w:p w14:paraId="7AB48E6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3.该产品的中国境内生产的组件成本占比相关要求实施前，“规定比例”栏可不填，下同。</w:t>
      </w:r>
    </w:p>
    <w:p w14:paraId="26D2CE3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4.该产品的关键组件要求实施前，“关键组件”栏可不填，下同。</w:t>
      </w:r>
    </w:p>
    <w:p w14:paraId="59032C1A">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sz w:val="21"/>
          <w:szCs w:val="21"/>
          <w:highlight w:val="none"/>
        </w:rPr>
        <w:t>5.该产品的关键工序要求实施前，“关键工序”栏可不填，下同。</w:t>
      </w:r>
    </w:p>
    <w:p w14:paraId="111E0D9A">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bookmarkStart w:id="20" w:name="_Toc14389"/>
      <w:bookmarkStart w:id="21" w:name="_Toc14281"/>
      <w:bookmarkStart w:id="22" w:name="_Toc13823"/>
      <w:bookmarkStart w:id="23" w:name="_Toc31526"/>
    </w:p>
    <w:p w14:paraId="7B6C77D7">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本国产品成本占比承诺函</w:t>
      </w:r>
    </w:p>
    <w:p w14:paraId="3DCC5E8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致：[采购人]</w:t>
      </w:r>
    </w:p>
    <w:p w14:paraId="0D2AFA0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本单位就参与[项目名称、编号]政府采购项目，郑重承诺如下:</w:t>
      </w:r>
    </w:p>
    <w:p w14:paraId="73D5FE5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本单位为该项目(或采购包)提供的符合本国产品标准的产品成本之和，占所提供全部产品成本之和的比例为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。本承诺内容真实有效，若存在虚假承诺，愿意承担相应法律责任，放弃中标(成交)资格，并接受政府采购监管部门处罚。</w:t>
      </w:r>
    </w:p>
    <w:p w14:paraId="65FC328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宋体" w:hAnsi="宋体" w:eastAsia="宋体" w:cs="宋体"/>
          <w:color w:val="000000"/>
          <w:sz w:val="24"/>
          <w:szCs w:val="24"/>
          <w:highlight w:val="none"/>
        </w:rPr>
      </w:pPr>
    </w:p>
    <w:p w14:paraId="4365BF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p>
    <w:p w14:paraId="15412F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p>
    <w:p w14:paraId="605E512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承诺人（供应商公章）：        </w:t>
      </w:r>
    </w:p>
    <w:p w14:paraId="6ACFBE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法定代表人或授权代表签字：        </w:t>
      </w:r>
    </w:p>
    <w:p w14:paraId="292E96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41F9678E">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100E1E2D">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3A41481B">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7EB9694D">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7B17294F">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1C409D6F">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3AF0B6C7">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2AAB292A">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004C0350">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7C6DB435">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1BF667C9">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107A783A">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53948E26">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35C84A82">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147328A8">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011DA319">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011A0205">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1AEF48DC">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第二部分  商务部分</w:t>
      </w:r>
      <w:bookmarkEnd w:id="20"/>
      <w:bookmarkEnd w:id="21"/>
      <w:bookmarkEnd w:id="22"/>
      <w:bookmarkEnd w:id="23"/>
    </w:p>
    <w:p w14:paraId="586105B4">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2293CDFB">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p>
    <w:p w14:paraId="327B8AD2">
      <w:pPr>
        <w:pStyle w:val="6"/>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b w:val="0"/>
          <w:color w:val="000000"/>
          <w:sz w:val="24"/>
          <w:szCs w:val="24"/>
          <w:highlight w:val="none"/>
        </w:rPr>
        <w:t>1、</w:t>
      </w:r>
      <w:r>
        <w:rPr>
          <w:rFonts w:hint="eastAsia" w:ascii="宋体" w:hAnsi="宋体" w:eastAsia="宋体" w:cs="宋体"/>
          <w:color w:val="000000"/>
          <w:sz w:val="24"/>
          <w:szCs w:val="24"/>
          <w:highlight w:val="none"/>
        </w:rPr>
        <w:t>投标方的资格声明</w:t>
      </w:r>
    </w:p>
    <w:p w14:paraId="027634B0">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w:t>
      </w:r>
    </w:p>
    <w:p w14:paraId="08241C9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000000"/>
          <w:sz w:val="24"/>
          <w:szCs w:val="24"/>
          <w:highlight w:val="none"/>
        </w:rPr>
      </w:pPr>
    </w:p>
    <w:p w14:paraId="3D5A930C">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关于贵方年月日发出的</w:t>
      </w:r>
      <w:r>
        <w:rPr>
          <w:rFonts w:hint="eastAsia" w:ascii="宋体" w:hAnsi="宋体" w:eastAsia="宋体" w:cs="宋体"/>
          <w:color w:val="000000"/>
          <w:sz w:val="24"/>
          <w:szCs w:val="24"/>
          <w:highlight w:val="none"/>
          <w:u w:val="single"/>
        </w:rPr>
        <w:t xml:space="preserve">     （项目名称）  （项目编号：  ）</w:t>
      </w:r>
      <w:r>
        <w:rPr>
          <w:rFonts w:hint="eastAsia" w:ascii="宋体" w:hAnsi="宋体" w:eastAsia="宋体" w:cs="宋体"/>
          <w:color w:val="000000"/>
          <w:sz w:val="24"/>
          <w:szCs w:val="24"/>
          <w:highlight w:val="none"/>
        </w:rPr>
        <w:t>项目招标文件，本投标方愿意参加投标，并证明资格文件中和所要求的说明是真实和准确无误的。</w:t>
      </w:r>
    </w:p>
    <w:p w14:paraId="0DF15A06">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本投标方对可能要求的进一步的资格资料表示理解和同意，并同意按贵方的要求提供任何有关资料。</w:t>
      </w:r>
    </w:p>
    <w:p w14:paraId="5B6FF921">
      <w:pPr>
        <w:keepNext w:val="0"/>
        <w:keepLines w:val="0"/>
        <w:pageBreakBefore w:val="0"/>
        <w:kinsoku/>
        <w:wordWrap/>
        <w:overflowPunct/>
        <w:topLinePunct w:val="0"/>
        <w:autoSpaceDE/>
        <w:autoSpaceDN/>
        <w:bidi w:val="0"/>
        <w:adjustRightInd/>
        <w:snapToGrid/>
        <w:spacing w:beforeAutospacing="0" w:afterAutospacing="0" w:line="400" w:lineRule="exact"/>
        <w:ind w:firstLine="576"/>
        <w:textAlignment w:val="auto"/>
        <w:rPr>
          <w:rFonts w:hint="eastAsia" w:ascii="宋体" w:hAnsi="宋体" w:eastAsia="宋体" w:cs="宋体"/>
          <w:color w:val="000000"/>
          <w:sz w:val="24"/>
          <w:szCs w:val="24"/>
          <w:highlight w:val="none"/>
        </w:rPr>
      </w:pPr>
    </w:p>
    <w:p w14:paraId="5DD56528">
      <w:pPr>
        <w:keepNext w:val="0"/>
        <w:keepLines w:val="0"/>
        <w:pageBreakBefore w:val="0"/>
        <w:kinsoku/>
        <w:wordWrap/>
        <w:overflowPunct/>
        <w:topLinePunct w:val="0"/>
        <w:autoSpaceDE/>
        <w:autoSpaceDN/>
        <w:bidi w:val="0"/>
        <w:adjustRightInd/>
        <w:snapToGrid/>
        <w:spacing w:beforeAutospacing="0" w:afterAutospacing="0" w:line="400" w:lineRule="exact"/>
        <w:ind w:firstLine="576"/>
        <w:textAlignment w:val="auto"/>
        <w:rPr>
          <w:rFonts w:hint="eastAsia" w:ascii="宋体" w:hAnsi="宋体" w:eastAsia="宋体" w:cs="宋体"/>
          <w:color w:val="000000"/>
          <w:sz w:val="24"/>
          <w:szCs w:val="24"/>
          <w:highlight w:val="none"/>
        </w:rPr>
      </w:pPr>
    </w:p>
    <w:p w14:paraId="25A5AAB7">
      <w:pPr>
        <w:keepNext w:val="0"/>
        <w:keepLines w:val="0"/>
        <w:pageBreakBefore w:val="0"/>
        <w:kinsoku/>
        <w:wordWrap/>
        <w:overflowPunct/>
        <w:topLinePunct w:val="0"/>
        <w:autoSpaceDE/>
        <w:autoSpaceDN/>
        <w:bidi w:val="0"/>
        <w:adjustRightInd/>
        <w:snapToGrid/>
        <w:spacing w:beforeAutospacing="0" w:afterAutospacing="0" w:line="400" w:lineRule="exact"/>
        <w:ind w:firstLine="576"/>
        <w:textAlignment w:val="auto"/>
        <w:rPr>
          <w:rFonts w:hint="eastAsia" w:ascii="宋体" w:hAnsi="宋体" w:eastAsia="宋体" w:cs="宋体"/>
          <w:color w:val="000000"/>
          <w:sz w:val="24"/>
          <w:szCs w:val="24"/>
          <w:highlight w:val="none"/>
        </w:rPr>
      </w:pPr>
    </w:p>
    <w:p w14:paraId="6376AEB7">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 （单位公章）</w:t>
      </w:r>
    </w:p>
    <w:p w14:paraId="58538FD5">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032A4F9B">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p w14:paraId="5FDAFAB9">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w:t>
      </w:r>
    </w:p>
    <w:p w14:paraId="6CC807A9">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p w14:paraId="6FB2F11B">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2F1F8438">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28759F09">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2C9E3555">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04881AF7">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0E839028">
      <w:pPr>
        <w:pStyle w:val="9"/>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3B5F80D5">
      <w:pPr>
        <w:pStyle w:val="10"/>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2855394B">
      <w:pPr>
        <w:rPr>
          <w:rFonts w:hint="eastAsia" w:ascii="宋体" w:hAnsi="宋体" w:eastAsia="宋体" w:cs="宋体"/>
          <w:sz w:val="24"/>
          <w:szCs w:val="24"/>
        </w:rPr>
      </w:pPr>
    </w:p>
    <w:p w14:paraId="6CEADC56">
      <w:pPr>
        <w:pStyle w:val="23"/>
        <w:rPr>
          <w:rFonts w:hint="eastAsia" w:ascii="宋体" w:hAnsi="宋体" w:eastAsia="宋体" w:cs="宋体"/>
          <w:sz w:val="24"/>
          <w:szCs w:val="24"/>
        </w:rPr>
      </w:pPr>
    </w:p>
    <w:p w14:paraId="2640185C">
      <w:pPr>
        <w:pStyle w:val="23"/>
        <w:rPr>
          <w:rFonts w:hint="eastAsia" w:ascii="宋体" w:hAnsi="宋体" w:eastAsia="宋体" w:cs="宋体"/>
          <w:sz w:val="24"/>
          <w:szCs w:val="24"/>
        </w:rPr>
      </w:pPr>
    </w:p>
    <w:p w14:paraId="5DDA8404">
      <w:pPr>
        <w:pStyle w:val="23"/>
        <w:rPr>
          <w:rFonts w:hint="eastAsia" w:ascii="宋体" w:hAnsi="宋体" w:eastAsia="宋体" w:cs="宋体"/>
          <w:sz w:val="24"/>
          <w:szCs w:val="24"/>
        </w:rPr>
      </w:pPr>
    </w:p>
    <w:p w14:paraId="732BA8EA">
      <w:pPr>
        <w:pStyle w:val="23"/>
        <w:rPr>
          <w:rFonts w:hint="eastAsia" w:ascii="宋体" w:hAnsi="宋体" w:eastAsia="宋体" w:cs="宋体"/>
          <w:sz w:val="24"/>
          <w:szCs w:val="24"/>
        </w:rPr>
      </w:pPr>
    </w:p>
    <w:p w14:paraId="7BEB6118">
      <w:pPr>
        <w:pStyle w:val="23"/>
        <w:rPr>
          <w:rFonts w:hint="eastAsia" w:ascii="宋体" w:hAnsi="宋体" w:eastAsia="宋体" w:cs="宋体"/>
          <w:sz w:val="24"/>
          <w:szCs w:val="24"/>
        </w:rPr>
      </w:pPr>
    </w:p>
    <w:p w14:paraId="7462B565">
      <w:pPr>
        <w:pStyle w:val="23"/>
        <w:rPr>
          <w:rFonts w:hint="eastAsia" w:ascii="宋体" w:hAnsi="宋体" w:eastAsia="宋体" w:cs="宋体"/>
          <w:sz w:val="24"/>
          <w:szCs w:val="24"/>
        </w:rPr>
      </w:pPr>
    </w:p>
    <w:p w14:paraId="1BFFC755">
      <w:pPr>
        <w:pStyle w:val="23"/>
        <w:rPr>
          <w:rFonts w:hint="eastAsia" w:ascii="宋体" w:hAnsi="宋体" w:eastAsia="宋体" w:cs="宋体"/>
          <w:sz w:val="24"/>
          <w:szCs w:val="24"/>
        </w:rPr>
      </w:pPr>
    </w:p>
    <w:p w14:paraId="3C4D6900">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5551415C">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08BE093F">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2、投标单位简介</w:t>
      </w:r>
    </w:p>
    <w:tbl>
      <w:tblPr>
        <w:tblStyle w:val="24"/>
        <w:tblpPr w:leftFromText="180" w:rightFromText="180" w:vertAnchor="text" w:horzAnchor="page" w:tblpX="1135" w:tblpY="566"/>
        <w:tblOverlap w:val="never"/>
        <w:tblW w:w="9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743"/>
        <w:gridCol w:w="718"/>
        <w:gridCol w:w="1408"/>
        <w:gridCol w:w="3084"/>
      </w:tblGrid>
      <w:tr w14:paraId="29E1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14:paraId="014887BA">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投标人全称</w:t>
            </w:r>
          </w:p>
        </w:tc>
        <w:tc>
          <w:tcPr>
            <w:tcW w:w="2743" w:type="dxa"/>
            <w:vAlign w:val="center"/>
          </w:tcPr>
          <w:p w14:paraId="5F3532F1">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2126" w:type="dxa"/>
            <w:gridSpan w:val="2"/>
            <w:vAlign w:val="center"/>
          </w:tcPr>
          <w:p w14:paraId="5E702019">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企业性质</w:t>
            </w:r>
          </w:p>
        </w:tc>
        <w:tc>
          <w:tcPr>
            <w:tcW w:w="3084" w:type="dxa"/>
            <w:vAlign w:val="center"/>
          </w:tcPr>
          <w:p w14:paraId="2FED4CAF">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6564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14:paraId="2B43B07A">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地址</w:t>
            </w:r>
          </w:p>
        </w:tc>
        <w:tc>
          <w:tcPr>
            <w:tcW w:w="2743" w:type="dxa"/>
            <w:vAlign w:val="center"/>
          </w:tcPr>
          <w:p w14:paraId="69248FBE">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2126" w:type="dxa"/>
            <w:gridSpan w:val="2"/>
            <w:vAlign w:val="center"/>
          </w:tcPr>
          <w:p w14:paraId="49F2D085">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电话/传真</w:t>
            </w:r>
          </w:p>
        </w:tc>
        <w:tc>
          <w:tcPr>
            <w:tcW w:w="3084" w:type="dxa"/>
            <w:vAlign w:val="center"/>
          </w:tcPr>
          <w:p w14:paraId="3A2CE1FB">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5B29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14:paraId="2FE91086">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成立年月</w:t>
            </w:r>
          </w:p>
        </w:tc>
        <w:tc>
          <w:tcPr>
            <w:tcW w:w="2743" w:type="dxa"/>
            <w:vAlign w:val="center"/>
          </w:tcPr>
          <w:p w14:paraId="3EFD95B5">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2126" w:type="dxa"/>
            <w:gridSpan w:val="2"/>
            <w:vMerge w:val="restart"/>
            <w:vAlign w:val="center"/>
          </w:tcPr>
          <w:p w14:paraId="19E42991">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经营范围</w:t>
            </w:r>
          </w:p>
        </w:tc>
        <w:tc>
          <w:tcPr>
            <w:tcW w:w="3084" w:type="dxa"/>
            <w:vMerge w:val="restart"/>
            <w:vAlign w:val="center"/>
          </w:tcPr>
          <w:p w14:paraId="71A84B3F">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1ABF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14:paraId="7C66BC04">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营业执照号码</w:t>
            </w:r>
          </w:p>
        </w:tc>
        <w:tc>
          <w:tcPr>
            <w:tcW w:w="2743" w:type="dxa"/>
            <w:vAlign w:val="center"/>
          </w:tcPr>
          <w:p w14:paraId="2E1416CA">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2126" w:type="dxa"/>
            <w:gridSpan w:val="2"/>
            <w:vMerge w:val="continue"/>
            <w:vAlign w:val="center"/>
          </w:tcPr>
          <w:p w14:paraId="4966C6D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3084" w:type="dxa"/>
            <w:vMerge w:val="continue"/>
            <w:vAlign w:val="center"/>
          </w:tcPr>
          <w:p w14:paraId="733FCC5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0F07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14:paraId="61F83426">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注册资金</w:t>
            </w:r>
          </w:p>
        </w:tc>
        <w:tc>
          <w:tcPr>
            <w:tcW w:w="2743" w:type="dxa"/>
            <w:vAlign w:val="center"/>
          </w:tcPr>
          <w:p w14:paraId="4EE4720E">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2126" w:type="dxa"/>
            <w:gridSpan w:val="2"/>
            <w:vAlign w:val="center"/>
          </w:tcPr>
          <w:p w14:paraId="66973D81">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职工人数</w:t>
            </w:r>
          </w:p>
        </w:tc>
        <w:tc>
          <w:tcPr>
            <w:tcW w:w="3084" w:type="dxa"/>
            <w:vAlign w:val="center"/>
          </w:tcPr>
          <w:p w14:paraId="291866BF">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736F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restart"/>
            <w:vAlign w:val="center"/>
          </w:tcPr>
          <w:p w14:paraId="7872081D">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公司所获证书</w:t>
            </w:r>
          </w:p>
        </w:tc>
        <w:tc>
          <w:tcPr>
            <w:tcW w:w="2743" w:type="dxa"/>
            <w:vAlign w:val="center"/>
          </w:tcPr>
          <w:p w14:paraId="38124D97">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718" w:type="dxa"/>
            <w:vMerge w:val="restart"/>
            <w:vAlign w:val="center"/>
          </w:tcPr>
          <w:p w14:paraId="21E9C7BA">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其</w:t>
            </w:r>
          </w:p>
          <w:p w14:paraId="6FA583B3">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w:t>
            </w:r>
          </w:p>
        </w:tc>
        <w:tc>
          <w:tcPr>
            <w:tcW w:w="1408" w:type="dxa"/>
            <w:vAlign w:val="center"/>
          </w:tcPr>
          <w:p w14:paraId="2399B2DE">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管理人员</w:t>
            </w:r>
          </w:p>
        </w:tc>
        <w:tc>
          <w:tcPr>
            <w:tcW w:w="3084" w:type="dxa"/>
            <w:vAlign w:val="center"/>
          </w:tcPr>
          <w:p w14:paraId="585456DF">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68FE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continue"/>
            <w:vAlign w:val="center"/>
          </w:tcPr>
          <w:p w14:paraId="40CB0B2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743" w:type="dxa"/>
            <w:vAlign w:val="center"/>
          </w:tcPr>
          <w:p w14:paraId="1518ADF6">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718" w:type="dxa"/>
            <w:vMerge w:val="continue"/>
            <w:vAlign w:val="center"/>
          </w:tcPr>
          <w:p w14:paraId="2C55B9F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408" w:type="dxa"/>
            <w:vAlign w:val="center"/>
          </w:tcPr>
          <w:p w14:paraId="255880C0">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技术人员</w:t>
            </w:r>
          </w:p>
        </w:tc>
        <w:tc>
          <w:tcPr>
            <w:tcW w:w="3084" w:type="dxa"/>
            <w:vAlign w:val="center"/>
          </w:tcPr>
          <w:p w14:paraId="2147AA49">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0497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continue"/>
            <w:vAlign w:val="center"/>
          </w:tcPr>
          <w:p w14:paraId="13C7C97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743" w:type="dxa"/>
            <w:vAlign w:val="center"/>
          </w:tcPr>
          <w:p w14:paraId="3510D96B">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c>
          <w:tcPr>
            <w:tcW w:w="718" w:type="dxa"/>
            <w:vMerge w:val="continue"/>
            <w:vAlign w:val="center"/>
          </w:tcPr>
          <w:p w14:paraId="05341EE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408" w:type="dxa"/>
            <w:vAlign w:val="center"/>
          </w:tcPr>
          <w:p w14:paraId="39DE3B27">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工人</w:t>
            </w:r>
          </w:p>
        </w:tc>
        <w:tc>
          <w:tcPr>
            <w:tcW w:w="3084" w:type="dxa"/>
            <w:vAlign w:val="center"/>
          </w:tcPr>
          <w:p w14:paraId="668403BE">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p>
        </w:tc>
      </w:tr>
      <w:tr w14:paraId="27C3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restart"/>
            <w:vAlign w:val="center"/>
          </w:tcPr>
          <w:p w14:paraId="0363505E">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固定资产</w:t>
            </w:r>
          </w:p>
        </w:tc>
        <w:tc>
          <w:tcPr>
            <w:tcW w:w="2743" w:type="dxa"/>
            <w:vAlign w:val="center"/>
          </w:tcPr>
          <w:p w14:paraId="6AB2A8A0">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原值          万元</w:t>
            </w:r>
          </w:p>
        </w:tc>
        <w:tc>
          <w:tcPr>
            <w:tcW w:w="2126" w:type="dxa"/>
            <w:gridSpan w:val="2"/>
            <w:vMerge w:val="restart"/>
            <w:vAlign w:val="center"/>
          </w:tcPr>
          <w:p w14:paraId="6948A104">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流动资金</w:t>
            </w:r>
          </w:p>
        </w:tc>
        <w:tc>
          <w:tcPr>
            <w:tcW w:w="3084" w:type="dxa"/>
            <w:vMerge w:val="restart"/>
            <w:vAlign w:val="center"/>
          </w:tcPr>
          <w:p w14:paraId="7411713C">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万元</w:t>
            </w:r>
          </w:p>
        </w:tc>
      </w:tr>
      <w:tr w14:paraId="4772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continue"/>
            <w:vAlign w:val="center"/>
          </w:tcPr>
          <w:p w14:paraId="21633B2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743" w:type="dxa"/>
            <w:vAlign w:val="center"/>
          </w:tcPr>
          <w:p w14:paraId="3411C6BF">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净值          万元</w:t>
            </w:r>
          </w:p>
        </w:tc>
        <w:tc>
          <w:tcPr>
            <w:tcW w:w="2126" w:type="dxa"/>
            <w:gridSpan w:val="2"/>
            <w:vMerge w:val="continue"/>
            <w:vAlign w:val="center"/>
          </w:tcPr>
          <w:p w14:paraId="01A0CAE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3084" w:type="dxa"/>
            <w:vMerge w:val="continue"/>
            <w:vAlign w:val="center"/>
          </w:tcPr>
          <w:p w14:paraId="7D03BEC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41ED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restart"/>
            <w:tcBorders>
              <w:bottom w:val="single" w:color="auto" w:sz="4" w:space="0"/>
            </w:tcBorders>
            <w:vAlign w:val="center"/>
          </w:tcPr>
          <w:p w14:paraId="7DBE6546">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上年度主要经济指标</w:t>
            </w:r>
          </w:p>
        </w:tc>
        <w:tc>
          <w:tcPr>
            <w:tcW w:w="7953" w:type="dxa"/>
            <w:gridSpan w:val="4"/>
            <w:tcBorders>
              <w:bottom w:val="single" w:color="auto" w:sz="4" w:space="0"/>
            </w:tcBorders>
            <w:vAlign w:val="center"/>
          </w:tcPr>
          <w:p w14:paraId="620D7A3A">
            <w:pPr>
              <w:pStyle w:val="15"/>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服务总产值                    万元</w:t>
            </w:r>
          </w:p>
        </w:tc>
      </w:tr>
      <w:tr w14:paraId="24BF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continue"/>
            <w:vAlign w:val="center"/>
          </w:tcPr>
          <w:p w14:paraId="53B2566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7953" w:type="dxa"/>
            <w:gridSpan w:val="4"/>
            <w:vAlign w:val="center"/>
          </w:tcPr>
          <w:p w14:paraId="356AA35C">
            <w:pPr>
              <w:pStyle w:val="15"/>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实现利润                  万元</w:t>
            </w:r>
          </w:p>
        </w:tc>
      </w:tr>
      <w:tr w14:paraId="3ED3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2035" w:type="dxa"/>
            <w:vAlign w:val="center"/>
          </w:tcPr>
          <w:p w14:paraId="048AFBA7">
            <w:pPr>
              <w:pStyle w:val="15"/>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企业简介</w:t>
            </w:r>
          </w:p>
        </w:tc>
        <w:tc>
          <w:tcPr>
            <w:tcW w:w="7953" w:type="dxa"/>
            <w:gridSpan w:val="4"/>
            <w:vAlign w:val="center"/>
          </w:tcPr>
          <w:p w14:paraId="0E93AF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请在简介中说明但不限于以下内容：</w:t>
            </w:r>
          </w:p>
          <w:p w14:paraId="4661FB5F">
            <w:pPr>
              <w:pageBreakBefore w:val="0"/>
              <w:numPr>
                <w:ilvl w:val="0"/>
                <w:numId w:val="5"/>
              </w:numPr>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是否具有健全稳定的组织结构；</w:t>
            </w:r>
          </w:p>
          <w:p w14:paraId="3B64ECEC">
            <w:pPr>
              <w:pageBreakBefore w:val="0"/>
              <w:numPr>
                <w:ilvl w:val="0"/>
                <w:numId w:val="5"/>
              </w:numPr>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是否已经具备履行合同所需的人力、财力、物力和服务等相关能力；</w:t>
            </w:r>
          </w:p>
          <w:p w14:paraId="7676834D">
            <w:pPr>
              <w:pageBreakBefore w:val="0"/>
              <w:numPr>
                <w:ilvl w:val="0"/>
                <w:numId w:val="5"/>
              </w:numPr>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是否有较完善的质量保证体系和售后服务体系。</w:t>
            </w:r>
          </w:p>
        </w:tc>
      </w:tr>
    </w:tbl>
    <w:p w14:paraId="5D4E5C6E">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35AC55B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加盖单位公章：                           授权代表人签字：</w:t>
      </w:r>
    </w:p>
    <w:p w14:paraId="3CA2D31C">
      <w:pPr>
        <w:pageBreakBefore w:val="0"/>
        <w:kinsoku/>
        <w:wordWrap/>
        <w:overflowPunct/>
        <w:topLinePunct w:val="0"/>
        <w:bidi w:val="0"/>
        <w:spacing w:beforeAutospacing="0" w:afterAutospacing="0" w:line="400" w:lineRule="exact"/>
        <w:ind w:firstLine="120" w:firstLineChars="5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359F32EA">
      <w:pPr>
        <w:pageBreakBefore w:val="0"/>
        <w:kinsoku/>
        <w:wordWrap/>
        <w:overflowPunct/>
        <w:topLinePunct w:val="0"/>
        <w:bidi w:val="0"/>
        <w:spacing w:beforeAutospacing="0" w:afterAutospacing="0" w:line="400" w:lineRule="exact"/>
        <w:ind w:firstLine="482" w:firstLineChars="200"/>
        <w:rPr>
          <w:rFonts w:hint="eastAsia" w:ascii="宋体" w:hAnsi="宋体" w:eastAsia="宋体" w:cs="宋体"/>
          <w:b/>
          <w:color w:val="000000"/>
          <w:sz w:val="24"/>
          <w:szCs w:val="24"/>
          <w:highlight w:val="none"/>
        </w:rPr>
      </w:pPr>
    </w:p>
    <w:p w14:paraId="7647484F">
      <w:pPr>
        <w:pStyle w:val="9"/>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44D42CDD">
      <w:pPr>
        <w:pStyle w:val="10"/>
        <w:pageBreakBefore w:val="0"/>
        <w:kinsoku/>
        <w:wordWrap/>
        <w:overflowPunct/>
        <w:topLinePunct w:val="0"/>
        <w:bidi w:val="0"/>
        <w:spacing w:before="0" w:beforeAutospacing="0" w:afterAutospacing="0" w:line="400" w:lineRule="exact"/>
        <w:rPr>
          <w:rFonts w:hint="eastAsia" w:ascii="宋体" w:hAnsi="宋体" w:eastAsia="宋体" w:cs="宋体"/>
          <w:b/>
          <w:color w:val="000000"/>
          <w:sz w:val="24"/>
          <w:szCs w:val="24"/>
          <w:highlight w:val="none"/>
        </w:rPr>
      </w:pPr>
    </w:p>
    <w:p w14:paraId="70C27B77">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7FF20271">
      <w:pPr>
        <w:pStyle w:val="2"/>
        <w:rPr>
          <w:rFonts w:hint="eastAsia"/>
        </w:rPr>
      </w:pPr>
    </w:p>
    <w:p w14:paraId="73F1738D">
      <w:pPr>
        <w:pageBreakBefore w:val="0"/>
        <w:kinsoku/>
        <w:wordWrap/>
        <w:overflowPunct/>
        <w:topLinePunct w:val="0"/>
        <w:bidi w:val="0"/>
        <w:spacing w:beforeAutospacing="0" w:afterAutospacing="0" w:line="400" w:lineRule="exact"/>
        <w:ind w:firstLine="482" w:firstLineChars="200"/>
        <w:rPr>
          <w:rFonts w:hint="eastAsia" w:ascii="宋体" w:hAnsi="宋体" w:eastAsia="宋体" w:cs="宋体"/>
          <w:b/>
          <w:color w:val="000000"/>
          <w:sz w:val="24"/>
          <w:szCs w:val="24"/>
          <w:highlight w:val="none"/>
        </w:rPr>
      </w:pPr>
    </w:p>
    <w:p w14:paraId="60EE870B">
      <w:pPr>
        <w:pStyle w:val="13"/>
        <w:pageBreakBefore w:val="0"/>
        <w:kinsoku/>
        <w:wordWrap/>
        <w:overflowPunct/>
        <w:topLinePunct w:val="0"/>
        <w:bidi w:val="0"/>
        <w:spacing w:beforeAutospacing="0" w:afterAutospacing="0" w:line="400" w:lineRule="exact"/>
        <w:ind w:firstLine="643"/>
        <w:jc w:val="center"/>
        <w:rPr>
          <w:rFonts w:hint="default"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rPr>
        <w:t>3、</w:t>
      </w:r>
      <w:r>
        <w:rPr>
          <w:rFonts w:hint="eastAsia" w:ascii="宋体" w:hAnsi="宋体" w:cs="宋体"/>
          <w:b/>
          <w:color w:val="000000"/>
          <w:sz w:val="24"/>
          <w:szCs w:val="24"/>
          <w:highlight w:val="none"/>
          <w:lang w:val="en-US" w:eastAsia="zh-CN"/>
        </w:rPr>
        <w:t>符合政府采购法第二十二条规定</w:t>
      </w:r>
    </w:p>
    <w:p w14:paraId="60992634">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3EE479BA">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1、《中华人民共和国政府采购法》第二十二条应当具备的条件；</w:t>
      </w:r>
    </w:p>
    <w:p w14:paraId="5594E434">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①具有独立承担民事责任的能力；</w:t>
      </w:r>
    </w:p>
    <w:p w14:paraId="54EDFB5A">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②具有良好的商业信誉和健全的财务会计制度；</w:t>
      </w:r>
    </w:p>
    <w:p w14:paraId="6CF726A5">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③具有履行合同所必需的设备和专业技术能力；</w:t>
      </w:r>
    </w:p>
    <w:p w14:paraId="38ECAB0C">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④有依法缴纳税收和社会保障资金的良好记录；</w:t>
      </w:r>
    </w:p>
    <w:p w14:paraId="2C7F3AE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⑤参加政府采购活动前三年内，在经营活动中没有重大违法记录；</w:t>
      </w:r>
    </w:p>
    <w:p w14:paraId="1F96C27B">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⑥法律、行政法规规定的其他条件;</w:t>
      </w:r>
    </w:p>
    <w:p w14:paraId="0D7EC207">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须提供以下资料：</w:t>
      </w:r>
    </w:p>
    <w:p w14:paraId="4F2B6F6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1.1、具有独立承担民事责任的能力；须提供相关证明材料，其中：</w:t>
      </w:r>
    </w:p>
    <w:p w14:paraId="066D981E">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供应商是企业（包括合伙企业）的，须提供其在工商部门注册的有效“营业执照”的复印件；</w:t>
      </w:r>
    </w:p>
    <w:p w14:paraId="761FFF9E">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供应商是事业单位的，须提供其有效的“事业单位法人证书”复印件；</w:t>
      </w:r>
    </w:p>
    <w:p w14:paraId="0234911D">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供应商是非企业专业服务机构的，须提供其有效的执业许可证复印件；</w:t>
      </w:r>
    </w:p>
    <w:p w14:paraId="7A7AB1E4">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供应商是个体工商户的，须提供其有效的“个体工商户营业执照” 复印件；</w:t>
      </w:r>
    </w:p>
    <w:p w14:paraId="00ACC296">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以上复印件须加盖供应商公章。</w:t>
      </w:r>
    </w:p>
    <w:p w14:paraId="1A222383">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供应商是自然人的，应提供其有效的自然人身份证明；</w:t>
      </w:r>
    </w:p>
    <w:p w14:paraId="6613BFA5">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1.2、具有良好的商业信誉和健全的财务会计制度；须提供相关证明材料，其中：</w:t>
      </w:r>
    </w:p>
    <w:p w14:paraId="3A018CE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供应商是法人的，须提供近</w:t>
      </w:r>
      <w:r>
        <w:rPr>
          <w:rFonts w:hint="eastAsia" w:ascii="宋体" w:hAnsi="宋体" w:cs="宋体"/>
          <w:b w:val="0"/>
          <w:bCs/>
          <w:color w:val="000000" w:themeColor="text1"/>
          <w:sz w:val="24"/>
          <w:szCs w:val="24"/>
          <w:highlight w:val="none"/>
          <w:lang w:val="en-US" w:eastAsia="zh-CN"/>
          <w14:textFill>
            <w14:solidFill>
              <w14:schemeClr w14:val="tx1"/>
            </w14:solidFill>
          </w14:textFill>
        </w:rPr>
        <w:t>2024年度</w:t>
      </w:r>
      <w:r>
        <w:rPr>
          <w:rFonts w:hint="eastAsia" w:ascii="宋体" w:hAnsi="宋体" w:eastAsia="宋体" w:cs="宋体"/>
          <w:b w:val="0"/>
          <w:bCs/>
          <w:color w:val="000000" w:themeColor="text1"/>
          <w:sz w:val="24"/>
          <w:szCs w:val="24"/>
          <w:highlight w:val="none"/>
          <w14:textFill>
            <w14:solidFill>
              <w14:schemeClr w14:val="tx1"/>
            </w14:solidFill>
          </w14:textFill>
        </w:rPr>
        <w:t>经审计的财务审计报告复印件（报告中须包括资产负债表、利润表、现金流量表）或财务报表资产负债表、利润表、现金流量表，或其基本银行在开标日期前三个月内开具的资信证明；</w:t>
      </w:r>
    </w:p>
    <w:p w14:paraId="35FFEE63">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供应商是其他组织或自然人的，须提供银行出具的资信证明原件；</w:t>
      </w:r>
    </w:p>
    <w:p w14:paraId="6C21BB8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银行资信证明无收受人和项目的限制，银行资信证明可以是复印件，评标委员会保留审核原件的权利。</w:t>
      </w:r>
    </w:p>
    <w:p w14:paraId="75B4A49B">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1.3、具有履行合同所必需的设备和专业技术能力；须附相关证明材料或书面声明</w:t>
      </w:r>
    </w:p>
    <w:p w14:paraId="70D11284">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2A16EB0C">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书面声明格式：</w:t>
      </w:r>
    </w:p>
    <w:p w14:paraId="05DA9215">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5A6D88D3">
      <w:pPr>
        <w:pageBreakBefore w:val="0"/>
        <w:kinsoku/>
        <w:wordWrap/>
        <w:overflowPunct/>
        <w:topLinePunct w:val="0"/>
        <w:bidi w:val="0"/>
        <w:spacing w:beforeAutospacing="0" w:afterAutospacing="0" w:line="400" w:lineRule="exact"/>
        <w:jc w:val="both"/>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本供应商郑重声明：</w:t>
      </w:r>
    </w:p>
    <w:p w14:paraId="4DD571A0">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本公司（或单位）具备本项目履行合同所必需的设备和专业技术能力，特此声明。</w:t>
      </w:r>
    </w:p>
    <w:p w14:paraId="368C3B5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供应商法定代表人（或法定代表人授权代表）签字或盖章：</w:t>
      </w:r>
    </w:p>
    <w:p w14:paraId="11F1033C">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供应商名称（加盖公章）：</w:t>
      </w:r>
    </w:p>
    <w:p w14:paraId="2D2A07BB">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日期：   年   月   日</w:t>
      </w:r>
    </w:p>
    <w:p w14:paraId="6F26FE8F">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46802D4F">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1.4、有依法缴纳税收和社会保障资金的良好记录；须提供依法缴纳税收和社会保障资金的证明材料，须提供开标前三个月内任意一个月的依法缴税凭据和缴纳社会保险的凭据复印件（依法免税的应提供相应文件说明）；</w:t>
      </w:r>
    </w:p>
    <w:p w14:paraId="6C08BECB">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6EA1A0E9">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3925FAC6">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1.5、参加政府采购活动前三年内，在经营活动中没有重大违法记录；须提供书面声明</w:t>
      </w:r>
    </w:p>
    <w:p w14:paraId="639859E7">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249BC4A7">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我单位郑重声明： </w:t>
      </w:r>
    </w:p>
    <w:p w14:paraId="2B12651E">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3AC0106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如我公司声明与实际不符，我公司将承担因此引起的一切后果。 </w:t>
      </w:r>
    </w:p>
    <w:p w14:paraId="653D0941">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p>
    <w:p w14:paraId="7A0ED8F2">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供应商法定代表人（或法定代表人授权代表）签字或盖章：</w:t>
      </w:r>
    </w:p>
    <w:p w14:paraId="21E8620E">
      <w:pPr>
        <w:pageBreakBefore w:val="0"/>
        <w:kinsoku/>
        <w:wordWrap/>
        <w:overflowPunct/>
        <w:topLinePunct w:val="0"/>
        <w:bidi w:val="0"/>
        <w:spacing w:beforeAutospacing="0" w:afterAutospacing="0" w:line="400" w:lineRule="exac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供应商名称（加盖公章）：</w:t>
      </w:r>
    </w:p>
    <w:p w14:paraId="5C414032">
      <w:pPr>
        <w:pageBreakBefore w:val="0"/>
        <w:kinsoku/>
        <w:wordWrap/>
        <w:overflowPunct/>
        <w:topLinePunct w:val="0"/>
        <w:bidi w:val="0"/>
        <w:spacing w:beforeAutospacing="0" w:afterAutospacing="0" w:line="400" w:lineRule="exac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themeColor="text1"/>
          <w:sz w:val="24"/>
          <w:szCs w:val="24"/>
          <w:highlight w:val="none"/>
          <w14:textFill>
            <w14:solidFill>
              <w14:schemeClr w14:val="tx1"/>
            </w14:solidFill>
          </w14:textFill>
        </w:rPr>
        <w:t>日期：   年   月   日</w:t>
      </w:r>
    </w:p>
    <w:p w14:paraId="059FDC84">
      <w:pPr>
        <w:pStyle w:val="13"/>
        <w:pageBreakBefore w:val="0"/>
        <w:kinsoku/>
        <w:wordWrap/>
        <w:overflowPunct/>
        <w:topLinePunct w:val="0"/>
        <w:bidi w:val="0"/>
        <w:spacing w:beforeAutospacing="0" w:afterAutospacing="0" w:line="400" w:lineRule="exact"/>
        <w:ind w:firstLine="643"/>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4、法定代表人身份证明（法定代表人投标提供）</w:t>
      </w:r>
    </w:p>
    <w:p w14:paraId="31583C65">
      <w:pPr>
        <w:pStyle w:val="6"/>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rPr>
      </w:pPr>
      <w:bookmarkStart w:id="24" w:name="_Toc251236133"/>
      <w:r>
        <w:rPr>
          <w:rFonts w:hint="eastAsia" w:ascii="宋体" w:hAnsi="宋体" w:eastAsia="宋体" w:cs="宋体"/>
          <w:color w:val="000000"/>
          <w:sz w:val="24"/>
          <w:szCs w:val="24"/>
          <w:highlight w:val="none"/>
        </w:rPr>
        <w:t>法定代表人证明书</w:t>
      </w:r>
      <w:bookmarkEnd w:id="24"/>
    </w:p>
    <w:p w14:paraId="45F79B88">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5884440D">
      <w:pPr>
        <w:pageBreakBefore w:val="0"/>
        <w:tabs>
          <w:tab w:val="left" w:pos="900"/>
        </w:tabs>
        <w:kinsoku/>
        <w:wordWrap/>
        <w:overflowPunct/>
        <w:topLinePunct w:val="0"/>
        <w:bidi w:val="0"/>
        <w:spacing w:beforeAutospacing="0" w:afterAutospacing="0" w:line="400" w:lineRule="exact"/>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                  ）同志，现任我单位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66E25FD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bl>
      <w:tblPr>
        <w:tblStyle w:val="24"/>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8"/>
        <w:gridCol w:w="3152"/>
      </w:tblGrid>
      <w:tr w14:paraId="6CE0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8" w:type="dxa"/>
          </w:tcPr>
          <w:p w14:paraId="26EDAE7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营业执照(注册号)： </w:t>
            </w:r>
          </w:p>
        </w:tc>
        <w:tc>
          <w:tcPr>
            <w:tcW w:w="3152" w:type="dxa"/>
          </w:tcPr>
          <w:p w14:paraId="0F8DC6A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经济性质：</w:t>
            </w:r>
          </w:p>
        </w:tc>
      </w:tr>
      <w:tr w14:paraId="26A7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1935F03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r>
      <w:tr w14:paraId="237C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26E2200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法定代表人身份证号：</w:t>
            </w:r>
          </w:p>
        </w:tc>
      </w:tr>
      <w:tr w14:paraId="5DF4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6767EBF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法定代表人年龄：</w:t>
            </w:r>
          </w:p>
        </w:tc>
        <w:tc>
          <w:tcPr>
            <w:tcW w:w="3152" w:type="dxa"/>
          </w:tcPr>
          <w:p w14:paraId="2BAACC0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法定代表人性别：</w:t>
            </w:r>
          </w:p>
        </w:tc>
      </w:tr>
    </w:tbl>
    <w:p w14:paraId="7D09654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39F661F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65C505E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有效日期：</w:t>
      </w:r>
    </w:p>
    <w:p w14:paraId="433D0818">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年   月   日</w:t>
      </w:r>
    </w:p>
    <w:p w14:paraId="1BE133AC">
      <w:pPr>
        <w:pStyle w:val="33"/>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483AA619">
      <w:pPr>
        <w:pStyle w:val="33"/>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bookmarkStart w:id="25" w:name="_Toc50736477"/>
      <w:bookmarkStart w:id="26" w:name="_Toc52165081"/>
      <w:bookmarkStart w:id="27" w:name="_Toc251236134"/>
      <w:bookmarkStart w:id="28" w:name="_Toc50737297"/>
      <w:bookmarkStart w:id="29" w:name="_Toc50737329"/>
    </w:p>
    <w:p w14:paraId="738CC122">
      <w:pPr>
        <w:pStyle w:val="33"/>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p>
    <w:p w14:paraId="7204A7BB">
      <w:pPr>
        <w:pStyle w:val="33"/>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p>
    <w:p w14:paraId="4EDF0BDE">
      <w:pPr>
        <w:pStyle w:val="33"/>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p>
    <w:p w14:paraId="3AAC7133">
      <w:pPr>
        <w:pStyle w:val="33"/>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r>
        <w:rPr>
          <w:rFonts w:hint="eastAsia" w:ascii="宋体" w:hAnsi="宋体" w:eastAsia="宋体" w:cs="宋体"/>
          <w:b/>
          <w:bCs/>
          <w:color w:val="000000"/>
          <w:kern w:val="2"/>
          <w:sz w:val="24"/>
          <w:szCs w:val="24"/>
          <w:highlight w:val="none"/>
          <w:lang w:val="en-US" w:eastAsia="zh-CN"/>
        </w:rPr>
        <w:t>5、</w:t>
      </w:r>
      <w:r>
        <w:rPr>
          <w:rFonts w:hint="eastAsia" w:ascii="宋体" w:hAnsi="宋体" w:eastAsia="宋体" w:cs="宋体"/>
          <w:b/>
          <w:bCs/>
          <w:color w:val="000000"/>
          <w:kern w:val="2"/>
          <w:sz w:val="24"/>
          <w:szCs w:val="24"/>
          <w:highlight w:val="none"/>
        </w:rPr>
        <w:t>法定代表人授权委托书</w:t>
      </w:r>
      <w:bookmarkEnd w:id="25"/>
      <w:bookmarkEnd w:id="26"/>
      <w:bookmarkEnd w:id="27"/>
      <w:bookmarkEnd w:id="28"/>
      <w:bookmarkEnd w:id="29"/>
    </w:p>
    <w:p w14:paraId="7F70BE91">
      <w:pPr>
        <w:pStyle w:val="33"/>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p>
    <w:tbl>
      <w:tblPr>
        <w:tblStyle w:val="24"/>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781"/>
        <w:gridCol w:w="2385"/>
        <w:gridCol w:w="1215"/>
      </w:tblGrid>
      <w:tr w14:paraId="44F0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71A1726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tc>
        <w:tc>
          <w:tcPr>
            <w:tcW w:w="6381" w:type="dxa"/>
            <w:gridSpan w:val="3"/>
            <w:vAlign w:val="center"/>
          </w:tcPr>
          <w:p w14:paraId="5B3554F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5273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45C2123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6381" w:type="dxa"/>
            <w:gridSpan w:val="3"/>
            <w:vAlign w:val="center"/>
          </w:tcPr>
          <w:p w14:paraId="002C148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488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034A086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781" w:type="dxa"/>
            <w:vAlign w:val="center"/>
          </w:tcPr>
          <w:p w14:paraId="703F0CD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7071219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299DC3B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7148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3900F8F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法人营业执照注册号</w:t>
            </w:r>
          </w:p>
        </w:tc>
        <w:tc>
          <w:tcPr>
            <w:tcW w:w="2781" w:type="dxa"/>
            <w:vAlign w:val="center"/>
          </w:tcPr>
          <w:p w14:paraId="1B9DD80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7EBEE83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注册于（国家或地区）</w:t>
            </w:r>
          </w:p>
        </w:tc>
        <w:tc>
          <w:tcPr>
            <w:tcW w:w="1215" w:type="dxa"/>
            <w:vAlign w:val="center"/>
          </w:tcPr>
          <w:p w14:paraId="42243FC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5FEE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7D98948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w:t>
            </w:r>
          </w:p>
        </w:tc>
        <w:tc>
          <w:tcPr>
            <w:tcW w:w="2781" w:type="dxa"/>
            <w:vAlign w:val="center"/>
          </w:tcPr>
          <w:p w14:paraId="59D1A339">
            <w:pPr>
              <w:pageBreakBefore w:val="0"/>
              <w:kinsoku/>
              <w:wordWrap/>
              <w:overflowPunct/>
              <w:topLinePunct w:val="0"/>
              <w:bidi w:val="0"/>
              <w:spacing w:beforeAutospacing="0" w:afterAutospacing="0" w:line="400" w:lineRule="exact"/>
              <w:ind w:right="105"/>
              <w:rPr>
                <w:rFonts w:hint="eastAsia" w:ascii="宋体" w:hAnsi="宋体" w:eastAsia="宋体" w:cs="宋体"/>
                <w:sz w:val="24"/>
                <w:szCs w:val="24"/>
                <w:highlight w:val="none"/>
              </w:rPr>
            </w:pPr>
          </w:p>
        </w:tc>
        <w:tc>
          <w:tcPr>
            <w:tcW w:w="2385" w:type="dxa"/>
            <w:vAlign w:val="center"/>
          </w:tcPr>
          <w:p w14:paraId="3BE1098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授权代表人性别</w:t>
            </w:r>
          </w:p>
        </w:tc>
        <w:tc>
          <w:tcPr>
            <w:tcW w:w="1215" w:type="dxa"/>
            <w:vAlign w:val="center"/>
          </w:tcPr>
          <w:p w14:paraId="5983C5B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BF9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51F9EEE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授权代表人身份证号</w:t>
            </w:r>
          </w:p>
        </w:tc>
        <w:tc>
          <w:tcPr>
            <w:tcW w:w="2781" w:type="dxa"/>
            <w:vAlign w:val="center"/>
          </w:tcPr>
          <w:p w14:paraId="5CD07E7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2B0C18B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授权代表人职务</w:t>
            </w:r>
          </w:p>
        </w:tc>
        <w:tc>
          <w:tcPr>
            <w:tcW w:w="1215" w:type="dxa"/>
            <w:vAlign w:val="center"/>
          </w:tcPr>
          <w:p w14:paraId="1374E0F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bl>
    <w:p w14:paraId="6B24C216">
      <w:pPr>
        <w:pageBreakBefore w:val="0"/>
        <w:kinsoku/>
        <w:wordWrap/>
        <w:overflowPunct/>
        <w:topLinePunct w:val="0"/>
        <w:bidi w:val="0"/>
        <w:spacing w:beforeAutospacing="0" w:afterAutospacing="0" w:line="400" w:lineRule="exact"/>
        <w:ind w:left="2" w:firstLine="460" w:firstLineChars="192"/>
        <w:rPr>
          <w:rFonts w:hint="eastAsia" w:ascii="宋体" w:hAnsi="宋体" w:eastAsia="宋体" w:cs="宋体"/>
          <w:color w:val="000000"/>
          <w:sz w:val="24"/>
          <w:szCs w:val="24"/>
          <w:highlight w:val="none"/>
        </w:rPr>
      </w:pPr>
    </w:p>
    <w:p w14:paraId="08A232E4">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14:paraId="6DE32724">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8DFE24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w:t>
      </w:r>
    </w:p>
    <w:p w14:paraId="0E4397E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536F2A4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5313106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2439035</wp:posOffset>
                </wp:positionH>
                <wp:positionV relativeFrom="paragraph">
                  <wp:posOffset>70485</wp:posOffset>
                </wp:positionV>
                <wp:extent cx="3485515" cy="1979295"/>
                <wp:effectExtent l="4445" t="4445" r="15240" b="16510"/>
                <wp:wrapNone/>
                <wp:docPr id="2" name="矩形 2"/>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7CC3A9">
                            <w:pPr>
                              <w:rPr>
                                <w:rFonts w:eastAsia="黑体"/>
                                <w:b/>
                                <w:sz w:val="30"/>
                              </w:rPr>
                            </w:pPr>
                          </w:p>
                          <w:p w14:paraId="7931E916">
                            <w:pPr>
                              <w:rPr>
                                <w:rFonts w:eastAsia="黑体"/>
                                <w:b/>
                                <w:sz w:val="30"/>
                              </w:rPr>
                            </w:pPr>
                          </w:p>
                          <w:p w14:paraId="727FDFB2">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wps:txbx>
                      <wps:bodyPr upright="1"/>
                    </wps:wsp>
                  </a:graphicData>
                </a:graphic>
              </wp:anchor>
            </w:drawing>
          </mc:Choice>
          <mc:Fallback>
            <w:pict>
              <v:rect id="_x0000_s1026" o:spid="_x0000_s1026" o:spt="1" style="position:absolute;left:0pt;margin-left:192.05pt;margin-top:5.55pt;height:155.85pt;width:274.45pt;z-index:251659264;mso-width-relative:page;mso-height-relative:page;" fillcolor="#FFFFFF" filled="t" stroked="t" coordsize="21600,21600" o:gfxdata="UEsDBAoAAAAAAIdO4kAAAAAAAAAAAAAAAAAEAAAAZHJzL1BLAwQUAAAACACHTuJAhRKZedcAAAAK&#10;AQAADwAAAGRycy9kb3ducmV2LnhtbE2PQU+EMBCF7yb+h2ZMvLktYAyLlD1o1sTjLnvxNtAKKJ0S&#10;WnbRX+940tPk5b28+V65W90oznYOgycNyUaBsNR6M1Cn4VTv73IQISIZHD1ZDV82wK66viqxMP5C&#10;B3s+xk5wCYUCNfQxToWUoe2tw7DxkyX23v3sMLKcO2lmvHC5G2Wq1IN0OBB/6HGyT71tP4+L09AM&#10;6Qm/D/WLctt9Fl/X+mN5e9b69iZRjyCiXeNfGH7xGR0qZmr8QiaIUUOW3yccZSPhy4FtlvG4hp00&#10;zUFWpfw/ofoBUEsDBBQAAAAIAIdO4kASWcUhAQIAACoEAAAOAAAAZHJzL2Uyb0RvYy54bWytU82O&#10;0zAQviPxDpbvNG2gsI2a7oFSLghWWngA13YSS/6Tx23Sp0HixkPwOIjXYOyE7g976GFzcGbs8Tfz&#10;fTNeXw9Gk6MMoJyt6WI2p0Ra7oSybU2/fd29uqIEIrOCaWdlTU8S6PXm5Yt17ytZus5pIQNBEAtV&#10;72vaxeirogDeScNg5ry0eNi4YFhEN7SFCKxHdKOLcj5/W/QuCB8clwC4ux0P6YQYLgF0TaO43Dp+&#10;MNLGETVIzSJSgk55oJtcbdNIHr80DchIdE2RacwrJkF7n9Zis2ZVG5jvFJ9KYJeU8IiTYcpi0jPU&#10;lkVGDkH9B2UUDw5cE2fcmWIkkhVBFov5I21uO+Zl5oJSgz+LDs8Hyz8fbwJRoqYlJZYZbPif7z9/&#10;//pByqRN76HCkFt/EyYP0ExEhyaY9EcKZMh6ns56yiESjpuv31wtl4slJRzPFqt3q3K1TKjF3XUf&#10;IH6UzpBk1DRgw7KO7PgJ4hj6LyRlA6eV2CmtsxPa/XsdyJFhc3f5m9AfhGlL+pqulmUqhOHENjgp&#10;aBqPrMG2Od+DG3AfeJ6/p4BTYVsG3VhARkhhrDIqypCtTjLxwQoSTx6VtfigaCrGSEGJlvj+kpUj&#10;I1P6kkjUTluUMHVm7EWy4rAfECaZeydO2NKDD6rtUNJFLj2d4Ahl7adxTzN638+gd0988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Epl51wAAAAoBAAAPAAAAAAAAAAEAIAAAACIAAABkcnMvZG93&#10;bnJldi54bWxQSwECFAAUAAAACACHTuJAElnFIQECAAAqBAAADgAAAAAAAAABACAAAAAmAQAAZHJz&#10;L2Uyb0RvYy54bWxQSwUGAAAAAAYABgBZAQAAmQUAAAAA&#10;">
                <v:fill on="t" focussize="0,0"/>
                <v:stroke color="#000000" joinstyle="miter"/>
                <v:imagedata o:title=""/>
                <o:lock v:ext="edit" aspectratio="f"/>
                <v:textbox>
                  <w:txbxContent>
                    <w:p w14:paraId="327CC3A9">
                      <w:pPr>
                        <w:rPr>
                          <w:rFonts w:eastAsia="黑体"/>
                          <w:b/>
                          <w:sz w:val="30"/>
                        </w:rPr>
                      </w:pPr>
                    </w:p>
                    <w:p w14:paraId="7931E916">
                      <w:pPr>
                        <w:rPr>
                          <w:rFonts w:eastAsia="黑体"/>
                          <w:b/>
                          <w:sz w:val="30"/>
                        </w:rPr>
                      </w:pPr>
                    </w:p>
                    <w:p w14:paraId="727FDFB2">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v:textbox>
              </v:rect>
            </w:pict>
          </mc:Fallback>
        </mc:AlternateContent>
      </w:r>
    </w:p>
    <w:p w14:paraId="045F654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6B1E855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7EC7925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授权代表人签字或盖章：</w:t>
      </w:r>
    </w:p>
    <w:p w14:paraId="166841C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5FE9874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2D1A96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1185D89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05DC47D3">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p>
    <w:p w14:paraId="54794134">
      <w:pPr>
        <w:pageBreakBefore w:val="0"/>
        <w:kinsoku/>
        <w:wordWrap/>
        <w:overflowPunct/>
        <w:topLinePunct w:val="0"/>
        <w:bidi w:val="0"/>
        <w:spacing w:beforeAutospacing="0" w:afterAutospacing="0" w:line="400" w:lineRule="exact"/>
        <w:jc w:val="both"/>
        <w:rPr>
          <w:rFonts w:hint="eastAsia" w:ascii="宋体" w:hAnsi="宋体" w:eastAsia="宋体" w:cs="宋体"/>
          <w:b/>
          <w:sz w:val="24"/>
          <w:szCs w:val="24"/>
          <w:highlight w:val="none"/>
        </w:rPr>
      </w:pPr>
    </w:p>
    <w:p w14:paraId="700A547D">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6、</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rPr>
        <w:t>本项目投标截止期前在“信用中国（</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www.creditchina.gov.cn）”“中国政府</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网（www.ccgp.gov.cn）”</w:t>
      </w:r>
      <w:r>
        <w:rPr>
          <w:rFonts w:hint="eastAsia" w:ascii="宋体" w:hAnsi="宋体" w:eastAsia="宋体" w:cs="宋体"/>
          <w:sz w:val="24"/>
          <w:szCs w:val="24"/>
          <w:highlight w:val="none"/>
          <w:lang w:val="en-US" w:eastAsia="zh-CN"/>
        </w:rPr>
        <w:t>国家企业信用信息公示系统（www.gsxt.gov.cn）网络查询截图加盖投标企业公章</w:t>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end"/>
      </w:r>
    </w:p>
    <w:p w14:paraId="36A675C5">
      <w:pPr>
        <w:pStyle w:val="6"/>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lang w:val="en-US" w:eastAsia="zh-CN"/>
        </w:rPr>
      </w:pPr>
    </w:p>
    <w:p w14:paraId="75E5A907">
      <w:pPr>
        <w:pStyle w:val="6"/>
        <w:pageBreakBefore w:val="0"/>
        <w:kinsoku/>
        <w:wordWrap/>
        <w:overflowPunct/>
        <w:topLinePunct w:val="0"/>
        <w:bidi w:val="0"/>
        <w:spacing w:before="0" w:beforeAutospacing="0" w:after="0" w:afterAutospacing="0" w:line="400" w:lineRule="exact"/>
        <w:jc w:val="both"/>
        <w:rPr>
          <w:rFonts w:hint="eastAsia" w:ascii="宋体" w:hAnsi="宋体" w:eastAsia="宋体" w:cs="宋体"/>
          <w:color w:val="000000"/>
          <w:sz w:val="24"/>
          <w:szCs w:val="24"/>
          <w:highlight w:val="none"/>
          <w:lang w:val="en-US" w:eastAsia="zh-CN"/>
        </w:rPr>
      </w:pPr>
    </w:p>
    <w:p w14:paraId="1E58E912">
      <w:pPr>
        <w:pStyle w:val="6"/>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lang w:val="en-US" w:eastAsia="zh-CN"/>
        </w:rPr>
      </w:pPr>
    </w:p>
    <w:p w14:paraId="479E1E45">
      <w:pPr>
        <w:pStyle w:val="6"/>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、近三年的业绩表及相关证明</w:t>
      </w:r>
    </w:p>
    <w:p w14:paraId="209E4947">
      <w:pPr>
        <w:pStyle w:val="38"/>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  </w:t>
      </w:r>
    </w:p>
    <w:p w14:paraId="241A3D35">
      <w:pPr>
        <w:pStyle w:val="38"/>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编</w:t>
      </w:r>
      <w:r>
        <w:rPr>
          <w:rFonts w:hint="eastAsia" w:ascii="宋体" w:hAnsi="宋体" w:eastAsia="宋体" w:cs="宋体"/>
          <w:sz w:val="24"/>
          <w:szCs w:val="24"/>
          <w:highlight w:val="none"/>
        </w:rPr>
        <w:t xml:space="preserve">号 ：                      </w:t>
      </w:r>
    </w:p>
    <w:tbl>
      <w:tblPr>
        <w:tblStyle w:val="24"/>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14:paraId="0AE3BE81">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34A99611">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p>
        </w:tc>
        <w:tc>
          <w:tcPr>
            <w:tcW w:w="1456" w:type="dxa"/>
            <w:tcBorders>
              <w:top w:val="single" w:color="auto" w:sz="6" w:space="0"/>
              <w:left w:val="single" w:color="auto" w:sz="6" w:space="0"/>
              <w:bottom w:val="single" w:color="auto" w:sz="6" w:space="0"/>
              <w:right w:val="single" w:color="auto" w:sz="6" w:space="0"/>
            </w:tcBorders>
            <w:vAlign w:val="center"/>
          </w:tcPr>
          <w:p w14:paraId="0DDF1E97">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719" w:type="dxa"/>
            <w:tcBorders>
              <w:top w:val="single" w:color="auto" w:sz="6" w:space="0"/>
              <w:left w:val="single" w:color="auto" w:sz="6" w:space="0"/>
              <w:bottom w:val="single" w:color="auto" w:sz="6" w:space="0"/>
              <w:right w:val="single" w:color="auto" w:sz="6" w:space="0"/>
            </w:tcBorders>
            <w:vAlign w:val="center"/>
          </w:tcPr>
          <w:p w14:paraId="70486EC2">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tc>
        <w:tc>
          <w:tcPr>
            <w:tcW w:w="1712" w:type="dxa"/>
            <w:tcBorders>
              <w:top w:val="single" w:color="auto" w:sz="6" w:space="0"/>
              <w:left w:val="single" w:color="auto" w:sz="6" w:space="0"/>
              <w:bottom w:val="single" w:color="auto" w:sz="6" w:space="0"/>
              <w:right w:val="single" w:color="auto" w:sz="6" w:space="0"/>
            </w:tcBorders>
            <w:vAlign w:val="center"/>
          </w:tcPr>
          <w:p w14:paraId="5BDC959D">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858" w:type="dxa"/>
            <w:tcBorders>
              <w:top w:val="single" w:color="auto" w:sz="6" w:space="0"/>
              <w:left w:val="single" w:color="auto" w:sz="6" w:space="0"/>
              <w:bottom w:val="single" w:color="auto" w:sz="6" w:space="0"/>
              <w:right w:val="single" w:color="auto" w:sz="6" w:space="0"/>
            </w:tcBorders>
            <w:vAlign w:val="center"/>
          </w:tcPr>
          <w:p w14:paraId="6A62E74D">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vAlign w:val="center"/>
          </w:tcPr>
          <w:p w14:paraId="70B2B84E">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r>
      <w:tr w14:paraId="52CCBA14">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5113E56F">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638BC190">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75F069B7">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061FC6C2">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131B50B">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F65EC1D">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75499A33">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53EEF268">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6E236D87">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17432927">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197EDAA9">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7681C2C">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11E4F81">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6DB2671C">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1577363F">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16033F84">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60FC65ED">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6A94CBF6">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51225C87">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16EB7DB">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53FBE124">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008F4612">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676715B2">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7E02D2E7">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34EF8620">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B7BEAA4">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0E419B7C">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0806BE78">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16C5C4BB">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164C00FC">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2760C4E7">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1699E263">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70751C71">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0F0B29E3">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085F3417">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75AC09DB">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51F30AEA">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5F2BC98F">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5D36286C">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0073439">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50F5A9C6">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1EB47300">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4C2E4C44">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3C92A84B">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776D4B78">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32A259D1">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4F9B5927">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FF78D30">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7913C8FA">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3400D40F">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45BE2882">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1F61F203">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334086EB">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646F718E">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7CDC255D">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768C7470">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03522DB2">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5CCBA945">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2FD885B0">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653268A2">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603303E9">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7B4D5D70">
            <w:pPr>
              <w:pStyle w:val="40"/>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bl>
    <w:p w14:paraId="1C1D1DC1">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33D29FEB">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val="en-US" w:eastAsia="zh-CN"/>
        </w:rPr>
        <w:t>根据评标办法提供</w:t>
      </w:r>
      <w:r>
        <w:rPr>
          <w:rFonts w:hint="eastAsia" w:ascii="宋体" w:hAnsi="宋体" w:eastAsia="宋体" w:cs="宋体"/>
          <w:color w:val="000000"/>
          <w:sz w:val="24"/>
          <w:szCs w:val="24"/>
          <w:highlight w:val="none"/>
        </w:rPr>
        <w:t>。</w:t>
      </w:r>
    </w:p>
    <w:p w14:paraId="3415D200">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3DE69E9C">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（单位公章）</w:t>
      </w:r>
    </w:p>
    <w:p w14:paraId="0A240597">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29A949D7">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06D73A21">
      <w:pPr>
        <w:pStyle w:val="38"/>
        <w:pageBreakBefore w:val="0"/>
        <w:tabs>
          <w:tab w:val="left" w:pos="540"/>
          <w:tab w:val="left" w:pos="1080"/>
        </w:tabs>
        <w:kinsoku/>
        <w:wordWrap/>
        <w:overflowPunct/>
        <w:topLinePunct w:val="0"/>
        <w:bidi w:val="0"/>
        <w:spacing w:beforeAutospacing="0" w:afterAutospacing="0" w:line="400" w:lineRule="exact"/>
        <w:ind w:firstLine="236" w:firstLineChars="98"/>
        <w:jc w:val="center"/>
        <w:rPr>
          <w:rFonts w:hint="eastAsia" w:ascii="宋体" w:hAnsi="宋体" w:eastAsia="宋体" w:cs="宋体"/>
          <w:b/>
          <w:sz w:val="24"/>
          <w:szCs w:val="24"/>
          <w:highlight w:val="none"/>
        </w:rPr>
        <w:sectPr>
          <w:footerReference r:id="rId9" w:type="first"/>
          <w:footerReference r:id="rId8" w:type="default"/>
          <w:pgSz w:w="11906" w:h="16838"/>
          <w:pgMar w:top="1134" w:right="1814" w:bottom="1134" w:left="1814" w:header="851" w:footer="992" w:gutter="0"/>
          <w:pgNumType w:fmt="decimal"/>
          <w:cols w:space="720" w:num="1"/>
          <w:titlePg/>
          <w:docGrid w:type="lines" w:linePitch="312" w:charSpace="0"/>
        </w:sectPr>
      </w:pPr>
    </w:p>
    <w:p w14:paraId="49C19629">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质保期、交货期</w:t>
      </w:r>
      <w:r>
        <w:rPr>
          <w:rFonts w:hint="eastAsia" w:ascii="宋体" w:hAnsi="宋体" w:eastAsia="宋体" w:cs="宋体"/>
          <w:color w:val="000000"/>
          <w:sz w:val="24"/>
          <w:szCs w:val="24"/>
          <w:highlight w:val="none"/>
          <w:lang w:val="en-US" w:eastAsia="zh-CN"/>
        </w:rPr>
        <w:t>；（根据评标办法格式自拟）</w:t>
      </w:r>
    </w:p>
    <w:p w14:paraId="3ED78D91">
      <w:pPr>
        <w:pageBreakBefore w:val="0"/>
        <w:kinsoku/>
        <w:wordWrap/>
        <w:overflowPunct/>
        <w:topLinePunct w:val="0"/>
        <w:bidi w:val="0"/>
        <w:spacing w:beforeAutospacing="0" w:afterAutospacing="0" w:line="400" w:lineRule="exact"/>
        <w:ind w:firstLine="482" w:firstLineChars="200"/>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14:textFill>
            <w14:solidFill>
              <w14:schemeClr w14:val="tx1"/>
            </w14:solidFill>
          </w14:textFill>
        </w:rPr>
        <w:t>、商务条款偏离表</w:t>
      </w:r>
    </w:p>
    <w:p w14:paraId="1E2C228E">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p>
    <w:p w14:paraId="0E44667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p>
    <w:p w14:paraId="655236D5">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552"/>
        <w:gridCol w:w="2551"/>
        <w:gridCol w:w="2145"/>
      </w:tblGrid>
      <w:tr w14:paraId="3221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14:paraId="20447EA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552" w:type="dxa"/>
            <w:vAlign w:val="center"/>
          </w:tcPr>
          <w:p w14:paraId="4BD8A88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招标文件的商务条款</w:t>
            </w:r>
          </w:p>
        </w:tc>
        <w:tc>
          <w:tcPr>
            <w:tcW w:w="2551" w:type="dxa"/>
            <w:vAlign w:val="center"/>
          </w:tcPr>
          <w:p w14:paraId="6B3FDB9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投标文件的商务条款</w:t>
            </w:r>
          </w:p>
        </w:tc>
        <w:tc>
          <w:tcPr>
            <w:tcW w:w="2145" w:type="dxa"/>
            <w:vAlign w:val="center"/>
          </w:tcPr>
          <w:p w14:paraId="5698C7A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4C2F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14:paraId="4AF597A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552" w:type="dxa"/>
            <w:vAlign w:val="center"/>
          </w:tcPr>
          <w:p w14:paraId="2FBE51C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551" w:type="dxa"/>
            <w:vAlign w:val="center"/>
          </w:tcPr>
          <w:p w14:paraId="0B70D17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145" w:type="dxa"/>
            <w:vAlign w:val="center"/>
          </w:tcPr>
          <w:p w14:paraId="765F096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A7A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14:paraId="5C615EB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552" w:type="dxa"/>
            <w:vAlign w:val="center"/>
          </w:tcPr>
          <w:p w14:paraId="7541DA4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551" w:type="dxa"/>
            <w:vAlign w:val="center"/>
          </w:tcPr>
          <w:p w14:paraId="2835BBE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145" w:type="dxa"/>
            <w:vAlign w:val="center"/>
          </w:tcPr>
          <w:p w14:paraId="2646946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7193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14:paraId="4FA5A9A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552" w:type="dxa"/>
            <w:vAlign w:val="center"/>
          </w:tcPr>
          <w:p w14:paraId="3561F4F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551" w:type="dxa"/>
            <w:vAlign w:val="center"/>
          </w:tcPr>
          <w:p w14:paraId="067D6C6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145" w:type="dxa"/>
            <w:vAlign w:val="center"/>
          </w:tcPr>
          <w:p w14:paraId="01B558D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35FE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14:paraId="5C12912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552" w:type="dxa"/>
            <w:vAlign w:val="center"/>
          </w:tcPr>
          <w:p w14:paraId="4E1A023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551" w:type="dxa"/>
            <w:vAlign w:val="center"/>
          </w:tcPr>
          <w:p w14:paraId="5D7E715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145" w:type="dxa"/>
            <w:vAlign w:val="center"/>
          </w:tcPr>
          <w:p w14:paraId="7986BD1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3095EE6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p>
    <w:p w14:paraId="039CD29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7BAB9855">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1、本项目商务条款至少包括：</w:t>
      </w:r>
      <w:r>
        <w:rPr>
          <w:rFonts w:hint="eastAsia" w:ascii="宋体" w:hAnsi="宋体" w:eastAsia="宋体" w:cs="宋体"/>
          <w:sz w:val="24"/>
          <w:szCs w:val="24"/>
          <w:highlight w:val="none"/>
          <w:lang w:eastAsia="zh-CN"/>
        </w:rPr>
        <w:t>履约期限</w:t>
      </w:r>
      <w:r>
        <w:rPr>
          <w:rFonts w:hint="eastAsia" w:ascii="宋体" w:hAnsi="宋体" w:eastAsia="宋体" w:cs="宋体"/>
          <w:sz w:val="24"/>
          <w:szCs w:val="24"/>
          <w:highlight w:val="none"/>
        </w:rPr>
        <w:t>、招标内容、投标文件有效期等，投标人必须按招标文件给定的条款填写，否则视为不响应招标。</w:t>
      </w:r>
    </w:p>
    <w:p w14:paraId="773C762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2、招标文件条目号指投标须知所对应项目名称。</w:t>
      </w:r>
    </w:p>
    <w:p w14:paraId="387CCF8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p>
    <w:p w14:paraId="53E7A99F">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投标单位：（单位公章）</w:t>
      </w:r>
    </w:p>
    <w:p w14:paraId="3E24E6F0">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法定代表人或授权代表人：（签字或盖章）</w:t>
      </w:r>
    </w:p>
    <w:p w14:paraId="075BF537">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p>
    <w:p w14:paraId="4BDEEEC2">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p>
    <w:p w14:paraId="1AC07664">
      <w:pPr>
        <w:pageBreakBefore w:val="0"/>
        <w:kinsoku/>
        <w:wordWrap/>
        <w:overflowPunct/>
        <w:topLinePunct w:val="0"/>
        <w:bidi w:val="0"/>
        <w:adjustRightInd w:val="0"/>
        <w:snapToGrid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4E60B091">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426D5415">
      <w:pPr>
        <w:pStyle w:val="33"/>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469CF1F0">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7838C056">
      <w:pPr>
        <w:pStyle w:val="23"/>
        <w:rPr>
          <w:rFonts w:hint="eastAsia" w:ascii="宋体" w:hAnsi="宋体" w:eastAsia="宋体" w:cs="宋体"/>
          <w:color w:val="000000"/>
          <w:sz w:val="24"/>
          <w:szCs w:val="24"/>
          <w:highlight w:val="none"/>
        </w:rPr>
      </w:pPr>
    </w:p>
    <w:p w14:paraId="3FED0D43">
      <w:pPr>
        <w:pStyle w:val="23"/>
        <w:rPr>
          <w:rFonts w:hint="eastAsia" w:ascii="宋体" w:hAnsi="宋体" w:eastAsia="宋体" w:cs="宋体"/>
          <w:color w:val="000000"/>
          <w:sz w:val="24"/>
          <w:szCs w:val="24"/>
          <w:highlight w:val="none"/>
        </w:rPr>
      </w:pPr>
    </w:p>
    <w:p w14:paraId="4561010F">
      <w:pPr>
        <w:pStyle w:val="23"/>
        <w:rPr>
          <w:rFonts w:hint="eastAsia" w:ascii="宋体" w:hAnsi="宋体" w:eastAsia="宋体" w:cs="宋体"/>
          <w:color w:val="000000"/>
          <w:sz w:val="24"/>
          <w:szCs w:val="24"/>
          <w:highlight w:val="none"/>
        </w:rPr>
      </w:pPr>
    </w:p>
    <w:p w14:paraId="1E1462EF">
      <w:pPr>
        <w:pStyle w:val="23"/>
        <w:rPr>
          <w:rFonts w:hint="eastAsia" w:ascii="宋体" w:hAnsi="宋体" w:eastAsia="宋体" w:cs="宋体"/>
          <w:color w:val="000000"/>
          <w:sz w:val="24"/>
          <w:szCs w:val="24"/>
          <w:highlight w:val="none"/>
        </w:rPr>
      </w:pPr>
    </w:p>
    <w:p w14:paraId="070B5418">
      <w:pPr>
        <w:pageBreakBefore w:val="0"/>
        <w:kinsoku/>
        <w:wordWrap/>
        <w:overflowPunct/>
        <w:topLinePunct w:val="0"/>
        <w:autoSpaceDE w:val="0"/>
        <w:autoSpaceDN w:val="0"/>
        <w:bidi w:val="0"/>
        <w:adjustRightInd w:val="0"/>
        <w:spacing w:beforeAutospacing="0" w:afterAutospacing="0" w:line="400" w:lineRule="exact"/>
        <w:ind w:left="220" w:leftChars="105" w:firstLine="361" w:firstLineChars="150"/>
        <w:jc w:val="center"/>
        <w:rPr>
          <w:rFonts w:hint="eastAsia" w:ascii="宋体" w:hAnsi="宋体" w:eastAsia="宋体" w:cs="宋体"/>
          <w:b/>
          <w:color w:val="000000"/>
          <w:kern w:val="0"/>
          <w:sz w:val="24"/>
          <w:szCs w:val="24"/>
          <w:highlight w:val="none"/>
          <w:lang w:val="zh-CN"/>
        </w:rPr>
      </w:pPr>
      <w:r>
        <w:rPr>
          <w:rFonts w:hint="eastAsia" w:ascii="宋体" w:hAnsi="宋体" w:eastAsia="宋体" w:cs="宋体"/>
          <w:b/>
          <w:color w:val="000000"/>
          <w:sz w:val="24"/>
          <w:szCs w:val="24"/>
          <w:highlight w:val="none"/>
        </w:rPr>
        <w:t>1</w:t>
      </w:r>
      <w:r>
        <w:rPr>
          <w:rFonts w:hint="eastAsia" w:ascii="宋体" w:hAnsi="宋体" w:cs="宋体"/>
          <w:b/>
          <w:color w:val="000000"/>
          <w:sz w:val="24"/>
          <w:szCs w:val="24"/>
          <w:highlight w:val="none"/>
          <w:lang w:val="en-US" w:eastAsia="zh-CN"/>
        </w:rPr>
        <w:t>0</w:t>
      </w:r>
      <w:r>
        <w:rPr>
          <w:rFonts w:hint="eastAsia" w:ascii="宋体" w:hAnsi="宋体" w:eastAsia="宋体" w:cs="宋体"/>
          <w:b/>
          <w:color w:val="000000"/>
          <w:sz w:val="24"/>
          <w:szCs w:val="24"/>
          <w:highlight w:val="none"/>
        </w:rPr>
        <w:t>、</w:t>
      </w:r>
      <w:r>
        <w:rPr>
          <w:rFonts w:hint="eastAsia" w:ascii="宋体" w:hAnsi="宋体" w:eastAsia="宋体" w:cs="宋体"/>
          <w:b/>
          <w:color w:val="000000"/>
          <w:kern w:val="0"/>
          <w:sz w:val="24"/>
          <w:szCs w:val="24"/>
          <w:highlight w:val="none"/>
          <w:lang w:val="zh-CN"/>
        </w:rPr>
        <w:t>投标单位（投标人）反商业贿赂承诺书</w:t>
      </w:r>
    </w:p>
    <w:p w14:paraId="54F0A9F6">
      <w:pPr>
        <w:pageBreakBefore w:val="0"/>
        <w:kinsoku/>
        <w:wordWrap/>
        <w:overflowPunct/>
        <w:topLinePunct w:val="0"/>
        <w:autoSpaceDE w:val="0"/>
        <w:autoSpaceDN w:val="0"/>
        <w:bidi w:val="0"/>
        <w:adjustRightInd w:val="0"/>
        <w:spacing w:beforeAutospacing="0" w:afterAutospacing="0" w:line="400" w:lineRule="exact"/>
        <w:ind w:left="220"/>
        <w:jc w:val="left"/>
        <w:rPr>
          <w:rFonts w:hint="eastAsia" w:ascii="宋体" w:hAnsi="宋体" w:eastAsia="宋体" w:cs="宋体"/>
          <w:color w:val="000000"/>
          <w:kern w:val="0"/>
          <w:sz w:val="24"/>
          <w:szCs w:val="24"/>
          <w:highlight w:val="none"/>
          <w:lang w:val="zh-CN"/>
        </w:rPr>
      </w:pPr>
    </w:p>
    <w:p w14:paraId="2B4A43B9">
      <w:pPr>
        <w:pageBreakBefore w:val="0"/>
        <w:kinsoku/>
        <w:wordWrap/>
        <w:overflowPunct/>
        <w:topLinePunct w:val="0"/>
        <w:autoSpaceDE w:val="0"/>
        <w:autoSpaceDN w:val="0"/>
        <w:bidi w:val="0"/>
        <w:adjustRightInd w:val="0"/>
        <w:spacing w:beforeAutospacing="0" w:afterAutospacing="0" w:line="400" w:lineRule="exact"/>
        <w:ind w:firstLine="600" w:firstLineChars="25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招标法》、《反不正当竞争法》的有关规定接受处罚。</w:t>
      </w:r>
    </w:p>
    <w:p w14:paraId="61142879">
      <w:pPr>
        <w:pageBreakBefore w:val="0"/>
        <w:kinsoku/>
        <w:wordWrap/>
        <w:overflowPunct/>
        <w:topLinePunct w:val="0"/>
        <w:autoSpaceDE w:val="0"/>
        <w:autoSpaceDN w:val="0"/>
        <w:bidi w:val="0"/>
        <w:adjustRightInd w:val="0"/>
        <w:spacing w:beforeAutospacing="0" w:afterAutospacing="0" w:line="400" w:lineRule="exact"/>
        <w:ind w:firstLine="600" w:firstLineChars="250"/>
        <w:rPr>
          <w:rFonts w:hint="eastAsia" w:ascii="宋体" w:hAnsi="宋体" w:eastAsia="宋体" w:cs="宋体"/>
          <w:bCs/>
          <w:color w:val="000000"/>
          <w:sz w:val="24"/>
          <w:szCs w:val="24"/>
          <w:highlight w:val="none"/>
          <w:lang w:val="zh-CN"/>
        </w:rPr>
      </w:pPr>
    </w:p>
    <w:p w14:paraId="2F06E7F2">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投标单位：（单位公章）</w:t>
      </w:r>
    </w:p>
    <w:p w14:paraId="71363C1D">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 xml:space="preserve">  法定代表人或授权代表人：（签字或盖章）</w:t>
      </w:r>
    </w:p>
    <w:p w14:paraId="034515CA">
      <w:pPr>
        <w:pageBreakBefore w:val="0"/>
        <w:kinsoku/>
        <w:wordWrap/>
        <w:overflowPunct/>
        <w:topLinePunct w:val="0"/>
        <w:bidi w:val="0"/>
        <w:spacing w:beforeAutospacing="0" w:afterAutospacing="0" w:line="400" w:lineRule="exact"/>
        <w:ind w:firstLine="465"/>
        <w:rPr>
          <w:rFonts w:hint="eastAsia" w:ascii="宋体" w:hAnsi="宋体" w:eastAsia="宋体" w:cs="宋体"/>
          <w:color w:val="000000"/>
          <w:sz w:val="24"/>
          <w:szCs w:val="24"/>
          <w:highlight w:val="none"/>
          <w:lang w:val="zh-CN"/>
        </w:rPr>
      </w:pPr>
    </w:p>
    <w:p w14:paraId="541B7D1D">
      <w:pPr>
        <w:pageBreakBefore w:val="0"/>
        <w:kinsoku/>
        <w:wordWrap/>
        <w:overflowPunct/>
        <w:topLinePunct w:val="0"/>
        <w:bidi w:val="0"/>
        <w:spacing w:beforeAutospacing="0" w:afterAutospacing="0" w:line="400" w:lineRule="exact"/>
        <w:ind w:firstLine="465"/>
        <w:rPr>
          <w:rFonts w:hint="eastAsia" w:ascii="宋体" w:hAnsi="宋体" w:eastAsia="宋体" w:cs="宋体"/>
          <w:color w:val="000000"/>
          <w:sz w:val="24"/>
          <w:szCs w:val="24"/>
          <w:highlight w:val="none"/>
          <w:lang w:val="zh-CN"/>
        </w:rPr>
      </w:pPr>
    </w:p>
    <w:p w14:paraId="19767D3C">
      <w:pPr>
        <w:pStyle w:val="33"/>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lang w:val="zh-CN"/>
        </w:rPr>
      </w:pPr>
    </w:p>
    <w:p w14:paraId="3949A863">
      <w:pPr>
        <w:pStyle w:val="33"/>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lang w:val="zh-CN"/>
        </w:rPr>
      </w:pPr>
    </w:p>
    <w:p w14:paraId="727A2234">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3050419D">
      <w:pPr>
        <w:pStyle w:val="9"/>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74F07111">
      <w:pPr>
        <w:pStyle w:val="2"/>
        <w:pageBreakBefore w:val="0"/>
        <w:kinsoku/>
        <w:wordWrap/>
        <w:overflowPunct/>
        <w:topLinePunct w:val="0"/>
        <w:bidi w:val="0"/>
        <w:spacing w:beforeAutospacing="0" w:after="0" w:afterAutospacing="0" w:line="400" w:lineRule="exact"/>
        <w:rPr>
          <w:rFonts w:hint="eastAsia" w:ascii="宋体" w:hAnsi="宋体" w:eastAsia="宋体" w:cs="宋体"/>
          <w:b/>
          <w:bCs/>
          <w:color w:val="000000"/>
          <w:sz w:val="24"/>
          <w:szCs w:val="24"/>
          <w:highlight w:val="none"/>
        </w:rPr>
      </w:pPr>
    </w:p>
    <w:p w14:paraId="47AC6F16">
      <w:pPr>
        <w:pStyle w:val="38"/>
        <w:pageBreakBefore w:val="0"/>
        <w:tabs>
          <w:tab w:val="left" w:pos="540"/>
          <w:tab w:val="left" w:pos="1080"/>
        </w:tabs>
        <w:kinsoku/>
        <w:wordWrap/>
        <w:overflowPunct/>
        <w:topLinePunct w:val="0"/>
        <w:bidi w:val="0"/>
        <w:spacing w:beforeAutospacing="0" w:afterAutospacing="0" w:line="400" w:lineRule="exact"/>
        <w:rPr>
          <w:rFonts w:hint="eastAsia" w:ascii="宋体" w:hAnsi="宋体" w:eastAsia="宋体" w:cs="宋体"/>
          <w:b/>
          <w:sz w:val="24"/>
          <w:szCs w:val="24"/>
          <w:highlight w:val="none"/>
        </w:rPr>
        <w:sectPr>
          <w:footerReference r:id="rId11" w:type="first"/>
          <w:footerReference r:id="rId10" w:type="default"/>
          <w:pgSz w:w="11906" w:h="16838"/>
          <w:pgMar w:top="1134" w:right="1814" w:bottom="1134" w:left="1814" w:header="851" w:footer="992" w:gutter="0"/>
          <w:pgNumType w:fmt="decimal"/>
          <w:cols w:space="720" w:num="1"/>
          <w:titlePg/>
          <w:docGrid w:type="lines" w:linePitch="312" w:charSpace="0"/>
        </w:sectPr>
      </w:pPr>
    </w:p>
    <w:p w14:paraId="6CC8275D">
      <w:pPr>
        <w:pageBreakBefore w:val="0"/>
        <w:tabs>
          <w:tab w:val="left" w:pos="2880"/>
        </w:tabs>
        <w:kinsoku/>
        <w:wordWrap/>
        <w:overflowPunct/>
        <w:topLinePunct w:val="0"/>
        <w:bidi w:val="0"/>
        <w:spacing w:beforeAutospacing="0" w:afterAutospacing="0"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w:t>
      </w:r>
      <w:r>
        <w:rPr>
          <w:rFonts w:hint="eastAsia" w:ascii="宋体" w:hAnsi="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lang w:val="en-US" w:eastAsia="zh-CN"/>
        </w:rPr>
        <w:t>、</w:t>
      </w:r>
      <w:r>
        <w:rPr>
          <w:rFonts w:hint="eastAsia" w:ascii="宋体" w:hAnsi="宋体" w:eastAsia="宋体" w:cs="宋体"/>
          <w:b/>
          <w:color w:val="auto"/>
          <w:kern w:val="0"/>
          <w:sz w:val="24"/>
          <w:szCs w:val="24"/>
          <w:highlight w:val="none"/>
        </w:rPr>
        <w:t>投标人标人企业类型声明函</w:t>
      </w:r>
    </w:p>
    <w:p w14:paraId="6332F89D">
      <w:pPr>
        <w:pageBreakBefore w:val="0"/>
        <w:kinsoku/>
        <w:wordWrap/>
        <w:overflowPunct/>
        <w:topLinePunct w:val="0"/>
        <w:bidi w:val="0"/>
        <w:spacing w:beforeAutospacing="0" w:afterAutospacing="0" w:line="400" w:lineRule="exact"/>
        <w:jc w:val="both"/>
        <w:rPr>
          <w:rFonts w:hint="eastAsia" w:ascii="宋体" w:hAnsi="宋体" w:eastAsia="宋体" w:cs="宋体"/>
          <w:bCs w:val="0"/>
          <w:color w:val="000000"/>
          <w:kern w:val="0"/>
          <w:sz w:val="24"/>
          <w:szCs w:val="24"/>
          <w:highlight w:val="none"/>
          <w:lang w:val="zh-CN"/>
        </w:rPr>
      </w:pPr>
      <w:r>
        <w:rPr>
          <w:rFonts w:hint="eastAsia" w:ascii="宋体" w:hAnsi="宋体" w:eastAsia="宋体" w:cs="宋体"/>
          <w:bCs w:val="0"/>
          <w:color w:val="000000"/>
          <w:kern w:val="0"/>
          <w:sz w:val="24"/>
          <w:szCs w:val="24"/>
          <w:highlight w:val="none"/>
        </w:rPr>
        <w:t>1</w:t>
      </w:r>
      <w:r>
        <w:rPr>
          <w:rFonts w:hint="eastAsia" w:ascii="宋体" w:hAnsi="宋体" w:cs="宋体"/>
          <w:bCs w:val="0"/>
          <w:color w:val="000000"/>
          <w:kern w:val="0"/>
          <w:sz w:val="24"/>
          <w:szCs w:val="24"/>
          <w:highlight w:val="none"/>
          <w:lang w:val="en-US" w:eastAsia="zh-CN"/>
        </w:rPr>
        <w:t>1</w:t>
      </w:r>
      <w:r>
        <w:rPr>
          <w:rFonts w:hint="eastAsia" w:ascii="宋体" w:hAnsi="宋体" w:eastAsia="宋体" w:cs="宋体"/>
          <w:bCs w:val="0"/>
          <w:color w:val="000000"/>
          <w:kern w:val="0"/>
          <w:sz w:val="24"/>
          <w:szCs w:val="24"/>
          <w:highlight w:val="none"/>
          <w:lang w:val="en-US" w:eastAsia="zh-CN"/>
        </w:rPr>
        <w:t>.1</w:t>
      </w:r>
      <w:r>
        <w:rPr>
          <w:rFonts w:hint="eastAsia" w:ascii="宋体" w:hAnsi="宋体" w:eastAsia="宋体" w:cs="宋体"/>
          <w:bCs w:val="0"/>
          <w:color w:val="000000"/>
          <w:kern w:val="0"/>
          <w:sz w:val="24"/>
          <w:szCs w:val="24"/>
          <w:highlight w:val="none"/>
        </w:rPr>
        <w:t>、</w:t>
      </w:r>
      <w:r>
        <w:rPr>
          <w:rFonts w:hint="eastAsia" w:ascii="宋体" w:hAnsi="宋体" w:eastAsia="宋体" w:cs="宋体"/>
          <w:bCs w:val="0"/>
          <w:color w:val="000000"/>
          <w:kern w:val="0"/>
          <w:sz w:val="24"/>
          <w:szCs w:val="24"/>
          <w:highlight w:val="none"/>
          <w:lang w:val="zh-CN"/>
        </w:rPr>
        <w:t>中小企业声明函</w:t>
      </w:r>
    </w:p>
    <w:p w14:paraId="5E93C364">
      <w:pPr>
        <w:pStyle w:val="3"/>
        <w:pageBreakBefore w:val="0"/>
        <w:kinsoku/>
        <w:wordWrap/>
        <w:overflowPunct/>
        <w:topLinePunct w:val="0"/>
        <w:bidi w:val="0"/>
        <w:spacing w:beforeAutospacing="0" w:after="0" w:afterAutospacing="0" w:line="400" w:lineRule="exact"/>
        <w:ind w:right="714"/>
        <w:jc w:val="both"/>
        <w:rPr>
          <w:rFonts w:hint="eastAsia" w:ascii="宋体" w:hAnsi="宋体" w:eastAsia="宋体" w:cs="宋体"/>
          <w:color w:val="000000"/>
          <w:sz w:val="24"/>
          <w:szCs w:val="24"/>
          <w:highlight w:val="none"/>
        </w:rPr>
      </w:pPr>
    </w:p>
    <w:p w14:paraId="30DB8404">
      <w:pPr>
        <w:pStyle w:val="3"/>
        <w:pageBreakBefore w:val="0"/>
        <w:kinsoku/>
        <w:wordWrap/>
        <w:overflowPunct/>
        <w:topLinePunct w:val="0"/>
        <w:bidi w:val="0"/>
        <w:spacing w:beforeAutospacing="0" w:after="0" w:afterAutospacing="0" w:line="400" w:lineRule="exact"/>
        <w:ind w:right="714"/>
        <w:jc w:val="center"/>
        <w:outlineLvl w:val="0"/>
        <w:rPr>
          <w:rFonts w:hint="eastAsia" w:ascii="宋体" w:hAnsi="宋体" w:eastAsia="宋体" w:cs="宋体"/>
          <w:color w:val="000000" w:themeColor="text1"/>
          <w:kern w:val="0"/>
          <w:sz w:val="24"/>
          <w:szCs w:val="24"/>
          <w:highlight w:val="none"/>
          <w:lang w:val="zh-CN"/>
          <w14:textFill>
            <w14:solidFill>
              <w14:schemeClr w14:val="tx1"/>
            </w14:solidFill>
          </w14:textFill>
        </w:rPr>
      </w:pPr>
      <w:bookmarkStart w:id="30" w:name="_Toc8363"/>
      <w:bookmarkStart w:id="31" w:name="_Toc18018"/>
      <w:bookmarkStart w:id="32" w:name="_Toc28917"/>
      <w:bookmarkStart w:id="33" w:name="_Toc2043"/>
      <w:r>
        <w:rPr>
          <w:rFonts w:hint="eastAsia" w:ascii="宋体" w:hAnsi="宋体" w:eastAsia="宋体" w:cs="宋体"/>
          <w:bCs w:val="0"/>
          <w:color w:val="000000" w:themeColor="text1"/>
          <w:kern w:val="0"/>
          <w:sz w:val="24"/>
          <w:szCs w:val="24"/>
          <w:highlight w:val="none"/>
          <w:lang w:val="zh-CN"/>
          <w14:textFill>
            <w14:solidFill>
              <w14:schemeClr w14:val="tx1"/>
            </w14:solidFill>
          </w14:textFill>
        </w:rPr>
        <w:t>中小企业声明函</w:t>
      </w:r>
      <w:bookmarkEnd w:id="30"/>
      <w:bookmarkEnd w:id="31"/>
      <w:bookmarkEnd w:id="32"/>
      <w:bookmarkEnd w:id="33"/>
      <w:r>
        <w:rPr>
          <w:rFonts w:hint="eastAsia" w:ascii="宋体" w:hAnsi="宋体" w:eastAsia="宋体" w:cs="宋体"/>
          <w:bCs w:val="0"/>
          <w:color w:val="000000" w:themeColor="text1"/>
          <w:kern w:val="0"/>
          <w:sz w:val="24"/>
          <w:szCs w:val="24"/>
          <w:highlight w:val="none"/>
          <w:lang w:val="zh-CN"/>
          <w14:textFill>
            <w14:solidFill>
              <w14:schemeClr w14:val="tx1"/>
            </w14:solidFill>
          </w14:textFill>
        </w:rPr>
        <w:t>（</w:t>
      </w:r>
      <w:r>
        <w:rPr>
          <w:rFonts w:hint="eastAsia" w:ascii="宋体" w:hAnsi="宋体" w:eastAsia="宋体" w:cs="宋体"/>
          <w:bCs w:val="0"/>
          <w:color w:val="000000" w:themeColor="text1"/>
          <w:kern w:val="0"/>
          <w:sz w:val="24"/>
          <w:szCs w:val="24"/>
          <w:highlight w:val="none"/>
          <w:lang w:val="en-US" w:eastAsia="zh-CN"/>
          <w14:textFill>
            <w14:solidFill>
              <w14:schemeClr w14:val="tx1"/>
            </w14:solidFill>
          </w14:textFill>
        </w:rPr>
        <w:t>实质性条款必须提供</w:t>
      </w:r>
      <w:r>
        <w:rPr>
          <w:rFonts w:hint="eastAsia" w:ascii="宋体" w:hAnsi="宋体" w:eastAsia="宋体" w:cs="宋体"/>
          <w:bCs w:val="0"/>
          <w:color w:val="000000" w:themeColor="text1"/>
          <w:kern w:val="0"/>
          <w:sz w:val="24"/>
          <w:szCs w:val="24"/>
          <w:highlight w:val="none"/>
          <w:lang w:val="zh-CN"/>
          <w14:textFill>
            <w14:solidFill>
              <w14:schemeClr w14:val="tx1"/>
            </w14:solidFill>
          </w14:textFill>
        </w:rPr>
        <w:t>）</w:t>
      </w:r>
    </w:p>
    <w:p w14:paraId="3EF045B3">
      <w:pPr>
        <w:pStyle w:val="3"/>
        <w:pageBreakBefore w:val="0"/>
        <w:kinsoku/>
        <w:wordWrap/>
        <w:overflowPunct/>
        <w:topLinePunct w:val="0"/>
        <w:bidi w:val="0"/>
        <w:spacing w:beforeAutospacing="0" w:after="0" w:afterAutospacing="0" w:line="400" w:lineRule="exact"/>
        <w:ind w:left="210" w:leftChars="100" w:right="210" w:rightChars="100" w:firstLine="199" w:firstLineChars="83"/>
        <w:rPr>
          <w:rFonts w:hint="eastAsia" w:ascii="宋体" w:hAnsi="宋体" w:eastAsia="宋体" w:cs="宋体"/>
          <w:color w:val="000000"/>
          <w:kern w:val="0"/>
          <w:sz w:val="24"/>
          <w:szCs w:val="24"/>
          <w:highlight w:val="none"/>
          <w:lang w:val="zh-CN"/>
        </w:rPr>
      </w:pPr>
    </w:p>
    <w:p w14:paraId="06EB5E9E">
      <w:pPr>
        <w:pStyle w:val="3"/>
        <w:keepNext w:val="0"/>
        <w:keepLines w:val="0"/>
        <w:pageBreakBefore w:val="0"/>
        <w:kinsoku/>
        <w:wordWrap/>
        <w:overflowPunct/>
        <w:topLinePunct w:val="0"/>
        <w:autoSpaceDE/>
        <w:autoSpaceDN/>
        <w:bidi w:val="0"/>
        <w:adjustRightInd/>
        <w:snapToGrid/>
        <w:spacing w:beforeAutospacing="0" w:after="0" w:afterAutospacing="0" w:line="38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D5C3A0B">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80" w:lineRule="exact"/>
        <w:ind w:left="5" w:leftChars="0" w:right="0" w:rightChars="0" w:firstLine="638" w:firstLineChars="266"/>
        <w:textAlignment w:val="auto"/>
        <w:rPr>
          <w:rFonts w:hint="eastAsia" w:ascii="宋体" w:hAnsi="宋体" w:eastAsia="宋体" w:cs="宋体"/>
          <w:bCs w:val="0"/>
          <w:color w:val="000000"/>
          <w:kern w:val="0"/>
          <w:sz w:val="24"/>
          <w:szCs w:val="24"/>
          <w:highlight w:val="none"/>
          <w:u w:val="single"/>
          <w:lang w:val="zh-CN" w:eastAsia="zh-CN" w:bidi="ar-SA"/>
        </w:rPr>
      </w:pPr>
      <w:r>
        <w:rPr>
          <w:rFonts w:hint="eastAsia" w:cs="宋体"/>
          <w:bCs w:val="0"/>
          <w:color w:val="000000"/>
          <w:kern w:val="0"/>
          <w:sz w:val="24"/>
          <w:szCs w:val="24"/>
          <w:highlight w:val="none"/>
          <w:u w:val="single"/>
          <w:lang w:val="en-US" w:eastAsia="zh-CN" w:bidi="ar-SA"/>
        </w:rPr>
        <w:t>1.</w:t>
      </w:r>
      <w:r>
        <w:rPr>
          <w:rFonts w:hint="eastAsia" w:ascii="宋体" w:hAnsi="宋体" w:eastAsia="宋体" w:cs="宋体"/>
          <w:bCs w:val="0"/>
          <w:color w:val="000000"/>
          <w:kern w:val="0"/>
          <w:sz w:val="24"/>
          <w:szCs w:val="24"/>
          <w:highlight w:val="none"/>
          <w:u w:val="single"/>
          <w:lang w:val="zh-CN" w:eastAsia="zh-CN" w:bidi="ar-SA"/>
        </w:rPr>
        <w:t>（</w:t>
      </w:r>
      <w:r>
        <w:rPr>
          <w:rFonts w:hint="eastAsia" w:cs="宋体"/>
          <w:bCs w:val="0"/>
          <w:color w:val="000000"/>
          <w:kern w:val="0"/>
          <w:sz w:val="24"/>
          <w:szCs w:val="24"/>
          <w:highlight w:val="none"/>
          <w:u w:val="single"/>
          <w:lang w:val="en-US" w:eastAsia="zh-CN" w:bidi="ar-SA"/>
        </w:rPr>
        <w:t>标的名称</w:t>
      </w:r>
      <w:r>
        <w:rPr>
          <w:rFonts w:hint="eastAsia" w:ascii="宋体" w:hAnsi="宋体" w:eastAsia="宋体" w:cs="宋体"/>
          <w:bCs w:val="0"/>
          <w:color w:val="000000"/>
          <w:kern w:val="0"/>
          <w:sz w:val="24"/>
          <w:szCs w:val="24"/>
          <w:highlight w:val="none"/>
          <w:u w:val="single"/>
          <w:lang w:val="zh-CN" w:eastAsia="zh-CN" w:bidi="ar-SA"/>
        </w:rPr>
        <w:t>），属于（</w:t>
      </w:r>
      <w:r>
        <w:rPr>
          <w:rFonts w:hint="eastAsia" w:ascii="宋体" w:hAnsi="宋体" w:eastAsia="宋体" w:cs="宋体"/>
          <w:bCs w:val="0"/>
          <w:color w:val="000000"/>
          <w:kern w:val="0"/>
          <w:sz w:val="24"/>
          <w:szCs w:val="24"/>
          <w:highlight w:val="none"/>
          <w:u w:val="single"/>
          <w:lang w:val="en-US" w:eastAsia="zh-CN" w:bidi="ar-SA"/>
        </w:rPr>
        <w:t>工</w:t>
      </w:r>
      <w:r>
        <w:rPr>
          <w:rFonts w:hint="eastAsia" w:ascii="宋体" w:hAnsi="宋体" w:eastAsia="宋体" w:cs="宋体"/>
          <w:bCs w:val="0"/>
          <w:color w:val="000000"/>
          <w:kern w:val="0"/>
          <w:sz w:val="24"/>
          <w:szCs w:val="24"/>
          <w:highlight w:val="none"/>
          <w:u w:val="single"/>
          <w:lang w:val="zh-CN" w:eastAsia="zh-CN" w:bidi="ar-SA"/>
        </w:rPr>
        <w:t>业）；制造商为（企业名称），从业人员  人，营业收入为  万元，资产总额为  万元，属于（中型企业、小型企业、微型企业）；</w:t>
      </w:r>
    </w:p>
    <w:p w14:paraId="5E9876D2">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645"/>
        <w:textAlignment w:val="auto"/>
        <w:rPr>
          <w:rFonts w:hint="eastAsia" w:ascii="宋体" w:hAnsi="宋体" w:eastAsia="宋体" w:cs="宋体"/>
          <w:bCs w:val="0"/>
          <w:color w:val="000000"/>
          <w:kern w:val="0"/>
          <w:sz w:val="24"/>
          <w:szCs w:val="24"/>
          <w:highlight w:val="none"/>
          <w:u w:val="single"/>
          <w:lang w:val="zh-CN" w:eastAsia="zh-CN" w:bidi="ar-SA"/>
        </w:rPr>
      </w:pPr>
      <w:r>
        <w:rPr>
          <w:rFonts w:hint="eastAsia" w:ascii="宋体" w:hAnsi="宋体" w:eastAsia="宋体" w:cs="宋体"/>
          <w:bCs w:val="0"/>
          <w:color w:val="000000"/>
          <w:kern w:val="0"/>
          <w:sz w:val="24"/>
          <w:szCs w:val="24"/>
          <w:highlight w:val="none"/>
          <w:lang w:val="en-US" w:eastAsia="zh-CN" w:bidi="ar-SA"/>
        </w:rPr>
        <w:t>2</w:t>
      </w:r>
      <w:r>
        <w:rPr>
          <w:rFonts w:hint="eastAsia" w:ascii="宋体" w:hAnsi="宋体" w:eastAsia="宋体" w:cs="宋体"/>
          <w:bCs w:val="0"/>
          <w:color w:val="000000"/>
          <w:kern w:val="0"/>
          <w:sz w:val="24"/>
          <w:szCs w:val="24"/>
          <w:highlight w:val="none"/>
          <w:lang w:val="zh-CN" w:eastAsia="zh-CN" w:bidi="ar-SA"/>
        </w:rPr>
        <w:t>.</w:t>
      </w:r>
      <w:r>
        <w:rPr>
          <w:rFonts w:hint="eastAsia" w:ascii="宋体" w:hAnsi="宋体" w:eastAsia="宋体" w:cs="宋体"/>
          <w:bCs w:val="0"/>
          <w:color w:val="000000"/>
          <w:kern w:val="0"/>
          <w:sz w:val="24"/>
          <w:szCs w:val="24"/>
          <w:highlight w:val="none"/>
          <w:u w:val="single"/>
          <w:lang w:val="zh-CN" w:eastAsia="zh-CN" w:bidi="ar-SA"/>
        </w:rPr>
        <w:t>（</w:t>
      </w:r>
      <w:r>
        <w:rPr>
          <w:rFonts w:hint="eastAsia" w:cs="宋体"/>
          <w:bCs w:val="0"/>
          <w:color w:val="000000"/>
          <w:kern w:val="0"/>
          <w:sz w:val="24"/>
          <w:szCs w:val="24"/>
          <w:highlight w:val="none"/>
          <w:u w:val="single"/>
          <w:lang w:val="en-US" w:eastAsia="zh-CN" w:bidi="ar-SA"/>
        </w:rPr>
        <w:t>标的名称</w:t>
      </w:r>
      <w:r>
        <w:rPr>
          <w:rFonts w:hint="eastAsia" w:ascii="宋体" w:hAnsi="宋体" w:eastAsia="宋体" w:cs="宋体"/>
          <w:bCs w:val="0"/>
          <w:color w:val="000000"/>
          <w:kern w:val="0"/>
          <w:sz w:val="24"/>
          <w:szCs w:val="24"/>
          <w:highlight w:val="none"/>
          <w:u w:val="single"/>
          <w:lang w:val="zh-CN" w:eastAsia="zh-CN" w:bidi="ar-SA"/>
        </w:rPr>
        <w:t>），属于（</w:t>
      </w:r>
      <w:r>
        <w:rPr>
          <w:rFonts w:hint="eastAsia" w:ascii="宋体" w:hAnsi="宋体" w:eastAsia="宋体" w:cs="宋体"/>
          <w:bCs w:val="0"/>
          <w:color w:val="000000"/>
          <w:kern w:val="0"/>
          <w:sz w:val="24"/>
          <w:szCs w:val="24"/>
          <w:highlight w:val="none"/>
          <w:u w:val="single"/>
          <w:lang w:val="en-US" w:eastAsia="zh-CN" w:bidi="ar-SA"/>
        </w:rPr>
        <w:t>工</w:t>
      </w:r>
      <w:r>
        <w:rPr>
          <w:rFonts w:hint="eastAsia" w:ascii="宋体" w:hAnsi="宋体" w:eastAsia="宋体" w:cs="宋体"/>
          <w:bCs w:val="0"/>
          <w:color w:val="000000"/>
          <w:kern w:val="0"/>
          <w:sz w:val="24"/>
          <w:szCs w:val="24"/>
          <w:highlight w:val="none"/>
          <w:u w:val="single"/>
          <w:lang w:val="zh-CN" w:eastAsia="zh-CN" w:bidi="ar-SA"/>
        </w:rPr>
        <w:t>业）；制造商为（企业名称），从业人员  人，营业收入为  万元，资产总额为  万元，属于（中型企业、小型企业、微型企业）；</w:t>
      </w:r>
    </w:p>
    <w:p w14:paraId="1DD7FB58">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80" w:lineRule="exact"/>
        <w:ind w:right="0" w:rightChars="0" w:firstLine="720" w:firstLineChars="300"/>
        <w:textAlignment w:val="auto"/>
        <w:rPr>
          <w:rFonts w:hint="default" w:ascii="宋体" w:hAnsi="宋体" w:eastAsia="宋体" w:cs="宋体"/>
          <w:bCs w:val="0"/>
          <w:color w:val="000000"/>
          <w:kern w:val="0"/>
          <w:sz w:val="24"/>
          <w:szCs w:val="24"/>
          <w:highlight w:val="none"/>
          <w:u w:val="single"/>
          <w:lang w:val="en-US" w:eastAsia="zh-CN" w:bidi="ar-SA"/>
        </w:rPr>
      </w:pPr>
      <w:r>
        <w:rPr>
          <w:rFonts w:hint="eastAsia" w:cs="宋体"/>
          <w:bCs w:val="0"/>
          <w:color w:val="000000"/>
          <w:kern w:val="0"/>
          <w:sz w:val="24"/>
          <w:szCs w:val="24"/>
          <w:highlight w:val="none"/>
          <w:u w:val="single"/>
          <w:lang w:val="en-US" w:eastAsia="zh-CN" w:bidi="ar-SA"/>
        </w:rPr>
        <w:t>.............</w:t>
      </w:r>
    </w:p>
    <w:p w14:paraId="3F8A1E84">
      <w:pPr>
        <w:pStyle w:val="3"/>
        <w:keepNext w:val="0"/>
        <w:keepLines w:val="0"/>
        <w:pageBreakBefore w:val="0"/>
        <w:kinsoku/>
        <w:wordWrap/>
        <w:overflowPunct/>
        <w:topLinePunct w:val="0"/>
        <w:autoSpaceDE/>
        <w:autoSpaceDN/>
        <w:bidi w:val="0"/>
        <w:adjustRightInd/>
        <w:snapToGrid/>
        <w:spacing w:beforeAutospacing="0" w:after="0" w:afterAutospacing="0" w:line="38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以上企业，不属于大企业的分支机构，不存在控股股东为大企业的情形，也不存在与大企业的负责人为同一人的情形。</w:t>
      </w:r>
    </w:p>
    <w:p w14:paraId="1B45731F">
      <w:pPr>
        <w:pStyle w:val="3"/>
        <w:keepNext w:val="0"/>
        <w:keepLines w:val="0"/>
        <w:pageBreakBefore w:val="0"/>
        <w:kinsoku/>
        <w:wordWrap/>
        <w:overflowPunct/>
        <w:topLinePunct w:val="0"/>
        <w:autoSpaceDE/>
        <w:autoSpaceDN/>
        <w:bidi w:val="0"/>
        <w:adjustRightInd/>
        <w:snapToGrid/>
        <w:spacing w:beforeAutospacing="0" w:after="0" w:afterAutospacing="0" w:line="380" w:lineRule="exact"/>
        <w:textAlignment w:val="auto"/>
        <w:rPr>
          <w:rFonts w:hint="eastAsia" w:ascii="宋体" w:hAnsi="宋体" w:eastAsia="宋体" w:cs="宋体"/>
          <w:color w:val="000000"/>
          <w:kern w:val="2"/>
          <w:sz w:val="24"/>
          <w:szCs w:val="24"/>
          <w:highlight w:val="none"/>
          <w:lang w:val="en-US" w:eastAsia="zh-CN" w:bidi="ar-SA"/>
        </w:rPr>
      </w:pPr>
    </w:p>
    <w:p w14:paraId="42DEF880">
      <w:pPr>
        <w:pStyle w:val="3"/>
        <w:keepNext w:val="0"/>
        <w:keepLines w:val="0"/>
        <w:pageBreakBefore w:val="0"/>
        <w:kinsoku/>
        <w:wordWrap/>
        <w:overflowPunct/>
        <w:topLinePunct w:val="0"/>
        <w:autoSpaceDE/>
        <w:autoSpaceDN/>
        <w:bidi w:val="0"/>
        <w:adjustRightInd/>
        <w:snapToGrid/>
        <w:spacing w:beforeAutospacing="0" w:after="0" w:afterAutospacing="0" w:line="38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本企业对上述声明内容的真实性负责。如有虚假，将依法承担相应责任。</w:t>
      </w:r>
    </w:p>
    <w:p w14:paraId="460562D7">
      <w:pPr>
        <w:pStyle w:val="3"/>
        <w:pageBreakBefore w:val="0"/>
        <w:kinsoku/>
        <w:wordWrap/>
        <w:overflowPunct/>
        <w:topLinePunct w:val="0"/>
        <w:bidi w:val="0"/>
        <w:spacing w:beforeAutospacing="0" w:after="0" w:afterAutospacing="0" w:line="400" w:lineRule="exact"/>
        <w:rPr>
          <w:rFonts w:hint="eastAsia" w:ascii="宋体" w:hAnsi="宋体" w:eastAsia="宋体" w:cs="宋体"/>
          <w:color w:val="000000"/>
          <w:kern w:val="2"/>
          <w:sz w:val="24"/>
          <w:szCs w:val="24"/>
          <w:highlight w:val="none"/>
          <w:lang w:val="en-US" w:eastAsia="zh-CN" w:bidi="ar-SA"/>
        </w:rPr>
      </w:pPr>
    </w:p>
    <w:p w14:paraId="7E1B357B">
      <w:pPr>
        <w:pStyle w:val="3"/>
        <w:pageBreakBefore w:val="0"/>
        <w:kinsoku/>
        <w:wordWrap/>
        <w:overflowPunct/>
        <w:topLinePunct w:val="0"/>
        <w:bidi w:val="0"/>
        <w:spacing w:beforeAutospacing="0" w:after="0" w:afterAutospacing="0" w:line="400" w:lineRule="exact"/>
        <w:rPr>
          <w:rFonts w:hint="eastAsia" w:ascii="宋体" w:hAnsi="宋体" w:eastAsia="宋体" w:cs="宋体"/>
          <w:color w:val="000000"/>
          <w:kern w:val="2"/>
          <w:sz w:val="24"/>
          <w:szCs w:val="24"/>
          <w:highlight w:val="none"/>
          <w:lang w:val="en-US" w:eastAsia="zh-CN" w:bidi="ar-SA"/>
        </w:rPr>
      </w:pPr>
    </w:p>
    <w:p w14:paraId="68E0FF39">
      <w:pPr>
        <w:pStyle w:val="3"/>
        <w:pageBreakBefore w:val="0"/>
        <w:kinsoku/>
        <w:wordWrap/>
        <w:overflowPunct/>
        <w:topLinePunct w:val="0"/>
        <w:bidi w:val="0"/>
        <w:spacing w:beforeAutospacing="0" w:after="0" w:afterAutospacing="0" w:line="400" w:lineRule="exact"/>
        <w:ind w:firstLine="2640" w:firstLineChars="11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投标单位</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（单位公章）</w:t>
      </w:r>
    </w:p>
    <w:p w14:paraId="7618A7CD">
      <w:pPr>
        <w:pStyle w:val="3"/>
        <w:pageBreakBefore w:val="0"/>
        <w:kinsoku/>
        <w:wordWrap/>
        <w:overflowPunct/>
        <w:topLinePunct w:val="0"/>
        <w:bidi w:val="0"/>
        <w:spacing w:beforeAutospacing="0" w:after="0" w:afterAutospacing="0" w:line="400" w:lineRule="exact"/>
        <w:ind w:firstLine="3840" w:firstLineChars="160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2"/>
          <w:sz w:val="24"/>
          <w:szCs w:val="24"/>
          <w:highlight w:val="none"/>
          <w:lang w:val="en-US" w:eastAsia="zh-CN" w:bidi="ar-SA"/>
        </w:rPr>
        <w:t>日 期</w:t>
      </w:r>
      <w:r>
        <w:rPr>
          <w:rFonts w:hint="eastAsia" w:ascii="宋体" w:hAnsi="宋体" w:eastAsia="宋体" w:cs="宋体"/>
          <w:b/>
          <w:color w:val="auto"/>
          <w:sz w:val="24"/>
          <w:szCs w:val="24"/>
          <w:highlight w:val="none"/>
        </w:rPr>
        <w:t>：</w:t>
      </w:r>
    </w:p>
    <w:p w14:paraId="6CFC5092">
      <w:pPr>
        <w:pageBreakBefore w:val="0"/>
        <w:kinsoku/>
        <w:wordWrap/>
        <w:overflowPunct/>
        <w:topLinePunct w:val="0"/>
        <w:bidi w:val="0"/>
        <w:spacing w:beforeAutospacing="0" w:afterAutospacing="0" w:line="400" w:lineRule="exact"/>
        <w:jc w:val="both"/>
        <w:rPr>
          <w:rFonts w:hint="eastAsia" w:ascii="宋体" w:hAnsi="宋体" w:eastAsia="宋体" w:cs="宋体"/>
          <w:b/>
          <w:color w:val="auto"/>
          <w:kern w:val="0"/>
          <w:sz w:val="24"/>
          <w:szCs w:val="24"/>
          <w:highlight w:val="none"/>
          <w:lang w:val="en-US" w:eastAsia="zh-CN"/>
        </w:rPr>
      </w:pPr>
    </w:p>
    <w:p w14:paraId="6FD498D2">
      <w:pPr>
        <w:pageBreakBefore w:val="0"/>
        <w:kinsoku/>
        <w:wordWrap/>
        <w:overflowPunct/>
        <w:topLinePunct w:val="0"/>
        <w:bidi w:val="0"/>
        <w:spacing w:beforeAutospacing="0" w:afterAutospacing="0" w:line="400" w:lineRule="exact"/>
        <w:jc w:val="both"/>
        <w:rPr>
          <w:rFonts w:hint="eastAsia" w:ascii="宋体" w:hAnsi="宋体" w:eastAsia="宋体" w:cs="宋体"/>
          <w:b/>
          <w:color w:val="auto"/>
          <w:kern w:val="0"/>
          <w:sz w:val="24"/>
          <w:szCs w:val="24"/>
          <w:highlight w:val="none"/>
          <w:lang w:val="en-US" w:eastAsia="zh-CN"/>
        </w:rPr>
      </w:pPr>
    </w:p>
    <w:p w14:paraId="55DEA118">
      <w:pPr>
        <w:pStyle w:val="3"/>
        <w:keepNext w:val="0"/>
        <w:keepLines w:val="0"/>
        <w:pageBreakBefore w:val="0"/>
        <w:numPr>
          <w:ilvl w:val="0"/>
          <w:numId w:val="0"/>
        </w:numPr>
        <w:kinsoku/>
        <w:wordWrap/>
        <w:overflowPunct/>
        <w:topLinePunct w:val="0"/>
        <w:autoSpaceDE/>
        <w:autoSpaceDN/>
        <w:bidi w:val="0"/>
        <w:adjustRightInd/>
        <w:snapToGrid/>
        <w:spacing w:before="92" w:line="340" w:lineRule="exact"/>
        <w:ind w:left="39" w:leftChars="0" w:right="61" w:rightChars="0"/>
        <w:textAlignment w:val="auto"/>
        <w:rPr>
          <w:rFonts w:hint="eastAsia" w:ascii="仿宋" w:hAnsi="仿宋" w:eastAsia="仿宋" w:cs="仿宋"/>
          <w:b/>
          <w:bCs/>
          <w:spacing w:val="-4"/>
          <w:sz w:val="21"/>
          <w:szCs w:val="21"/>
          <w:u w:val="single" w:color="auto"/>
          <w:lang w:eastAsia="zh-CN"/>
        </w:rPr>
      </w:pPr>
      <w:r>
        <w:rPr>
          <w:rFonts w:hint="eastAsia" w:ascii="仿宋" w:hAnsi="仿宋" w:eastAsia="仿宋" w:cs="仿宋"/>
          <w:b/>
          <w:bCs/>
          <w:spacing w:val="-3"/>
          <w:sz w:val="21"/>
          <w:szCs w:val="21"/>
          <w:u w:val="single" w:color="auto"/>
        </w:rPr>
        <w:t>注：①从业人员、营业收入，资产总额填报上一年度数据，无上一年数据的新</w:t>
      </w:r>
      <w:r>
        <w:rPr>
          <w:rFonts w:hint="eastAsia" w:ascii="仿宋" w:hAnsi="仿宋" w:eastAsia="仿宋" w:cs="仿宋"/>
          <w:b/>
          <w:bCs/>
          <w:spacing w:val="-4"/>
          <w:sz w:val="21"/>
          <w:szCs w:val="21"/>
          <w:u w:val="single" w:color="auto"/>
        </w:rPr>
        <w:t>成立企业</w:t>
      </w:r>
      <w:r>
        <w:rPr>
          <w:rFonts w:hint="eastAsia" w:ascii="仿宋" w:hAnsi="仿宋" w:eastAsia="仿宋" w:cs="仿宋"/>
          <w:b/>
          <w:bCs/>
          <w:spacing w:val="-4"/>
          <w:sz w:val="21"/>
          <w:szCs w:val="21"/>
          <w:u w:val="single" w:color="auto"/>
          <w:lang w:val="en-US" w:eastAsia="zh-CN"/>
        </w:rPr>
        <w:t>按照目前现状填报</w:t>
      </w:r>
      <w:r>
        <w:rPr>
          <w:rFonts w:hint="eastAsia" w:ascii="仿宋" w:hAnsi="仿宋" w:eastAsia="仿宋" w:cs="仿宋"/>
          <w:b/>
          <w:bCs/>
          <w:spacing w:val="-4"/>
          <w:sz w:val="21"/>
          <w:szCs w:val="21"/>
          <w:u w:val="single" w:color="auto"/>
          <w:lang w:eastAsia="zh-CN"/>
        </w:rPr>
        <w:t>。</w:t>
      </w:r>
    </w:p>
    <w:p w14:paraId="4F400F23">
      <w:pPr>
        <w:pStyle w:val="3"/>
        <w:keepNext w:val="0"/>
        <w:keepLines w:val="0"/>
        <w:pageBreakBefore w:val="0"/>
        <w:numPr>
          <w:ilvl w:val="0"/>
          <w:numId w:val="0"/>
        </w:numPr>
        <w:kinsoku/>
        <w:wordWrap/>
        <w:overflowPunct/>
        <w:topLinePunct w:val="0"/>
        <w:autoSpaceDE/>
        <w:autoSpaceDN/>
        <w:bidi w:val="0"/>
        <w:adjustRightInd/>
        <w:snapToGrid/>
        <w:spacing w:before="92" w:line="340" w:lineRule="exact"/>
        <w:ind w:left="39" w:leftChars="0" w:right="61" w:rightChars="0" w:firstLine="410" w:firstLineChars="200"/>
        <w:textAlignment w:val="auto"/>
        <w:rPr>
          <w:rFonts w:hint="eastAsia" w:ascii="仿宋" w:hAnsi="仿宋" w:eastAsia="仿宋" w:cs="仿宋"/>
          <w:b/>
          <w:bCs/>
          <w:spacing w:val="-3"/>
          <w:kern w:val="2"/>
          <w:sz w:val="21"/>
          <w:szCs w:val="21"/>
          <w:u w:val="single" w:color="auto"/>
          <w:lang w:val="en-US" w:eastAsia="zh-CN" w:bidi="ar-SA"/>
        </w:rPr>
      </w:pPr>
      <w:r>
        <w:rPr>
          <w:rFonts w:hint="eastAsia" w:ascii="仿宋" w:hAnsi="仿宋" w:eastAsia="仿宋" w:cs="仿宋"/>
          <w:b/>
          <w:bCs/>
          <w:spacing w:val="-3"/>
          <w:kern w:val="2"/>
          <w:sz w:val="21"/>
          <w:szCs w:val="21"/>
          <w:u w:val="single" w:color="auto"/>
          <w:lang w:val="en-US" w:eastAsia="zh-CN" w:bidi="ar-SA"/>
        </w:rPr>
        <w:t xml:space="preserve">②涉及本项目的行业标准：（工业） </w:t>
      </w:r>
    </w:p>
    <w:p w14:paraId="546956DF">
      <w:pPr>
        <w:keepNext w:val="0"/>
        <w:keepLines w:val="0"/>
        <w:pageBreakBefore w:val="0"/>
        <w:widowControl/>
        <w:suppressLineNumbers w:val="0"/>
        <w:kinsoku/>
        <w:wordWrap/>
        <w:overflowPunct/>
        <w:topLinePunct w:val="0"/>
        <w:autoSpaceDE/>
        <w:autoSpaceDN/>
        <w:bidi w:val="0"/>
        <w:adjustRightInd/>
        <w:snapToGrid/>
        <w:spacing w:line="340" w:lineRule="exact"/>
        <w:ind w:firstLine="410" w:firstLineChars="200"/>
        <w:jc w:val="left"/>
        <w:textAlignment w:val="auto"/>
        <w:rPr>
          <w:rFonts w:hint="eastAsia" w:ascii="仿宋" w:hAnsi="仿宋" w:eastAsia="仿宋" w:cs="仿宋"/>
          <w:b/>
          <w:bCs/>
          <w:spacing w:val="-3"/>
          <w:kern w:val="2"/>
          <w:sz w:val="21"/>
          <w:szCs w:val="21"/>
          <w:u w:val="single" w:color="auto"/>
          <w:lang w:val="en-US" w:eastAsia="zh-CN" w:bidi="ar-SA"/>
        </w:rPr>
      </w:pPr>
      <w:r>
        <w:rPr>
          <w:rFonts w:hint="eastAsia" w:ascii="仿宋" w:hAnsi="仿宋" w:eastAsia="仿宋" w:cs="仿宋"/>
          <w:b/>
          <w:bCs/>
          <w:spacing w:val="-3"/>
          <w:kern w:val="2"/>
          <w:sz w:val="21"/>
          <w:szCs w:val="21"/>
          <w:u w:val="single" w:color="auto"/>
          <w:lang w:val="en-US" w:eastAsia="zh-CN" w:bidi="ar-SA"/>
        </w:rPr>
        <w:t>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21FB6B87">
      <w:pPr>
        <w:keepNext w:val="0"/>
        <w:keepLines w:val="0"/>
        <w:pageBreakBefore w:val="0"/>
        <w:widowControl/>
        <w:suppressLineNumbers w:val="0"/>
        <w:kinsoku/>
        <w:wordWrap/>
        <w:overflowPunct/>
        <w:topLinePunct w:val="0"/>
        <w:autoSpaceDE/>
        <w:autoSpaceDN/>
        <w:bidi w:val="0"/>
        <w:adjustRightInd/>
        <w:snapToGrid/>
        <w:spacing w:line="340" w:lineRule="exact"/>
        <w:ind w:firstLine="410" w:firstLineChars="200"/>
        <w:jc w:val="left"/>
        <w:textAlignment w:val="auto"/>
        <w:rPr>
          <w:rFonts w:hint="eastAsia" w:ascii="仿宋" w:hAnsi="仿宋" w:eastAsia="仿宋" w:cs="仿宋"/>
          <w:b/>
          <w:bCs/>
          <w:spacing w:val="-3"/>
          <w:kern w:val="2"/>
          <w:sz w:val="21"/>
          <w:szCs w:val="21"/>
          <w:u w:val="single" w:color="auto"/>
          <w:lang w:val="en-US" w:eastAsia="zh-CN" w:bidi="ar-SA"/>
        </w:rPr>
      </w:pPr>
      <w:r>
        <w:rPr>
          <w:rFonts w:hint="eastAsia" w:ascii="仿宋" w:hAnsi="仿宋" w:eastAsia="仿宋" w:cs="仿宋"/>
          <w:b/>
          <w:bCs/>
          <w:spacing w:val="-3"/>
          <w:kern w:val="2"/>
          <w:sz w:val="21"/>
          <w:szCs w:val="21"/>
          <w:u w:val="single" w:color="auto"/>
          <w:lang w:val="en-US" w:eastAsia="zh-CN" w:bidi="ar-SA"/>
        </w:rPr>
        <w:t xml:space="preserve">③供应商填写中小企业声明函应根据标的物逐一填写，制造商具体信息投标人应根据实际 </w:t>
      </w:r>
    </w:p>
    <w:p w14:paraId="679189D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b/>
          <w:bCs/>
          <w:spacing w:val="-3"/>
          <w:kern w:val="2"/>
          <w:sz w:val="21"/>
          <w:szCs w:val="21"/>
          <w:u w:val="single" w:color="auto"/>
          <w:lang w:val="en-US" w:eastAsia="zh-CN" w:bidi="ar-SA"/>
        </w:rPr>
      </w:pPr>
      <w:r>
        <w:rPr>
          <w:rFonts w:hint="eastAsia" w:ascii="仿宋" w:hAnsi="仿宋" w:eastAsia="仿宋" w:cs="仿宋"/>
          <w:b/>
          <w:bCs/>
          <w:spacing w:val="-3"/>
          <w:kern w:val="2"/>
          <w:sz w:val="21"/>
          <w:szCs w:val="21"/>
          <w:u w:val="single" w:color="auto"/>
          <w:lang w:val="en-US" w:eastAsia="zh-CN" w:bidi="ar-SA"/>
        </w:rPr>
        <w:t xml:space="preserve">情况据实填写，投标人自行承担因填写信息不真实、内容不齐全等原因造成的不利后果。 </w:t>
      </w:r>
    </w:p>
    <w:p w14:paraId="7253AB5B">
      <w:pPr>
        <w:keepNext w:val="0"/>
        <w:keepLines w:val="0"/>
        <w:pageBreakBefore w:val="0"/>
        <w:widowControl/>
        <w:suppressLineNumbers w:val="0"/>
        <w:kinsoku/>
        <w:wordWrap/>
        <w:overflowPunct/>
        <w:topLinePunct w:val="0"/>
        <w:autoSpaceDE/>
        <w:autoSpaceDN/>
        <w:bidi w:val="0"/>
        <w:adjustRightInd/>
        <w:snapToGrid/>
        <w:spacing w:line="340" w:lineRule="exact"/>
        <w:ind w:firstLine="410" w:firstLineChars="200"/>
        <w:jc w:val="left"/>
        <w:textAlignment w:val="auto"/>
        <w:rPr>
          <w:rFonts w:hint="eastAsia" w:ascii="仿宋" w:hAnsi="仿宋" w:eastAsia="仿宋" w:cs="仿宋"/>
          <w:b/>
          <w:bCs/>
          <w:spacing w:val="-3"/>
          <w:kern w:val="2"/>
          <w:sz w:val="21"/>
          <w:szCs w:val="21"/>
          <w:u w:val="single" w:color="auto"/>
          <w:lang w:val="en-US" w:eastAsia="zh-CN" w:bidi="ar-SA"/>
        </w:rPr>
      </w:pPr>
      <w:r>
        <w:rPr>
          <w:rFonts w:hint="eastAsia" w:ascii="仿宋" w:hAnsi="仿宋" w:eastAsia="仿宋" w:cs="仿宋"/>
          <w:b/>
          <w:bCs/>
          <w:spacing w:val="-3"/>
          <w:kern w:val="2"/>
          <w:sz w:val="21"/>
          <w:szCs w:val="21"/>
          <w:u w:val="single" w:color="auto"/>
          <w:lang w:val="en-US" w:eastAsia="zh-CN" w:bidi="ar-SA"/>
        </w:rPr>
        <w:t xml:space="preserve">④供应商按照本办法规定提供声明函内容不实的，属于提供虚假材料谋取中标、成交，依 </w:t>
      </w:r>
    </w:p>
    <w:p w14:paraId="50A5B72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color w:val="auto"/>
          <w:kern w:val="0"/>
          <w:sz w:val="24"/>
          <w:szCs w:val="24"/>
          <w:highlight w:val="none"/>
          <w:lang w:val="en-US" w:eastAsia="zh-CN"/>
        </w:rPr>
      </w:pPr>
      <w:r>
        <w:rPr>
          <w:rFonts w:hint="eastAsia" w:ascii="仿宋" w:hAnsi="仿宋" w:eastAsia="仿宋" w:cs="仿宋"/>
          <w:b/>
          <w:bCs/>
          <w:spacing w:val="-3"/>
          <w:kern w:val="2"/>
          <w:sz w:val="21"/>
          <w:szCs w:val="21"/>
          <w:u w:val="single" w:color="auto"/>
          <w:lang w:val="en-US" w:eastAsia="zh-CN" w:bidi="ar-SA"/>
        </w:rPr>
        <w:t>照《中华人民共和国政府采购法》等国家有关规定追究相应责任。</w:t>
      </w:r>
    </w:p>
    <w:p w14:paraId="6F2EAB2A">
      <w:pPr>
        <w:pageBreakBefore w:val="0"/>
        <w:kinsoku/>
        <w:wordWrap/>
        <w:overflowPunct/>
        <w:topLinePunct w:val="0"/>
        <w:bidi w:val="0"/>
        <w:spacing w:beforeAutospacing="0" w:afterAutospacing="0" w:line="400" w:lineRule="exact"/>
        <w:jc w:val="center"/>
        <w:rPr>
          <w:rFonts w:hint="eastAsia" w:ascii="宋体" w:hAnsi="宋体" w:eastAsia="宋体" w:cs="宋体"/>
          <w:b/>
          <w:color w:val="auto"/>
          <w:kern w:val="0"/>
          <w:sz w:val="24"/>
          <w:szCs w:val="24"/>
          <w:highlight w:val="none"/>
          <w:lang w:val="en-US" w:eastAsia="zh-CN"/>
        </w:rPr>
      </w:pPr>
    </w:p>
    <w:p w14:paraId="2F654094">
      <w:pPr>
        <w:pageBreakBefore w:val="0"/>
        <w:tabs>
          <w:tab w:val="left" w:pos="2880"/>
        </w:tabs>
        <w:kinsoku/>
        <w:wordWrap/>
        <w:overflowPunct/>
        <w:topLinePunct w:val="0"/>
        <w:bidi w:val="0"/>
        <w:spacing w:beforeAutospacing="0" w:afterAutospacing="0"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w:t>
      </w:r>
      <w:r>
        <w:rPr>
          <w:rFonts w:hint="eastAsia" w:ascii="宋体" w:hAnsi="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lang w:val="en-US" w:eastAsia="zh-CN"/>
        </w:rPr>
        <w:t>.</w:t>
      </w:r>
      <w:r>
        <w:rPr>
          <w:rFonts w:hint="eastAsia" w:ascii="宋体" w:hAnsi="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监狱企业声明函</w:t>
      </w:r>
    </w:p>
    <w:p w14:paraId="3B6D501E">
      <w:pPr>
        <w:pageBreakBefore w:val="0"/>
        <w:kinsoku/>
        <w:wordWrap/>
        <w:overflowPunct/>
        <w:topLinePunct w:val="0"/>
        <w:bidi w:val="0"/>
        <w:spacing w:beforeAutospacing="0" w:afterAutospacing="0"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（监狱企业适用）</w:t>
      </w:r>
    </w:p>
    <w:p w14:paraId="5CF0616E">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本公司郑重声明，根据《关于政府采购支持监狱企业发展有关问题的通知》（财库[2014]68号）的规定，本公司为监狱企业。</w:t>
      </w:r>
    </w:p>
    <w:p w14:paraId="41A07483">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本公司参加______单位的______项目采购活动，采购活动提供本企业（</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填写制造的货物，由本企业承担工程、提供服务）。</w:t>
      </w:r>
    </w:p>
    <w:p w14:paraId="172EF4E0">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本条所称货物不包括使用大型企业注册商标的货物和服务。</w:t>
      </w:r>
    </w:p>
    <w:p w14:paraId="08DAD580">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本公司对上述声明的真实性负责。如有虚假，将依法承担相应责任。</w:t>
      </w:r>
    </w:p>
    <w:p w14:paraId="0A508134">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p>
    <w:p w14:paraId="6D30D652">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企业名称（盖公章）：</w:t>
      </w:r>
    </w:p>
    <w:p w14:paraId="5049DB89">
      <w:pPr>
        <w:pageBreakBefore w:val="0"/>
        <w:kinsoku/>
        <w:wordWrap/>
        <w:overflowPunct/>
        <w:topLinePunct w:val="0"/>
        <w:bidi w:val="0"/>
        <w:spacing w:beforeAutospacing="0" w:afterAutospacing="0" w:line="400" w:lineRule="exact"/>
        <w:ind w:firstLine="2880" w:firstLineChars="1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（负责人）或其授权代表(签字)：</w:t>
      </w:r>
    </w:p>
    <w:p w14:paraId="26B14771">
      <w:pPr>
        <w:pageBreakBefore w:val="0"/>
        <w:tabs>
          <w:tab w:val="left" w:pos="2880"/>
        </w:tabs>
        <w:kinsoku/>
        <w:wordWrap/>
        <w:overflowPunct/>
        <w:topLinePunct w:val="0"/>
        <w:bidi w:val="0"/>
        <w:spacing w:beforeAutospacing="0" w:afterAutospacing="0" w:line="40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日期：</w:t>
      </w:r>
    </w:p>
    <w:p w14:paraId="2F021E9E">
      <w:pPr>
        <w:pStyle w:val="10"/>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558561B9">
      <w:pPr>
        <w:pStyle w:val="6"/>
        <w:pageBreakBefore w:val="0"/>
        <w:kinsoku/>
        <w:wordWrap/>
        <w:overflowPunct/>
        <w:topLinePunct w:val="0"/>
        <w:bidi w:val="0"/>
        <w:spacing w:before="0" w:beforeAutospacing="0" w:after="0" w:afterAutospacing="0" w:line="400" w:lineRule="exact"/>
        <w:jc w:val="center"/>
        <w:rPr>
          <w:rFonts w:hint="eastAsia" w:ascii="宋体" w:hAnsi="宋体" w:eastAsia="宋体" w:cs="宋体"/>
          <w:bCs w:val="0"/>
          <w:color w:val="000000"/>
          <w:kern w:val="0"/>
          <w:sz w:val="24"/>
          <w:szCs w:val="24"/>
          <w:highlight w:val="none"/>
          <w:lang w:val="zh-CN"/>
        </w:rPr>
      </w:pPr>
      <w:r>
        <w:rPr>
          <w:rFonts w:hint="eastAsia" w:ascii="宋体" w:hAnsi="宋体" w:eastAsia="宋体" w:cs="宋体"/>
          <w:bCs w:val="0"/>
          <w:color w:val="000000"/>
          <w:kern w:val="0"/>
          <w:sz w:val="24"/>
          <w:szCs w:val="24"/>
          <w:highlight w:val="none"/>
        </w:rPr>
        <w:t>1</w:t>
      </w:r>
      <w:r>
        <w:rPr>
          <w:rFonts w:hint="eastAsia" w:ascii="宋体" w:hAnsi="宋体" w:eastAsia="宋体" w:cs="宋体"/>
          <w:bCs w:val="0"/>
          <w:color w:val="000000"/>
          <w:kern w:val="0"/>
          <w:sz w:val="24"/>
          <w:szCs w:val="24"/>
          <w:highlight w:val="none"/>
          <w:lang w:val="en-US" w:eastAsia="zh-CN"/>
        </w:rPr>
        <w:t>1.3</w:t>
      </w:r>
      <w:r>
        <w:rPr>
          <w:rFonts w:hint="eastAsia" w:ascii="宋体" w:hAnsi="宋体" w:eastAsia="宋体" w:cs="宋体"/>
          <w:bCs w:val="0"/>
          <w:color w:val="000000"/>
          <w:kern w:val="0"/>
          <w:sz w:val="24"/>
          <w:szCs w:val="24"/>
          <w:highlight w:val="none"/>
        </w:rPr>
        <w:t>、</w:t>
      </w:r>
      <w:r>
        <w:rPr>
          <w:rFonts w:hint="eastAsia" w:ascii="宋体" w:hAnsi="宋体" w:eastAsia="宋体" w:cs="宋体"/>
          <w:bCs w:val="0"/>
          <w:color w:val="000000"/>
          <w:kern w:val="0"/>
          <w:sz w:val="24"/>
          <w:szCs w:val="24"/>
          <w:highlight w:val="none"/>
          <w:lang w:val="zh-CN"/>
        </w:rPr>
        <w:t>残疾人福利性单位声明函</w:t>
      </w:r>
    </w:p>
    <w:p w14:paraId="41C78B3B">
      <w:pPr>
        <w:pStyle w:val="3"/>
        <w:pageBreakBefore w:val="0"/>
        <w:kinsoku/>
        <w:wordWrap/>
        <w:overflowPunct/>
        <w:topLinePunct w:val="0"/>
        <w:bidi w:val="0"/>
        <w:spacing w:beforeAutospacing="0" w:after="0" w:afterAutospacing="0" w:line="400" w:lineRule="exact"/>
        <w:rPr>
          <w:rFonts w:hint="eastAsia" w:ascii="宋体" w:hAnsi="宋体" w:eastAsia="宋体" w:cs="宋体"/>
          <w:color w:val="000000"/>
          <w:sz w:val="24"/>
          <w:szCs w:val="24"/>
          <w:highlight w:val="none"/>
        </w:rPr>
      </w:pPr>
    </w:p>
    <w:p w14:paraId="7BAB2C67">
      <w:pPr>
        <w:pStyle w:val="3"/>
        <w:pageBreakBefore w:val="0"/>
        <w:kinsoku/>
        <w:wordWrap/>
        <w:overflowPunct/>
        <w:topLinePunct w:val="0"/>
        <w:bidi w:val="0"/>
        <w:spacing w:beforeAutospacing="0" w:after="0" w:afterAutospacing="0" w:line="400" w:lineRule="exact"/>
        <w:ind w:left="567" w:right="567" w:firstLine="1512" w:firstLineChars="63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（非残疾人福利性单位投标，不需此件）</w:t>
      </w:r>
    </w:p>
    <w:p w14:paraId="1B4C3AEC">
      <w:pPr>
        <w:pStyle w:val="3"/>
        <w:pageBreakBefore w:val="0"/>
        <w:kinsoku/>
        <w:wordWrap/>
        <w:overflowPunct/>
        <w:topLinePunct w:val="0"/>
        <w:bidi w:val="0"/>
        <w:spacing w:beforeAutospacing="0" w:after="0" w:afterAutospacing="0" w:line="400" w:lineRule="exact"/>
        <w:ind w:left="567" w:right="567" w:firstLine="559" w:firstLineChars="233"/>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本单位郑重声明，根据《财政部 民政部 中国残疾人联合会关于促进残疾人就业政府采购政策的通知》（财库〔2017〕 141 号）的规定，本单位为□符合□不符合（对应勾选）条件的残疾人福利性单位，且本单位参加本项目采购活动由本单位提供服务。 </w:t>
      </w:r>
    </w:p>
    <w:p w14:paraId="5831D1A7">
      <w:pPr>
        <w:pStyle w:val="3"/>
        <w:pageBreakBefore w:val="0"/>
        <w:kinsoku/>
        <w:wordWrap/>
        <w:overflowPunct/>
        <w:topLinePunct w:val="0"/>
        <w:bidi w:val="0"/>
        <w:spacing w:beforeAutospacing="0" w:after="0" w:afterAutospacing="0" w:line="400" w:lineRule="exact"/>
        <w:ind w:left="567" w:right="567" w:firstLine="559" w:firstLineChars="233"/>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本单位对上述声明的真实性负责。如有虚假，将依法承担相应责任。 </w:t>
      </w:r>
    </w:p>
    <w:p w14:paraId="0464EBD2">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rPr>
      </w:pPr>
    </w:p>
    <w:p w14:paraId="6F613166">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投标单位：（单位公章）</w:t>
      </w:r>
    </w:p>
    <w:p w14:paraId="4CCE6F9C">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 xml:space="preserve">  法定代表人或授权代表人：（签字或盖章）</w:t>
      </w:r>
    </w:p>
    <w:p w14:paraId="0B5BE58F">
      <w:pPr>
        <w:pStyle w:val="3"/>
        <w:pageBreakBefore w:val="0"/>
        <w:tabs>
          <w:tab w:val="left" w:pos="5765"/>
          <w:tab w:val="left" w:pos="8831"/>
          <w:tab w:val="left" w:pos="8927"/>
        </w:tabs>
        <w:kinsoku/>
        <w:wordWrap/>
        <w:overflowPunct/>
        <w:topLinePunct w:val="0"/>
        <w:bidi w:val="0"/>
        <w:spacing w:beforeAutospacing="0" w:after="0" w:afterAutospacing="0" w:line="400" w:lineRule="exact"/>
        <w:ind w:left="4798" w:right="2257" w:hanging="24"/>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ab/>
      </w:r>
      <w:r>
        <w:rPr>
          <w:rFonts w:hint="eastAsia" w:ascii="宋体" w:hAnsi="宋体" w:eastAsia="宋体" w:cs="宋体"/>
          <w:color w:val="000000"/>
          <w:kern w:val="0"/>
          <w:sz w:val="24"/>
          <w:szCs w:val="24"/>
          <w:highlight w:val="none"/>
          <w:lang w:val="zh-CN"/>
        </w:rPr>
        <w:tab/>
      </w:r>
    </w:p>
    <w:p w14:paraId="684D3CBD">
      <w:pPr>
        <w:pStyle w:val="33"/>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zh-CN"/>
        </w:rPr>
        <w:t>日</w:t>
      </w:r>
      <w:r>
        <w:rPr>
          <w:rFonts w:hint="eastAsia" w:ascii="宋体" w:hAnsi="宋体" w:eastAsia="宋体" w:cs="宋体"/>
          <w:color w:val="000000"/>
          <w:sz w:val="24"/>
          <w:szCs w:val="24"/>
          <w:highlight w:val="none"/>
          <w:lang w:val="zh-CN"/>
        </w:rPr>
        <w:tab/>
      </w:r>
      <w:r>
        <w:rPr>
          <w:rFonts w:hint="eastAsia" w:ascii="宋体" w:hAnsi="宋体" w:eastAsia="宋体" w:cs="宋体"/>
          <w:color w:val="000000"/>
          <w:sz w:val="24"/>
          <w:szCs w:val="24"/>
          <w:highlight w:val="none"/>
          <w:lang w:val="zh-CN"/>
        </w:rPr>
        <w:t>期：</w:t>
      </w:r>
    </w:p>
    <w:p w14:paraId="0EA0E6DB">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bookmarkStart w:id="34" w:name="_Toc3634"/>
      <w:bookmarkStart w:id="35" w:name="_Toc29831"/>
      <w:bookmarkStart w:id="36" w:name="_Toc9299"/>
      <w:bookmarkStart w:id="37" w:name="_Toc17566"/>
    </w:p>
    <w:p w14:paraId="38B0C7EE">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236C916C">
      <w:pPr>
        <w:pStyle w:val="23"/>
        <w:rPr>
          <w:rFonts w:hint="eastAsia" w:ascii="宋体" w:hAnsi="宋体" w:eastAsia="宋体" w:cs="宋体"/>
          <w:b/>
          <w:bCs/>
          <w:color w:val="000000"/>
          <w:sz w:val="24"/>
          <w:szCs w:val="24"/>
          <w:highlight w:val="none"/>
        </w:rPr>
      </w:pPr>
    </w:p>
    <w:p w14:paraId="2D2684B5">
      <w:pPr>
        <w:pStyle w:val="23"/>
        <w:rPr>
          <w:rFonts w:hint="eastAsia" w:ascii="宋体" w:hAnsi="宋体" w:eastAsia="宋体" w:cs="宋体"/>
          <w:b/>
          <w:bCs/>
          <w:color w:val="000000"/>
          <w:sz w:val="24"/>
          <w:szCs w:val="24"/>
          <w:highlight w:val="none"/>
        </w:rPr>
      </w:pPr>
    </w:p>
    <w:p w14:paraId="228D747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投标保证金</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提供</w:t>
      </w:r>
      <w:r>
        <w:rPr>
          <w:rFonts w:hint="eastAsia" w:ascii="宋体" w:hAnsi="宋体" w:eastAsia="宋体" w:cs="宋体"/>
          <w:color w:val="000000"/>
          <w:sz w:val="24"/>
          <w:szCs w:val="24"/>
          <w:highlight w:val="none"/>
        </w:rPr>
        <w:t>投标保证金收据</w:t>
      </w:r>
      <w:r>
        <w:rPr>
          <w:rFonts w:hint="eastAsia" w:ascii="宋体" w:hAnsi="宋体" w:eastAsia="宋体" w:cs="宋体"/>
          <w:kern w:val="2"/>
          <w:sz w:val="24"/>
          <w:szCs w:val="24"/>
          <w:lang w:val="en-US" w:eastAsia="zh-CN" w:bidi="ar-SA"/>
        </w:rPr>
        <w:t>原件扫描件</w:t>
      </w:r>
      <w:r>
        <w:rPr>
          <w:rFonts w:hint="eastAsia" w:ascii="宋体" w:hAnsi="宋体" w:cs="宋体"/>
          <w:color w:val="000000"/>
          <w:sz w:val="24"/>
          <w:szCs w:val="24"/>
          <w:highlight w:val="none"/>
          <w:lang w:val="en-US" w:eastAsia="zh-CN"/>
        </w:rPr>
        <w:t>或</w:t>
      </w:r>
      <w:r>
        <w:rPr>
          <w:rFonts w:hint="eastAsia" w:ascii="宋体" w:hAnsi="宋体" w:eastAsia="宋体" w:cs="宋体"/>
          <w:color w:val="000000"/>
          <w:sz w:val="24"/>
          <w:szCs w:val="24"/>
          <w:highlight w:val="none"/>
        </w:rPr>
        <w:t>投标保证金</w:t>
      </w:r>
      <w:r>
        <w:rPr>
          <w:rFonts w:hint="eastAsia" w:ascii="宋体" w:hAnsi="宋体" w:cs="宋体"/>
          <w:color w:val="000000"/>
          <w:sz w:val="24"/>
          <w:szCs w:val="24"/>
          <w:highlight w:val="none"/>
          <w:lang w:val="en-US" w:eastAsia="zh-CN"/>
        </w:rPr>
        <w:t>打款凭证或保函</w:t>
      </w:r>
      <w:r>
        <w:rPr>
          <w:rFonts w:hint="eastAsia" w:ascii="宋体" w:hAnsi="宋体" w:eastAsia="宋体" w:cs="宋体"/>
          <w:kern w:val="2"/>
          <w:sz w:val="24"/>
          <w:szCs w:val="24"/>
          <w:lang w:val="en-US" w:eastAsia="zh-CN" w:bidi="ar-SA"/>
        </w:rPr>
        <w:t>原件扫描件</w:t>
      </w:r>
      <w:r>
        <w:rPr>
          <w:rFonts w:hint="eastAsia" w:ascii="宋体" w:hAnsi="宋体" w:cs="宋体"/>
          <w:color w:val="000000"/>
          <w:sz w:val="24"/>
          <w:szCs w:val="24"/>
          <w:highlight w:val="none"/>
          <w:lang w:eastAsia="zh-CN"/>
        </w:rPr>
        <w:t>，</w:t>
      </w:r>
      <w:r>
        <w:rPr>
          <w:rFonts w:hint="eastAsia" w:ascii="宋体" w:hAnsi="宋体" w:eastAsia="宋体" w:cs="宋体"/>
          <w:kern w:val="2"/>
          <w:sz w:val="24"/>
          <w:szCs w:val="24"/>
          <w:lang w:val="en-US" w:eastAsia="zh-CN" w:bidi="ar-SA"/>
        </w:rPr>
        <w:t>加盖公章；</w:t>
      </w:r>
    </w:p>
    <w:p w14:paraId="2D3152BC">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13</w:t>
      </w:r>
      <w:r>
        <w:rPr>
          <w:rFonts w:hint="eastAsia" w:ascii="宋体" w:hAnsi="宋体" w:eastAsia="宋体" w:cs="宋体"/>
          <w:color w:val="000000"/>
          <w:sz w:val="24"/>
          <w:szCs w:val="24"/>
          <w:highlight w:val="none"/>
        </w:rPr>
        <w:t>投标人认为有必要提供的声明及文件资料。</w:t>
      </w:r>
    </w:p>
    <w:p w14:paraId="6DD640FA">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73A9AFF1">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67C11EA1">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第三部分  技术部分</w:t>
      </w:r>
      <w:bookmarkEnd w:id="34"/>
      <w:bookmarkEnd w:id="35"/>
      <w:bookmarkEnd w:id="36"/>
      <w:bookmarkEnd w:id="37"/>
    </w:p>
    <w:p w14:paraId="25B00FDD">
      <w:pPr>
        <w:pageBreakBefore w:val="0"/>
        <w:kinsoku/>
        <w:wordWrap/>
        <w:overflowPunct/>
        <w:topLinePunct w:val="0"/>
        <w:bidi w:val="0"/>
        <w:spacing w:beforeAutospacing="0" w:afterAutospacing="0" w:line="400" w:lineRule="exact"/>
        <w:ind w:left="2880" w:hanging="2880"/>
        <w:jc w:val="center"/>
        <w:rPr>
          <w:rFonts w:hint="eastAsia" w:ascii="宋体" w:hAnsi="宋体" w:eastAsia="宋体" w:cs="宋体"/>
          <w:b/>
          <w:color w:val="000000"/>
          <w:sz w:val="24"/>
          <w:szCs w:val="24"/>
          <w:highlight w:val="none"/>
        </w:rPr>
      </w:pPr>
    </w:p>
    <w:p w14:paraId="5E2FC5F0">
      <w:pPr>
        <w:pageBreakBefore w:val="0"/>
        <w:kinsoku/>
        <w:wordWrap/>
        <w:overflowPunct/>
        <w:topLinePunct w:val="0"/>
        <w:bidi w:val="0"/>
        <w:spacing w:beforeAutospacing="0" w:afterAutospacing="0" w:line="400" w:lineRule="exact"/>
        <w:ind w:left="2880" w:hanging="2880"/>
        <w:jc w:val="center"/>
        <w:rPr>
          <w:rFonts w:hint="eastAsia" w:ascii="宋体" w:hAnsi="宋体" w:eastAsia="宋体" w:cs="宋体"/>
          <w:b/>
          <w:color w:val="000000"/>
          <w:sz w:val="24"/>
          <w:szCs w:val="24"/>
          <w:highlight w:val="none"/>
        </w:rPr>
      </w:pPr>
    </w:p>
    <w:p w14:paraId="0EC16132">
      <w:pPr>
        <w:pageBreakBefore w:val="0"/>
        <w:widowControl/>
        <w:kinsoku/>
        <w:wordWrap/>
        <w:overflowPunct/>
        <w:topLinePunct w:val="0"/>
        <w:bidi w:val="0"/>
        <w:adjustRightInd w:val="0"/>
        <w:snapToGrid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1综合实力（格式自拟，根据评标办法提供）</w:t>
      </w:r>
    </w:p>
    <w:p w14:paraId="10DCDD76">
      <w:pPr>
        <w:pageBreakBefore w:val="0"/>
        <w:widowControl/>
        <w:kinsoku/>
        <w:wordWrap/>
        <w:overflowPunct/>
        <w:topLinePunct w:val="0"/>
        <w:bidi w:val="0"/>
        <w:adjustRightInd w:val="0"/>
        <w:snapToGrid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2配置及性能指标（格式自拟，根据评标办法提供）</w:t>
      </w:r>
    </w:p>
    <w:p w14:paraId="37715BE3">
      <w:pPr>
        <w:pageBreakBefore w:val="0"/>
        <w:widowControl/>
        <w:kinsoku/>
        <w:wordWrap/>
        <w:overflowPunct/>
        <w:topLinePunct w:val="0"/>
        <w:bidi w:val="0"/>
        <w:adjustRightInd w:val="0"/>
        <w:snapToGrid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3项目实施方案（格式自拟，根据评标办法提供）</w:t>
      </w:r>
    </w:p>
    <w:p w14:paraId="4DC3AC29">
      <w:pPr>
        <w:pageBreakBefore w:val="0"/>
        <w:widowControl/>
        <w:kinsoku/>
        <w:wordWrap/>
        <w:overflowPunct/>
        <w:topLinePunct w:val="0"/>
        <w:bidi w:val="0"/>
        <w:adjustRightInd w:val="0"/>
        <w:snapToGrid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4验收方案、质量保证方案（格式自拟，根据评标办法提供）</w:t>
      </w:r>
    </w:p>
    <w:p w14:paraId="3DEA60B7">
      <w:pPr>
        <w:pageBreakBefore w:val="0"/>
        <w:widowControl/>
        <w:kinsoku/>
        <w:wordWrap/>
        <w:overflowPunct/>
        <w:topLinePunct w:val="0"/>
        <w:bidi w:val="0"/>
        <w:adjustRightInd w:val="0"/>
        <w:snapToGrid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5培训方案（格式自拟，根据评标办法提供）</w:t>
      </w:r>
    </w:p>
    <w:p w14:paraId="3074D796">
      <w:pPr>
        <w:pageBreakBefore w:val="0"/>
        <w:widowControl/>
        <w:kinsoku/>
        <w:wordWrap/>
        <w:overflowPunct/>
        <w:topLinePunct w:val="0"/>
        <w:bidi w:val="0"/>
        <w:adjustRightInd w:val="0"/>
        <w:snapToGrid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6售后服务方案（格式自拟，根据评标办法提供）</w:t>
      </w:r>
    </w:p>
    <w:p w14:paraId="36A729EF">
      <w:pPr>
        <w:pageBreakBefore w:val="0"/>
        <w:widowControl/>
        <w:kinsoku/>
        <w:wordWrap/>
        <w:overflowPunct/>
        <w:topLinePunct w:val="0"/>
        <w:bidi w:val="0"/>
        <w:adjustRightInd w:val="0"/>
        <w:snapToGrid w:val="0"/>
        <w:spacing w:line="40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7企业的承诺及优惠条件（格式自拟，根据评标办法提供）</w:t>
      </w:r>
    </w:p>
    <w:p w14:paraId="39125E51">
      <w:pPr>
        <w:pageBreakBefore w:val="0"/>
        <w:kinsoku/>
        <w:wordWrap/>
        <w:overflowPunct/>
        <w:topLinePunct w:val="0"/>
        <w:bidi w:val="0"/>
        <w:spacing w:beforeAutospacing="0" w:afterAutospacing="0" w:line="400" w:lineRule="exact"/>
        <w:ind w:left="2890" w:leftChars="200" w:hanging="2470" w:hangingChars="1025"/>
        <w:jc w:val="left"/>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8</w:t>
      </w:r>
      <w:r>
        <w:rPr>
          <w:rFonts w:hint="eastAsia" w:ascii="宋体" w:hAnsi="宋体" w:eastAsia="宋体" w:cs="宋体"/>
          <w:b/>
          <w:color w:val="000000"/>
          <w:sz w:val="24"/>
          <w:szCs w:val="24"/>
          <w:highlight w:val="none"/>
        </w:rPr>
        <w:t>技术条款偏离表</w:t>
      </w:r>
    </w:p>
    <w:p w14:paraId="465C72BF">
      <w:pPr>
        <w:pageBreakBefore w:val="0"/>
        <w:kinsoku/>
        <w:wordWrap/>
        <w:overflowPunct/>
        <w:topLinePunct w:val="0"/>
        <w:bidi w:val="0"/>
        <w:spacing w:beforeAutospacing="0" w:afterAutospacing="0" w:line="400" w:lineRule="exact"/>
        <w:ind w:left="2880" w:leftChars="200" w:hanging="2460" w:hangingChars="1025"/>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p>
    <w:p w14:paraId="1A326CE3">
      <w:pPr>
        <w:pageBreakBefore w:val="0"/>
        <w:kinsoku/>
        <w:wordWrap/>
        <w:overflowPunct/>
        <w:topLinePunct w:val="0"/>
        <w:bidi w:val="0"/>
        <w:spacing w:beforeAutospacing="0" w:afterAutospacing="0" w:line="400" w:lineRule="exact"/>
        <w:ind w:left="2880" w:leftChars="200" w:hanging="2460" w:hangingChars="1025"/>
        <w:rPr>
          <w:rFonts w:hint="eastAsia" w:ascii="宋体" w:hAnsi="宋体" w:eastAsia="宋体" w:cs="宋体"/>
          <w:lang w:val="en-US" w:eastAsia="zh-CN"/>
        </w:rPr>
      </w:pPr>
      <w:r>
        <w:rPr>
          <w:rFonts w:hint="eastAsia" w:ascii="宋体" w:hAnsi="宋体" w:eastAsia="宋体" w:cs="宋体"/>
          <w:color w:val="000000"/>
          <w:sz w:val="24"/>
          <w:szCs w:val="24"/>
          <w:highlight w:val="none"/>
        </w:rPr>
        <w:t>招标编号：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93"/>
        <w:gridCol w:w="2227"/>
        <w:gridCol w:w="1600"/>
        <w:gridCol w:w="1134"/>
      </w:tblGrid>
      <w:tr w14:paraId="58DF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14:paraId="5878F68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093" w:type="dxa"/>
            <w:vAlign w:val="center"/>
          </w:tcPr>
          <w:p w14:paraId="6829688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招标规格</w:t>
            </w:r>
          </w:p>
        </w:tc>
        <w:tc>
          <w:tcPr>
            <w:tcW w:w="2227" w:type="dxa"/>
            <w:vAlign w:val="center"/>
          </w:tcPr>
          <w:p w14:paraId="5D76FD2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投标规格</w:t>
            </w:r>
          </w:p>
        </w:tc>
        <w:tc>
          <w:tcPr>
            <w:tcW w:w="1600" w:type="dxa"/>
            <w:vAlign w:val="center"/>
          </w:tcPr>
          <w:p w14:paraId="49D0927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c>
          <w:tcPr>
            <w:tcW w:w="1134" w:type="dxa"/>
            <w:vAlign w:val="center"/>
          </w:tcPr>
          <w:p w14:paraId="76BC59B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6BAF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20" w:type="dxa"/>
            <w:vAlign w:val="center"/>
          </w:tcPr>
          <w:p w14:paraId="7F5F682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93" w:type="dxa"/>
            <w:vAlign w:val="center"/>
          </w:tcPr>
          <w:p w14:paraId="5B72756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624A100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6077BC6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6AF8E12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7217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20" w:type="dxa"/>
            <w:vAlign w:val="center"/>
          </w:tcPr>
          <w:p w14:paraId="7F2C9D2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93" w:type="dxa"/>
            <w:vAlign w:val="center"/>
          </w:tcPr>
          <w:p w14:paraId="210F31B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23A7A2A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6EB9F1E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4988364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377B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20" w:type="dxa"/>
            <w:vAlign w:val="center"/>
          </w:tcPr>
          <w:p w14:paraId="2F80506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93" w:type="dxa"/>
            <w:vAlign w:val="center"/>
          </w:tcPr>
          <w:p w14:paraId="2F951DB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3879972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406995C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0495D07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CEC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20" w:type="dxa"/>
            <w:vAlign w:val="center"/>
          </w:tcPr>
          <w:p w14:paraId="4B43252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093" w:type="dxa"/>
            <w:vAlign w:val="center"/>
          </w:tcPr>
          <w:p w14:paraId="6380468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7C33D89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4AE4A2F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364B4D6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39514668">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5B091FF6">
      <w:pPr>
        <w:pageBreakBefore w:val="0"/>
        <w:kinsoku/>
        <w:wordWrap/>
        <w:overflowPunct/>
        <w:topLinePunct w:val="0"/>
        <w:bidi w:val="0"/>
        <w:spacing w:beforeAutospacing="0" w:afterAutospacing="0" w:line="400" w:lineRule="exact"/>
        <w:ind w:left="525" w:right="292" w:rightChars="139" w:hanging="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注：投标人必须对应招标文件的第</w:t>
      </w: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章“</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需求”的内容逐条响应。如有缺漏，缺漏项视同不符合招标要求。投标人响应采购需求应具体、明确，含糊不清、不确切或伪造、变造证明材料的，按照不完全响应或者完全不响应处理。构成提供虚假材料的，移送监管部门查处。</w:t>
      </w:r>
    </w:p>
    <w:p w14:paraId="45B2B27C">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1082EFA3">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投标单位：（单位公章）</w:t>
      </w:r>
    </w:p>
    <w:p w14:paraId="219FB39F">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7EBA38BC">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21A96567">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5D6C7FEF">
      <w:pPr>
        <w:pageBreakBefore w:val="0"/>
        <w:kinsoku/>
        <w:wordWrap/>
        <w:overflowPunct/>
        <w:topLinePunct w:val="0"/>
        <w:bidi w:val="0"/>
        <w:spacing w:beforeAutospacing="0" w:afterAutospacing="0" w:line="400" w:lineRule="exact"/>
        <w:jc w:val="right"/>
        <w:rPr>
          <w:rFonts w:hint="eastAsia" w:ascii="宋体" w:hAnsi="宋体" w:eastAsia="宋体" w:cs="宋体"/>
          <w:sz w:val="24"/>
          <w:szCs w:val="24"/>
        </w:rPr>
      </w:pPr>
      <w:r>
        <w:rPr>
          <w:rFonts w:hint="eastAsia" w:ascii="宋体" w:hAnsi="宋体" w:eastAsia="宋体" w:cs="宋体"/>
          <w:color w:val="000000"/>
          <w:sz w:val="24"/>
          <w:szCs w:val="24"/>
          <w:highlight w:val="none"/>
        </w:rPr>
        <w:t>日期：   年   月   日</w:t>
      </w:r>
    </w:p>
    <w:p w14:paraId="3891267F">
      <w:pPr>
        <w:pStyle w:val="9"/>
        <w:rPr>
          <w:rFonts w:hint="eastAsia" w:ascii="宋体" w:hAnsi="宋体" w:eastAsia="宋体" w:cs="宋体"/>
          <w:sz w:val="24"/>
          <w:szCs w:val="24"/>
        </w:rPr>
      </w:pPr>
    </w:p>
    <w:p w14:paraId="094C6240">
      <w:pPr>
        <w:pStyle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投标人认为需要提供的其他资料</w:t>
      </w:r>
    </w:p>
    <w:p w14:paraId="053D1611">
      <w:pPr>
        <w:rPr>
          <w:rFonts w:hint="eastAsia"/>
        </w:rPr>
      </w:pPr>
    </w:p>
    <w:sectPr>
      <w:footerReference r:id="rId12" w:type="default"/>
      <w:pgSz w:w="11906" w:h="16838"/>
      <w:pgMar w:top="1559" w:right="1416" w:bottom="1134" w:left="1560" w:header="851"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D2D58B-9CAD-4410-87FB-1473617DB7C7}"/>
  </w:font>
  <w:font w:name="黑体">
    <w:panose1 w:val="02010609060101010101"/>
    <w:charset w:val="86"/>
    <w:family w:val="auto"/>
    <w:pitch w:val="default"/>
    <w:sig w:usb0="800002BF" w:usb1="38CF7CFA" w:usb2="00000016" w:usb3="00000000" w:csb0="00040001" w:csb1="00000000"/>
    <w:embedRegular r:id="rId2" w:fontKey="{AECCEC05-0725-4D64-B56B-3EFE8BECE0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5BF00C6D-5BC6-4D1C-8360-FA3F2A9EB73E}"/>
  </w:font>
  <w:font w:name="Angsana New">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4" w:fontKey="{6F1B4465-1941-4E90-B603-6FB92D5DB28D}"/>
  </w:font>
  <w:font w:name="方正小标宋简体">
    <w:panose1 w:val="02000000000000000000"/>
    <w:charset w:val="86"/>
    <w:family w:val="auto"/>
    <w:pitch w:val="default"/>
    <w:sig w:usb0="00000001" w:usb1="08000000" w:usb2="00000000" w:usb3="00000000" w:csb0="00040000" w:csb1="00000000"/>
    <w:embedRegular r:id="rId5" w:fontKey="{908D193B-000B-4AF5-8A0F-8C5C4C2EDC81}"/>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B74F">
    <w:pPr>
      <w:pStyle w:val="16"/>
      <w:tabs>
        <w:tab w:val="left" w:pos="5201"/>
        <w:tab w:val="clear" w:pos="4153"/>
      </w:tabs>
      <w:ind w:firstLine="3960" w:firstLineChars="2200"/>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69F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B6F3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20B6F3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E908">
    <w:pPr>
      <w:spacing w:line="184" w:lineRule="auto"/>
      <w:ind w:left="42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6437E3">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6437E3">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C065">
    <w:pPr>
      <w:pStyle w:val="16"/>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66196">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166196">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11A1">
    <w:pPr>
      <w:pStyle w:val="16"/>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3272F">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53272F">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F7BD">
    <w:pPr>
      <w:pStyle w:val="16"/>
      <w:tabs>
        <w:tab w:val="left" w:pos="5201"/>
        <w:tab w:val="clear" w:pos="4153"/>
      </w:tabs>
      <w:ind w:firstLine="3960" w:firstLineChars="2200"/>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63654">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7463654">
                    <w:pPr>
                      <w:pStyle w:val="1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7465F">
    <w:pPr>
      <w:pStyle w:val="16"/>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BFCA6">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B5BFCA6">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CD5B">
    <w:pPr>
      <w:pStyle w:val="16"/>
      <w:tabs>
        <w:tab w:val="left" w:pos="5201"/>
        <w:tab w:val="clear" w:pos="4153"/>
      </w:tabs>
      <w:ind w:firstLine="3960" w:firstLineChars="2200"/>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A3B30">
                          <w:pPr>
                            <w:pStyle w:val="1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AA3B30">
                    <w:pPr>
                      <w:pStyle w:val="1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0A9BC">
    <w:pPr>
      <w:pStyle w:val="16"/>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8F5E3">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98F5E3">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291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D9629"/>
    <w:multiLevelType w:val="singleLevel"/>
    <w:tmpl w:val="8D6D9629"/>
    <w:lvl w:ilvl="0" w:tentative="0">
      <w:start w:val="1"/>
      <w:numFmt w:val="decimal"/>
      <w:suff w:val="nothing"/>
      <w:lvlText w:val="%1、"/>
      <w:lvlJc w:val="left"/>
    </w:lvl>
  </w:abstractNum>
  <w:abstractNum w:abstractNumId="1">
    <w:nsid w:val="9D9D3201"/>
    <w:multiLevelType w:val="singleLevel"/>
    <w:tmpl w:val="9D9D3201"/>
    <w:lvl w:ilvl="0" w:tentative="0">
      <w:start w:val="5"/>
      <w:numFmt w:val="chineseCounting"/>
      <w:suff w:val="space"/>
      <w:lvlText w:val="第%1章"/>
      <w:lvlJc w:val="left"/>
      <w:rPr>
        <w:rFonts w:hint="eastAsia"/>
      </w:rPr>
    </w:lvl>
  </w:abstractNum>
  <w:abstractNum w:abstractNumId="2">
    <w:nsid w:val="0000000F"/>
    <w:multiLevelType w:val="multilevel"/>
    <w:tmpl w:val="0000000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57A9A282"/>
    <w:multiLevelType w:val="singleLevel"/>
    <w:tmpl w:val="57A9A282"/>
    <w:lvl w:ilvl="0" w:tentative="0">
      <w:start w:val="3"/>
      <w:numFmt w:val="decimal"/>
      <w:suff w:val="nothing"/>
      <w:lvlText w:val="%1、"/>
      <w:lvlJc w:val="left"/>
    </w:lvl>
  </w:abstractNum>
  <w:abstractNum w:abstractNumId="4">
    <w:nsid w:val="5920E9B3"/>
    <w:multiLevelType w:val="singleLevel"/>
    <w:tmpl w:val="5920E9B3"/>
    <w:lvl w:ilvl="0" w:tentative="0">
      <w:start w:val="1"/>
      <w:numFmt w:val="chineseCounting"/>
      <w:suff w:val="space"/>
      <w:lvlText w:val="第%1部分"/>
      <w:lvlJc w:val="left"/>
      <w:rPr>
        <w:rFonts w:hint="eastAsi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NDIwN2M2ODljYmVjN2ZmM2NiOGFkNDlmMDNhNzQifQ=="/>
  </w:docVars>
  <w:rsids>
    <w:rsidRoot w:val="595C61D5"/>
    <w:rsid w:val="000B44D3"/>
    <w:rsid w:val="000C1FF9"/>
    <w:rsid w:val="000C5EEB"/>
    <w:rsid w:val="000F6A86"/>
    <w:rsid w:val="00101AE9"/>
    <w:rsid w:val="00207A14"/>
    <w:rsid w:val="00264E69"/>
    <w:rsid w:val="002E01C1"/>
    <w:rsid w:val="003550AC"/>
    <w:rsid w:val="003D3F8C"/>
    <w:rsid w:val="0047478A"/>
    <w:rsid w:val="00496DA9"/>
    <w:rsid w:val="004C6C27"/>
    <w:rsid w:val="004E2611"/>
    <w:rsid w:val="005D2854"/>
    <w:rsid w:val="00610597"/>
    <w:rsid w:val="00663916"/>
    <w:rsid w:val="0066795B"/>
    <w:rsid w:val="006D2A98"/>
    <w:rsid w:val="007007DA"/>
    <w:rsid w:val="00703122"/>
    <w:rsid w:val="00846033"/>
    <w:rsid w:val="008B7D2A"/>
    <w:rsid w:val="008C6C96"/>
    <w:rsid w:val="008F10D7"/>
    <w:rsid w:val="00903BBE"/>
    <w:rsid w:val="00930024"/>
    <w:rsid w:val="00942B50"/>
    <w:rsid w:val="009A4CCE"/>
    <w:rsid w:val="009A7605"/>
    <w:rsid w:val="00A364B9"/>
    <w:rsid w:val="00A52A4E"/>
    <w:rsid w:val="00A853AD"/>
    <w:rsid w:val="00AB7A64"/>
    <w:rsid w:val="00B20DF2"/>
    <w:rsid w:val="00B32474"/>
    <w:rsid w:val="00B5443F"/>
    <w:rsid w:val="00BF706B"/>
    <w:rsid w:val="00CD79DA"/>
    <w:rsid w:val="00CF2BFF"/>
    <w:rsid w:val="00D47748"/>
    <w:rsid w:val="00D64AE1"/>
    <w:rsid w:val="00DB20F7"/>
    <w:rsid w:val="00E100E8"/>
    <w:rsid w:val="00E32D5A"/>
    <w:rsid w:val="00E46AD2"/>
    <w:rsid w:val="00E52F76"/>
    <w:rsid w:val="00EA058C"/>
    <w:rsid w:val="00EB60B2"/>
    <w:rsid w:val="00EC00DA"/>
    <w:rsid w:val="00F20367"/>
    <w:rsid w:val="00F22F9D"/>
    <w:rsid w:val="0102159D"/>
    <w:rsid w:val="01065BD1"/>
    <w:rsid w:val="010A478A"/>
    <w:rsid w:val="010D6029"/>
    <w:rsid w:val="01101675"/>
    <w:rsid w:val="011473B7"/>
    <w:rsid w:val="01176EA7"/>
    <w:rsid w:val="011E3D92"/>
    <w:rsid w:val="013435B5"/>
    <w:rsid w:val="01347A59"/>
    <w:rsid w:val="013730A5"/>
    <w:rsid w:val="01395070"/>
    <w:rsid w:val="01397E64"/>
    <w:rsid w:val="013C246A"/>
    <w:rsid w:val="01415CD2"/>
    <w:rsid w:val="01453A14"/>
    <w:rsid w:val="014572F8"/>
    <w:rsid w:val="01457570"/>
    <w:rsid w:val="01487061"/>
    <w:rsid w:val="014A102B"/>
    <w:rsid w:val="015123B9"/>
    <w:rsid w:val="01545A05"/>
    <w:rsid w:val="0159126E"/>
    <w:rsid w:val="015B3238"/>
    <w:rsid w:val="016054B8"/>
    <w:rsid w:val="016112EA"/>
    <w:rsid w:val="01675739"/>
    <w:rsid w:val="01695955"/>
    <w:rsid w:val="0169685A"/>
    <w:rsid w:val="01730582"/>
    <w:rsid w:val="01763F6E"/>
    <w:rsid w:val="017E6677"/>
    <w:rsid w:val="01877B89"/>
    <w:rsid w:val="01995B0E"/>
    <w:rsid w:val="01AA357A"/>
    <w:rsid w:val="01B3097E"/>
    <w:rsid w:val="01B97F5E"/>
    <w:rsid w:val="01BB3CD7"/>
    <w:rsid w:val="01BC3135"/>
    <w:rsid w:val="01C54B55"/>
    <w:rsid w:val="01CC2BB3"/>
    <w:rsid w:val="01CD25B7"/>
    <w:rsid w:val="01CD4D28"/>
    <w:rsid w:val="01D32DCE"/>
    <w:rsid w:val="01D9415D"/>
    <w:rsid w:val="01DF79C5"/>
    <w:rsid w:val="01E557E7"/>
    <w:rsid w:val="01EA636A"/>
    <w:rsid w:val="01F64D0F"/>
    <w:rsid w:val="01F66ABD"/>
    <w:rsid w:val="01F66C28"/>
    <w:rsid w:val="01FD3617"/>
    <w:rsid w:val="02035593"/>
    <w:rsid w:val="02105DD0"/>
    <w:rsid w:val="0213766F"/>
    <w:rsid w:val="021A0C65"/>
    <w:rsid w:val="02315AF4"/>
    <w:rsid w:val="02327E75"/>
    <w:rsid w:val="023F66B6"/>
    <w:rsid w:val="024B505A"/>
    <w:rsid w:val="024B6E08"/>
    <w:rsid w:val="024E4B4B"/>
    <w:rsid w:val="02514D1B"/>
    <w:rsid w:val="02543B44"/>
    <w:rsid w:val="025D08EA"/>
    <w:rsid w:val="028A501C"/>
    <w:rsid w:val="028D5673"/>
    <w:rsid w:val="029C7664"/>
    <w:rsid w:val="02A1522A"/>
    <w:rsid w:val="02A604E3"/>
    <w:rsid w:val="02B0310F"/>
    <w:rsid w:val="02B53F97"/>
    <w:rsid w:val="02BF068B"/>
    <w:rsid w:val="02BF3353"/>
    <w:rsid w:val="02C00827"/>
    <w:rsid w:val="02C1531D"/>
    <w:rsid w:val="02C31095"/>
    <w:rsid w:val="02D36DFE"/>
    <w:rsid w:val="02D432A2"/>
    <w:rsid w:val="02D50DC8"/>
    <w:rsid w:val="02DA4630"/>
    <w:rsid w:val="02E37041"/>
    <w:rsid w:val="02EB264D"/>
    <w:rsid w:val="02ED7EC0"/>
    <w:rsid w:val="02FE3E7B"/>
    <w:rsid w:val="03004097"/>
    <w:rsid w:val="03105C95"/>
    <w:rsid w:val="0317318F"/>
    <w:rsid w:val="031E020B"/>
    <w:rsid w:val="031F2043"/>
    <w:rsid w:val="032A4C70"/>
    <w:rsid w:val="03321EFC"/>
    <w:rsid w:val="03324053"/>
    <w:rsid w:val="033B4AE2"/>
    <w:rsid w:val="033B50CF"/>
    <w:rsid w:val="033C54A4"/>
    <w:rsid w:val="033D2D9E"/>
    <w:rsid w:val="03435D32"/>
    <w:rsid w:val="03443858"/>
    <w:rsid w:val="034877EC"/>
    <w:rsid w:val="034E3CB1"/>
    <w:rsid w:val="034F46D6"/>
    <w:rsid w:val="03547F3F"/>
    <w:rsid w:val="03587717"/>
    <w:rsid w:val="035A09FF"/>
    <w:rsid w:val="036068E4"/>
    <w:rsid w:val="0365214C"/>
    <w:rsid w:val="036C2D55"/>
    <w:rsid w:val="03710AF1"/>
    <w:rsid w:val="03722553"/>
    <w:rsid w:val="037405E1"/>
    <w:rsid w:val="03766107"/>
    <w:rsid w:val="03767EB5"/>
    <w:rsid w:val="037C7496"/>
    <w:rsid w:val="03907D82"/>
    <w:rsid w:val="039B5B6E"/>
    <w:rsid w:val="039B791C"/>
    <w:rsid w:val="039C5442"/>
    <w:rsid w:val="03AA7B5F"/>
    <w:rsid w:val="03AB423B"/>
    <w:rsid w:val="03AD5E0D"/>
    <w:rsid w:val="03AE3AF3"/>
    <w:rsid w:val="03B37E16"/>
    <w:rsid w:val="03B629A7"/>
    <w:rsid w:val="03B76654"/>
    <w:rsid w:val="03C74BB5"/>
    <w:rsid w:val="03D1333D"/>
    <w:rsid w:val="03D56A09"/>
    <w:rsid w:val="03DA4021"/>
    <w:rsid w:val="03E80687"/>
    <w:rsid w:val="03F434D0"/>
    <w:rsid w:val="03F4702C"/>
    <w:rsid w:val="03FB485E"/>
    <w:rsid w:val="03FD011D"/>
    <w:rsid w:val="03FD05D6"/>
    <w:rsid w:val="03FE7EAB"/>
    <w:rsid w:val="04030F36"/>
    <w:rsid w:val="04073203"/>
    <w:rsid w:val="041476CE"/>
    <w:rsid w:val="04253689"/>
    <w:rsid w:val="0430667E"/>
    <w:rsid w:val="0434636C"/>
    <w:rsid w:val="043858E1"/>
    <w:rsid w:val="04390EE3"/>
    <w:rsid w:val="043A35D9"/>
    <w:rsid w:val="043B1F2D"/>
    <w:rsid w:val="043D11AF"/>
    <w:rsid w:val="04471852"/>
    <w:rsid w:val="04477AA3"/>
    <w:rsid w:val="04483997"/>
    <w:rsid w:val="044E498E"/>
    <w:rsid w:val="0452341B"/>
    <w:rsid w:val="045A1585"/>
    <w:rsid w:val="045D2E23"/>
    <w:rsid w:val="04626F09"/>
    <w:rsid w:val="046879C6"/>
    <w:rsid w:val="04762137"/>
    <w:rsid w:val="047A1C27"/>
    <w:rsid w:val="047A39D5"/>
    <w:rsid w:val="047C774D"/>
    <w:rsid w:val="04934A97"/>
    <w:rsid w:val="049525BD"/>
    <w:rsid w:val="04956A61"/>
    <w:rsid w:val="049D5915"/>
    <w:rsid w:val="049D615B"/>
    <w:rsid w:val="04A96068"/>
    <w:rsid w:val="04B36EE7"/>
    <w:rsid w:val="04B47759"/>
    <w:rsid w:val="04B54A0D"/>
    <w:rsid w:val="04B65370"/>
    <w:rsid w:val="04B844FD"/>
    <w:rsid w:val="04B9536B"/>
    <w:rsid w:val="04BC5D9C"/>
    <w:rsid w:val="04BE01A4"/>
    <w:rsid w:val="04BF763A"/>
    <w:rsid w:val="04C3017D"/>
    <w:rsid w:val="04C609C8"/>
    <w:rsid w:val="04C9495C"/>
    <w:rsid w:val="04CE63E3"/>
    <w:rsid w:val="04D035F5"/>
    <w:rsid w:val="04D3719B"/>
    <w:rsid w:val="04D37589"/>
    <w:rsid w:val="04D806FC"/>
    <w:rsid w:val="04DC643E"/>
    <w:rsid w:val="04DF1A8A"/>
    <w:rsid w:val="04E90B5B"/>
    <w:rsid w:val="04E96190"/>
    <w:rsid w:val="04EA5EED"/>
    <w:rsid w:val="04EA6956"/>
    <w:rsid w:val="04ED41A7"/>
    <w:rsid w:val="04EE6171"/>
    <w:rsid w:val="04F03C97"/>
    <w:rsid w:val="04FF3EDA"/>
    <w:rsid w:val="050140F6"/>
    <w:rsid w:val="050C39A8"/>
    <w:rsid w:val="051536FE"/>
    <w:rsid w:val="051A712F"/>
    <w:rsid w:val="0520520E"/>
    <w:rsid w:val="05237BC9"/>
    <w:rsid w:val="05243941"/>
    <w:rsid w:val="052676B9"/>
    <w:rsid w:val="052878D5"/>
    <w:rsid w:val="052E61E9"/>
    <w:rsid w:val="052F6180"/>
    <w:rsid w:val="053022E6"/>
    <w:rsid w:val="05340028"/>
    <w:rsid w:val="0539563E"/>
    <w:rsid w:val="053D2A70"/>
    <w:rsid w:val="053F3C41"/>
    <w:rsid w:val="054162A1"/>
    <w:rsid w:val="054F6C10"/>
    <w:rsid w:val="05545FD4"/>
    <w:rsid w:val="055C757F"/>
    <w:rsid w:val="056326BB"/>
    <w:rsid w:val="05654685"/>
    <w:rsid w:val="05663F59"/>
    <w:rsid w:val="05696E27"/>
    <w:rsid w:val="056A1C9B"/>
    <w:rsid w:val="056B77C2"/>
    <w:rsid w:val="056F2E0E"/>
    <w:rsid w:val="057448C8"/>
    <w:rsid w:val="057B5C57"/>
    <w:rsid w:val="057E03BB"/>
    <w:rsid w:val="05822D1E"/>
    <w:rsid w:val="05883220"/>
    <w:rsid w:val="058D14E6"/>
    <w:rsid w:val="058D598A"/>
    <w:rsid w:val="058F525E"/>
    <w:rsid w:val="059B00A7"/>
    <w:rsid w:val="059E1E13"/>
    <w:rsid w:val="05A32BC9"/>
    <w:rsid w:val="05AB7BBE"/>
    <w:rsid w:val="05B47256"/>
    <w:rsid w:val="05B9052D"/>
    <w:rsid w:val="05BE3D95"/>
    <w:rsid w:val="05C018BB"/>
    <w:rsid w:val="05C173E2"/>
    <w:rsid w:val="05C50C80"/>
    <w:rsid w:val="05C759FB"/>
    <w:rsid w:val="05C80770"/>
    <w:rsid w:val="05C84C14"/>
    <w:rsid w:val="05D47115"/>
    <w:rsid w:val="05DD246D"/>
    <w:rsid w:val="05E355AA"/>
    <w:rsid w:val="05E93075"/>
    <w:rsid w:val="05F41565"/>
    <w:rsid w:val="06052E78"/>
    <w:rsid w:val="0607573C"/>
    <w:rsid w:val="06085010"/>
    <w:rsid w:val="060C4B01"/>
    <w:rsid w:val="06113EC5"/>
    <w:rsid w:val="06120B6F"/>
    <w:rsid w:val="061340E1"/>
    <w:rsid w:val="0616772D"/>
    <w:rsid w:val="0620235A"/>
    <w:rsid w:val="06255FDE"/>
    <w:rsid w:val="0627193B"/>
    <w:rsid w:val="06314567"/>
    <w:rsid w:val="0633208D"/>
    <w:rsid w:val="063B3638"/>
    <w:rsid w:val="063E0A32"/>
    <w:rsid w:val="06456265"/>
    <w:rsid w:val="06484360"/>
    <w:rsid w:val="06497B03"/>
    <w:rsid w:val="065B3392"/>
    <w:rsid w:val="067258E5"/>
    <w:rsid w:val="06740B53"/>
    <w:rsid w:val="067526A6"/>
    <w:rsid w:val="068428E9"/>
    <w:rsid w:val="068505F6"/>
    <w:rsid w:val="068E50FC"/>
    <w:rsid w:val="069625D8"/>
    <w:rsid w:val="069A3EBB"/>
    <w:rsid w:val="069F5975"/>
    <w:rsid w:val="069F7723"/>
    <w:rsid w:val="06AB256C"/>
    <w:rsid w:val="06BA455D"/>
    <w:rsid w:val="06C47189"/>
    <w:rsid w:val="06D01FD2"/>
    <w:rsid w:val="06D849E3"/>
    <w:rsid w:val="06DE2BA7"/>
    <w:rsid w:val="06DF5865"/>
    <w:rsid w:val="06DF5D71"/>
    <w:rsid w:val="06E25862"/>
    <w:rsid w:val="06E3363B"/>
    <w:rsid w:val="06E3407D"/>
    <w:rsid w:val="06E8731C"/>
    <w:rsid w:val="06F9319A"/>
    <w:rsid w:val="06FF745C"/>
    <w:rsid w:val="07007F1F"/>
    <w:rsid w:val="07034156"/>
    <w:rsid w:val="07035F04"/>
    <w:rsid w:val="07050CA4"/>
    <w:rsid w:val="070677A2"/>
    <w:rsid w:val="070822A2"/>
    <w:rsid w:val="0709241E"/>
    <w:rsid w:val="07101279"/>
    <w:rsid w:val="07177C01"/>
    <w:rsid w:val="07222102"/>
    <w:rsid w:val="07294629"/>
    <w:rsid w:val="07351E35"/>
    <w:rsid w:val="073F077E"/>
    <w:rsid w:val="07416A2C"/>
    <w:rsid w:val="074862E0"/>
    <w:rsid w:val="07487DBA"/>
    <w:rsid w:val="074958E1"/>
    <w:rsid w:val="075049E0"/>
    <w:rsid w:val="0757624F"/>
    <w:rsid w:val="076369A2"/>
    <w:rsid w:val="076646E5"/>
    <w:rsid w:val="0768045D"/>
    <w:rsid w:val="07697D31"/>
    <w:rsid w:val="077961C6"/>
    <w:rsid w:val="07797F74"/>
    <w:rsid w:val="077C7A64"/>
    <w:rsid w:val="0781507A"/>
    <w:rsid w:val="0788465B"/>
    <w:rsid w:val="07930A17"/>
    <w:rsid w:val="07950B26"/>
    <w:rsid w:val="07966D78"/>
    <w:rsid w:val="07981637"/>
    <w:rsid w:val="079B25E0"/>
    <w:rsid w:val="07A336E6"/>
    <w:rsid w:val="07B23486"/>
    <w:rsid w:val="07C442AC"/>
    <w:rsid w:val="07CB33CC"/>
    <w:rsid w:val="07CB4548"/>
    <w:rsid w:val="07D07A84"/>
    <w:rsid w:val="07DA05C2"/>
    <w:rsid w:val="07DE0F2D"/>
    <w:rsid w:val="07E01DA1"/>
    <w:rsid w:val="07EA2C20"/>
    <w:rsid w:val="07EB460E"/>
    <w:rsid w:val="07F10452"/>
    <w:rsid w:val="07F41CF0"/>
    <w:rsid w:val="07F76587"/>
    <w:rsid w:val="07F817E1"/>
    <w:rsid w:val="07F96F2F"/>
    <w:rsid w:val="07FE491D"/>
    <w:rsid w:val="07FF3A37"/>
    <w:rsid w:val="08145EEF"/>
    <w:rsid w:val="081C4DA3"/>
    <w:rsid w:val="08202AE5"/>
    <w:rsid w:val="082F2D28"/>
    <w:rsid w:val="08326375"/>
    <w:rsid w:val="08397703"/>
    <w:rsid w:val="084220E4"/>
    <w:rsid w:val="08485B98"/>
    <w:rsid w:val="08511C41"/>
    <w:rsid w:val="08514A4D"/>
    <w:rsid w:val="08536A17"/>
    <w:rsid w:val="085A5FF7"/>
    <w:rsid w:val="08634780"/>
    <w:rsid w:val="08646E76"/>
    <w:rsid w:val="086A485C"/>
    <w:rsid w:val="0878022B"/>
    <w:rsid w:val="087D5842"/>
    <w:rsid w:val="08884D84"/>
    <w:rsid w:val="088A6040"/>
    <w:rsid w:val="08920B48"/>
    <w:rsid w:val="08964B56"/>
    <w:rsid w:val="089A4646"/>
    <w:rsid w:val="08A8394A"/>
    <w:rsid w:val="08BB280E"/>
    <w:rsid w:val="08BF5E5A"/>
    <w:rsid w:val="08C276F9"/>
    <w:rsid w:val="08C571E9"/>
    <w:rsid w:val="08D21C65"/>
    <w:rsid w:val="08D538D0"/>
    <w:rsid w:val="08D86F1C"/>
    <w:rsid w:val="08DA0EE6"/>
    <w:rsid w:val="08DD4532"/>
    <w:rsid w:val="08DF02AB"/>
    <w:rsid w:val="08E0380F"/>
    <w:rsid w:val="08E96A5C"/>
    <w:rsid w:val="08EB6C4F"/>
    <w:rsid w:val="08EC29C7"/>
    <w:rsid w:val="08F36A19"/>
    <w:rsid w:val="09045F63"/>
    <w:rsid w:val="09093C92"/>
    <w:rsid w:val="090D12BC"/>
    <w:rsid w:val="09167A44"/>
    <w:rsid w:val="091A12E3"/>
    <w:rsid w:val="091B505B"/>
    <w:rsid w:val="09287EA3"/>
    <w:rsid w:val="092959CA"/>
    <w:rsid w:val="093700E7"/>
    <w:rsid w:val="094F0649"/>
    <w:rsid w:val="095570B6"/>
    <w:rsid w:val="095D095C"/>
    <w:rsid w:val="096133B5"/>
    <w:rsid w:val="09630EDC"/>
    <w:rsid w:val="09736C45"/>
    <w:rsid w:val="097A4477"/>
    <w:rsid w:val="097F55EA"/>
    <w:rsid w:val="09806C85"/>
    <w:rsid w:val="09840174"/>
    <w:rsid w:val="098F53C5"/>
    <w:rsid w:val="098F7F23"/>
    <w:rsid w:val="09947FFE"/>
    <w:rsid w:val="099512B1"/>
    <w:rsid w:val="0995305F"/>
    <w:rsid w:val="09992B4F"/>
    <w:rsid w:val="099C43EE"/>
    <w:rsid w:val="099D3652"/>
    <w:rsid w:val="09A45050"/>
    <w:rsid w:val="09AF5ECF"/>
    <w:rsid w:val="09B039F5"/>
    <w:rsid w:val="09B90AFC"/>
    <w:rsid w:val="09B96D4E"/>
    <w:rsid w:val="09C13E54"/>
    <w:rsid w:val="09C3197A"/>
    <w:rsid w:val="09C6146A"/>
    <w:rsid w:val="09CB187F"/>
    <w:rsid w:val="09CF47C3"/>
    <w:rsid w:val="09D26061"/>
    <w:rsid w:val="09E22C94"/>
    <w:rsid w:val="09E9491B"/>
    <w:rsid w:val="09F2400E"/>
    <w:rsid w:val="09FC4E8C"/>
    <w:rsid w:val="09FE227D"/>
    <w:rsid w:val="0A03621B"/>
    <w:rsid w:val="0A05700F"/>
    <w:rsid w:val="0A0D0E47"/>
    <w:rsid w:val="0A23066B"/>
    <w:rsid w:val="0A2368BD"/>
    <w:rsid w:val="0A272298"/>
    <w:rsid w:val="0A2F3E81"/>
    <w:rsid w:val="0A36214C"/>
    <w:rsid w:val="0A3665F0"/>
    <w:rsid w:val="0A3960E0"/>
    <w:rsid w:val="0A424F95"/>
    <w:rsid w:val="0A48082B"/>
    <w:rsid w:val="0A4F320E"/>
    <w:rsid w:val="0A56558B"/>
    <w:rsid w:val="0A622F41"/>
    <w:rsid w:val="0A64315D"/>
    <w:rsid w:val="0A740EC6"/>
    <w:rsid w:val="0A764C3F"/>
    <w:rsid w:val="0A783C8C"/>
    <w:rsid w:val="0A786C09"/>
    <w:rsid w:val="0A7D7D7B"/>
    <w:rsid w:val="0A8A5906"/>
    <w:rsid w:val="0A8E01DA"/>
    <w:rsid w:val="0A911A78"/>
    <w:rsid w:val="0A951569"/>
    <w:rsid w:val="0A960E3D"/>
    <w:rsid w:val="0A981059"/>
    <w:rsid w:val="0A9926DB"/>
    <w:rsid w:val="0AA07F0D"/>
    <w:rsid w:val="0AA74DF8"/>
    <w:rsid w:val="0AAC0660"/>
    <w:rsid w:val="0AAC68B2"/>
    <w:rsid w:val="0AB53C55"/>
    <w:rsid w:val="0AB6328D"/>
    <w:rsid w:val="0AB94B2B"/>
    <w:rsid w:val="0AC51722"/>
    <w:rsid w:val="0ACB2AE8"/>
    <w:rsid w:val="0AD16319"/>
    <w:rsid w:val="0AD62BFC"/>
    <w:rsid w:val="0AF53DB5"/>
    <w:rsid w:val="0AF671E5"/>
    <w:rsid w:val="0B0A6AEB"/>
    <w:rsid w:val="0B0F2A1E"/>
    <w:rsid w:val="0B352404"/>
    <w:rsid w:val="0B381EF4"/>
    <w:rsid w:val="0B3A3EBE"/>
    <w:rsid w:val="0B3F7726"/>
    <w:rsid w:val="0B444D3D"/>
    <w:rsid w:val="0B445C59"/>
    <w:rsid w:val="0B4D3BF1"/>
    <w:rsid w:val="0B4E1717"/>
    <w:rsid w:val="0B4E7969"/>
    <w:rsid w:val="0B50723E"/>
    <w:rsid w:val="0B522679"/>
    <w:rsid w:val="0B557C00"/>
    <w:rsid w:val="0B564557"/>
    <w:rsid w:val="0B5F4350"/>
    <w:rsid w:val="0B682AB4"/>
    <w:rsid w:val="0B6E3B68"/>
    <w:rsid w:val="0B703A4D"/>
    <w:rsid w:val="0B704808"/>
    <w:rsid w:val="0B756CA4"/>
    <w:rsid w:val="0B776EC0"/>
    <w:rsid w:val="0B7F5D75"/>
    <w:rsid w:val="0B867103"/>
    <w:rsid w:val="0B884C29"/>
    <w:rsid w:val="0B8D0851"/>
    <w:rsid w:val="0B8F6344"/>
    <w:rsid w:val="0B910C45"/>
    <w:rsid w:val="0B941752"/>
    <w:rsid w:val="0B98567B"/>
    <w:rsid w:val="0B993DEF"/>
    <w:rsid w:val="0B9B0319"/>
    <w:rsid w:val="0BA15CEB"/>
    <w:rsid w:val="0BB06CD5"/>
    <w:rsid w:val="0BB377CC"/>
    <w:rsid w:val="0BBD42C7"/>
    <w:rsid w:val="0BBF43C3"/>
    <w:rsid w:val="0BC35C62"/>
    <w:rsid w:val="0BC67500"/>
    <w:rsid w:val="0BCD4D32"/>
    <w:rsid w:val="0BCD6AE0"/>
    <w:rsid w:val="0BCF2858"/>
    <w:rsid w:val="0BD240F7"/>
    <w:rsid w:val="0BD87233"/>
    <w:rsid w:val="0BF503CF"/>
    <w:rsid w:val="0BF70001"/>
    <w:rsid w:val="0BFF2A12"/>
    <w:rsid w:val="0C0149DC"/>
    <w:rsid w:val="0C022F84"/>
    <w:rsid w:val="0C0A1AE2"/>
    <w:rsid w:val="0C0E42CE"/>
    <w:rsid w:val="0C1110C3"/>
    <w:rsid w:val="0C152235"/>
    <w:rsid w:val="0C160487"/>
    <w:rsid w:val="0C1C1816"/>
    <w:rsid w:val="0C233289"/>
    <w:rsid w:val="0C2506CA"/>
    <w:rsid w:val="0C28640C"/>
    <w:rsid w:val="0C2C1FAA"/>
    <w:rsid w:val="0C346B5F"/>
    <w:rsid w:val="0C393981"/>
    <w:rsid w:val="0C3D11EC"/>
    <w:rsid w:val="0C48260B"/>
    <w:rsid w:val="0C4D5E73"/>
    <w:rsid w:val="0C4E3306"/>
    <w:rsid w:val="0C4F1BEB"/>
    <w:rsid w:val="0C4F5747"/>
    <w:rsid w:val="0C526FE5"/>
    <w:rsid w:val="0C5E1E2E"/>
    <w:rsid w:val="0C6311F3"/>
    <w:rsid w:val="0C6531BD"/>
    <w:rsid w:val="0C6757DE"/>
    <w:rsid w:val="0C6D3E1F"/>
    <w:rsid w:val="0C7305BB"/>
    <w:rsid w:val="0C78199D"/>
    <w:rsid w:val="0C7B478E"/>
    <w:rsid w:val="0C7D0506"/>
    <w:rsid w:val="0C814A8D"/>
    <w:rsid w:val="0C8A677F"/>
    <w:rsid w:val="0C8D7232"/>
    <w:rsid w:val="0C9670E0"/>
    <w:rsid w:val="0CA10943"/>
    <w:rsid w:val="0CA64379"/>
    <w:rsid w:val="0CAA5073"/>
    <w:rsid w:val="0CAD06C0"/>
    <w:rsid w:val="0CAE2E86"/>
    <w:rsid w:val="0CB101B0"/>
    <w:rsid w:val="0CB41A4E"/>
    <w:rsid w:val="0CB50CFF"/>
    <w:rsid w:val="0CB63A18"/>
    <w:rsid w:val="0CC223BD"/>
    <w:rsid w:val="0CC2416B"/>
    <w:rsid w:val="0CC7352F"/>
    <w:rsid w:val="0CC954FA"/>
    <w:rsid w:val="0CCD28F4"/>
    <w:rsid w:val="0CD45C4C"/>
    <w:rsid w:val="0CE560AB"/>
    <w:rsid w:val="0CFB142B"/>
    <w:rsid w:val="0CFD51A3"/>
    <w:rsid w:val="0D0A37DF"/>
    <w:rsid w:val="0D0C4A71"/>
    <w:rsid w:val="0D0E437B"/>
    <w:rsid w:val="0D0E73B0"/>
    <w:rsid w:val="0D0F1F6B"/>
    <w:rsid w:val="0D197B03"/>
    <w:rsid w:val="0D1A3FA7"/>
    <w:rsid w:val="0D1A5D55"/>
    <w:rsid w:val="0D222E5C"/>
    <w:rsid w:val="0D3130BF"/>
    <w:rsid w:val="0D3C216F"/>
    <w:rsid w:val="0D3D37F2"/>
    <w:rsid w:val="0D3D766C"/>
    <w:rsid w:val="0D3F2EDF"/>
    <w:rsid w:val="0D4252F3"/>
    <w:rsid w:val="0D533015"/>
    <w:rsid w:val="0D7116ED"/>
    <w:rsid w:val="0D755681"/>
    <w:rsid w:val="0D8458C4"/>
    <w:rsid w:val="0D847672"/>
    <w:rsid w:val="0D8713A0"/>
    <w:rsid w:val="0D896A37"/>
    <w:rsid w:val="0D8C4B4D"/>
    <w:rsid w:val="0DA11FD2"/>
    <w:rsid w:val="0DA442E1"/>
    <w:rsid w:val="0DBF4B4E"/>
    <w:rsid w:val="0DC932D7"/>
    <w:rsid w:val="0DCE08EE"/>
    <w:rsid w:val="0DD52A00"/>
    <w:rsid w:val="0DE819AF"/>
    <w:rsid w:val="0DF57B00"/>
    <w:rsid w:val="0DFA0EFB"/>
    <w:rsid w:val="0DFE4D0E"/>
    <w:rsid w:val="0E03798B"/>
    <w:rsid w:val="0E0D7668"/>
    <w:rsid w:val="0E172295"/>
    <w:rsid w:val="0E210EF6"/>
    <w:rsid w:val="0E26697C"/>
    <w:rsid w:val="0E285773"/>
    <w:rsid w:val="0E2A646C"/>
    <w:rsid w:val="0E2F5830"/>
    <w:rsid w:val="0E3177FA"/>
    <w:rsid w:val="0E39045D"/>
    <w:rsid w:val="0E3A7AA7"/>
    <w:rsid w:val="0E411AF2"/>
    <w:rsid w:val="0E4868F2"/>
    <w:rsid w:val="0E4A266A"/>
    <w:rsid w:val="0E4D5CB6"/>
    <w:rsid w:val="0E52151F"/>
    <w:rsid w:val="0E532E33"/>
    <w:rsid w:val="0E552DBD"/>
    <w:rsid w:val="0E56100F"/>
    <w:rsid w:val="0E5C65DD"/>
    <w:rsid w:val="0E6179B4"/>
    <w:rsid w:val="0E63197E"/>
    <w:rsid w:val="0E653000"/>
    <w:rsid w:val="0E6A4ABA"/>
    <w:rsid w:val="0E7771D7"/>
    <w:rsid w:val="0E804F97"/>
    <w:rsid w:val="0E820056"/>
    <w:rsid w:val="0E904057"/>
    <w:rsid w:val="0E963048"/>
    <w:rsid w:val="0E963B01"/>
    <w:rsid w:val="0E9E29B6"/>
    <w:rsid w:val="0EA63619"/>
    <w:rsid w:val="0EAD49A7"/>
    <w:rsid w:val="0EB14497"/>
    <w:rsid w:val="0EBE0962"/>
    <w:rsid w:val="0ECC7523"/>
    <w:rsid w:val="0ED308B1"/>
    <w:rsid w:val="0EE06B2A"/>
    <w:rsid w:val="0EE26D46"/>
    <w:rsid w:val="0EEC3721"/>
    <w:rsid w:val="0EF645A0"/>
    <w:rsid w:val="0EF854C5"/>
    <w:rsid w:val="0EFB6BFB"/>
    <w:rsid w:val="0F077513"/>
    <w:rsid w:val="0F087E2F"/>
    <w:rsid w:val="0F0A004B"/>
    <w:rsid w:val="0F130BF4"/>
    <w:rsid w:val="0F1669F0"/>
    <w:rsid w:val="0F29227F"/>
    <w:rsid w:val="0F3052F1"/>
    <w:rsid w:val="0F3155D8"/>
    <w:rsid w:val="0F4075C9"/>
    <w:rsid w:val="0F4470B9"/>
    <w:rsid w:val="0F461C36"/>
    <w:rsid w:val="0F491AF8"/>
    <w:rsid w:val="0F4B669A"/>
    <w:rsid w:val="0F5337A0"/>
    <w:rsid w:val="0F5816C1"/>
    <w:rsid w:val="0F617F00"/>
    <w:rsid w:val="0F706100"/>
    <w:rsid w:val="0F7C2CF7"/>
    <w:rsid w:val="0F7F6343"/>
    <w:rsid w:val="0F824086"/>
    <w:rsid w:val="0F841BAC"/>
    <w:rsid w:val="0F87169C"/>
    <w:rsid w:val="0F8971C2"/>
    <w:rsid w:val="0F8D7A59"/>
    <w:rsid w:val="0F8E47D8"/>
    <w:rsid w:val="0F9A1E23"/>
    <w:rsid w:val="0F9B5E73"/>
    <w:rsid w:val="0FC54C0F"/>
    <w:rsid w:val="0FC621C4"/>
    <w:rsid w:val="0FC81CD8"/>
    <w:rsid w:val="0FCA42ED"/>
    <w:rsid w:val="0FD146C5"/>
    <w:rsid w:val="0FE31D1E"/>
    <w:rsid w:val="0FE4264A"/>
    <w:rsid w:val="0FE64614"/>
    <w:rsid w:val="0FF52AA9"/>
    <w:rsid w:val="0FFC5BE6"/>
    <w:rsid w:val="1008458B"/>
    <w:rsid w:val="100920B1"/>
    <w:rsid w:val="100E1475"/>
    <w:rsid w:val="10173421"/>
    <w:rsid w:val="10210D63"/>
    <w:rsid w:val="102351BA"/>
    <w:rsid w:val="10242327"/>
    <w:rsid w:val="102F7D69"/>
    <w:rsid w:val="103709CC"/>
    <w:rsid w:val="103A0AE7"/>
    <w:rsid w:val="103A3261"/>
    <w:rsid w:val="103C4234"/>
    <w:rsid w:val="105228C0"/>
    <w:rsid w:val="10523A58"/>
    <w:rsid w:val="10545A22"/>
    <w:rsid w:val="10593038"/>
    <w:rsid w:val="10607B05"/>
    <w:rsid w:val="10616BA3"/>
    <w:rsid w:val="106C2D6C"/>
    <w:rsid w:val="106D43EE"/>
    <w:rsid w:val="10745648"/>
    <w:rsid w:val="10771710"/>
    <w:rsid w:val="10784C45"/>
    <w:rsid w:val="107E484D"/>
    <w:rsid w:val="10802373"/>
    <w:rsid w:val="10881C14"/>
    <w:rsid w:val="108A4FA0"/>
    <w:rsid w:val="108B0D18"/>
    <w:rsid w:val="108F3EB7"/>
    <w:rsid w:val="10951543"/>
    <w:rsid w:val="109B71AD"/>
    <w:rsid w:val="10A83678"/>
    <w:rsid w:val="10AA3690"/>
    <w:rsid w:val="10BA2700"/>
    <w:rsid w:val="10BB49DC"/>
    <w:rsid w:val="10C3199C"/>
    <w:rsid w:val="10CF1430"/>
    <w:rsid w:val="10D46D32"/>
    <w:rsid w:val="10D66437"/>
    <w:rsid w:val="10DB67FC"/>
    <w:rsid w:val="10DC1574"/>
    <w:rsid w:val="10DD4308"/>
    <w:rsid w:val="10E33BB6"/>
    <w:rsid w:val="10F00FEF"/>
    <w:rsid w:val="10F1501F"/>
    <w:rsid w:val="10F62635"/>
    <w:rsid w:val="10FE598E"/>
    <w:rsid w:val="11005262"/>
    <w:rsid w:val="11034D52"/>
    <w:rsid w:val="110805BA"/>
    <w:rsid w:val="110A68BF"/>
    <w:rsid w:val="110E3E23"/>
    <w:rsid w:val="110F7B9B"/>
    <w:rsid w:val="11102EB9"/>
    <w:rsid w:val="11157B28"/>
    <w:rsid w:val="112F21F4"/>
    <w:rsid w:val="11374628"/>
    <w:rsid w:val="113849FC"/>
    <w:rsid w:val="113D64B6"/>
    <w:rsid w:val="113E3FDC"/>
    <w:rsid w:val="113F491F"/>
    <w:rsid w:val="1142587A"/>
    <w:rsid w:val="114C7480"/>
    <w:rsid w:val="114E06C3"/>
    <w:rsid w:val="114F61E9"/>
    <w:rsid w:val="11512899"/>
    <w:rsid w:val="1154735C"/>
    <w:rsid w:val="115930ED"/>
    <w:rsid w:val="115B693C"/>
    <w:rsid w:val="116F4196"/>
    <w:rsid w:val="11763776"/>
    <w:rsid w:val="1182634D"/>
    <w:rsid w:val="11895257"/>
    <w:rsid w:val="118E286E"/>
    <w:rsid w:val="1194159F"/>
    <w:rsid w:val="1198193E"/>
    <w:rsid w:val="11997B02"/>
    <w:rsid w:val="119D51A7"/>
    <w:rsid w:val="11A402E3"/>
    <w:rsid w:val="11A53328"/>
    <w:rsid w:val="11A958FA"/>
    <w:rsid w:val="11B322D4"/>
    <w:rsid w:val="11CC15E8"/>
    <w:rsid w:val="11CC3396"/>
    <w:rsid w:val="11D16BFE"/>
    <w:rsid w:val="11D34725"/>
    <w:rsid w:val="11DC7A7D"/>
    <w:rsid w:val="11DD7458"/>
    <w:rsid w:val="11F12DFD"/>
    <w:rsid w:val="11F528ED"/>
    <w:rsid w:val="11F8418B"/>
    <w:rsid w:val="11FE2AA3"/>
    <w:rsid w:val="11FE3E97"/>
    <w:rsid w:val="12002EAA"/>
    <w:rsid w:val="12064AFA"/>
    <w:rsid w:val="12096398"/>
    <w:rsid w:val="120C7C36"/>
    <w:rsid w:val="121D3BF2"/>
    <w:rsid w:val="12260E20"/>
    <w:rsid w:val="12374CB3"/>
    <w:rsid w:val="12437AFC"/>
    <w:rsid w:val="12463148"/>
    <w:rsid w:val="12491A73"/>
    <w:rsid w:val="125A6BF4"/>
    <w:rsid w:val="125C296C"/>
    <w:rsid w:val="125D0492"/>
    <w:rsid w:val="12631F4C"/>
    <w:rsid w:val="126857B5"/>
    <w:rsid w:val="126A32DB"/>
    <w:rsid w:val="126F08F1"/>
    <w:rsid w:val="127203CB"/>
    <w:rsid w:val="1272218F"/>
    <w:rsid w:val="127A1044"/>
    <w:rsid w:val="127B1AF0"/>
    <w:rsid w:val="12802AFE"/>
    <w:rsid w:val="12891287"/>
    <w:rsid w:val="128B3251"/>
    <w:rsid w:val="12902616"/>
    <w:rsid w:val="129245E0"/>
    <w:rsid w:val="1292638E"/>
    <w:rsid w:val="129640D0"/>
    <w:rsid w:val="12B427A8"/>
    <w:rsid w:val="12B70B53"/>
    <w:rsid w:val="12BB58E4"/>
    <w:rsid w:val="12C16C73"/>
    <w:rsid w:val="12C37CA8"/>
    <w:rsid w:val="12CD5618"/>
    <w:rsid w:val="12CD7BDC"/>
    <w:rsid w:val="12CF1390"/>
    <w:rsid w:val="12D94892"/>
    <w:rsid w:val="12DE7274"/>
    <w:rsid w:val="12EC1F42"/>
    <w:rsid w:val="12EF70B7"/>
    <w:rsid w:val="12F17558"/>
    <w:rsid w:val="12F6524A"/>
    <w:rsid w:val="12FB3F33"/>
    <w:rsid w:val="13006247"/>
    <w:rsid w:val="13054DB2"/>
    <w:rsid w:val="130D32C4"/>
    <w:rsid w:val="131274CE"/>
    <w:rsid w:val="13135720"/>
    <w:rsid w:val="13280AA0"/>
    <w:rsid w:val="132E255A"/>
    <w:rsid w:val="13337B71"/>
    <w:rsid w:val="13367661"/>
    <w:rsid w:val="133833D9"/>
    <w:rsid w:val="133867AF"/>
    <w:rsid w:val="133B4C77"/>
    <w:rsid w:val="133D454B"/>
    <w:rsid w:val="133E2072"/>
    <w:rsid w:val="13433B2C"/>
    <w:rsid w:val="13500FC7"/>
    <w:rsid w:val="13510A26"/>
    <w:rsid w:val="135B2C24"/>
    <w:rsid w:val="135D2E40"/>
    <w:rsid w:val="136C6BDF"/>
    <w:rsid w:val="1376180B"/>
    <w:rsid w:val="13806FF7"/>
    <w:rsid w:val="13855EF2"/>
    <w:rsid w:val="13963C5C"/>
    <w:rsid w:val="1399374C"/>
    <w:rsid w:val="139C59AD"/>
    <w:rsid w:val="13A20852"/>
    <w:rsid w:val="13A91BE1"/>
    <w:rsid w:val="13A97E33"/>
    <w:rsid w:val="13B14F39"/>
    <w:rsid w:val="13B80076"/>
    <w:rsid w:val="13BD2301"/>
    <w:rsid w:val="13C133CE"/>
    <w:rsid w:val="13C7475D"/>
    <w:rsid w:val="13D41AA3"/>
    <w:rsid w:val="13E2362F"/>
    <w:rsid w:val="13EB21F9"/>
    <w:rsid w:val="13F05A62"/>
    <w:rsid w:val="13F306E3"/>
    <w:rsid w:val="13F37300"/>
    <w:rsid w:val="13FB7F63"/>
    <w:rsid w:val="14060AFB"/>
    <w:rsid w:val="140E5EE8"/>
    <w:rsid w:val="141352AC"/>
    <w:rsid w:val="14164D9C"/>
    <w:rsid w:val="141B014F"/>
    <w:rsid w:val="142259AD"/>
    <w:rsid w:val="142B0848"/>
    <w:rsid w:val="143C0CA7"/>
    <w:rsid w:val="14432035"/>
    <w:rsid w:val="1444313C"/>
    <w:rsid w:val="144638D4"/>
    <w:rsid w:val="14524026"/>
    <w:rsid w:val="145A1E9B"/>
    <w:rsid w:val="145A5736"/>
    <w:rsid w:val="14634486"/>
    <w:rsid w:val="14773A8D"/>
    <w:rsid w:val="147B3986"/>
    <w:rsid w:val="14903E6E"/>
    <w:rsid w:val="14975EDD"/>
    <w:rsid w:val="14990ECA"/>
    <w:rsid w:val="149F2FE4"/>
    <w:rsid w:val="14A16D5C"/>
    <w:rsid w:val="14A34882"/>
    <w:rsid w:val="14A625C4"/>
    <w:rsid w:val="14A66120"/>
    <w:rsid w:val="14A81E98"/>
    <w:rsid w:val="14B06534"/>
    <w:rsid w:val="14B6441E"/>
    <w:rsid w:val="14BA7E1E"/>
    <w:rsid w:val="14C0130D"/>
    <w:rsid w:val="14C31152"/>
    <w:rsid w:val="14CD7B51"/>
    <w:rsid w:val="14D233B9"/>
    <w:rsid w:val="14E153AA"/>
    <w:rsid w:val="14EC4CF7"/>
    <w:rsid w:val="14ED3D4F"/>
    <w:rsid w:val="14F7697C"/>
    <w:rsid w:val="150572EB"/>
    <w:rsid w:val="150A2B53"/>
    <w:rsid w:val="151412DC"/>
    <w:rsid w:val="15150099"/>
    <w:rsid w:val="15155054"/>
    <w:rsid w:val="15180BB5"/>
    <w:rsid w:val="151E6A48"/>
    <w:rsid w:val="15204125"/>
    <w:rsid w:val="15284D87"/>
    <w:rsid w:val="15284DA2"/>
    <w:rsid w:val="1528554B"/>
    <w:rsid w:val="152A2598"/>
    <w:rsid w:val="153100E0"/>
    <w:rsid w:val="1536087D"/>
    <w:rsid w:val="15371118"/>
    <w:rsid w:val="153D5D57"/>
    <w:rsid w:val="153E27FD"/>
    <w:rsid w:val="1542618C"/>
    <w:rsid w:val="1545020E"/>
    <w:rsid w:val="154871D8"/>
    <w:rsid w:val="15521054"/>
    <w:rsid w:val="155E69FB"/>
    <w:rsid w:val="15605210"/>
    <w:rsid w:val="1562473D"/>
    <w:rsid w:val="156C736A"/>
    <w:rsid w:val="157B135B"/>
    <w:rsid w:val="15916DD0"/>
    <w:rsid w:val="1594066F"/>
    <w:rsid w:val="15997A33"/>
    <w:rsid w:val="159E26D3"/>
    <w:rsid w:val="159F14ED"/>
    <w:rsid w:val="159F4E9C"/>
    <w:rsid w:val="15A5228D"/>
    <w:rsid w:val="15A703A2"/>
    <w:rsid w:val="15A969F7"/>
    <w:rsid w:val="15B71C16"/>
    <w:rsid w:val="15B84EEB"/>
    <w:rsid w:val="15BC38F3"/>
    <w:rsid w:val="15BD1974"/>
    <w:rsid w:val="15BF2295"/>
    <w:rsid w:val="15C03212"/>
    <w:rsid w:val="15C140F7"/>
    <w:rsid w:val="15D05B4B"/>
    <w:rsid w:val="15D171CD"/>
    <w:rsid w:val="15D60C87"/>
    <w:rsid w:val="15E213DA"/>
    <w:rsid w:val="15E46F61"/>
    <w:rsid w:val="15E92769"/>
    <w:rsid w:val="15F230E6"/>
    <w:rsid w:val="15F31839"/>
    <w:rsid w:val="15F66C34"/>
    <w:rsid w:val="16021A7C"/>
    <w:rsid w:val="16161084"/>
    <w:rsid w:val="161F6F3A"/>
    <w:rsid w:val="16210154"/>
    <w:rsid w:val="162163A6"/>
    <w:rsid w:val="16273291"/>
    <w:rsid w:val="162C6AF9"/>
    <w:rsid w:val="1633086D"/>
    <w:rsid w:val="1634734C"/>
    <w:rsid w:val="163634D4"/>
    <w:rsid w:val="163C4DDE"/>
    <w:rsid w:val="164476E2"/>
    <w:rsid w:val="16473933"/>
    <w:rsid w:val="1647748F"/>
    <w:rsid w:val="16534086"/>
    <w:rsid w:val="165D1603"/>
    <w:rsid w:val="16677B31"/>
    <w:rsid w:val="168340B4"/>
    <w:rsid w:val="1683496B"/>
    <w:rsid w:val="16834DE7"/>
    <w:rsid w:val="168406E3"/>
    <w:rsid w:val="16842491"/>
    <w:rsid w:val="168B1A72"/>
    <w:rsid w:val="168E50BE"/>
    <w:rsid w:val="16911289"/>
    <w:rsid w:val="169C3C7F"/>
    <w:rsid w:val="16AD19E8"/>
    <w:rsid w:val="16B94831"/>
    <w:rsid w:val="16CD5BE6"/>
    <w:rsid w:val="16DA6555"/>
    <w:rsid w:val="16E573D4"/>
    <w:rsid w:val="16E91643"/>
    <w:rsid w:val="16EF3DAF"/>
    <w:rsid w:val="16F2564D"/>
    <w:rsid w:val="17005FBC"/>
    <w:rsid w:val="17057572"/>
    <w:rsid w:val="1707127F"/>
    <w:rsid w:val="170B516B"/>
    <w:rsid w:val="170C4DD7"/>
    <w:rsid w:val="170F4451"/>
    <w:rsid w:val="17181F24"/>
    <w:rsid w:val="171862DF"/>
    <w:rsid w:val="171C60F0"/>
    <w:rsid w:val="17253C74"/>
    <w:rsid w:val="1726179A"/>
    <w:rsid w:val="17377504"/>
    <w:rsid w:val="173B6FF4"/>
    <w:rsid w:val="173C0FBE"/>
    <w:rsid w:val="173C4B1A"/>
    <w:rsid w:val="17400AAE"/>
    <w:rsid w:val="1740460A"/>
    <w:rsid w:val="17412956"/>
    <w:rsid w:val="17457E73"/>
    <w:rsid w:val="174B0F64"/>
    <w:rsid w:val="174D04CC"/>
    <w:rsid w:val="174F2A9F"/>
    <w:rsid w:val="175956CC"/>
    <w:rsid w:val="17620A24"/>
    <w:rsid w:val="17790F56"/>
    <w:rsid w:val="177B5642"/>
    <w:rsid w:val="17854713"/>
    <w:rsid w:val="178564C1"/>
    <w:rsid w:val="17996410"/>
    <w:rsid w:val="17AC1CA0"/>
    <w:rsid w:val="17AC6144"/>
    <w:rsid w:val="17B27CE1"/>
    <w:rsid w:val="17B34241"/>
    <w:rsid w:val="17B40B54"/>
    <w:rsid w:val="17BB6387"/>
    <w:rsid w:val="17C214C3"/>
    <w:rsid w:val="17C55432"/>
    <w:rsid w:val="17C57205"/>
    <w:rsid w:val="17C7104C"/>
    <w:rsid w:val="17CC4C05"/>
    <w:rsid w:val="17D375A5"/>
    <w:rsid w:val="17D411F6"/>
    <w:rsid w:val="17D82A95"/>
    <w:rsid w:val="17E551B2"/>
    <w:rsid w:val="17EA0A1A"/>
    <w:rsid w:val="17F13B56"/>
    <w:rsid w:val="17F453F5"/>
    <w:rsid w:val="17FE0021"/>
    <w:rsid w:val="180351D4"/>
    <w:rsid w:val="18041ADC"/>
    <w:rsid w:val="180F222F"/>
    <w:rsid w:val="18121892"/>
    <w:rsid w:val="18176C7A"/>
    <w:rsid w:val="182201B4"/>
    <w:rsid w:val="18382622"/>
    <w:rsid w:val="1844012A"/>
    <w:rsid w:val="18511AC3"/>
    <w:rsid w:val="18560AD3"/>
    <w:rsid w:val="185B5474"/>
    <w:rsid w:val="185F4129"/>
    <w:rsid w:val="18664544"/>
    <w:rsid w:val="1867217A"/>
    <w:rsid w:val="186E164B"/>
    <w:rsid w:val="187138F5"/>
    <w:rsid w:val="187355C6"/>
    <w:rsid w:val="18736C61"/>
    <w:rsid w:val="187622AE"/>
    <w:rsid w:val="187C5B16"/>
    <w:rsid w:val="188D06CA"/>
    <w:rsid w:val="188E75F7"/>
    <w:rsid w:val="18920086"/>
    <w:rsid w:val="18953CCD"/>
    <w:rsid w:val="189E7349"/>
    <w:rsid w:val="18A06CDC"/>
    <w:rsid w:val="18A522A1"/>
    <w:rsid w:val="18AB01A9"/>
    <w:rsid w:val="18AD3F21"/>
    <w:rsid w:val="18B0756E"/>
    <w:rsid w:val="18B2778A"/>
    <w:rsid w:val="18B3705E"/>
    <w:rsid w:val="18B54B84"/>
    <w:rsid w:val="18BC23B6"/>
    <w:rsid w:val="18BD1C8B"/>
    <w:rsid w:val="18C179CD"/>
    <w:rsid w:val="18C80D5B"/>
    <w:rsid w:val="18CD6371"/>
    <w:rsid w:val="18D23988"/>
    <w:rsid w:val="18D314AE"/>
    <w:rsid w:val="18D771F0"/>
    <w:rsid w:val="18DF1DBE"/>
    <w:rsid w:val="18E611E1"/>
    <w:rsid w:val="18E90CD1"/>
    <w:rsid w:val="18EB2C9C"/>
    <w:rsid w:val="18EC3602"/>
    <w:rsid w:val="18F55160"/>
    <w:rsid w:val="1912647A"/>
    <w:rsid w:val="191A1185"/>
    <w:rsid w:val="191C10A7"/>
    <w:rsid w:val="191C2E55"/>
    <w:rsid w:val="191C7400"/>
    <w:rsid w:val="19202945"/>
    <w:rsid w:val="19212219"/>
    <w:rsid w:val="19265A82"/>
    <w:rsid w:val="192A697E"/>
    <w:rsid w:val="192B4E46"/>
    <w:rsid w:val="192C753C"/>
    <w:rsid w:val="192D5062"/>
    <w:rsid w:val="193208CA"/>
    <w:rsid w:val="19373188"/>
    <w:rsid w:val="19466124"/>
    <w:rsid w:val="19552A86"/>
    <w:rsid w:val="19597C05"/>
    <w:rsid w:val="19687E48"/>
    <w:rsid w:val="19696E0C"/>
    <w:rsid w:val="19792371"/>
    <w:rsid w:val="198D3D53"/>
    <w:rsid w:val="198D78AF"/>
    <w:rsid w:val="19940776"/>
    <w:rsid w:val="1994787E"/>
    <w:rsid w:val="199E1ABC"/>
    <w:rsid w:val="199E7D0E"/>
    <w:rsid w:val="19AC242B"/>
    <w:rsid w:val="19AF5A77"/>
    <w:rsid w:val="19BE215E"/>
    <w:rsid w:val="19BF28B1"/>
    <w:rsid w:val="19C57049"/>
    <w:rsid w:val="19CA28B1"/>
    <w:rsid w:val="19D465D8"/>
    <w:rsid w:val="19DE1A34"/>
    <w:rsid w:val="19E506D6"/>
    <w:rsid w:val="19E67CB1"/>
    <w:rsid w:val="19EA2F53"/>
    <w:rsid w:val="19EC0A79"/>
    <w:rsid w:val="19EC4FBE"/>
    <w:rsid w:val="19F33BB6"/>
    <w:rsid w:val="19F618F8"/>
    <w:rsid w:val="19FA13E8"/>
    <w:rsid w:val="19FE0B08"/>
    <w:rsid w:val="1A051B3B"/>
    <w:rsid w:val="1A0C111B"/>
    <w:rsid w:val="1A11228E"/>
    <w:rsid w:val="1A192827"/>
    <w:rsid w:val="1A1D0C33"/>
    <w:rsid w:val="1A1D6E85"/>
    <w:rsid w:val="1A1E49AB"/>
    <w:rsid w:val="1A1F0E4F"/>
    <w:rsid w:val="1A1F2BFD"/>
    <w:rsid w:val="1A352D11"/>
    <w:rsid w:val="1A366198"/>
    <w:rsid w:val="1A385A6D"/>
    <w:rsid w:val="1A3F504D"/>
    <w:rsid w:val="1A41503C"/>
    <w:rsid w:val="1A472154"/>
    <w:rsid w:val="1A4C1518"/>
    <w:rsid w:val="1A4C68B1"/>
    <w:rsid w:val="1A4E5290"/>
    <w:rsid w:val="1A512FD2"/>
    <w:rsid w:val="1A584361"/>
    <w:rsid w:val="1A5944BB"/>
    <w:rsid w:val="1A5B5BFF"/>
    <w:rsid w:val="1A5F2FF9"/>
    <w:rsid w:val="1A642D06"/>
    <w:rsid w:val="1A750A6F"/>
    <w:rsid w:val="1A772A39"/>
    <w:rsid w:val="1A807414"/>
    <w:rsid w:val="1A8B2040"/>
    <w:rsid w:val="1A8D59CC"/>
    <w:rsid w:val="1A913318"/>
    <w:rsid w:val="1A9703C8"/>
    <w:rsid w:val="1A974E89"/>
    <w:rsid w:val="1A9F3D3E"/>
    <w:rsid w:val="1AA90718"/>
    <w:rsid w:val="1AB5530F"/>
    <w:rsid w:val="1AB86BAD"/>
    <w:rsid w:val="1ABA46D4"/>
    <w:rsid w:val="1ABC669E"/>
    <w:rsid w:val="1AC76D49"/>
    <w:rsid w:val="1AC775D5"/>
    <w:rsid w:val="1ACB4722"/>
    <w:rsid w:val="1AD27C6F"/>
    <w:rsid w:val="1AD80FFE"/>
    <w:rsid w:val="1AE45BF4"/>
    <w:rsid w:val="1AE6196C"/>
    <w:rsid w:val="1AEC6857"/>
    <w:rsid w:val="1AEE0821"/>
    <w:rsid w:val="1AF5395E"/>
    <w:rsid w:val="1AF9438C"/>
    <w:rsid w:val="1B010CBE"/>
    <w:rsid w:val="1B03607B"/>
    <w:rsid w:val="1B041DF3"/>
    <w:rsid w:val="1B0E67CD"/>
    <w:rsid w:val="1B1A121B"/>
    <w:rsid w:val="1B1E4ECB"/>
    <w:rsid w:val="1B245FF1"/>
    <w:rsid w:val="1B274CD4"/>
    <w:rsid w:val="1B2C7D7E"/>
    <w:rsid w:val="1B3501FE"/>
    <w:rsid w:val="1B3E3557"/>
    <w:rsid w:val="1B473697"/>
    <w:rsid w:val="1B474E49"/>
    <w:rsid w:val="1B481CDF"/>
    <w:rsid w:val="1B494B83"/>
    <w:rsid w:val="1B4E3C41"/>
    <w:rsid w:val="1B4F12C0"/>
    <w:rsid w:val="1B593EEC"/>
    <w:rsid w:val="1B5B7B3E"/>
    <w:rsid w:val="1B5C39DD"/>
    <w:rsid w:val="1B60171F"/>
    <w:rsid w:val="1B610FF3"/>
    <w:rsid w:val="1B632FBD"/>
    <w:rsid w:val="1B636B19"/>
    <w:rsid w:val="1B6771DF"/>
    <w:rsid w:val="1B6B0D73"/>
    <w:rsid w:val="1B7A20B5"/>
    <w:rsid w:val="1B7D50C4"/>
    <w:rsid w:val="1B7F1479"/>
    <w:rsid w:val="1B862808"/>
    <w:rsid w:val="1B8705E3"/>
    <w:rsid w:val="1B8847D2"/>
    <w:rsid w:val="1B952124"/>
    <w:rsid w:val="1B966EEF"/>
    <w:rsid w:val="1B98062B"/>
    <w:rsid w:val="1BA23AE5"/>
    <w:rsid w:val="1BAD248A"/>
    <w:rsid w:val="1BB235FD"/>
    <w:rsid w:val="1BB6133F"/>
    <w:rsid w:val="1BBA20E6"/>
    <w:rsid w:val="1BBE6445"/>
    <w:rsid w:val="1BC3580A"/>
    <w:rsid w:val="1BD01CD5"/>
    <w:rsid w:val="1BD143CB"/>
    <w:rsid w:val="1BD21EF1"/>
    <w:rsid w:val="1BD25A4D"/>
    <w:rsid w:val="1BDB39AC"/>
    <w:rsid w:val="1BDC68CC"/>
    <w:rsid w:val="1BF400B9"/>
    <w:rsid w:val="1BF704FB"/>
    <w:rsid w:val="1BFE6842"/>
    <w:rsid w:val="1C03286B"/>
    <w:rsid w:val="1C077DEC"/>
    <w:rsid w:val="1C161DDD"/>
    <w:rsid w:val="1C19367C"/>
    <w:rsid w:val="1C27118C"/>
    <w:rsid w:val="1C36128C"/>
    <w:rsid w:val="1C387FA6"/>
    <w:rsid w:val="1C3D380E"/>
    <w:rsid w:val="1C3F4D1E"/>
    <w:rsid w:val="1C3F79B0"/>
    <w:rsid w:val="1C444B9D"/>
    <w:rsid w:val="1C4E1E20"/>
    <w:rsid w:val="1C5172BA"/>
    <w:rsid w:val="1C531AF6"/>
    <w:rsid w:val="1C531CA1"/>
    <w:rsid w:val="1C5648D0"/>
    <w:rsid w:val="1C6256C4"/>
    <w:rsid w:val="1C6A3ED7"/>
    <w:rsid w:val="1C6F7740"/>
    <w:rsid w:val="1C71170A"/>
    <w:rsid w:val="1C746B04"/>
    <w:rsid w:val="1C766D20"/>
    <w:rsid w:val="1C8925AF"/>
    <w:rsid w:val="1C99656B"/>
    <w:rsid w:val="1CA078F9"/>
    <w:rsid w:val="1CA74430"/>
    <w:rsid w:val="1CAD523D"/>
    <w:rsid w:val="1CB00AFB"/>
    <w:rsid w:val="1CB477B1"/>
    <w:rsid w:val="1CBA17E0"/>
    <w:rsid w:val="1CC41839"/>
    <w:rsid w:val="1CC45CDD"/>
    <w:rsid w:val="1CC61A56"/>
    <w:rsid w:val="1CCE26B8"/>
    <w:rsid w:val="1CD06430"/>
    <w:rsid w:val="1CD145B6"/>
    <w:rsid w:val="1CDC4DD5"/>
    <w:rsid w:val="1CDD0537"/>
    <w:rsid w:val="1CE41EDC"/>
    <w:rsid w:val="1CEB2DB3"/>
    <w:rsid w:val="1CEB5A62"/>
    <w:rsid w:val="1CEF491D"/>
    <w:rsid w:val="1CF33ECD"/>
    <w:rsid w:val="1CF5183B"/>
    <w:rsid w:val="1CFB2B21"/>
    <w:rsid w:val="1D097B94"/>
    <w:rsid w:val="1D0B7468"/>
    <w:rsid w:val="1D0D1432"/>
    <w:rsid w:val="1D181B85"/>
    <w:rsid w:val="1D1A58FD"/>
    <w:rsid w:val="1D1D116C"/>
    <w:rsid w:val="1D1E7DA2"/>
    <w:rsid w:val="1D264AB0"/>
    <w:rsid w:val="1D2B3667"/>
    <w:rsid w:val="1D2B7B0B"/>
    <w:rsid w:val="1D304123"/>
    <w:rsid w:val="1D305121"/>
    <w:rsid w:val="1D320E99"/>
    <w:rsid w:val="1D322C47"/>
    <w:rsid w:val="1D3369BF"/>
    <w:rsid w:val="1D444728"/>
    <w:rsid w:val="1D45701B"/>
    <w:rsid w:val="1D465BD9"/>
    <w:rsid w:val="1D4A4435"/>
    <w:rsid w:val="1D4D4A5F"/>
    <w:rsid w:val="1D4D5CD3"/>
    <w:rsid w:val="1D596426"/>
    <w:rsid w:val="1D5C5F16"/>
    <w:rsid w:val="1D607160"/>
    <w:rsid w:val="1D686669"/>
    <w:rsid w:val="1D70551D"/>
    <w:rsid w:val="1D721295"/>
    <w:rsid w:val="1D7B2840"/>
    <w:rsid w:val="1D813BCE"/>
    <w:rsid w:val="1D8F0099"/>
    <w:rsid w:val="1D942EB9"/>
    <w:rsid w:val="1D94745E"/>
    <w:rsid w:val="1D9751A0"/>
    <w:rsid w:val="1D9A07EC"/>
    <w:rsid w:val="1D9C27B6"/>
    <w:rsid w:val="1D9C4564"/>
    <w:rsid w:val="1DA027CC"/>
    <w:rsid w:val="1DAA4ED3"/>
    <w:rsid w:val="1DB00010"/>
    <w:rsid w:val="1DBB0E8E"/>
    <w:rsid w:val="1DCA3E7C"/>
    <w:rsid w:val="1DCF493A"/>
    <w:rsid w:val="1DD65CC8"/>
    <w:rsid w:val="1DDC0E05"/>
    <w:rsid w:val="1DE5415D"/>
    <w:rsid w:val="1DE859FC"/>
    <w:rsid w:val="1DEC54EC"/>
    <w:rsid w:val="1DF919B7"/>
    <w:rsid w:val="1DFD22D8"/>
    <w:rsid w:val="1E0B5930"/>
    <w:rsid w:val="1E0F4D36"/>
    <w:rsid w:val="1E2A1B70"/>
    <w:rsid w:val="1E2D5F4A"/>
    <w:rsid w:val="1E2F53D8"/>
    <w:rsid w:val="1E324D9F"/>
    <w:rsid w:val="1E335A32"/>
    <w:rsid w:val="1E340C41"/>
    <w:rsid w:val="1E37603B"/>
    <w:rsid w:val="1E380731"/>
    <w:rsid w:val="1E3B1FCF"/>
    <w:rsid w:val="1E430E84"/>
    <w:rsid w:val="1E434545"/>
    <w:rsid w:val="1E4827C0"/>
    <w:rsid w:val="1E4A0464"/>
    <w:rsid w:val="1E58492F"/>
    <w:rsid w:val="1E5866DD"/>
    <w:rsid w:val="1E594C26"/>
    <w:rsid w:val="1E5E66C1"/>
    <w:rsid w:val="1E5E6DE2"/>
    <w:rsid w:val="1E6908EA"/>
    <w:rsid w:val="1E6D7CAF"/>
    <w:rsid w:val="1E6E4153"/>
    <w:rsid w:val="1E7679C4"/>
    <w:rsid w:val="1E7775FF"/>
    <w:rsid w:val="1E7D035A"/>
    <w:rsid w:val="1E7E1ED8"/>
    <w:rsid w:val="1E7E516C"/>
    <w:rsid w:val="1E82232E"/>
    <w:rsid w:val="1E8A6AB3"/>
    <w:rsid w:val="1E984D2C"/>
    <w:rsid w:val="1EA2204E"/>
    <w:rsid w:val="1EA2306C"/>
    <w:rsid w:val="1EAF02C7"/>
    <w:rsid w:val="1EBF675C"/>
    <w:rsid w:val="1EC43D73"/>
    <w:rsid w:val="1EC5773A"/>
    <w:rsid w:val="1EC57AEB"/>
    <w:rsid w:val="1EC91389"/>
    <w:rsid w:val="1ECD294E"/>
    <w:rsid w:val="1ED16490"/>
    <w:rsid w:val="1ED33FB6"/>
    <w:rsid w:val="1EE03162"/>
    <w:rsid w:val="1EE14611"/>
    <w:rsid w:val="1EE40254"/>
    <w:rsid w:val="1EE64774"/>
    <w:rsid w:val="1EE7458B"/>
    <w:rsid w:val="1EF13E7C"/>
    <w:rsid w:val="1EF67CA4"/>
    <w:rsid w:val="1F095B9C"/>
    <w:rsid w:val="1F0B3750"/>
    <w:rsid w:val="1F0D396C"/>
    <w:rsid w:val="1F170DBA"/>
    <w:rsid w:val="1F262338"/>
    <w:rsid w:val="1F2E38E2"/>
    <w:rsid w:val="1F344FAE"/>
    <w:rsid w:val="1F394761"/>
    <w:rsid w:val="1F42113B"/>
    <w:rsid w:val="1F43738D"/>
    <w:rsid w:val="1F4B4494"/>
    <w:rsid w:val="1F52137F"/>
    <w:rsid w:val="1F5A5233"/>
    <w:rsid w:val="1F5C3FAB"/>
    <w:rsid w:val="1F642E60"/>
    <w:rsid w:val="1F724F50"/>
    <w:rsid w:val="1F737547"/>
    <w:rsid w:val="1F792DAF"/>
    <w:rsid w:val="1F7A6B27"/>
    <w:rsid w:val="1F7E6617"/>
    <w:rsid w:val="1F813A12"/>
    <w:rsid w:val="1F855CC1"/>
    <w:rsid w:val="1F882FF2"/>
    <w:rsid w:val="1F925C1F"/>
    <w:rsid w:val="1F9279CD"/>
    <w:rsid w:val="1F9B4659"/>
    <w:rsid w:val="1F9C084C"/>
    <w:rsid w:val="1F9D4872"/>
    <w:rsid w:val="1FA83694"/>
    <w:rsid w:val="1FAA740D"/>
    <w:rsid w:val="1FAF67D1"/>
    <w:rsid w:val="1FB262C1"/>
    <w:rsid w:val="1FB5190D"/>
    <w:rsid w:val="1FBA5176"/>
    <w:rsid w:val="1FBA6F24"/>
    <w:rsid w:val="1FC009DE"/>
    <w:rsid w:val="1FC71331"/>
    <w:rsid w:val="1FCD4EA9"/>
    <w:rsid w:val="1FCF29CF"/>
    <w:rsid w:val="1FCF7AFB"/>
    <w:rsid w:val="1FD35663"/>
    <w:rsid w:val="1FD47FE6"/>
    <w:rsid w:val="1FD53D5E"/>
    <w:rsid w:val="1FE04BDC"/>
    <w:rsid w:val="1FE81CE3"/>
    <w:rsid w:val="1FEF6BCD"/>
    <w:rsid w:val="1FF16DE9"/>
    <w:rsid w:val="1FF468DA"/>
    <w:rsid w:val="1FF5415A"/>
    <w:rsid w:val="1FF93EF0"/>
    <w:rsid w:val="1FF9543E"/>
    <w:rsid w:val="200132EB"/>
    <w:rsid w:val="20014C4D"/>
    <w:rsid w:val="20052895"/>
    <w:rsid w:val="20062169"/>
    <w:rsid w:val="20174376"/>
    <w:rsid w:val="201A79C2"/>
    <w:rsid w:val="20234AC9"/>
    <w:rsid w:val="20297BF0"/>
    <w:rsid w:val="202A5E57"/>
    <w:rsid w:val="202D5948"/>
    <w:rsid w:val="203978EE"/>
    <w:rsid w:val="203B492A"/>
    <w:rsid w:val="203F19EB"/>
    <w:rsid w:val="20476A09"/>
    <w:rsid w:val="204F3B10"/>
    <w:rsid w:val="20566C4C"/>
    <w:rsid w:val="205B4263"/>
    <w:rsid w:val="205E1FA5"/>
    <w:rsid w:val="20601879"/>
    <w:rsid w:val="206770AC"/>
    <w:rsid w:val="206C6470"/>
    <w:rsid w:val="206F5F60"/>
    <w:rsid w:val="207417C9"/>
    <w:rsid w:val="207E43F5"/>
    <w:rsid w:val="209239FD"/>
    <w:rsid w:val="209766B4"/>
    <w:rsid w:val="20A852BE"/>
    <w:rsid w:val="20AB09C3"/>
    <w:rsid w:val="20AD0837"/>
    <w:rsid w:val="20B13C44"/>
    <w:rsid w:val="20B83463"/>
    <w:rsid w:val="20B9542D"/>
    <w:rsid w:val="20C43317"/>
    <w:rsid w:val="20C51B0E"/>
    <w:rsid w:val="20CA3197"/>
    <w:rsid w:val="20D64231"/>
    <w:rsid w:val="20DE6C42"/>
    <w:rsid w:val="20E06E5E"/>
    <w:rsid w:val="20E24984"/>
    <w:rsid w:val="20EA3839"/>
    <w:rsid w:val="20EC5803"/>
    <w:rsid w:val="20F6042F"/>
    <w:rsid w:val="20F85819"/>
    <w:rsid w:val="21022930"/>
    <w:rsid w:val="210B2B03"/>
    <w:rsid w:val="210E39CB"/>
    <w:rsid w:val="210E7527"/>
    <w:rsid w:val="21162880"/>
    <w:rsid w:val="212E3725"/>
    <w:rsid w:val="21325751"/>
    <w:rsid w:val="21380A48"/>
    <w:rsid w:val="213A47C0"/>
    <w:rsid w:val="2149055F"/>
    <w:rsid w:val="214E3DC8"/>
    <w:rsid w:val="21555156"/>
    <w:rsid w:val="215A6137"/>
    <w:rsid w:val="215A6C10"/>
    <w:rsid w:val="21664758"/>
    <w:rsid w:val="216C735A"/>
    <w:rsid w:val="216D40E2"/>
    <w:rsid w:val="21751354"/>
    <w:rsid w:val="21793170"/>
    <w:rsid w:val="217A696B"/>
    <w:rsid w:val="217B7008"/>
    <w:rsid w:val="217C6B87"/>
    <w:rsid w:val="21843C8D"/>
    <w:rsid w:val="21886A3B"/>
    <w:rsid w:val="218D6331"/>
    <w:rsid w:val="219914E7"/>
    <w:rsid w:val="219C14EA"/>
    <w:rsid w:val="219C4B33"/>
    <w:rsid w:val="21AA0945"/>
    <w:rsid w:val="21B46321"/>
    <w:rsid w:val="21B55BF5"/>
    <w:rsid w:val="21BA6164"/>
    <w:rsid w:val="21BE719F"/>
    <w:rsid w:val="21C10A3D"/>
    <w:rsid w:val="21C81DCC"/>
    <w:rsid w:val="21C85928"/>
    <w:rsid w:val="21CD2F3E"/>
    <w:rsid w:val="21D50045"/>
    <w:rsid w:val="21DF2C72"/>
    <w:rsid w:val="21E14C3C"/>
    <w:rsid w:val="21E169EA"/>
    <w:rsid w:val="21E5472C"/>
    <w:rsid w:val="21EF0395"/>
    <w:rsid w:val="21F04E7F"/>
    <w:rsid w:val="21F726B1"/>
    <w:rsid w:val="220213CB"/>
    <w:rsid w:val="22192627"/>
    <w:rsid w:val="22196184"/>
    <w:rsid w:val="221A77A4"/>
    <w:rsid w:val="221C5C74"/>
    <w:rsid w:val="22244B28"/>
    <w:rsid w:val="222C235B"/>
    <w:rsid w:val="222D60D3"/>
    <w:rsid w:val="222F59A7"/>
    <w:rsid w:val="22315FE8"/>
    <w:rsid w:val="22327245"/>
    <w:rsid w:val="223363F5"/>
    <w:rsid w:val="224F6049"/>
    <w:rsid w:val="22543660"/>
    <w:rsid w:val="225B2099"/>
    <w:rsid w:val="225D56AD"/>
    <w:rsid w:val="2268710B"/>
    <w:rsid w:val="226F3FF6"/>
    <w:rsid w:val="22721A61"/>
    <w:rsid w:val="22721D38"/>
    <w:rsid w:val="227C0517"/>
    <w:rsid w:val="227F528A"/>
    <w:rsid w:val="22857CBD"/>
    <w:rsid w:val="228F46A5"/>
    <w:rsid w:val="22907705"/>
    <w:rsid w:val="22943A5C"/>
    <w:rsid w:val="22966B03"/>
    <w:rsid w:val="22AC349C"/>
    <w:rsid w:val="22B12860"/>
    <w:rsid w:val="22B60126"/>
    <w:rsid w:val="22BA0269"/>
    <w:rsid w:val="22BE570A"/>
    <w:rsid w:val="22C11787"/>
    <w:rsid w:val="22C165E8"/>
    <w:rsid w:val="22CA56D0"/>
    <w:rsid w:val="22CC731F"/>
    <w:rsid w:val="22D447A0"/>
    <w:rsid w:val="22D76E3C"/>
    <w:rsid w:val="22D95913"/>
    <w:rsid w:val="22DF73CD"/>
    <w:rsid w:val="22E177D9"/>
    <w:rsid w:val="22E26EBD"/>
    <w:rsid w:val="22E5248F"/>
    <w:rsid w:val="22F10EAE"/>
    <w:rsid w:val="22F4099F"/>
    <w:rsid w:val="2303281C"/>
    <w:rsid w:val="23045086"/>
    <w:rsid w:val="230E1A60"/>
    <w:rsid w:val="230E380E"/>
    <w:rsid w:val="231177A3"/>
    <w:rsid w:val="23136B17"/>
    <w:rsid w:val="2318643B"/>
    <w:rsid w:val="23266752"/>
    <w:rsid w:val="23270D74"/>
    <w:rsid w:val="23290736"/>
    <w:rsid w:val="232E02C0"/>
    <w:rsid w:val="233A4603"/>
    <w:rsid w:val="233C481F"/>
    <w:rsid w:val="23403BE4"/>
    <w:rsid w:val="23466363"/>
    <w:rsid w:val="23476D20"/>
    <w:rsid w:val="234C0665"/>
    <w:rsid w:val="235F406A"/>
    <w:rsid w:val="236B2A0F"/>
    <w:rsid w:val="2371150A"/>
    <w:rsid w:val="237308A7"/>
    <w:rsid w:val="237C10C0"/>
    <w:rsid w:val="237D2742"/>
    <w:rsid w:val="237D4E22"/>
    <w:rsid w:val="23922691"/>
    <w:rsid w:val="23957C25"/>
    <w:rsid w:val="23A10C3C"/>
    <w:rsid w:val="23A3664D"/>
    <w:rsid w:val="23A50E90"/>
    <w:rsid w:val="23A63411"/>
    <w:rsid w:val="23A91789"/>
    <w:rsid w:val="23AD5CF5"/>
    <w:rsid w:val="23B5012E"/>
    <w:rsid w:val="23B720F8"/>
    <w:rsid w:val="23BC770E"/>
    <w:rsid w:val="23C14D25"/>
    <w:rsid w:val="23C30DB2"/>
    <w:rsid w:val="23CD191B"/>
    <w:rsid w:val="23CD6900"/>
    <w:rsid w:val="23D21FE8"/>
    <w:rsid w:val="23D34A58"/>
    <w:rsid w:val="23D5432C"/>
    <w:rsid w:val="23DA1943"/>
    <w:rsid w:val="23E17175"/>
    <w:rsid w:val="23E46C65"/>
    <w:rsid w:val="23EB7FF4"/>
    <w:rsid w:val="23ED320B"/>
    <w:rsid w:val="23FB0A5B"/>
    <w:rsid w:val="240510B5"/>
    <w:rsid w:val="24062738"/>
    <w:rsid w:val="240D4F24"/>
    <w:rsid w:val="24103ACD"/>
    <w:rsid w:val="24107A5A"/>
    <w:rsid w:val="24172B97"/>
    <w:rsid w:val="241E3F25"/>
    <w:rsid w:val="241E5CD3"/>
    <w:rsid w:val="24275D38"/>
    <w:rsid w:val="24277FE5"/>
    <w:rsid w:val="242A3FC1"/>
    <w:rsid w:val="242D14B2"/>
    <w:rsid w:val="24326F0E"/>
    <w:rsid w:val="24344A48"/>
    <w:rsid w:val="2435126F"/>
    <w:rsid w:val="24455956"/>
    <w:rsid w:val="244905A6"/>
    <w:rsid w:val="244F2209"/>
    <w:rsid w:val="245960DD"/>
    <w:rsid w:val="245D1E94"/>
    <w:rsid w:val="246A53BC"/>
    <w:rsid w:val="247508D3"/>
    <w:rsid w:val="247C1A1B"/>
    <w:rsid w:val="24816262"/>
    <w:rsid w:val="24875A24"/>
    <w:rsid w:val="24885842"/>
    <w:rsid w:val="248E21AF"/>
    <w:rsid w:val="249203D9"/>
    <w:rsid w:val="249661B1"/>
    <w:rsid w:val="24967F5F"/>
    <w:rsid w:val="249A4512"/>
    <w:rsid w:val="249E6E14"/>
    <w:rsid w:val="24A0493A"/>
    <w:rsid w:val="24A563F4"/>
    <w:rsid w:val="24AC7783"/>
    <w:rsid w:val="24AD2130"/>
    <w:rsid w:val="24B14D99"/>
    <w:rsid w:val="24B2466D"/>
    <w:rsid w:val="24B71C84"/>
    <w:rsid w:val="24B86128"/>
    <w:rsid w:val="24BB5C18"/>
    <w:rsid w:val="24BC729A"/>
    <w:rsid w:val="24BD373E"/>
    <w:rsid w:val="24C3687B"/>
    <w:rsid w:val="24C81666"/>
    <w:rsid w:val="24CA19B7"/>
    <w:rsid w:val="24CE259C"/>
    <w:rsid w:val="24D7664B"/>
    <w:rsid w:val="24DE756E"/>
    <w:rsid w:val="24EA16DC"/>
    <w:rsid w:val="24EF289D"/>
    <w:rsid w:val="24F44C86"/>
    <w:rsid w:val="24F4656C"/>
    <w:rsid w:val="24F5112A"/>
    <w:rsid w:val="24F53B2C"/>
    <w:rsid w:val="24F627AC"/>
    <w:rsid w:val="24F737AC"/>
    <w:rsid w:val="2500362B"/>
    <w:rsid w:val="250273A3"/>
    <w:rsid w:val="2503311B"/>
    <w:rsid w:val="25034EC9"/>
    <w:rsid w:val="250476FB"/>
    <w:rsid w:val="25070E5D"/>
    <w:rsid w:val="250D6DDF"/>
    <w:rsid w:val="251610A0"/>
    <w:rsid w:val="25184E18"/>
    <w:rsid w:val="251D242F"/>
    <w:rsid w:val="252259D1"/>
    <w:rsid w:val="25237319"/>
    <w:rsid w:val="25243F0A"/>
    <w:rsid w:val="252E6E8A"/>
    <w:rsid w:val="25315EDA"/>
    <w:rsid w:val="253908EB"/>
    <w:rsid w:val="254826D1"/>
    <w:rsid w:val="254C061E"/>
    <w:rsid w:val="254C4AC2"/>
    <w:rsid w:val="25585215"/>
    <w:rsid w:val="256C2A6E"/>
    <w:rsid w:val="256F255E"/>
    <w:rsid w:val="256F7B27"/>
    <w:rsid w:val="257B7155"/>
    <w:rsid w:val="2591155E"/>
    <w:rsid w:val="259300DB"/>
    <w:rsid w:val="2596422C"/>
    <w:rsid w:val="25983863"/>
    <w:rsid w:val="259A6D17"/>
    <w:rsid w:val="259D60D1"/>
    <w:rsid w:val="25A55F80"/>
    <w:rsid w:val="25AB17E9"/>
    <w:rsid w:val="25AB7A3A"/>
    <w:rsid w:val="25B368EF"/>
    <w:rsid w:val="25B82157"/>
    <w:rsid w:val="25BA5ED0"/>
    <w:rsid w:val="25C64874"/>
    <w:rsid w:val="25D66AED"/>
    <w:rsid w:val="25DC5E46"/>
    <w:rsid w:val="25DD326C"/>
    <w:rsid w:val="25E92311"/>
    <w:rsid w:val="25EA4672"/>
    <w:rsid w:val="25ED0053"/>
    <w:rsid w:val="25F26233"/>
    <w:rsid w:val="26021720"/>
    <w:rsid w:val="26025181"/>
    <w:rsid w:val="26040EF9"/>
    <w:rsid w:val="26055EB0"/>
    <w:rsid w:val="2609454D"/>
    <w:rsid w:val="26127ABA"/>
    <w:rsid w:val="261C6242"/>
    <w:rsid w:val="2628108B"/>
    <w:rsid w:val="262B46D7"/>
    <w:rsid w:val="262C38E5"/>
    <w:rsid w:val="26323CB8"/>
    <w:rsid w:val="26325A66"/>
    <w:rsid w:val="263537A8"/>
    <w:rsid w:val="263E440B"/>
    <w:rsid w:val="2646191E"/>
    <w:rsid w:val="264D1F34"/>
    <w:rsid w:val="2652435A"/>
    <w:rsid w:val="26551754"/>
    <w:rsid w:val="265E685B"/>
    <w:rsid w:val="26655E3B"/>
    <w:rsid w:val="266D6A9E"/>
    <w:rsid w:val="26722306"/>
    <w:rsid w:val="26740622"/>
    <w:rsid w:val="267E514F"/>
    <w:rsid w:val="26837610"/>
    <w:rsid w:val="26862310"/>
    <w:rsid w:val="268907C4"/>
    <w:rsid w:val="268D5392"/>
    <w:rsid w:val="26976211"/>
    <w:rsid w:val="269D62C3"/>
    <w:rsid w:val="26A050C5"/>
    <w:rsid w:val="26A36964"/>
    <w:rsid w:val="26AD2EBB"/>
    <w:rsid w:val="26B11081"/>
    <w:rsid w:val="26B2663E"/>
    <w:rsid w:val="26B27B4D"/>
    <w:rsid w:val="26BB3CAD"/>
    <w:rsid w:val="26C32B62"/>
    <w:rsid w:val="26C62652"/>
    <w:rsid w:val="26CF1150"/>
    <w:rsid w:val="26D44D6F"/>
    <w:rsid w:val="26D71E4A"/>
    <w:rsid w:val="26DD00C8"/>
    <w:rsid w:val="26E33204"/>
    <w:rsid w:val="26E516C7"/>
    <w:rsid w:val="26E86A6C"/>
    <w:rsid w:val="26EE1123"/>
    <w:rsid w:val="26EF7DFB"/>
    <w:rsid w:val="26F70A5D"/>
    <w:rsid w:val="26F927DC"/>
    <w:rsid w:val="270C62B7"/>
    <w:rsid w:val="27111B1F"/>
    <w:rsid w:val="271138CD"/>
    <w:rsid w:val="27127645"/>
    <w:rsid w:val="271B474C"/>
    <w:rsid w:val="272560F0"/>
    <w:rsid w:val="272E26D1"/>
    <w:rsid w:val="272F6449"/>
    <w:rsid w:val="273121C1"/>
    <w:rsid w:val="27333B64"/>
    <w:rsid w:val="27392E24"/>
    <w:rsid w:val="273B1941"/>
    <w:rsid w:val="273D458E"/>
    <w:rsid w:val="27402404"/>
    <w:rsid w:val="274C2B57"/>
    <w:rsid w:val="274F43F6"/>
    <w:rsid w:val="275245C2"/>
    <w:rsid w:val="27542B39"/>
    <w:rsid w:val="275639D6"/>
    <w:rsid w:val="275B723E"/>
    <w:rsid w:val="275D6B12"/>
    <w:rsid w:val="27602AA7"/>
    <w:rsid w:val="27637EA1"/>
    <w:rsid w:val="27653C19"/>
    <w:rsid w:val="27677991"/>
    <w:rsid w:val="2768302A"/>
    <w:rsid w:val="276854B7"/>
    <w:rsid w:val="276A7481"/>
    <w:rsid w:val="276C31F9"/>
    <w:rsid w:val="27750300"/>
    <w:rsid w:val="27814EF7"/>
    <w:rsid w:val="278B7B24"/>
    <w:rsid w:val="278C389C"/>
    <w:rsid w:val="27912C60"/>
    <w:rsid w:val="27983FEE"/>
    <w:rsid w:val="279A1B15"/>
    <w:rsid w:val="27A75FE0"/>
    <w:rsid w:val="27B32BD6"/>
    <w:rsid w:val="27B506FD"/>
    <w:rsid w:val="27B626C7"/>
    <w:rsid w:val="27BB697F"/>
    <w:rsid w:val="27C052F3"/>
    <w:rsid w:val="27C6290A"/>
    <w:rsid w:val="27CC38E8"/>
    <w:rsid w:val="27D25752"/>
    <w:rsid w:val="27DA1FA7"/>
    <w:rsid w:val="27DA63B5"/>
    <w:rsid w:val="27DF1C1D"/>
    <w:rsid w:val="27E37B96"/>
    <w:rsid w:val="27F8683B"/>
    <w:rsid w:val="27FA6A57"/>
    <w:rsid w:val="27FD02F5"/>
    <w:rsid w:val="28021DAF"/>
    <w:rsid w:val="28072F22"/>
    <w:rsid w:val="28094EEC"/>
    <w:rsid w:val="28163BD3"/>
    <w:rsid w:val="281A0EA7"/>
    <w:rsid w:val="281C2391"/>
    <w:rsid w:val="281D62A2"/>
    <w:rsid w:val="28237D5C"/>
    <w:rsid w:val="28291CBC"/>
    <w:rsid w:val="282C4737"/>
    <w:rsid w:val="28377363"/>
    <w:rsid w:val="284063F2"/>
    <w:rsid w:val="28433F5A"/>
    <w:rsid w:val="284615CB"/>
    <w:rsid w:val="28486918"/>
    <w:rsid w:val="28546167"/>
    <w:rsid w:val="285C5D7E"/>
    <w:rsid w:val="28681C13"/>
    <w:rsid w:val="286D0FD7"/>
    <w:rsid w:val="28702875"/>
    <w:rsid w:val="28843D57"/>
    <w:rsid w:val="28885E11"/>
    <w:rsid w:val="28893937"/>
    <w:rsid w:val="288A1B89"/>
    <w:rsid w:val="288D3427"/>
    <w:rsid w:val="288F719F"/>
    <w:rsid w:val="28902F18"/>
    <w:rsid w:val="28A1297A"/>
    <w:rsid w:val="28B07116"/>
    <w:rsid w:val="28B2052F"/>
    <w:rsid w:val="28B74948"/>
    <w:rsid w:val="28BC1F5F"/>
    <w:rsid w:val="28C037FD"/>
    <w:rsid w:val="28C332ED"/>
    <w:rsid w:val="28C42EEC"/>
    <w:rsid w:val="28CB3175"/>
    <w:rsid w:val="28CF3A40"/>
    <w:rsid w:val="28D14107"/>
    <w:rsid w:val="28D15A0A"/>
    <w:rsid w:val="28D472A8"/>
    <w:rsid w:val="28DB23E5"/>
    <w:rsid w:val="28DE3C83"/>
    <w:rsid w:val="28E079FB"/>
    <w:rsid w:val="28E9787B"/>
    <w:rsid w:val="28EC45F2"/>
    <w:rsid w:val="28F337C0"/>
    <w:rsid w:val="28FB1E62"/>
    <w:rsid w:val="29037B8D"/>
    <w:rsid w:val="291E6775"/>
    <w:rsid w:val="292673D8"/>
    <w:rsid w:val="292A6EC8"/>
    <w:rsid w:val="292D69B8"/>
    <w:rsid w:val="293164A9"/>
    <w:rsid w:val="29353D69"/>
    <w:rsid w:val="2936586D"/>
    <w:rsid w:val="293B04AE"/>
    <w:rsid w:val="2940493E"/>
    <w:rsid w:val="29442D1D"/>
    <w:rsid w:val="29452074"/>
    <w:rsid w:val="294C6E3F"/>
    <w:rsid w:val="294E705B"/>
    <w:rsid w:val="29514455"/>
    <w:rsid w:val="29522056"/>
    <w:rsid w:val="29556CCF"/>
    <w:rsid w:val="29583A35"/>
    <w:rsid w:val="295E4DC4"/>
    <w:rsid w:val="2967011C"/>
    <w:rsid w:val="296879F1"/>
    <w:rsid w:val="29693E94"/>
    <w:rsid w:val="296971A8"/>
    <w:rsid w:val="296D6FB3"/>
    <w:rsid w:val="296E14AB"/>
    <w:rsid w:val="297D16EE"/>
    <w:rsid w:val="29827170"/>
    <w:rsid w:val="298F31CF"/>
    <w:rsid w:val="299A5F1B"/>
    <w:rsid w:val="299F78B6"/>
    <w:rsid w:val="29A175F2"/>
    <w:rsid w:val="29A85E27"/>
    <w:rsid w:val="29B669AE"/>
    <w:rsid w:val="29C11732"/>
    <w:rsid w:val="29C15A7E"/>
    <w:rsid w:val="29C27101"/>
    <w:rsid w:val="29D01312"/>
    <w:rsid w:val="29D55086"/>
    <w:rsid w:val="29D92EB9"/>
    <w:rsid w:val="29E057D9"/>
    <w:rsid w:val="29E249EB"/>
    <w:rsid w:val="29E90B31"/>
    <w:rsid w:val="29E95828"/>
    <w:rsid w:val="29F3375E"/>
    <w:rsid w:val="29F342D4"/>
    <w:rsid w:val="29F80D74"/>
    <w:rsid w:val="29FA2D3E"/>
    <w:rsid w:val="29FB25D1"/>
    <w:rsid w:val="29FF0355"/>
    <w:rsid w:val="2A0E2346"/>
    <w:rsid w:val="2A1536D4"/>
    <w:rsid w:val="2A157B78"/>
    <w:rsid w:val="2A167548"/>
    <w:rsid w:val="2A1A0CEB"/>
    <w:rsid w:val="2A1F27A5"/>
    <w:rsid w:val="2A22487C"/>
    <w:rsid w:val="2A2614BF"/>
    <w:rsid w:val="2A32072A"/>
    <w:rsid w:val="2A333AC3"/>
    <w:rsid w:val="2A355B25"/>
    <w:rsid w:val="2A390483"/>
    <w:rsid w:val="2A420242"/>
    <w:rsid w:val="2A443FBA"/>
    <w:rsid w:val="2A4B5348"/>
    <w:rsid w:val="2A4C1A18"/>
    <w:rsid w:val="2A4C77B3"/>
    <w:rsid w:val="2A585B80"/>
    <w:rsid w:val="2A5A1A2F"/>
    <w:rsid w:val="2A5A558B"/>
    <w:rsid w:val="2A5D6CB9"/>
    <w:rsid w:val="2A6308E4"/>
    <w:rsid w:val="2A6601A2"/>
    <w:rsid w:val="2A68414C"/>
    <w:rsid w:val="2A691C72"/>
    <w:rsid w:val="2A693A20"/>
    <w:rsid w:val="2A697EC4"/>
    <w:rsid w:val="2A704DAF"/>
    <w:rsid w:val="2A756869"/>
    <w:rsid w:val="2A760C39"/>
    <w:rsid w:val="2A77438F"/>
    <w:rsid w:val="2A866380"/>
    <w:rsid w:val="2A9036A3"/>
    <w:rsid w:val="2A9419D0"/>
    <w:rsid w:val="2AA348BC"/>
    <w:rsid w:val="2AA35184"/>
    <w:rsid w:val="2AA416B0"/>
    <w:rsid w:val="2AA607D0"/>
    <w:rsid w:val="2AAE2B7D"/>
    <w:rsid w:val="2AB36DD8"/>
    <w:rsid w:val="2AB46E66"/>
    <w:rsid w:val="2AB503FD"/>
    <w:rsid w:val="2AB70C30"/>
    <w:rsid w:val="2AC0493A"/>
    <w:rsid w:val="2AC1560A"/>
    <w:rsid w:val="2AC670C5"/>
    <w:rsid w:val="2ACE4132"/>
    <w:rsid w:val="2AE00186"/>
    <w:rsid w:val="2AE15CAC"/>
    <w:rsid w:val="2AE632C3"/>
    <w:rsid w:val="2AE8528D"/>
    <w:rsid w:val="2AEB08D9"/>
    <w:rsid w:val="2AF046A6"/>
    <w:rsid w:val="2AF14141"/>
    <w:rsid w:val="2AF27EBA"/>
    <w:rsid w:val="2AF459E0"/>
    <w:rsid w:val="2AF608D3"/>
    <w:rsid w:val="2AFA0B1C"/>
    <w:rsid w:val="2AFA1A47"/>
    <w:rsid w:val="2AFB4FC0"/>
    <w:rsid w:val="2AFC4894"/>
    <w:rsid w:val="2B011EB4"/>
    <w:rsid w:val="2B053749"/>
    <w:rsid w:val="2B157704"/>
    <w:rsid w:val="2B1C6CE5"/>
    <w:rsid w:val="2B204A27"/>
    <w:rsid w:val="2B230073"/>
    <w:rsid w:val="2B366200"/>
    <w:rsid w:val="2B382264"/>
    <w:rsid w:val="2B4B28F2"/>
    <w:rsid w:val="2B514BE0"/>
    <w:rsid w:val="2B660607"/>
    <w:rsid w:val="2B681E96"/>
    <w:rsid w:val="2B6A7A50"/>
    <w:rsid w:val="2B6D2330"/>
    <w:rsid w:val="2B797C93"/>
    <w:rsid w:val="2B8F395A"/>
    <w:rsid w:val="2B9D6077"/>
    <w:rsid w:val="2BA016C4"/>
    <w:rsid w:val="2BAF1907"/>
    <w:rsid w:val="2BBA09D7"/>
    <w:rsid w:val="2BBB4515"/>
    <w:rsid w:val="2BBD0FF3"/>
    <w:rsid w:val="2BC03B14"/>
    <w:rsid w:val="2BC314D4"/>
    <w:rsid w:val="2BC43604"/>
    <w:rsid w:val="2BC7377E"/>
    <w:rsid w:val="2BD82C0B"/>
    <w:rsid w:val="2BDB6BA0"/>
    <w:rsid w:val="2BDF21EC"/>
    <w:rsid w:val="2BF07F0E"/>
    <w:rsid w:val="2BF14D65"/>
    <w:rsid w:val="2BFC0FF0"/>
    <w:rsid w:val="2BFF463C"/>
    <w:rsid w:val="2C066D4A"/>
    <w:rsid w:val="2C091017"/>
    <w:rsid w:val="2C1125C1"/>
    <w:rsid w:val="2C1300E8"/>
    <w:rsid w:val="2C167BD8"/>
    <w:rsid w:val="2C1E6354"/>
    <w:rsid w:val="2C2422F5"/>
    <w:rsid w:val="2C2D7517"/>
    <w:rsid w:val="2C385DA0"/>
    <w:rsid w:val="2C3A1B18"/>
    <w:rsid w:val="2C3B319A"/>
    <w:rsid w:val="2C4509EF"/>
    <w:rsid w:val="2C493B09"/>
    <w:rsid w:val="2C4D184B"/>
    <w:rsid w:val="2C55425C"/>
    <w:rsid w:val="2C574478"/>
    <w:rsid w:val="2C5E6435"/>
    <w:rsid w:val="2C6B3A80"/>
    <w:rsid w:val="2C730B86"/>
    <w:rsid w:val="2C7D37B3"/>
    <w:rsid w:val="2C7F39CF"/>
    <w:rsid w:val="2C7F577D"/>
    <w:rsid w:val="2C800539"/>
    <w:rsid w:val="2C81312E"/>
    <w:rsid w:val="2C822369"/>
    <w:rsid w:val="2C8503B5"/>
    <w:rsid w:val="2C8965FC"/>
    <w:rsid w:val="2C8B42D2"/>
    <w:rsid w:val="2C8E776E"/>
    <w:rsid w:val="2C92725E"/>
    <w:rsid w:val="2C934D84"/>
    <w:rsid w:val="2C972AC7"/>
    <w:rsid w:val="2C9C1E8B"/>
    <w:rsid w:val="2CA451E4"/>
    <w:rsid w:val="2CA46F92"/>
    <w:rsid w:val="2CAE7E10"/>
    <w:rsid w:val="2CB05936"/>
    <w:rsid w:val="2CBB79FD"/>
    <w:rsid w:val="2CBC42DB"/>
    <w:rsid w:val="2CC338BC"/>
    <w:rsid w:val="2CC66F08"/>
    <w:rsid w:val="2CC777C8"/>
    <w:rsid w:val="2CD930DF"/>
    <w:rsid w:val="2CE451F3"/>
    <w:rsid w:val="2CE657FC"/>
    <w:rsid w:val="2CE8602F"/>
    <w:rsid w:val="2CEF2903"/>
    <w:rsid w:val="2CF77A09"/>
    <w:rsid w:val="2CFE2B46"/>
    <w:rsid w:val="2D0619FA"/>
    <w:rsid w:val="2D09627B"/>
    <w:rsid w:val="2D12214D"/>
    <w:rsid w:val="2D12791F"/>
    <w:rsid w:val="2D227E74"/>
    <w:rsid w:val="2D2307FE"/>
    <w:rsid w:val="2D23435A"/>
    <w:rsid w:val="2D265BF9"/>
    <w:rsid w:val="2D282599"/>
    <w:rsid w:val="2D297497"/>
    <w:rsid w:val="2D2D14AC"/>
    <w:rsid w:val="2D2D6F87"/>
    <w:rsid w:val="2D355E3C"/>
    <w:rsid w:val="2D3622E0"/>
    <w:rsid w:val="2D5409B8"/>
    <w:rsid w:val="2D5E5392"/>
    <w:rsid w:val="2D67693D"/>
    <w:rsid w:val="2D6904DB"/>
    <w:rsid w:val="2D6F134E"/>
    <w:rsid w:val="2D76092E"/>
    <w:rsid w:val="2D7921CC"/>
    <w:rsid w:val="2D7F58FA"/>
    <w:rsid w:val="2D872B3B"/>
    <w:rsid w:val="2D8748E9"/>
    <w:rsid w:val="2D8C0151"/>
    <w:rsid w:val="2D8F379E"/>
    <w:rsid w:val="2D942742"/>
    <w:rsid w:val="2D960FD0"/>
    <w:rsid w:val="2D9B2143"/>
    <w:rsid w:val="2D9F5AAB"/>
    <w:rsid w:val="2DA059AB"/>
    <w:rsid w:val="2DA51213"/>
    <w:rsid w:val="2DA6263C"/>
    <w:rsid w:val="2DAD1E76"/>
    <w:rsid w:val="2DC53663"/>
    <w:rsid w:val="2DC71329"/>
    <w:rsid w:val="2DC9254F"/>
    <w:rsid w:val="2DD240A1"/>
    <w:rsid w:val="2DD35D80"/>
    <w:rsid w:val="2DE007D6"/>
    <w:rsid w:val="2DE41D3C"/>
    <w:rsid w:val="2DE47F8D"/>
    <w:rsid w:val="2DE735DA"/>
    <w:rsid w:val="2DEA131C"/>
    <w:rsid w:val="2DF00258"/>
    <w:rsid w:val="2DF002CB"/>
    <w:rsid w:val="2DF87595"/>
    <w:rsid w:val="2DFA7E53"/>
    <w:rsid w:val="2E00644A"/>
    <w:rsid w:val="2E0143CE"/>
    <w:rsid w:val="2E0979F4"/>
    <w:rsid w:val="2E0A551A"/>
    <w:rsid w:val="2E0E0B66"/>
    <w:rsid w:val="2E1A1DF7"/>
    <w:rsid w:val="2E222864"/>
    <w:rsid w:val="2E241400"/>
    <w:rsid w:val="2E317F48"/>
    <w:rsid w:val="2E3B56D4"/>
    <w:rsid w:val="2E3C1B78"/>
    <w:rsid w:val="2E47051C"/>
    <w:rsid w:val="2E4A36A5"/>
    <w:rsid w:val="2E4E18AB"/>
    <w:rsid w:val="2E4E3659"/>
    <w:rsid w:val="2E505623"/>
    <w:rsid w:val="2E6E5AA9"/>
    <w:rsid w:val="2E6E7857"/>
    <w:rsid w:val="2E7330BF"/>
    <w:rsid w:val="2E772BB0"/>
    <w:rsid w:val="2E7F7181"/>
    <w:rsid w:val="2E7F7CB6"/>
    <w:rsid w:val="2E842706"/>
    <w:rsid w:val="2E861045"/>
    <w:rsid w:val="2E9574DA"/>
    <w:rsid w:val="2EA63495"/>
    <w:rsid w:val="2EA66FF1"/>
    <w:rsid w:val="2EA8720D"/>
    <w:rsid w:val="2EA96AE1"/>
    <w:rsid w:val="2EB97CA5"/>
    <w:rsid w:val="2EC13E2B"/>
    <w:rsid w:val="2EC23C82"/>
    <w:rsid w:val="2EC42B2F"/>
    <w:rsid w:val="2EC525A4"/>
    <w:rsid w:val="2ED0406E"/>
    <w:rsid w:val="2ED26038"/>
    <w:rsid w:val="2ED61D9E"/>
    <w:rsid w:val="2EE67D35"/>
    <w:rsid w:val="2EF53AD4"/>
    <w:rsid w:val="2F0D0E1E"/>
    <w:rsid w:val="2F0F73DE"/>
    <w:rsid w:val="2F10684B"/>
    <w:rsid w:val="2F106B60"/>
    <w:rsid w:val="2F124686"/>
    <w:rsid w:val="2F2919D0"/>
    <w:rsid w:val="2F2B1BEC"/>
    <w:rsid w:val="2F2D2619"/>
    <w:rsid w:val="2F302D5E"/>
    <w:rsid w:val="2F350375"/>
    <w:rsid w:val="2F3C5BA7"/>
    <w:rsid w:val="2F436268"/>
    <w:rsid w:val="2F4607D4"/>
    <w:rsid w:val="2F4A686A"/>
    <w:rsid w:val="2F4B1946"/>
    <w:rsid w:val="2F4D7D91"/>
    <w:rsid w:val="2F5702EB"/>
    <w:rsid w:val="2F5A5701"/>
    <w:rsid w:val="2F5C1DA5"/>
    <w:rsid w:val="2F601896"/>
    <w:rsid w:val="2F733637"/>
    <w:rsid w:val="2F736A5D"/>
    <w:rsid w:val="2F7B0494"/>
    <w:rsid w:val="2F7E2C59"/>
    <w:rsid w:val="2F7E3ACA"/>
    <w:rsid w:val="2F837332"/>
    <w:rsid w:val="2F880DEC"/>
    <w:rsid w:val="2F8A06C1"/>
    <w:rsid w:val="2F8F0EBA"/>
    <w:rsid w:val="2F950E14"/>
    <w:rsid w:val="2F967065"/>
    <w:rsid w:val="2F972DDE"/>
    <w:rsid w:val="2F974B8C"/>
    <w:rsid w:val="2FA04132"/>
    <w:rsid w:val="2FA8323D"/>
    <w:rsid w:val="2FAA48BF"/>
    <w:rsid w:val="2FAD43AF"/>
    <w:rsid w:val="2FAF6436"/>
    <w:rsid w:val="2FB621EB"/>
    <w:rsid w:val="2FBD734D"/>
    <w:rsid w:val="2FC31E25"/>
    <w:rsid w:val="2FC70511"/>
    <w:rsid w:val="2FCB45DC"/>
    <w:rsid w:val="2FCC01AB"/>
    <w:rsid w:val="2FD44032"/>
    <w:rsid w:val="2FD8767E"/>
    <w:rsid w:val="2FE210F8"/>
    <w:rsid w:val="2FE37DD1"/>
    <w:rsid w:val="2FF63FA8"/>
    <w:rsid w:val="30000983"/>
    <w:rsid w:val="3002294D"/>
    <w:rsid w:val="300264A9"/>
    <w:rsid w:val="30050B03"/>
    <w:rsid w:val="300C7328"/>
    <w:rsid w:val="300D3E14"/>
    <w:rsid w:val="300F0BC6"/>
    <w:rsid w:val="30185CCC"/>
    <w:rsid w:val="30186CF7"/>
    <w:rsid w:val="30197C97"/>
    <w:rsid w:val="302208F9"/>
    <w:rsid w:val="302E0A63"/>
    <w:rsid w:val="302F3016"/>
    <w:rsid w:val="303D5733"/>
    <w:rsid w:val="3040220C"/>
    <w:rsid w:val="30405223"/>
    <w:rsid w:val="30470360"/>
    <w:rsid w:val="30477E3E"/>
    <w:rsid w:val="3049057C"/>
    <w:rsid w:val="30542A7D"/>
    <w:rsid w:val="30556F21"/>
    <w:rsid w:val="30560FE3"/>
    <w:rsid w:val="30564A47"/>
    <w:rsid w:val="30586A11"/>
    <w:rsid w:val="305B3E0B"/>
    <w:rsid w:val="30703D5A"/>
    <w:rsid w:val="30731155"/>
    <w:rsid w:val="30734F38"/>
    <w:rsid w:val="30736266"/>
    <w:rsid w:val="307849BD"/>
    <w:rsid w:val="30801AC4"/>
    <w:rsid w:val="3082583C"/>
    <w:rsid w:val="308710A4"/>
    <w:rsid w:val="30915A7F"/>
    <w:rsid w:val="3095731D"/>
    <w:rsid w:val="30980BBB"/>
    <w:rsid w:val="30992B52"/>
    <w:rsid w:val="309E3334"/>
    <w:rsid w:val="30A471F6"/>
    <w:rsid w:val="30AA08EF"/>
    <w:rsid w:val="30AE6631"/>
    <w:rsid w:val="30B31E99"/>
    <w:rsid w:val="30B84529"/>
    <w:rsid w:val="30B84586"/>
    <w:rsid w:val="30BF3918"/>
    <w:rsid w:val="30C23E8A"/>
    <w:rsid w:val="30CD2F5B"/>
    <w:rsid w:val="30D065A7"/>
    <w:rsid w:val="30D140CD"/>
    <w:rsid w:val="30D51E0F"/>
    <w:rsid w:val="30D616E4"/>
    <w:rsid w:val="30D836AE"/>
    <w:rsid w:val="30DA7426"/>
    <w:rsid w:val="30DC4F4C"/>
    <w:rsid w:val="30DC54D6"/>
    <w:rsid w:val="30E16777"/>
    <w:rsid w:val="30EB518F"/>
    <w:rsid w:val="30F009F7"/>
    <w:rsid w:val="30F74B66"/>
    <w:rsid w:val="30FD3114"/>
    <w:rsid w:val="30FF50DE"/>
    <w:rsid w:val="310B66D2"/>
    <w:rsid w:val="310D2353"/>
    <w:rsid w:val="310D27F3"/>
    <w:rsid w:val="310E70CF"/>
    <w:rsid w:val="312132A7"/>
    <w:rsid w:val="312C26C3"/>
    <w:rsid w:val="312E32CE"/>
    <w:rsid w:val="312F7772"/>
    <w:rsid w:val="31322DBE"/>
    <w:rsid w:val="313B4368"/>
    <w:rsid w:val="313C3C3D"/>
    <w:rsid w:val="313E5C07"/>
    <w:rsid w:val="313E79B5"/>
    <w:rsid w:val="3144245D"/>
    <w:rsid w:val="31491AE3"/>
    <w:rsid w:val="314D5E4A"/>
    <w:rsid w:val="315F792B"/>
    <w:rsid w:val="31615451"/>
    <w:rsid w:val="31653193"/>
    <w:rsid w:val="316A3FC7"/>
    <w:rsid w:val="317A6513"/>
    <w:rsid w:val="317C04DD"/>
    <w:rsid w:val="317E4255"/>
    <w:rsid w:val="31800F82"/>
    <w:rsid w:val="318178A1"/>
    <w:rsid w:val="31857392"/>
    <w:rsid w:val="318A0E4C"/>
    <w:rsid w:val="3196159F"/>
    <w:rsid w:val="319A0622"/>
    <w:rsid w:val="319D0194"/>
    <w:rsid w:val="319D3D2B"/>
    <w:rsid w:val="31A41E31"/>
    <w:rsid w:val="31A51E5A"/>
    <w:rsid w:val="31B7169F"/>
    <w:rsid w:val="31BB2DB3"/>
    <w:rsid w:val="31C3610C"/>
    <w:rsid w:val="31C61758"/>
    <w:rsid w:val="31CD2AE7"/>
    <w:rsid w:val="31DE6AA2"/>
    <w:rsid w:val="31E16BB0"/>
    <w:rsid w:val="31ED4F37"/>
    <w:rsid w:val="31F1484C"/>
    <w:rsid w:val="31F369F1"/>
    <w:rsid w:val="31F462C5"/>
    <w:rsid w:val="31FB3AF8"/>
    <w:rsid w:val="31FB3DE2"/>
    <w:rsid w:val="32024E86"/>
    <w:rsid w:val="3207249C"/>
    <w:rsid w:val="320B7BFA"/>
    <w:rsid w:val="3210297E"/>
    <w:rsid w:val="32137850"/>
    <w:rsid w:val="32140715"/>
    <w:rsid w:val="321921D0"/>
    <w:rsid w:val="321F6E11"/>
    <w:rsid w:val="32270449"/>
    <w:rsid w:val="32290665"/>
    <w:rsid w:val="322F72FD"/>
    <w:rsid w:val="32340DB8"/>
    <w:rsid w:val="32342B66"/>
    <w:rsid w:val="3237618E"/>
    <w:rsid w:val="32452FC5"/>
    <w:rsid w:val="324A05DB"/>
    <w:rsid w:val="324C6101"/>
    <w:rsid w:val="324D52A1"/>
    <w:rsid w:val="325029E4"/>
    <w:rsid w:val="325925CC"/>
    <w:rsid w:val="32622E39"/>
    <w:rsid w:val="3264344B"/>
    <w:rsid w:val="32674CE9"/>
    <w:rsid w:val="326C67A3"/>
    <w:rsid w:val="326D2149"/>
    <w:rsid w:val="326D2429"/>
    <w:rsid w:val="32701DFC"/>
    <w:rsid w:val="327A2C6E"/>
    <w:rsid w:val="32800850"/>
    <w:rsid w:val="328868C2"/>
    <w:rsid w:val="328C4750"/>
    <w:rsid w:val="32903C4D"/>
    <w:rsid w:val="32911317"/>
    <w:rsid w:val="329456C3"/>
    <w:rsid w:val="32A415AE"/>
    <w:rsid w:val="32A43A33"/>
    <w:rsid w:val="32A83BE9"/>
    <w:rsid w:val="32AD7029"/>
    <w:rsid w:val="32AE46C6"/>
    <w:rsid w:val="32B36180"/>
    <w:rsid w:val="32B75C71"/>
    <w:rsid w:val="32B803DE"/>
    <w:rsid w:val="32C24615"/>
    <w:rsid w:val="32C37B36"/>
    <w:rsid w:val="32CD77ED"/>
    <w:rsid w:val="32D00AE0"/>
    <w:rsid w:val="32D303D9"/>
    <w:rsid w:val="32D305D1"/>
    <w:rsid w:val="32D84C7B"/>
    <w:rsid w:val="32DB1233"/>
    <w:rsid w:val="32EE0F67"/>
    <w:rsid w:val="32F52902"/>
    <w:rsid w:val="32F770E2"/>
    <w:rsid w:val="33010C9A"/>
    <w:rsid w:val="33062754"/>
    <w:rsid w:val="330C763F"/>
    <w:rsid w:val="330D3AE3"/>
    <w:rsid w:val="331F55C4"/>
    <w:rsid w:val="331F7372"/>
    <w:rsid w:val="3321133C"/>
    <w:rsid w:val="33226E62"/>
    <w:rsid w:val="332E2966"/>
    <w:rsid w:val="33321433"/>
    <w:rsid w:val="33353039"/>
    <w:rsid w:val="3341378C"/>
    <w:rsid w:val="334212B2"/>
    <w:rsid w:val="33482D6D"/>
    <w:rsid w:val="33490893"/>
    <w:rsid w:val="33492641"/>
    <w:rsid w:val="33525999"/>
    <w:rsid w:val="335334BF"/>
    <w:rsid w:val="335D09BB"/>
    <w:rsid w:val="33641229"/>
    <w:rsid w:val="336A2CE3"/>
    <w:rsid w:val="33705E1F"/>
    <w:rsid w:val="33721B98"/>
    <w:rsid w:val="33745910"/>
    <w:rsid w:val="33746DD8"/>
    <w:rsid w:val="337A6C9E"/>
    <w:rsid w:val="33811DDB"/>
    <w:rsid w:val="3384518C"/>
    <w:rsid w:val="338D69D1"/>
    <w:rsid w:val="339531E1"/>
    <w:rsid w:val="339A10EE"/>
    <w:rsid w:val="339A3DE9"/>
    <w:rsid w:val="339A5589"/>
    <w:rsid w:val="339F728B"/>
    <w:rsid w:val="33A15FD9"/>
    <w:rsid w:val="33AA1331"/>
    <w:rsid w:val="33AE06F6"/>
    <w:rsid w:val="33AF6948"/>
    <w:rsid w:val="33B158EA"/>
    <w:rsid w:val="33B3712A"/>
    <w:rsid w:val="33B45D0C"/>
    <w:rsid w:val="33BE4DDD"/>
    <w:rsid w:val="33BE685C"/>
    <w:rsid w:val="33C06DA7"/>
    <w:rsid w:val="33C65770"/>
    <w:rsid w:val="33CC574C"/>
    <w:rsid w:val="33D12D62"/>
    <w:rsid w:val="33D41102"/>
    <w:rsid w:val="33D60378"/>
    <w:rsid w:val="33D939C5"/>
    <w:rsid w:val="33EF4F96"/>
    <w:rsid w:val="33F20F2A"/>
    <w:rsid w:val="33F425AD"/>
    <w:rsid w:val="33F7209D"/>
    <w:rsid w:val="33F97BC3"/>
    <w:rsid w:val="33FC5905"/>
    <w:rsid w:val="34050C5E"/>
    <w:rsid w:val="340541A5"/>
    <w:rsid w:val="340A0D53"/>
    <w:rsid w:val="34117602"/>
    <w:rsid w:val="34125129"/>
    <w:rsid w:val="341D504B"/>
    <w:rsid w:val="34232E92"/>
    <w:rsid w:val="34284AAC"/>
    <w:rsid w:val="34311A53"/>
    <w:rsid w:val="3431735D"/>
    <w:rsid w:val="34346E4D"/>
    <w:rsid w:val="343D21A6"/>
    <w:rsid w:val="344828F8"/>
    <w:rsid w:val="344A1546"/>
    <w:rsid w:val="344A48C2"/>
    <w:rsid w:val="345707EA"/>
    <w:rsid w:val="346314E0"/>
    <w:rsid w:val="346D47E3"/>
    <w:rsid w:val="346E05B1"/>
    <w:rsid w:val="34705599"/>
    <w:rsid w:val="34732316"/>
    <w:rsid w:val="347668BE"/>
    <w:rsid w:val="347B083F"/>
    <w:rsid w:val="348A2F11"/>
    <w:rsid w:val="348C4EDB"/>
    <w:rsid w:val="348E2A01"/>
    <w:rsid w:val="348F0527"/>
    <w:rsid w:val="348F22D5"/>
    <w:rsid w:val="349124F1"/>
    <w:rsid w:val="34947CAF"/>
    <w:rsid w:val="34952040"/>
    <w:rsid w:val="34980548"/>
    <w:rsid w:val="3498562E"/>
    <w:rsid w:val="349A13A6"/>
    <w:rsid w:val="34A35D81"/>
    <w:rsid w:val="34AA2C62"/>
    <w:rsid w:val="34AB35B3"/>
    <w:rsid w:val="34AD3BB4"/>
    <w:rsid w:val="34AD4440"/>
    <w:rsid w:val="34AF4725"/>
    <w:rsid w:val="34B306BA"/>
    <w:rsid w:val="34B72695"/>
    <w:rsid w:val="34B873A0"/>
    <w:rsid w:val="34BD32E6"/>
    <w:rsid w:val="34BD5094"/>
    <w:rsid w:val="34C06933"/>
    <w:rsid w:val="34C72FF5"/>
    <w:rsid w:val="34CC3529"/>
    <w:rsid w:val="34CE54F3"/>
    <w:rsid w:val="34DD3449"/>
    <w:rsid w:val="34DD5737"/>
    <w:rsid w:val="34E06478"/>
    <w:rsid w:val="34E16FD5"/>
    <w:rsid w:val="34E40873"/>
    <w:rsid w:val="34E55AC4"/>
    <w:rsid w:val="34E95E89"/>
    <w:rsid w:val="34F62036"/>
    <w:rsid w:val="34FB1ADE"/>
    <w:rsid w:val="34FD2CC6"/>
    <w:rsid w:val="350014F0"/>
    <w:rsid w:val="35074561"/>
    <w:rsid w:val="35101668"/>
    <w:rsid w:val="35101E10"/>
    <w:rsid w:val="35141C21"/>
    <w:rsid w:val="351A4295"/>
    <w:rsid w:val="35223149"/>
    <w:rsid w:val="35300883"/>
    <w:rsid w:val="35325377"/>
    <w:rsid w:val="353F33FD"/>
    <w:rsid w:val="35415CC5"/>
    <w:rsid w:val="354F3660"/>
    <w:rsid w:val="35507CB7"/>
    <w:rsid w:val="355377A7"/>
    <w:rsid w:val="35577297"/>
    <w:rsid w:val="355C2AFF"/>
    <w:rsid w:val="356279EA"/>
    <w:rsid w:val="356D0868"/>
    <w:rsid w:val="357E2A76"/>
    <w:rsid w:val="3583008C"/>
    <w:rsid w:val="3584486B"/>
    <w:rsid w:val="35847960"/>
    <w:rsid w:val="358B0CEF"/>
    <w:rsid w:val="35971885"/>
    <w:rsid w:val="359A53D6"/>
    <w:rsid w:val="359E4EC6"/>
    <w:rsid w:val="35A3072E"/>
    <w:rsid w:val="35A95619"/>
    <w:rsid w:val="35AD5109"/>
    <w:rsid w:val="35C0308E"/>
    <w:rsid w:val="35DA1B08"/>
    <w:rsid w:val="35DE1766"/>
    <w:rsid w:val="35E166DA"/>
    <w:rsid w:val="35EB5C31"/>
    <w:rsid w:val="35ED71D4"/>
    <w:rsid w:val="35ED7BFB"/>
    <w:rsid w:val="35FE5964"/>
    <w:rsid w:val="3601226B"/>
    <w:rsid w:val="36022C46"/>
    <w:rsid w:val="360F2D05"/>
    <w:rsid w:val="36112D6D"/>
    <w:rsid w:val="361138EA"/>
    <w:rsid w:val="361433DA"/>
    <w:rsid w:val="36154A5C"/>
    <w:rsid w:val="361C3EBD"/>
    <w:rsid w:val="361C5DEB"/>
    <w:rsid w:val="362A32DD"/>
    <w:rsid w:val="362C08A6"/>
    <w:rsid w:val="362C1AE2"/>
    <w:rsid w:val="362C24D2"/>
    <w:rsid w:val="36323860"/>
    <w:rsid w:val="363323F5"/>
    <w:rsid w:val="363B2715"/>
    <w:rsid w:val="364705BA"/>
    <w:rsid w:val="364F39A5"/>
    <w:rsid w:val="364F61C0"/>
    <w:rsid w:val="36575075"/>
    <w:rsid w:val="36625EF3"/>
    <w:rsid w:val="366559E4"/>
    <w:rsid w:val="366B28CE"/>
    <w:rsid w:val="366D6646"/>
    <w:rsid w:val="366E4D55"/>
    <w:rsid w:val="36711080"/>
    <w:rsid w:val="36746BAD"/>
    <w:rsid w:val="367E0853"/>
    <w:rsid w:val="367E60DF"/>
    <w:rsid w:val="368340BC"/>
    <w:rsid w:val="36873BAC"/>
    <w:rsid w:val="3699568D"/>
    <w:rsid w:val="369B7657"/>
    <w:rsid w:val="36A4650C"/>
    <w:rsid w:val="36A743DD"/>
    <w:rsid w:val="36B51ED3"/>
    <w:rsid w:val="36BB5604"/>
    <w:rsid w:val="36BC355C"/>
    <w:rsid w:val="36BF474E"/>
    <w:rsid w:val="36C11723"/>
    <w:rsid w:val="36C26992"/>
    <w:rsid w:val="36C721FA"/>
    <w:rsid w:val="36DD1A1E"/>
    <w:rsid w:val="36E556BA"/>
    <w:rsid w:val="36F11025"/>
    <w:rsid w:val="36F17277"/>
    <w:rsid w:val="36F22C5B"/>
    <w:rsid w:val="36F24934"/>
    <w:rsid w:val="36F6663C"/>
    <w:rsid w:val="37023232"/>
    <w:rsid w:val="37046FAB"/>
    <w:rsid w:val="370A0339"/>
    <w:rsid w:val="37132821"/>
    <w:rsid w:val="37133692"/>
    <w:rsid w:val="37144D14"/>
    <w:rsid w:val="371766B4"/>
    <w:rsid w:val="3718335F"/>
    <w:rsid w:val="3718735B"/>
    <w:rsid w:val="371E6E35"/>
    <w:rsid w:val="37217B5C"/>
    <w:rsid w:val="37256F21"/>
    <w:rsid w:val="372E5DD5"/>
    <w:rsid w:val="37305FF2"/>
    <w:rsid w:val="37337890"/>
    <w:rsid w:val="373553B6"/>
    <w:rsid w:val="37362EDC"/>
    <w:rsid w:val="373F6FEF"/>
    <w:rsid w:val="37403D5B"/>
    <w:rsid w:val="3748158D"/>
    <w:rsid w:val="374970B3"/>
    <w:rsid w:val="374B2E2B"/>
    <w:rsid w:val="374C2700"/>
    <w:rsid w:val="37652B59"/>
    <w:rsid w:val="376637C1"/>
    <w:rsid w:val="376C4B50"/>
    <w:rsid w:val="376C7D04"/>
    <w:rsid w:val="376E2676"/>
    <w:rsid w:val="37704A11"/>
    <w:rsid w:val="377834F5"/>
    <w:rsid w:val="378E4AC6"/>
    <w:rsid w:val="37976071"/>
    <w:rsid w:val="379A16BD"/>
    <w:rsid w:val="37BC5AD7"/>
    <w:rsid w:val="37BF7375"/>
    <w:rsid w:val="37C624B2"/>
    <w:rsid w:val="37D045BF"/>
    <w:rsid w:val="37D4605F"/>
    <w:rsid w:val="37E56DDC"/>
    <w:rsid w:val="37FA7109"/>
    <w:rsid w:val="37FF7772"/>
    <w:rsid w:val="380A43CD"/>
    <w:rsid w:val="380D1E8F"/>
    <w:rsid w:val="381B0A50"/>
    <w:rsid w:val="381C47C8"/>
    <w:rsid w:val="381C58C4"/>
    <w:rsid w:val="38262F51"/>
    <w:rsid w:val="382A0C93"/>
    <w:rsid w:val="382B67B9"/>
    <w:rsid w:val="382C29C4"/>
    <w:rsid w:val="38303089"/>
    <w:rsid w:val="38305B7D"/>
    <w:rsid w:val="38325D99"/>
    <w:rsid w:val="383513E6"/>
    <w:rsid w:val="384358B1"/>
    <w:rsid w:val="38437481"/>
    <w:rsid w:val="384C25B1"/>
    <w:rsid w:val="384D5194"/>
    <w:rsid w:val="384D672F"/>
    <w:rsid w:val="38547C0B"/>
    <w:rsid w:val="38576AF0"/>
    <w:rsid w:val="3869495B"/>
    <w:rsid w:val="386A72E1"/>
    <w:rsid w:val="386F66A6"/>
    <w:rsid w:val="38767A34"/>
    <w:rsid w:val="387737AC"/>
    <w:rsid w:val="387D5266"/>
    <w:rsid w:val="387D67B2"/>
    <w:rsid w:val="388008B3"/>
    <w:rsid w:val="388F0AF6"/>
    <w:rsid w:val="389B22E9"/>
    <w:rsid w:val="389B393F"/>
    <w:rsid w:val="389B749B"/>
    <w:rsid w:val="38A65312"/>
    <w:rsid w:val="38AA3B82"/>
    <w:rsid w:val="38B144A1"/>
    <w:rsid w:val="38B365AD"/>
    <w:rsid w:val="38B44A00"/>
    <w:rsid w:val="38B5603D"/>
    <w:rsid w:val="38BF587F"/>
    <w:rsid w:val="38C24556"/>
    <w:rsid w:val="38D56870"/>
    <w:rsid w:val="38D76175"/>
    <w:rsid w:val="38D806EF"/>
    <w:rsid w:val="38DB01DF"/>
    <w:rsid w:val="38E235CB"/>
    <w:rsid w:val="38E452E6"/>
    <w:rsid w:val="38E726E0"/>
    <w:rsid w:val="38EA6674"/>
    <w:rsid w:val="38EE7F12"/>
    <w:rsid w:val="38F44DFD"/>
    <w:rsid w:val="38F45B4D"/>
    <w:rsid w:val="38F92413"/>
    <w:rsid w:val="38FD63A7"/>
    <w:rsid w:val="39007C46"/>
    <w:rsid w:val="39045DEA"/>
    <w:rsid w:val="3914549F"/>
    <w:rsid w:val="39170434"/>
    <w:rsid w:val="39180127"/>
    <w:rsid w:val="391D07F7"/>
    <w:rsid w:val="391E0899"/>
    <w:rsid w:val="39225E0E"/>
    <w:rsid w:val="3929703F"/>
    <w:rsid w:val="392E0314"/>
    <w:rsid w:val="39355B41"/>
    <w:rsid w:val="39386A66"/>
    <w:rsid w:val="393B0C7E"/>
    <w:rsid w:val="39433B79"/>
    <w:rsid w:val="394538AA"/>
    <w:rsid w:val="39461AFC"/>
    <w:rsid w:val="3946634B"/>
    <w:rsid w:val="394E2B24"/>
    <w:rsid w:val="39537D75"/>
    <w:rsid w:val="395C1320"/>
    <w:rsid w:val="395F671A"/>
    <w:rsid w:val="39691347"/>
    <w:rsid w:val="396B5955"/>
    <w:rsid w:val="396D45FF"/>
    <w:rsid w:val="396D5355"/>
    <w:rsid w:val="396F26D5"/>
    <w:rsid w:val="397228F1"/>
    <w:rsid w:val="39760CD0"/>
    <w:rsid w:val="39777F08"/>
    <w:rsid w:val="39785A2E"/>
    <w:rsid w:val="397F6DBC"/>
    <w:rsid w:val="39803209"/>
    <w:rsid w:val="39861EF9"/>
    <w:rsid w:val="39893797"/>
    <w:rsid w:val="398B39B3"/>
    <w:rsid w:val="39924D42"/>
    <w:rsid w:val="399B7293"/>
    <w:rsid w:val="399C171C"/>
    <w:rsid w:val="399C6C8E"/>
    <w:rsid w:val="399F120C"/>
    <w:rsid w:val="39A82FD8"/>
    <w:rsid w:val="39B2676F"/>
    <w:rsid w:val="39B747A8"/>
    <w:rsid w:val="39C406C0"/>
    <w:rsid w:val="39D52E80"/>
    <w:rsid w:val="39D8471E"/>
    <w:rsid w:val="39DD3AE3"/>
    <w:rsid w:val="39E403CC"/>
    <w:rsid w:val="39E92488"/>
    <w:rsid w:val="39E9692C"/>
    <w:rsid w:val="39ED7FCB"/>
    <w:rsid w:val="39F23A32"/>
    <w:rsid w:val="39FA6443"/>
    <w:rsid w:val="39FD24D7"/>
    <w:rsid w:val="3A092B2A"/>
    <w:rsid w:val="3A105C66"/>
    <w:rsid w:val="3A255BB6"/>
    <w:rsid w:val="3A2E433E"/>
    <w:rsid w:val="3A304F3B"/>
    <w:rsid w:val="3A306308"/>
    <w:rsid w:val="3A3556CD"/>
    <w:rsid w:val="3A361B71"/>
    <w:rsid w:val="3A3E0A25"/>
    <w:rsid w:val="3A3E4582"/>
    <w:rsid w:val="3A437DEA"/>
    <w:rsid w:val="3A4B3142"/>
    <w:rsid w:val="3A4D1D3F"/>
    <w:rsid w:val="3A5169AB"/>
    <w:rsid w:val="3A571AE7"/>
    <w:rsid w:val="3A575643"/>
    <w:rsid w:val="3A6D30B9"/>
    <w:rsid w:val="3A777A93"/>
    <w:rsid w:val="3A797CAF"/>
    <w:rsid w:val="3A80103E"/>
    <w:rsid w:val="3A86417A"/>
    <w:rsid w:val="3A8A77C7"/>
    <w:rsid w:val="3A8F4314"/>
    <w:rsid w:val="3A9B7C26"/>
    <w:rsid w:val="3A9C574C"/>
    <w:rsid w:val="3A9E14C4"/>
    <w:rsid w:val="3AA0348E"/>
    <w:rsid w:val="3AA36ADA"/>
    <w:rsid w:val="3AA51D31"/>
    <w:rsid w:val="3AA572CA"/>
    <w:rsid w:val="3AA82343"/>
    <w:rsid w:val="3AAA60BB"/>
    <w:rsid w:val="3AAB598F"/>
    <w:rsid w:val="3AAC3BE1"/>
    <w:rsid w:val="3AB64A60"/>
    <w:rsid w:val="3ABE3914"/>
    <w:rsid w:val="3AC0768C"/>
    <w:rsid w:val="3AC23405"/>
    <w:rsid w:val="3AC30F2B"/>
    <w:rsid w:val="3AD46C94"/>
    <w:rsid w:val="3AD70B7C"/>
    <w:rsid w:val="3ADB6274"/>
    <w:rsid w:val="3ADD3456"/>
    <w:rsid w:val="3AEC0481"/>
    <w:rsid w:val="3AED7D56"/>
    <w:rsid w:val="3AEE5216"/>
    <w:rsid w:val="3AF630AE"/>
    <w:rsid w:val="3AFA0DF0"/>
    <w:rsid w:val="3B00217F"/>
    <w:rsid w:val="3B0C0B24"/>
    <w:rsid w:val="3B0E18C4"/>
    <w:rsid w:val="3B0E5C90"/>
    <w:rsid w:val="3B0F23C2"/>
    <w:rsid w:val="3B105AF9"/>
    <w:rsid w:val="3B1A3241"/>
    <w:rsid w:val="3B284888"/>
    <w:rsid w:val="3B2B6D8A"/>
    <w:rsid w:val="3B334302"/>
    <w:rsid w:val="3B337E5E"/>
    <w:rsid w:val="3B351833"/>
    <w:rsid w:val="3B4A51A8"/>
    <w:rsid w:val="3B4E4C98"/>
    <w:rsid w:val="3B5330AD"/>
    <w:rsid w:val="3B556027"/>
    <w:rsid w:val="3B6224F2"/>
    <w:rsid w:val="3B634EC9"/>
    <w:rsid w:val="3B64270E"/>
    <w:rsid w:val="3B651FE2"/>
    <w:rsid w:val="3B6B5729"/>
    <w:rsid w:val="3B7E34B1"/>
    <w:rsid w:val="3B837F8F"/>
    <w:rsid w:val="3B8C3E53"/>
    <w:rsid w:val="3B8C57C0"/>
    <w:rsid w:val="3B903503"/>
    <w:rsid w:val="3B9449BE"/>
    <w:rsid w:val="3B9A7EDD"/>
    <w:rsid w:val="3BA0301A"/>
    <w:rsid w:val="3BA174BE"/>
    <w:rsid w:val="3BA90120"/>
    <w:rsid w:val="3BAB6E46"/>
    <w:rsid w:val="3BAE1BDB"/>
    <w:rsid w:val="3BB52F69"/>
    <w:rsid w:val="3BBC60A6"/>
    <w:rsid w:val="3BBD1E1E"/>
    <w:rsid w:val="3BBF5B96"/>
    <w:rsid w:val="3BBF7944"/>
    <w:rsid w:val="3BC34996"/>
    <w:rsid w:val="3BC62A80"/>
    <w:rsid w:val="3BC74A4B"/>
    <w:rsid w:val="3BC907C3"/>
    <w:rsid w:val="3BCB0097"/>
    <w:rsid w:val="3BD50179"/>
    <w:rsid w:val="3BDC6748"/>
    <w:rsid w:val="3BDF7FE6"/>
    <w:rsid w:val="3BE21884"/>
    <w:rsid w:val="3BE473AB"/>
    <w:rsid w:val="3BEC625F"/>
    <w:rsid w:val="3BF21AC7"/>
    <w:rsid w:val="3BFC5EF5"/>
    <w:rsid w:val="3BFD046C"/>
    <w:rsid w:val="3C047A4D"/>
    <w:rsid w:val="3C0D6901"/>
    <w:rsid w:val="3C1275F2"/>
    <w:rsid w:val="3C221C81"/>
    <w:rsid w:val="3C277297"/>
    <w:rsid w:val="3C291261"/>
    <w:rsid w:val="3C2B4FD9"/>
    <w:rsid w:val="3C2D0D52"/>
    <w:rsid w:val="3C37397E"/>
    <w:rsid w:val="3C3A521C"/>
    <w:rsid w:val="3C4121AF"/>
    <w:rsid w:val="3C4147FD"/>
    <w:rsid w:val="3C447E49"/>
    <w:rsid w:val="3C5F0D24"/>
    <w:rsid w:val="3C6632BA"/>
    <w:rsid w:val="3C6C3297"/>
    <w:rsid w:val="3C700E2B"/>
    <w:rsid w:val="3C722C08"/>
    <w:rsid w:val="3C771FCD"/>
    <w:rsid w:val="3C7C75E3"/>
    <w:rsid w:val="3C805A5B"/>
    <w:rsid w:val="3C860462"/>
    <w:rsid w:val="3C8D17F0"/>
    <w:rsid w:val="3C8E63DE"/>
    <w:rsid w:val="3C951AAB"/>
    <w:rsid w:val="3C9C7C85"/>
    <w:rsid w:val="3C9D7253"/>
    <w:rsid w:val="3C9E77ED"/>
    <w:rsid w:val="3CA01523"/>
    <w:rsid w:val="3CA1529C"/>
    <w:rsid w:val="3CA67D0E"/>
    <w:rsid w:val="3CB26D00"/>
    <w:rsid w:val="3CBA010B"/>
    <w:rsid w:val="3CBF5346"/>
    <w:rsid w:val="3CD1792F"/>
    <w:rsid w:val="3CD2105C"/>
    <w:rsid w:val="3CD70CBD"/>
    <w:rsid w:val="3CDC4526"/>
    <w:rsid w:val="3CDE71C1"/>
    <w:rsid w:val="3CEB09D4"/>
    <w:rsid w:val="3CEB0B98"/>
    <w:rsid w:val="3CF578B9"/>
    <w:rsid w:val="3CF90C34"/>
    <w:rsid w:val="3D0C69C3"/>
    <w:rsid w:val="3D0C7F39"/>
    <w:rsid w:val="3D150407"/>
    <w:rsid w:val="3D1D0DC6"/>
    <w:rsid w:val="3D1F4B30"/>
    <w:rsid w:val="3D2008B6"/>
    <w:rsid w:val="3D202664"/>
    <w:rsid w:val="3D285477"/>
    <w:rsid w:val="3D2F0AF9"/>
    <w:rsid w:val="3D3103CE"/>
    <w:rsid w:val="3D314871"/>
    <w:rsid w:val="3D374762"/>
    <w:rsid w:val="3D600CB3"/>
    <w:rsid w:val="3D785FFC"/>
    <w:rsid w:val="3D7B5AED"/>
    <w:rsid w:val="3D826E7B"/>
    <w:rsid w:val="3D827DBA"/>
    <w:rsid w:val="3D8A3F82"/>
    <w:rsid w:val="3D8C7CFA"/>
    <w:rsid w:val="3D93628C"/>
    <w:rsid w:val="3D9A384D"/>
    <w:rsid w:val="3DA45043"/>
    <w:rsid w:val="3DA54918"/>
    <w:rsid w:val="3DA70690"/>
    <w:rsid w:val="3DA768E2"/>
    <w:rsid w:val="3DAE01CF"/>
    <w:rsid w:val="3DB81B78"/>
    <w:rsid w:val="3DBF46B8"/>
    <w:rsid w:val="3DC2196D"/>
    <w:rsid w:val="3DC456E6"/>
    <w:rsid w:val="3DD0408A"/>
    <w:rsid w:val="3DD27E02"/>
    <w:rsid w:val="3DD671C7"/>
    <w:rsid w:val="3DF71E8B"/>
    <w:rsid w:val="3E0114E9"/>
    <w:rsid w:val="3E021D6A"/>
    <w:rsid w:val="3E06185A"/>
    <w:rsid w:val="3E077380"/>
    <w:rsid w:val="3E0F3C31"/>
    <w:rsid w:val="3E10092B"/>
    <w:rsid w:val="3E246184"/>
    <w:rsid w:val="3E2B12C1"/>
    <w:rsid w:val="3E385374"/>
    <w:rsid w:val="3E3E013F"/>
    <w:rsid w:val="3E42660A"/>
    <w:rsid w:val="3E43485C"/>
    <w:rsid w:val="3E444130"/>
    <w:rsid w:val="3E4B4A47"/>
    <w:rsid w:val="3E502AD5"/>
    <w:rsid w:val="3E55633E"/>
    <w:rsid w:val="3E5D36C8"/>
    <w:rsid w:val="3E682515"/>
    <w:rsid w:val="3E691DE9"/>
    <w:rsid w:val="3E6B3DB3"/>
    <w:rsid w:val="3E6D18D9"/>
    <w:rsid w:val="3E726EF0"/>
    <w:rsid w:val="3E742C68"/>
    <w:rsid w:val="3E7762B4"/>
    <w:rsid w:val="3E7C1B1C"/>
    <w:rsid w:val="3E886713"/>
    <w:rsid w:val="3E974BA8"/>
    <w:rsid w:val="3E9A366A"/>
    <w:rsid w:val="3EA11583"/>
    <w:rsid w:val="3EA13331"/>
    <w:rsid w:val="3EA6521C"/>
    <w:rsid w:val="3EAB0654"/>
    <w:rsid w:val="3EB70DA6"/>
    <w:rsid w:val="3EBF1A09"/>
    <w:rsid w:val="3EC27CA4"/>
    <w:rsid w:val="3ECB6600"/>
    <w:rsid w:val="3ECD05CA"/>
    <w:rsid w:val="3ECF4342"/>
    <w:rsid w:val="3EED2ADA"/>
    <w:rsid w:val="3EF06066"/>
    <w:rsid w:val="3EF23B8C"/>
    <w:rsid w:val="3EFE4C27"/>
    <w:rsid w:val="3F0264C5"/>
    <w:rsid w:val="3F077381"/>
    <w:rsid w:val="3F0A537A"/>
    <w:rsid w:val="3F12422F"/>
    <w:rsid w:val="3F1261D2"/>
    <w:rsid w:val="3F152DF8"/>
    <w:rsid w:val="3F171845"/>
    <w:rsid w:val="3F2350B4"/>
    <w:rsid w:val="3F275F2C"/>
    <w:rsid w:val="3F3146B5"/>
    <w:rsid w:val="3F335631"/>
    <w:rsid w:val="3F381EE7"/>
    <w:rsid w:val="3F3B5533"/>
    <w:rsid w:val="3F406FEE"/>
    <w:rsid w:val="3F450160"/>
    <w:rsid w:val="3F514D57"/>
    <w:rsid w:val="3F5B2825"/>
    <w:rsid w:val="3F5D7BA0"/>
    <w:rsid w:val="3F6031EC"/>
    <w:rsid w:val="3F6902F3"/>
    <w:rsid w:val="3F6E5AF7"/>
    <w:rsid w:val="3F760C61"/>
    <w:rsid w:val="3F7722E4"/>
    <w:rsid w:val="3F7D5B4C"/>
    <w:rsid w:val="3F823162"/>
    <w:rsid w:val="3F846E42"/>
    <w:rsid w:val="3F877201"/>
    <w:rsid w:val="3F932B54"/>
    <w:rsid w:val="3F9418DA"/>
    <w:rsid w:val="3F966D63"/>
    <w:rsid w:val="3F980BD8"/>
    <w:rsid w:val="3F982986"/>
    <w:rsid w:val="3F9C32DB"/>
    <w:rsid w:val="3FA255B3"/>
    <w:rsid w:val="3FA44527"/>
    <w:rsid w:val="3FA502BE"/>
    <w:rsid w:val="3FAC01DF"/>
    <w:rsid w:val="3FB12ADB"/>
    <w:rsid w:val="3FB157F6"/>
    <w:rsid w:val="3FB3156E"/>
    <w:rsid w:val="3FB34C03"/>
    <w:rsid w:val="3FB377C0"/>
    <w:rsid w:val="3FB928FC"/>
    <w:rsid w:val="3FB96841"/>
    <w:rsid w:val="3FC01EDD"/>
    <w:rsid w:val="3FC1012F"/>
    <w:rsid w:val="3FC25C55"/>
    <w:rsid w:val="3FC46504"/>
    <w:rsid w:val="3FC80D62"/>
    <w:rsid w:val="3FC91A13"/>
    <w:rsid w:val="3FD35C28"/>
    <w:rsid w:val="3FDA3177"/>
    <w:rsid w:val="3FDD3F12"/>
    <w:rsid w:val="3FDD65EB"/>
    <w:rsid w:val="3FE91CB2"/>
    <w:rsid w:val="3FEE25A6"/>
    <w:rsid w:val="3FF04570"/>
    <w:rsid w:val="3FF116D3"/>
    <w:rsid w:val="3FF57DD8"/>
    <w:rsid w:val="3FFD4EDF"/>
    <w:rsid w:val="3FFF2A05"/>
    <w:rsid w:val="40015B6F"/>
    <w:rsid w:val="401D2E8B"/>
    <w:rsid w:val="40226D9C"/>
    <w:rsid w:val="4024421A"/>
    <w:rsid w:val="40251D40"/>
    <w:rsid w:val="402814CD"/>
    <w:rsid w:val="40291830"/>
    <w:rsid w:val="402B1A4C"/>
    <w:rsid w:val="402B55A8"/>
    <w:rsid w:val="402E32EA"/>
    <w:rsid w:val="40316936"/>
    <w:rsid w:val="40354679"/>
    <w:rsid w:val="40356427"/>
    <w:rsid w:val="40363F4D"/>
    <w:rsid w:val="403F2E01"/>
    <w:rsid w:val="404228F2"/>
    <w:rsid w:val="404448BC"/>
    <w:rsid w:val="404B17A6"/>
    <w:rsid w:val="405014B2"/>
    <w:rsid w:val="40532D51"/>
    <w:rsid w:val="405F16F6"/>
    <w:rsid w:val="406212F8"/>
    <w:rsid w:val="40640ABA"/>
    <w:rsid w:val="40672358"/>
    <w:rsid w:val="406B16A3"/>
    <w:rsid w:val="406B3BF6"/>
    <w:rsid w:val="406D5BC1"/>
    <w:rsid w:val="406E36E7"/>
    <w:rsid w:val="407225E2"/>
    <w:rsid w:val="40736F4F"/>
    <w:rsid w:val="407D392A"/>
    <w:rsid w:val="40886147"/>
    <w:rsid w:val="408E1DBB"/>
    <w:rsid w:val="408E5B37"/>
    <w:rsid w:val="409C46F8"/>
    <w:rsid w:val="409D3379"/>
    <w:rsid w:val="40A610D2"/>
    <w:rsid w:val="40B03CFF"/>
    <w:rsid w:val="40B90071"/>
    <w:rsid w:val="40BE01CA"/>
    <w:rsid w:val="40C31BDC"/>
    <w:rsid w:val="40C5633D"/>
    <w:rsid w:val="40C94DC1"/>
    <w:rsid w:val="40CF687B"/>
    <w:rsid w:val="40D0614F"/>
    <w:rsid w:val="40D75730"/>
    <w:rsid w:val="40D774DE"/>
    <w:rsid w:val="40E35E83"/>
    <w:rsid w:val="40F005A0"/>
    <w:rsid w:val="40F167F2"/>
    <w:rsid w:val="40F72D63"/>
    <w:rsid w:val="40FC5196"/>
    <w:rsid w:val="40FF07E3"/>
    <w:rsid w:val="410022CB"/>
    <w:rsid w:val="410764A6"/>
    <w:rsid w:val="410C362B"/>
    <w:rsid w:val="410C7492"/>
    <w:rsid w:val="410D2F00"/>
    <w:rsid w:val="410D516E"/>
    <w:rsid w:val="410F6C78"/>
    <w:rsid w:val="41175B2C"/>
    <w:rsid w:val="41184B8F"/>
    <w:rsid w:val="411918A4"/>
    <w:rsid w:val="412519EF"/>
    <w:rsid w:val="412E0E49"/>
    <w:rsid w:val="41344930"/>
    <w:rsid w:val="4135788C"/>
    <w:rsid w:val="413C5593"/>
    <w:rsid w:val="41410DFB"/>
    <w:rsid w:val="41474664"/>
    <w:rsid w:val="4148218A"/>
    <w:rsid w:val="41504E07"/>
    <w:rsid w:val="41536C1F"/>
    <w:rsid w:val="41595546"/>
    <w:rsid w:val="415B7B1F"/>
    <w:rsid w:val="41614FF9"/>
    <w:rsid w:val="4162149D"/>
    <w:rsid w:val="41656898"/>
    <w:rsid w:val="41662610"/>
    <w:rsid w:val="416739C6"/>
    <w:rsid w:val="41717932"/>
    <w:rsid w:val="417752DD"/>
    <w:rsid w:val="417D0085"/>
    <w:rsid w:val="41831414"/>
    <w:rsid w:val="41872CB2"/>
    <w:rsid w:val="418C02C8"/>
    <w:rsid w:val="418E1F84"/>
    <w:rsid w:val="41952BC8"/>
    <w:rsid w:val="41967399"/>
    <w:rsid w:val="41981547"/>
    <w:rsid w:val="419B49AF"/>
    <w:rsid w:val="41A27AEC"/>
    <w:rsid w:val="41B17D2F"/>
    <w:rsid w:val="41B220EF"/>
    <w:rsid w:val="41B4781F"/>
    <w:rsid w:val="41C31810"/>
    <w:rsid w:val="41C537DA"/>
    <w:rsid w:val="41CA5CC4"/>
    <w:rsid w:val="41CC4B69"/>
    <w:rsid w:val="41CE2E0E"/>
    <w:rsid w:val="41CF6407"/>
    <w:rsid w:val="41D139B0"/>
    <w:rsid w:val="41D81760"/>
    <w:rsid w:val="41E40104"/>
    <w:rsid w:val="41E73751"/>
    <w:rsid w:val="41E81277"/>
    <w:rsid w:val="41EA4FEF"/>
    <w:rsid w:val="41F06AA9"/>
    <w:rsid w:val="42051E29"/>
    <w:rsid w:val="42114C71"/>
    <w:rsid w:val="42293D69"/>
    <w:rsid w:val="423156C3"/>
    <w:rsid w:val="4235270E"/>
    <w:rsid w:val="42360234"/>
    <w:rsid w:val="42380450"/>
    <w:rsid w:val="423B584A"/>
    <w:rsid w:val="423D7815"/>
    <w:rsid w:val="42421C59"/>
    <w:rsid w:val="42442951"/>
    <w:rsid w:val="424D087B"/>
    <w:rsid w:val="4251506E"/>
    <w:rsid w:val="42593669"/>
    <w:rsid w:val="425A2175"/>
    <w:rsid w:val="42642FF3"/>
    <w:rsid w:val="42672AE3"/>
    <w:rsid w:val="426824C9"/>
    <w:rsid w:val="426D00FA"/>
    <w:rsid w:val="42732AEB"/>
    <w:rsid w:val="42772D26"/>
    <w:rsid w:val="427B4245"/>
    <w:rsid w:val="428E0070"/>
    <w:rsid w:val="42925DB2"/>
    <w:rsid w:val="429505D5"/>
    <w:rsid w:val="429A6A15"/>
    <w:rsid w:val="429D6505"/>
    <w:rsid w:val="42A11B51"/>
    <w:rsid w:val="42A81866"/>
    <w:rsid w:val="42B06238"/>
    <w:rsid w:val="42B37AD7"/>
    <w:rsid w:val="42B5384F"/>
    <w:rsid w:val="42B90E50"/>
    <w:rsid w:val="42BA2C13"/>
    <w:rsid w:val="42BB3775"/>
    <w:rsid w:val="42BC4BDD"/>
    <w:rsid w:val="42BF46CD"/>
    <w:rsid w:val="42C13A57"/>
    <w:rsid w:val="42C65A5C"/>
    <w:rsid w:val="42C972FA"/>
    <w:rsid w:val="42D02437"/>
    <w:rsid w:val="42DA1507"/>
    <w:rsid w:val="42DC527F"/>
    <w:rsid w:val="42E303BC"/>
    <w:rsid w:val="42E61C5A"/>
    <w:rsid w:val="42EB54C2"/>
    <w:rsid w:val="42F0224E"/>
    <w:rsid w:val="42FA5706"/>
    <w:rsid w:val="43000F6E"/>
    <w:rsid w:val="43030A5E"/>
    <w:rsid w:val="430345BA"/>
    <w:rsid w:val="430622FC"/>
    <w:rsid w:val="43086074"/>
    <w:rsid w:val="43106CD7"/>
    <w:rsid w:val="431E7646"/>
    <w:rsid w:val="4320516C"/>
    <w:rsid w:val="43212C92"/>
    <w:rsid w:val="432946E3"/>
    <w:rsid w:val="432D2F63"/>
    <w:rsid w:val="432E070E"/>
    <w:rsid w:val="4335673E"/>
    <w:rsid w:val="43362BE2"/>
    <w:rsid w:val="4339622E"/>
    <w:rsid w:val="433D2560"/>
    <w:rsid w:val="4340580E"/>
    <w:rsid w:val="434075BC"/>
    <w:rsid w:val="434D7F2B"/>
    <w:rsid w:val="434F15AD"/>
    <w:rsid w:val="43503578"/>
    <w:rsid w:val="43566DE0"/>
    <w:rsid w:val="43572B58"/>
    <w:rsid w:val="43635059"/>
    <w:rsid w:val="43683470"/>
    <w:rsid w:val="43686B13"/>
    <w:rsid w:val="436A6DC0"/>
    <w:rsid w:val="43707776"/>
    <w:rsid w:val="43762FDE"/>
    <w:rsid w:val="438D20D6"/>
    <w:rsid w:val="43A22025"/>
    <w:rsid w:val="43A25593"/>
    <w:rsid w:val="43B24E18"/>
    <w:rsid w:val="43B27D8E"/>
    <w:rsid w:val="43C27FD1"/>
    <w:rsid w:val="43CA02B4"/>
    <w:rsid w:val="43CC6427"/>
    <w:rsid w:val="43D67F21"/>
    <w:rsid w:val="43D917BF"/>
    <w:rsid w:val="43DD433B"/>
    <w:rsid w:val="43E05B41"/>
    <w:rsid w:val="43E443EC"/>
    <w:rsid w:val="43FA3C0F"/>
    <w:rsid w:val="440D37AC"/>
    <w:rsid w:val="44185E43"/>
    <w:rsid w:val="441A45C5"/>
    <w:rsid w:val="441A605F"/>
    <w:rsid w:val="441D16AC"/>
    <w:rsid w:val="441D5B50"/>
    <w:rsid w:val="44232423"/>
    <w:rsid w:val="44246EDE"/>
    <w:rsid w:val="442F13DF"/>
    <w:rsid w:val="44307D6F"/>
    <w:rsid w:val="443749C3"/>
    <w:rsid w:val="443A16C8"/>
    <w:rsid w:val="443A225E"/>
    <w:rsid w:val="443C4228"/>
    <w:rsid w:val="44421112"/>
    <w:rsid w:val="44443836"/>
    <w:rsid w:val="444A6219"/>
    <w:rsid w:val="444E7AB7"/>
    <w:rsid w:val="44561F95"/>
    <w:rsid w:val="44562E10"/>
    <w:rsid w:val="445A35C0"/>
    <w:rsid w:val="445C4285"/>
    <w:rsid w:val="446077EA"/>
    <w:rsid w:val="4464552C"/>
    <w:rsid w:val="446631CB"/>
    <w:rsid w:val="447119F7"/>
    <w:rsid w:val="447514E8"/>
    <w:rsid w:val="4486788D"/>
    <w:rsid w:val="448E151E"/>
    <w:rsid w:val="44916187"/>
    <w:rsid w:val="4492209A"/>
    <w:rsid w:val="44935E12"/>
    <w:rsid w:val="449851D6"/>
    <w:rsid w:val="44A1052F"/>
    <w:rsid w:val="44A818BD"/>
    <w:rsid w:val="44A8366B"/>
    <w:rsid w:val="44AB453E"/>
    <w:rsid w:val="44AD0C81"/>
    <w:rsid w:val="44C22253"/>
    <w:rsid w:val="44C46F12"/>
    <w:rsid w:val="44C83FBE"/>
    <w:rsid w:val="44CD30D2"/>
    <w:rsid w:val="44E67CEF"/>
    <w:rsid w:val="44E93C84"/>
    <w:rsid w:val="44F20D8A"/>
    <w:rsid w:val="44F248E6"/>
    <w:rsid w:val="44FA19ED"/>
    <w:rsid w:val="44FA379B"/>
    <w:rsid w:val="44FE26BB"/>
    <w:rsid w:val="44FF4F56"/>
    <w:rsid w:val="45097E82"/>
    <w:rsid w:val="450A60D4"/>
    <w:rsid w:val="450D34CE"/>
    <w:rsid w:val="45107462"/>
    <w:rsid w:val="451368C2"/>
    <w:rsid w:val="45190AAC"/>
    <w:rsid w:val="452426DB"/>
    <w:rsid w:val="453C2C0A"/>
    <w:rsid w:val="453C3DB3"/>
    <w:rsid w:val="4541586E"/>
    <w:rsid w:val="4557299B"/>
    <w:rsid w:val="45597FF0"/>
    <w:rsid w:val="4562430E"/>
    <w:rsid w:val="4565330A"/>
    <w:rsid w:val="456926CF"/>
    <w:rsid w:val="4575533A"/>
    <w:rsid w:val="457E261E"/>
    <w:rsid w:val="457E2FEE"/>
    <w:rsid w:val="457E617A"/>
    <w:rsid w:val="458614D2"/>
    <w:rsid w:val="459C0CF6"/>
    <w:rsid w:val="459E681C"/>
    <w:rsid w:val="45A100BA"/>
    <w:rsid w:val="45AC718B"/>
    <w:rsid w:val="45B55914"/>
    <w:rsid w:val="45B94000"/>
    <w:rsid w:val="45BE2A1A"/>
    <w:rsid w:val="45BE336B"/>
    <w:rsid w:val="45C73FC5"/>
    <w:rsid w:val="45CC15DB"/>
    <w:rsid w:val="45CF6516"/>
    <w:rsid w:val="45D3296A"/>
    <w:rsid w:val="45D466E2"/>
    <w:rsid w:val="45DB537A"/>
    <w:rsid w:val="45E05087"/>
    <w:rsid w:val="45E32481"/>
    <w:rsid w:val="45E5269D"/>
    <w:rsid w:val="45EF0E26"/>
    <w:rsid w:val="45F20916"/>
    <w:rsid w:val="45FA6330"/>
    <w:rsid w:val="4609638B"/>
    <w:rsid w:val="460B4B0A"/>
    <w:rsid w:val="46132D66"/>
    <w:rsid w:val="46192347"/>
    <w:rsid w:val="461940F5"/>
    <w:rsid w:val="461B7E6D"/>
    <w:rsid w:val="46203326"/>
    <w:rsid w:val="4622744D"/>
    <w:rsid w:val="462A6302"/>
    <w:rsid w:val="462C207A"/>
    <w:rsid w:val="462C5BD6"/>
    <w:rsid w:val="462E4075"/>
    <w:rsid w:val="46357180"/>
    <w:rsid w:val="463E4D14"/>
    <w:rsid w:val="464463B4"/>
    <w:rsid w:val="46490517"/>
    <w:rsid w:val="46565349"/>
    <w:rsid w:val="465D66D7"/>
    <w:rsid w:val="46673C1D"/>
    <w:rsid w:val="46691916"/>
    <w:rsid w:val="46767799"/>
    <w:rsid w:val="46781150"/>
    <w:rsid w:val="467B6B5D"/>
    <w:rsid w:val="467C4DAF"/>
    <w:rsid w:val="467D28D5"/>
    <w:rsid w:val="467D3FE1"/>
    <w:rsid w:val="467D4684"/>
    <w:rsid w:val="46827EEC"/>
    <w:rsid w:val="46845A12"/>
    <w:rsid w:val="468C2B34"/>
    <w:rsid w:val="468E6891"/>
    <w:rsid w:val="46A61E2C"/>
    <w:rsid w:val="46C87FF5"/>
    <w:rsid w:val="46D85D5E"/>
    <w:rsid w:val="46DA56D2"/>
    <w:rsid w:val="46E607F0"/>
    <w:rsid w:val="46E62229"/>
    <w:rsid w:val="46EB783F"/>
    <w:rsid w:val="46EF66E2"/>
    <w:rsid w:val="46F43360"/>
    <w:rsid w:val="46FC7C9E"/>
    <w:rsid w:val="470C786A"/>
    <w:rsid w:val="470D3C59"/>
    <w:rsid w:val="471054F8"/>
    <w:rsid w:val="47106542"/>
    <w:rsid w:val="471A1424"/>
    <w:rsid w:val="471B25DC"/>
    <w:rsid w:val="471C35FB"/>
    <w:rsid w:val="471E6E34"/>
    <w:rsid w:val="47243D6E"/>
    <w:rsid w:val="47264D6A"/>
    <w:rsid w:val="4732546E"/>
    <w:rsid w:val="47330814"/>
    <w:rsid w:val="4734568A"/>
    <w:rsid w:val="473E02B7"/>
    <w:rsid w:val="473F7B8B"/>
    <w:rsid w:val="47413903"/>
    <w:rsid w:val="474156B1"/>
    <w:rsid w:val="47466FB1"/>
    <w:rsid w:val="4748200B"/>
    <w:rsid w:val="47495B1E"/>
    <w:rsid w:val="474D04FA"/>
    <w:rsid w:val="4750714C"/>
    <w:rsid w:val="47523D62"/>
    <w:rsid w:val="47574ED5"/>
    <w:rsid w:val="475C073D"/>
    <w:rsid w:val="475F1FDB"/>
    <w:rsid w:val="4760218C"/>
    <w:rsid w:val="476240E5"/>
    <w:rsid w:val="476615BC"/>
    <w:rsid w:val="4768030F"/>
    <w:rsid w:val="476D1EFD"/>
    <w:rsid w:val="476D215C"/>
    <w:rsid w:val="476E1150"/>
    <w:rsid w:val="4771627F"/>
    <w:rsid w:val="477F7D52"/>
    <w:rsid w:val="478963B2"/>
    <w:rsid w:val="47961EA1"/>
    <w:rsid w:val="479A005B"/>
    <w:rsid w:val="479F062A"/>
    <w:rsid w:val="47A143A2"/>
    <w:rsid w:val="47A63FDE"/>
    <w:rsid w:val="47B10A89"/>
    <w:rsid w:val="47B42327"/>
    <w:rsid w:val="47B55F78"/>
    <w:rsid w:val="47B61C55"/>
    <w:rsid w:val="47B71E17"/>
    <w:rsid w:val="47BD70E3"/>
    <w:rsid w:val="47C95AE7"/>
    <w:rsid w:val="47CB7671"/>
    <w:rsid w:val="47D21B17"/>
    <w:rsid w:val="47D227AD"/>
    <w:rsid w:val="47D66741"/>
    <w:rsid w:val="47DB78B4"/>
    <w:rsid w:val="47ED5839"/>
    <w:rsid w:val="47F54AA9"/>
    <w:rsid w:val="48000D2C"/>
    <w:rsid w:val="480076EC"/>
    <w:rsid w:val="480224E2"/>
    <w:rsid w:val="4814136D"/>
    <w:rsid w:val="48142DC6"/>
    <w:rsid w:val="48166B3E"/>
    <w:rsid w:val="48201EA6"/>
    <w:rsid w:val="48217291"/>
    <w:rsid w:val="482254E2"/>
    <w:rsid w:val="4837077E"/>
    <w:rsid w:val="48382F58"/>
    <w:rsid w:val="483C0579"/>
    <w:rsid w:val="483D40CA"/>
    <w:rsid w:val="483E5766"/>
    <w:rsid w:val="4848139A"/>
    <w:rsid w:val="484935B2"/>
    <w:rsid w:val="484E277B"/>
    <w:rsid w:val="484F3DFE"/>
    <w:rsid w:val="4851401A"/>
    <w:rsid w:val="485667D0"/>
    <w:rsid w:val="48592ECE"/>
    <w:rsid w:val="486A6E89"/>
    <w:rsid w:val="487E46E3"/>
    <w:rsid w:val="4880045B"/>
    <w:rsid w:val="488B752C"/>
    <w:rsid w:val="489363E0"/>
    <w:rsid w:val="48961A2D"/>
    <w:rsid w:val="48967A43"/>
    <w:rsid w:val="48971DA8"/>
    <w:rsid w:val="489B7FC9"/>
    <w:rsid w:val="48A00AFD"/>
    <w:rsid w:val="48A57EC2"/>
    <w:rsid w:val="48AE6D76"/>
    <w:rsid w:val="48AF715A"/>
    <w:rsid w:val="48B00D40"/>
    <w:rsid w:val="48B63E7D"/>
    <w:rsid w:val="48B87BF5"/>
    <w:rsid w:val="48BC5937"/>
    <w:rsid w:val="48BF1616"/>
    <w:rsid w:val="48C20A74"/>
    <w:rsid w:val="48CB5A3A"/>
    <w:rsid w:val="48D41EFB"/>
    <w:rsid w:val="48D74C0A"/>
    <w:rsid w:val="48E1539E"/>
    <w:rsid w:val="48E1714C"/>
    <w:rsid w:val="48E36837"/>
    <w:rsid w:val="48E42798"/>
    <w:rsid w:val="48E450EF"/>
    <w:rsid w:val="48E72288"/>
    <w:rsid w:val="48F13107"/>
    <w:rsid w:val="48FF75D2"/>
    <w:rsid w:val="4901159C"/>
    <w:rsid w:val="49061130"/>
    <w:rsid w:val="49064E04"/>
    <w:rsid w:val="49117305"/>
    <w:rsid w:val="49245493"/>
    <w:rsid w:val="49366D6C"/>
    <w:rsid w:val="49396F88"/>
    <w:rsid w:val="493F20C4"/>
    <w:rsid w:val="493F3E72"/>
    <w:rsid w:val="49415F79"/>
    <w:rsid w:val="49437E06"/>
    <w:rsid w:val="49520049"/>
    <w:rsid w:val="49522931"/>
    <w:rsid w:val="49583186"/>
    <w:rsid w:val="495A5150"/>
    <w:rsid w:val="496D6C31"/>
    <w:rsid w:val="497F0713"/>
    <w:rsid w:val="498521CD"/>
    <w:rsid w:val="498A2208"/>
    <w:rsid w:val="498B5309"/>
    <w:rsid w:val="499046CE"/>
    <w:rsid w:val="49940662"/>
    <w:rsid w:val="499441BE"/>
    <w:rsid w:val="49956188"/>
    <w:rsid w:val="499C7517"/>
    <w:rsid w:val="499F5FF1"/>
    <w:rsid w:val="49A07481"/>
    <w:rsid w:val="49A41DE2"/>
    <w:rsid w:val="49AD523B"/>
    <w:rsid w:val="49B02FC2"/>
    <w:rsid w:val="49BC757A"/>
    <w:rsid w:val="49BE748D"/>
    <w:rsid w:val="49C763A9"/>
    <w:rsid w:val="49C949C2"/>
    <w:rsid w:val="49CD76D0"/>
    <w:rsid w:val="49CF169A"/>
    <w:rsid w:val="49D00F6E"/>
    <w:rsid w:val="49D24CE6"/>
    <w:rsid w:val="49E8450A"/>
    <w:rsid w:val="49EB75CB"/>
    <w:rsid w:val="49F25FBF"/>
    <w:rsid w:val="49F27137"/>
    <w:rsid w:val="49F64E79"/>
    <w:rsid w:val="49F853E5"/>
    <w:rsid w:val="49F867BB"/>
    <w:rsid w:val="49FE1F7F"/>
    <w:rsid w:val="4A035091"/>
    <w:rsid w:val="4A0A26D2"/>
    <w:rsid w:val="4A0B1FA6"/>
    <w:rsid w:val="4A0D4DC1"/>
    <w:rsid w:val="4A0F7CE8"/>
    <w:rsid w:val="4A143551"/>
    <w:rsid w:val="4A176B9D"/>
    <w:rsid w:val="4A233794"/>
    <w:rsid w:val="4A235B57"/>
    <w:rsid w:val="4A3069FB"/>
    <w:rsid w:val="4A315EB1"/>
    <w:rsid w:val="4A3A4BC3"/>
    <w:rsid w:val="4A45370A"/>
    <w:rsid w:val="4A462381"/>
    <w:rsid w:val="4A463AC2"/>
    <w:rsid w:val="4A4756D4"/>
    <w:rsid w:val="4A477482"/>
    <w:rsid w:val="4A4A0D21"/>
    <w:rsid w:val="4A5412BD"/>
    <w:rsid w:val="4A5575C5"/>
    <w:rsid w:val="4A563B69"/>
    <w:rsid w:val="4A5723F4"/>
    <w:rsid w:val="4A577A02"/>
    <w:rsid w:val="4A5C0EF6"/>
    <w:rsid w:val="4A677B24"/>
    <w:rsid w:val="4A69564B"/>
    <w:rsid w:val="4A6A41AB"/>
    <w:rsid w:val="4A6B36E5"/>
    <w:rsid w:val="4A7D10F6"/>
    <w:rsid w:val="4A82670C"/>
    <w:rsid w:val="4A881849"/>
    <w:rsid w:val="4A8F7A4B"/>
    <w:rsid w:val="4A9106FD"/>
    <w:rsid w:val="4A993A56"/>
    <w:rsid w:val="4A9D2AB4"/>
    <w:rsid w:val="4A9F72BE"/>
    <w:rsid w:val="4AA85A47"/>
    <w:rsid w:val="4AB12CDE"/>
    <w:rsid w:val="4AB777A6"/>
    <w:rsid w:val="4ABB39CC"/>
    <w:rsid w:val="4AC10B3A"/>
    <w:rsid w:val="4AC76815"/>
    <w:rsid w:val="4AD52CE0"/>
    <w:rsid w:val="4AE40AB2"/>
    <w:rsid w:val="4AEF6A83"/>
    <w:rsid w:val="4AF41E4B"/>
    <w:rsid w:val="4AF55130"/>
    <w:rsid w:val="4AFA44F5"/>
    <w:rsid w:val="4AFF1B0B"/>
    <w:rsid w:val="4B007A08"/>
    <w:rsid w:val="4B101F6A"/>
    <w:rsid w:val="4B137364"/>
    <w:rsid w:val="4B3D0885"/>
    <w:rsid w:val="4B3F5EA6"/>
    <w:rsid w:val="4B447E66"/>
    <w:rsid w:val="4B5D6832"/>
    <w:rsid w:val="4B615D22"/>
    <w:rsid w:val="4B69167A"/>
    <w:rsid w:val="4B692E0F"/>
    <w:rsid w:val="4B6B53F2"/>
    <w:rsid w:val="4B6C1631"/>
    <w:rsid w:val="4B6C4CC7"/>
    <w:rsid w:val="4B6D116B"/>
    <w:rsid w:val="4B7778F3"/>
    <w:rsid w:val="4B7C5B59"/>
    <w:rsid w:val="4B7F2C4C"/>
    <w:rsid w:val="4B871B00"/>
    <w:rsid w:val="4B8B73A0"/>
    <w:rsid w:val="4B9304A5"/>
    <w:rsid w:val="4B944949"/>
    <w:rsid w:val="4B95421D"/>
    <w:rsid w:val="4B971D44"/>
    <w:rsid w:val="4B99364C"/>
    <w:rsid w:val="4B9D30D2"/>
    <w:rsid w:val="4BA04FAA"/>
    <w:rsid w:val="4BA17066"/>
    <w:rsid w:val="4BA24842"/>
    <w:rsid w:val="4BA601D9"/>
    <w:rsid w:val="4BA6467C"/>
    <w:rsid w:val="4BB24502"/>
    <w:rsid w:val="4BBB7216"/>
    <w:rsid w:val="4BBD1C41"/>
    <w:rsid w:val="4BC619D6"/>
    <w:rsid w:val="4BC66ACD"/>
    <w:rsid w:val="4BCF57F6"/>
    <w:rsid w:val="4BD411EA"/>
    <w:rsid w:val="4BD765E4"/>
    <w:rsid w:val="4BE96317"/>
    <w:rsid w:val="4BEA14D5"/>
    <w:rsid w:val="4BFC429C"/>
    <w:rsid w:val="4BFE4DCC"/>
    <w:rsid w:val="4C0D64AA"/>
    <w:rsid w:val="4C0F5D7E"/>
    <w:rsid w:val="4C170309"/>
    <w:rsid w:val="4C175738"/>
    <w:rsid w:val="4C177328"/>
    <w:rsid w:val="4C213D03"/>
    <w:rsid w:val="4C2C2DD4"/>
    <w:rsid w:val="4C2F14C2"/>
    <w:rsid w:val="4C30524F"/>
    <w:rsid w:val="4C383A5C"/>
    <w:rsid w:val="4C3D6D8F"/>
    <w:rsid w:val="4C3E48B5"/>
    <w:rsid w:val="4C410725"/>
    <w:rsid w:val="4C43011D"/>
    <w:rsid w:val="4C4A5008"/>
    <w:rsid w:val="4C4D6F48"/>
    <w:rsid w:val="4C520360"/>
    <w:rsid w:val="4C547C35"/>
    <w:rsid w:val="4C571903"/>
    <w:rsid w:val="4C575977"/>
    <w:rsid w:val="4C5A2C8D"/>
    <w:rsid w:val="4C5E5BE5"/>
    <w:rsid w:val="4C687B84"/>
    <w:rsid w:val="4C793B3F"/>
    <w:rsid w:val="4C7E4CB1"/>
    <w:rsid w:val="4C8B404E"/>
    <w:rsid w:val="4C972C2F"/>
    <w:rsid w:val="4C994D97"/>
    <w:rsid w:val="4CA46E0E"/>
    <w:rsid w:val="4CB32B59"/>
    <w:rsid w:val="4CB4635D"/>
    <w:rsid w:val="4CC34DBA"/>
    <w:rsid w:val="4CC76658"/>
    <w:rsid w:val="4CC90623"/>
    <w:rsid w:val="4CCE5C39"/>
    <w:rsid w:val="4CD945DE"/>
    <w:rsid w:val="4CE6787B"/>
    <w:rsid w:val="4CEC3D70"/>
    <w:rsid w:val="4CF11927"/>
    <w:rsid w:val="4CF60CEC"/>
    <w:rsid w:val="4CF80F08"/>
    <w:rsid w:val="4CFA6A2E"/>
    <w:rsid w:val="4CFB4554"/>
    <w:rsid w:val="4D001B6A"/>
    <w:rsid w:val="4D057181"/>
    <w:rsid w:val="4D090A1F"/>
    <w:rsid w:val="4D0B0C3B"/>
    <w:rsid w:val="4D133278"/>
    <w:rsid w:val="4D151ABA"/>
    <w:rsid w:val="4D2139CF"/>
    <w:rsid w:val="4D2717ED"/>
    <w:rsid w:val="4D2864DA"/>
    <w:rsid w:val="4D2A6BE7"/>
    <w:rsid w:val="4D2E2B7B"/>
    <w:rsid w:val="4D371A30"/>
    <w:rsid w:val="4D40640B"/>
    <w:rsid w:val="4D491763"/>
    <w:rsid w:val="4D4F1685"/>
    <w:rsid w:val="4D502AF2"/>
    <w:rsid w:val="4D510618"/>
    <w:rsid w:val="4D52686A"/>
    <w:rsid w:val="4D61085B"/>
    <w:rsid w:val="4D64659D"/>
    <w:rsid w:val="4D693BB4"/>
    <w:rsid w:val="4D6C25B0"/>
    <w:rsid w:val="4D720CBA"/>
    <w:rsid w:val="4D7560B4"/>
    <w:rsid w:val="4D7762D0"/>
    <w:rsid w:val="4D782049"/>
    <w:rsid w:val="4D785BA5"/>
    <w:rsid w:val="4D7A36CB"/>
    <w:rsid w:val="4D7D31BB"/>
    <w:rsid w:val="4D7F0CE1"/>
    <w:rsid w:val="4D8712BE"/>
    <w:rsid w:val="4D950505"/>
    <w:rsid w:val="4D9964EA"/>
    <w:rsid w:val="4DAB1FDE"/>
    <w:rsid w:val="4DB12E65"/>
    <w:rsid w:val="4DC26BB7"/>
    <w:rsid w:val="4DCA28A4"/>
    <w:rsid w:val="4DD52FF7"/>
    <w:rsid w:val="4DD76D6F"/>
    <w:rsid w:val="4DD94895"/>
    <w:rsid w:val="4DD95D49"/>
    <w:rsid w:val="4DDA685F"/>
    <w:rsid w:val="4DDD3C5A"/>
    <w:rsid w:val="4DE84AD8"/>
    <w:rsid w:val="4DF039FC"/>
    <w:rsid w:val="4DF705E5"/>
    <w:rsid w:val="4DFD2317"/>
    <w:rsid w:val="4E067654"/>
    <w:rsid w:val="4E105DDD"/>
    <w:rsid w:val="4E116CB7"/>
    <w:rsid w:val="4E165AE9"/>
    <w:rsid w:val="4E1E04FA"/>
    <w:rsid w:val="4E1F4272"/>
    <w:rsid w:val="4E2310FC"/>
    <w:rsid w:val="4E233D62"/>
    <w:rsid w:val="4E2A0F73"/>
    <w:rsid w:val="4E2E44B5"/>
    <w:rsid w:val="4E320449"/>
    <w:rsid w:val="4E3221F7"/>
    <w:rsid w:val="4E340E42"/>
    <w:rsid w:val="4E347D1E"/>
    <w:rsid w:val="4E44464C"/>
    <w:rsid w:val="4E4837C9"/>
    <w:rsid w:val="4E4A08F5"/>
    <w:rsid w:val="4E4B32B9"/>
    <w:rsid w:val="4E4D0DDF"/>
    <w:rsid w:val="4E4F2DA9"/>
    <w:rsid w:val="4E54216E"/>
    <w:rsid w:val="4E5B174E"/>
    <w:rsid w:val="4E6631BA"/>
    <w:rsid w:val="4E6A7BE3"/>
    <w:rsid w:val="4E6F6FA8"/>
    <w:rsid w:val="4E766588"/>
    <w:rsid w:val="4E7B3B9E"/>
    <w:rsid w:val="4E8A2485"/>
    <w:rsid w:val="4E8A5B90"/>
    <w:rsid w:val="4E925632"/>
    <w:rsid w:val="4E93713A"/>
    <w:rsid w:val="4E9904C8"/>
    <w:rsid w:val="4E995C7A"/>
    <w:rsid w:val="4E9B7D9D"/>
    <w:rsid w:val="4E9D0690"/>
    <w:rsid w:val="4EA03605"/>
    <w:rsid w:val="4EA56E6D"/>
    <w:rsid w:val="4EAC3D58"/>
    <w:rsid w:val="4EB726FD"/>
    <w:rsid w:val="4EB856B6"/>
    <w:rsid w:val="4EB8690F"/>
    <w:rsid w:val="4ECC0B5C"/>
    <w:rsid w:val="4ED84B4D"/>
    <w:rsid w:val="4EDD6607"/>
    <w:rsid w:val="4EDE2193"/>
    <w:rsid w:val="4EDF1ABC"/>
    <w:rsid w:val="4EEC4650"/>
    <w:rsid w:val="4EEC684A"/>
    <w:rsid w:val="4EEF633A"/>
    <w:rsid w:val="4EF37BD9"/>
    <w:rsid w:val="4EF7095A"/>
    <w:rsid w:val="4EF72E6F"/>
    <w:rsid w:val="4EF96877"/>
    <w:rsid w:val="4EFA0F67"/>
    <w:rsid w:val="4EFB083B"/>
    <w:rsid w:val="4EFC670B"/>
    <w:rsid w:val="4EFF5B7A"/>
    <w:rsid w:val="4F043B94"/>
    <w:rsid w:val="4F05120B"/>
    <w:rsid w:val="4F0C0C9A"/>
    <w:rsid w:val="4F0C47F7"/>
    <w:rsid w:val="4F165675"/>
    <w:rsid w:val="4F1B22DD"/>
    <w:rsid w:val="4F247D92"/>
    <w:rsid w:val="4F251D5C"/>
    <w:rsid w:val="4F270144"/>
    <w:rsid w:val="4F2E29BF"/>
    <w:rsid w:val="4F3159C1"/>
    <w:rsid w:val="4F3D0E54"/>
    <w:rsid w:val="4F474168"/>
    <w:rsid w:val="4F552641"/>
    <w:rsid w:val="4F5A491C"/>
    <w:rsid w:val="4F5C2822"/>
    <w:rsid w:val="4F5D5052"/>
    <w:rsid w:val="4F602D94"/>
    <w:rsid w:val="4F70158F"/>
    <w:rsid w:val="4F71212E"/>
    <w:rsid w:val="4F7370F3"/>
    <w:rsid w:val="4F74239C"/>
    <w:rsid w:val="4F764366"/>
    <w:rsid w:val="4F7725B8"/>
    <w:rsid w:val="4F7B197C"/>
    <w:rsid w:val="4F8366F9"/>
    <w:rsid w:val="4F843B05"/>
    <w:rsid w:val="4F9254B8"/>
    <w:rsid w:val="4F9273F2"/>
    <w:rsid w:val="4F9366B7"/>
    <w:rsid w:val="4F960564"/>
    <w:rsid w:val="4F9D5CD1"/>
    <w:rsid w:val="4FA345DA"/>
    <w:rsid w:val="4FA67E1D"/>
    <w:rsid w:val="4FAB2261"/>
    <w:rsid w:val="4FBA24A4"/>
    <w:rsid w:val="4FC11A85"/>
    <w:rsid w:val="4FC21359"/>
    <w:rsid w:val="4FC81DBA"/>
    <w:rsid w:val="4FC82E13"/>
    <w:rsid w:val="4FCC3F86"/>
    <w:rsid w:val="4FCD3D37"/>
    <w:rsid w:val="4FCD667C"/>
    <w:rsid w:val="4FD851A1"/>
    <w:rsid w:val="4FD86DCF"/>
    <w:rsid w:val="4FDA48F5"/>
    <w:rsid w:val="4FDB395E"/>
    <w:rsid w:val="4FE030B4"/>
    <w:rsid w:val="4FE93487"/>
    <w:rsid w:val="4FF85861"/>
    <w:rsid w:val="50034F5C"/>
    <w:rsid w:val="50100316"/>
    <w:rsid w:val="501317AD"/>
    <w:rsid w:val="50145443"/>
    <w:rsid w:val="501778F7"/>
    <w:rsid w:val="501F49FD"/>
    <w:rsid w:val="50203765"/>
    <w:rsid w:val="502D0EC8"/>
    <w:rsid w:val="50334A8C"/>
    <w:rsid w:val="503A5994"/>
    <w:rsid w:val="503C110B"/>
    <w:rsid w:val="50502E09"/>
    <w:rsid w:val="505A77E4"/>
    <w:rsid w:val="505C4D2B"/>
    <w:rsid w:val="505F3B57"/>
    <w:rsid w:val="506568B4"/>
    <w:rsid w:val="506955FB"/>
    <w:rsid w:val="50720FD1"/>
    <w:rsid w:val="50746AF7"/>
    <w:rsid w:val="50772E10"/>
    <w:rsid w:val="50874A7C"/>
    <w:rsid w:val="508A1E77"/>
    <w:rsid w:val="508A6075"/>
    <w:rsid w:val="508B3E41"/>
    <w:rsid w:val="50942CF5"/>
    <w:rsid w:val="50962F12"/>
    <w:rsid w:val="50A3118B"/>
    <w:rsid w:val="50AF7B2F"/>
    <w:rsid w:val="50B156B3"/>
    <w:rsid w:val="50BB2978"/>
    <w:rsid w:val="50BD049E"/>
    <w:rsid w:val="50C7131D"/>
    <w:rsid w:val="50D91050"/>
    <w:rsid w:val="50E31267"/>
    <w:rsid w:val="50E53551"/>
    <w:rsid w:val="50F25C6E"/>
    <w:rsid w:val="50F32112"/>
    <w:rsid w:val="50FF6F1E"/>
    <w:rsid w:val="51022209"/>
    <w:rsid w:val="510B18D7"/>
    <w:rsid w:val="510E0CFA"/>
    <w:rsid w:val="51136310"/>
    <w:rsid w:val="51145BE4"/>
    <w:rsid w:val="5116195C"/>
    <w:rsid w:val="511D718F"/>
    <w:rsid w:val="512F31EC"/>
    <w:rsid w:val="51344C2F"/>
    <w:rsid w:val="513D4D08"/>
    <w:rsid w:val="513D6D37"/>
    <w:rsid w:val="514209A3"/>
    <w:rsid w:val="51432A9D"/>
    <w:rsid w:val="51453FF0"/>
    <w:rsid w:val="514951D3"/>
    <w:rsid w:val="514A7858"/>
    <w:rsid w:val="514C537E"/>
    <w:rsid w:val="514E559A"/>
    <w:rsid w:val="514F30C0"/>
    <w:rsid w:val="51713037"/>
    <w:rsid w:val="51750DEA"/>
    <w:rsid w:val="517D19DC"/>
    <w:rsid w:val="51864D34"/>
    <w:rsid w:val="5186516E"/>
    <w:rsid w:val="518A7661"/>
    <w:rsid w:val="519136D9"/>
    <w:rsid w:val="51954F77"/>
    <w:rsid w:val="51976F41"/>
    <w:rsid w:val="519D3E2C"/>
    <w:rsid w:val="51B178D7"/>
    <w:rsid w:val="51B75533"/>
    <w:rsid w:val="51B90B92"/>
    <w:rsid w:val="51BA2C30"/>
    <w:rsid w:val="51BC0756"/>
    <w:rsid w:val="51C25640"/>
    <w:rsid w:val="51CD69B3"/>
    <w:rsid w:val="51D05FAF"/>
    <w:rsid w:val="51D610EC"/>
    <w:rsid w:val="51D6733E"/>
    <w:rsid w:val="51DA0BDC"/>
    <w:rsid w:val="51DC0DF8"/>
    <w:rsid w:val="51F10006"/>
    <w:rsid w:val="51F22C7B"/>
    <w:rsid w:val="51F40FEE"/>
    <w:rsid w:val="51FF0DF9"/>
    <w:rsid w:val="521A36CE"/>
    <w:rsid w:val="52233BBC"/>
    <w:rsid w:val="52262073"/>
    <w:rsid w:val="52287B99"/>
    <w:rsid w:val="523429E2"/>
    <w:rsid w:val="52350508"/>
    <w:rsid w:val="52354064"/>
    <w:rsid w:val="5253098E"/>
    <w:rsid w:val="5253273C"/>
    <w:rsid w:val="52556A4B"/>
    <w:rsid w:val="52563347"/>
    <w:rsid w:val="525941F7"/>
    <w:rsid w:val="525A1D1D"/>
    <w:rsid w:val="525A7F6F"/>
    <w:rsid w:val="52635075"/>
    <w:rsid w:val="526606C2"/>
    <w:rsid w:val="526B3F2A"/>
    <w:rsid w:val="526B7CC5"/>
    <w:rsid w:val="527077C5"/>
    <w:rsid w:val="52716848"/>
    <w:rsid w:val="52955DB2"/>
    <w:rsid w:val="529D37F6"/>
    <w:rsid w:val="52A82A88"/>
    <w:rsid w:val="52AA2CA4"/>
    <w:rsid w:val="52AC4521"/>
    <w:rsid w:val="52AD62F0"/>
    <w:rsid w:val="52B458D1"/>
    <w:rsid w:val="52BA54E2"/>
    <w:rsid w:val="52BB4769"/>
    <w:rsid w:val="52BE405A"/>
    <w:rsid w:val="52C310AA"/>
    <w:rsid w:val="52CB6E2F"/>
    <w:rsid w:val="52D25D57"/>
    <w:rsid w:val="52D4387D"/>
    <w:rsid w:val="52D63A99"/>
    <w:rsid w:val="52EF4CC1"/>
    <w:rsid w:val="52F757BE"/>
    <w:rsid w:val="530028C4"/>
    <w:rsid w:val="530161A8"/>
    <w:rsid w:val="53061C45"/>
    <w:rsid w:val="53081779"/>
    <w:rsid w:val="53095C1D"/>
    <w:rsid w:val="530F33D5"/>
    <w:rsid w:val="53147604"/>
    <w:rsid w:val="53165C44"/>
    <w:rsid w:val="531B467E"/>
    <w:rsid w:val="533407C0"/>
    <w:rsid w:val="533662E6"/>
    <w:rsid w:val="533802B0"/>
    <w:rsid w:val="53472FC7"/>
    <w:rsid w:val="5355711F"/>
    <w:rsid w:val="53582700"/>
    <w:rsid w:val="53650979"/>
    <w:rsid w:val="53684FB5"/>
    <w:rsid w:val="53755060"/>
    <w:rsid w:val="537C0582"/>
    <w:rsid w:val="537C242C"/>
    <w:rsid w:val="537D2167"/>
    <w:rsid w:val="537D4BBD"/>
    <w:rsid w:val="537F56AD"/>
    <w:rsid w:val="538610B8"/>
    <w:rsid w:val="539B083F"/>
    <w:rsid w:val="539B3EAD"/>
    <w:rsid w:val="539D0113"/>
    <w:rsid w:val="53A4453C"/>
    <w:rsid w:val="53B13BBE"/>
    <w:rsid w:val="53B92A73"/>
    <w:rsid w:val="53C102A5"/>
    <w:rsid w:val="53C17B7A"/>
    <w:rsid w:val="53C2401E"/>
    <w:rsid w:val="53C9715A"/>
    <w:rsid w:val="53D43F85"/>
    <w:rsid w:val="53D55AFF"/>
    <w:rsid w:val="53D61877"/>
    <w:rsid w:val="53D77AC9"/>
    <w:rsid w:val="53E06252"/>
    <w:rsid w:val="53E35FEF"/>
    <w:rsid w:val="53E6108E"/>
    <w:rsid w:val="53E915AA"/>
    <w:rsid w:val="53EB5322"/>
    <w:rsid w:val="53F266B1"/>
    <w:rsid w:val="541128AF"/>
    <w:rsid w:val="541D4AC7"/>
    <w:rsid w:val="54210D44"/>
    <w:rsid w:val="542326EA"/>
    <w:rsid w:val="54262873"/>
    <w:rsid w:val="54330A77"/>
    <w:rsid w:val="543E18F6"/>
    <w:rsid w:val="54414F42"/>
    <w:rsid w:val="545033D7"/>
    <w:rsid w:val="54574766"/>
    <w:rsid w:val="545A6004"/>
    <w:rsid w:val="545E3D46"/>
    <w:rsid w:val="54617393"/>
    <w:rsid w:val="54622C48"/>
    <w:rsid w:val="5463310B"/>
    <w:rsid w:val="546B1C78"/>
    <w:rsid w:val="546B4FF7"/>
    <w:rsid w:val="546E1AAF"/>
    <w:rsid w:val="54770964"/>
    <w:rsid w:val="547816AB"/>
    <w:rsid w:val="547A0454"/>
    <w:rsid w:val="5486329D"/>
    <w:rsid w:val="548B2661"/>
    <w:rsid w:val="548D462B"/>
    <w:rsid w:val="548F2152"/>
    <w:rsid w:val="54905ECA"/>
    <w:rsid w:val="549239F0"/>
    <w:rsid w:val="549A0AF6"/>
    <w:rsid w:val="54A2071D"/>
    <w:rsid w:val="54A84FC1"/>
    <w:rsid w:val="54AC551B"/>
    <w:rsid w:val="54B25E40"/>
    <w:rsid w:val="54B5148C"/>
    <w:rsid w:val="54B53E12"/>
    <w:rsid w:val="54B73456"/>
    <w:rsid w:val="54B75204"/>
    <w:rsid w:val="54C673AD"/>
    <w:rsid w:val="54CD4A28"/>
    <w:rsid w:val="54D05BB2"/>
    <w:rsid w:val="54D15E48"/>
    <w:rsid w:val="54D20290"/>
    <w:rsid w:val="54D67D81"/>
    <w:rsid w:val="54DA0EF3"/>
    <w:rsid w:val="54DE09E3"/>
    <w:rsid w:val="54E87AB4"/>
    <w:rsid w:val="54EB1352"/>
    <w:rsid w:val="54EF0E42"/>
    <w:rsid w:val="54F16968"/>
    <w:rsid w:val="550101AA"/>
    <w:rsid w:val="55061CE8"/>
    <w:rsid w:val="55081F04"/>
    <w:rsid w:val="550B72FE"/>
    <w:rsid w:val="550F3292"/>
    <w:rsid w:val="55104775"/>
    <w:rsid w:val="55173EF5"/>
    <w:rsid w:val="551D59AF"/>
    <w:rsid w:val="55213BF1"/>
    <w:rsid w:val="552542D2"/>
    <w:rsid w:val="55346855"/>
    <w:rsid w:val="5536081F"/>
    <w:rsid w:val="553D1BAE"/>
    <w:rsid w:val="553E1482"/>
    <w:rsid w:val="55403826"/>
    <w:rsid w:val="554A7E27"/>
    <w:rsid w:val="55540CA5"/>
    <w:rsid w:val="55592760"/>
    <w:rsid w:val="555D5DAC"/>
    <w:rsid w:val="55790259"/>
    <w:rsid w:val="55794BB0"/>
    <w:rsid w:val="557F21C6"/>
    <w:rsid w:val="557F3BF8"/>
    <w:rsid w:val="55886BA1"/>
    <w:rsid w:val="5590774E"/>
    <w:rsid w:val="55915A56"/>
    <w:rsid w:val="559519EA"/>
    <w:rsid w:val="559A78B2"/>
    <w:rsid w:val="55A734CB"/>
    <w:rsid w:val="55AA6B17"/>
    <w:rsid w:val="55AC288F"/>
    <w:rsid w:val="55B02A26"/>
    <w:rsid w:val="55BD2CEE"/>
    <w:rsid w:val="55C04C68"/>
    <w:rsid w:val="55C328FA"/>
    <w:rsid w:val="55C776C9"/>
    <w:rsid w:val="55C951EF"/>
    <w:rsid w:val="55CE0A58"/>
    <w:rsid w:val="55CE3D63"/>
    <w:rsid w:val="55D65B5E"/>
    <w:rsid w:val="55DB7EE4"/>
    <w:rsid w:val="55E02539"/>
    <w:rsid w:val="55E069DD"/>
    <w:rsid w:val="55EB785C"/>
    <w:rsid w:val="55EE6D06"/>
    <w:rsid w:val="55F007CD"/>
    <w:rsid w:val="55F10BEA"/>
    <w:rsid w:val="55F61D5C"/>
    <w:rsid w:val="55F83D27"/>
    <w:rsid w:val="56026953"/>
    <w:rsid w:val="560501F2"/>
    <w:rsid w:val="560721BC"/>
    <w:rsid w:val="56075D18"/>
    <w:rsid w:val="56091A90"/>
    <w:rsid w:val="560E354A"/>
    <w:rsid w:val="56150435"/>
    <w:rsid w:val="561B17C3"/>
    <w:rsid w:val="561F7505"/>
    <w:rsid w:val="56250D86"/>
    <w:rsid w:val="563325B0"/>
    <w:rsid w:val="5639318B"/>
    <w:rsid w:val="563B652C"/>
    <w:rsid w:val="5641747C"/>
    <w:rsid w:val="56447AD9"/>
    <w:rsid w:val="565F7902"/>
    <w:rsid w:val="56617B1E"/>
    <w:rsid w:val="56642D65"/>
    <w:rsid w:val="56644961"/>
    <w:rsid w:val="56691886"/>
    <w:rsid w:val="566969D2"/>
    <w:rsid w:val="566B4549"/>
    <w:rsid w:val="566C29CD"/>
    <w:rsid w:val="56723AD9"/>
    <w:rsid w:val="5687524E"/>
    <w:rsid w:val="568A7075"/>
    <w:rsid w:val="569021B1"/>
    <w:rsid w:val="56905D0D"/>
    <w:rsid w:val="56921A85"/>
    <w:rsid w:val="56927CD7"/>
    <w:rsid w:val="569A6B8C"/>
    <w:rsid w:val="569D042A"/>
    <w:rsid w:val="56A63783"/>
    <w:rsid w:val="56AE4E93"/>
    <w:rsid w:val="56BA722E"/>
    <w:rsid w:val="56BD76C2"/>
    <w:rsid w:val="56C3222C"/>
    <w:rsid w:val="56C65BD3"/>
    <w:rsid w:val="56C82147"/>
    <w:rsid w:val="56C87B9D"/>
    <w:rsid w:val="56CA1A9C"/>
    <w:rsid w:val="56E878F7"/>
    <w:rsid w:val="56EE0C86"/>
    <w:rsid w:val="56F55A83"/>
    <w:rsid w:val="56F664B8"/>
    <w:rsid w:val="56FE536D"/>
    <w:rsid w:val="57122BC6"/>
    <w:rsid w:val="5712700E"/>
    <w:rsid w:val="571701DC"/>
    <w:rsid w:val="571719F0"/>
    <w:rsid w:val="571903F8"/>
    <w:rsid w:val="571A43BF"/>
    <w:rsid w:val="57246ADE"/>
    <w:rsid w:val="57276214"/>
    <w:rsid w:val="5728063B"/>
    <w:rsid w:val="573A3ECB"/>
    <w:rsid w:val="573C7C43"/>
    <w:rsid w:val="574A6804"/>
    <w:rsid w:val="574B60D8"/>
    <w:rsid w:val="574E3CA7"/>
    <w:rsid w:val="57600894"/>
    <w:rsid w:val="576158FB"/>
    <w:rsid w:val="576D42A0"/>
    <w:rsid w:val="57711082"/>
    <w:rsid w:val="57770C7B"/>
    <w:rsid w:val="57772B84"/>
    <w:rsid w:val="577B4C0F"/>
    <w:rsid w:val="578453FF"/>
    <w:rsid w:val="5789732C"/>
    <w:rsid w:val="578A4E52"/>
    <w:rsid w:val="578A6C00"/>
    <w:rsid w:val="578F2469"/>
    <w:rsid w:val="57925AB5"/>
    <w:rsid w:val="5794182D"/>
    <w:rsid w:val="579C48DF"/>
    <w:rsid w:val="57B277DD"/>
    <w:rsid w:val="57BC3F3F"/>
    <w:rsid w:val="57C87729"/>
    <w:rsid w:val="57C9597B"/>
    <w:rsid w:val="57CF2661"/>
    <w:rsid w:val="57CF2865"/>
    <w:rsid w:val="57D460CD"/>
    <w:rsid w:val="57D701C8"/>
    <w:rsid w:val="57D727E0"/>
    <w:rsid w:val="57E06B2A"/>
    <w:rsid w:val="57E207EA"/>
    <w:rsid w:val="57E36310"/>
    <w:rsid w:val="57EA3B43"/>
    <w:rsid w:val="57EC1669"/>
    <w:rsid w:val="57EF4CB5"/>
    <w:rsid w:val="57F131B7"/>
    <w:rsid w:val="57F4051E"/>
    <w:rsid w:val="57F549C2"/>
    <w:rsid w:val="57FA3D86"/>
    <w:rsid w:val="57FD3FEF"/>
    <w:rsid w:val="57FD73D2"/>
    <w:rsid w:val="580503C9"/>
    <w:rsid w:val="58070251"/>
    <w:rsid w:val="580C3AB9"/>
    <w:rsid w:val="5814296E"/>
    <w:rsid w:val="5816571C"/>
    <w:rsid w:val="581D5B34"/>
    <w:rsid w:val="581D7A74"/>
    <w:rsid w:val="581F685D"/>
    <w:rsid w:val="58280A33"/>
    <w:rsid w:val="583152CE"/>
    <w:rsid w:val="58360B36"/>
    <w:rsid w:val="583B7EFB"/>
    <w:rsid w:val="583F5C3D"/>
    <w:rsid w:val="5846521D"/>
    <w:rsid w:val="584E53FC"/>
    <w:rsid w:val="585C56FA"/>
    <w:rsid w:val="5866141B"/>
    <w:rsid w:val="586B4C84"/>
    <w:rsid w:val="5872595D"/>
    <w:rsid w:val="587A0A23"/>
    <w:rsid w:val="587A6C75"/>
    <w:rsid w:val="587C0C3F"/>
    <w:rsid w:val="5886386C"/>
    <w:rsid w:val="588673C8"/>
    <w:rsid w:val="58B101BD"/>
    <w:rsid w:val="58B51F64"/>
    <w:rsid w:val="58BF0B2C"/>
    <w:rsid w:val="58C13E3C"/>
    <w:rsid w:val="58C16652"/>
    <w:rsid w:val="58C817A8"/>
    <w:rsid w:val="58CD4FF7"/>
    <w:rsid w:val="58D2260D"/>
    <w:rsid w:val="58D520FD"/>
    <w:rsid w:val="58D97E3F"/>
    <w:rsid w:val="58DE5456"/>
    <w:rsid w:val="58DF4D2A"/>
    <w:rsid w:val="58E93DFA"/>
    <w:rsid w:val="58EB36CF"/>
    <w:rsid w:val="58F06F08"/>
    <w:rsid w:val="58F248FC"/>
    <w:rsid w:val="58FA6008"/>
    <w:rsid w:val="590E560F"/>
    <w:rsid w:val="591470C9"/>
    <w:rsid w:val="59180B0D"/>
    <w:rsid w:val="59254D4A"/>
    <w:rsid w:val="59301A29"/>
    <w:rsid w:val="59367040"/>
    <w:rsid w:val="59372DB8"/>
    <w:rsid w:val="593908DE"/>
    <w:rsid w:val="593B4656"/>
    <w:rsid w:val="593E6B46"/>
    <w:rsid w:val="59407EBE"/>
    <w:rsid w:val="5945248E"/>
    <w:rsid w:val="595B6AA6"/>
    <w:rsid w:val="595C61D5"/>
    <w:rsid w:val="59617E35"/>
    <w:rsid w:val="596A0289"/>
    <w:rsid w:val="596A4F3B"/>
    <w:rsid w:val="5973258D"/>
    <w:rsid w:val="5973309F"/>
    <w:rsid w:val="59741916"/>
    <w:rsid w:val="5975743C"/>
    <w:rsid w:val="59871EFA"/>
    <w:rsid w:val="598D4786"/>
    <w:rsid w:val="59961079"/>
    <w:rsid w:val="599E2E37"/>
    <w:rsid w:val="59A0270B"/>
    <w:rsid w:val="59AA31B9"/>
    <w:rsid w:val="59AA358A"/>
    <w:rsid w:val="59AB3E45"/>
    <w:rsid w:val="59C05885"/>
    <w:rsid w:val="59C12681"/>
    <w:rsid w:val="59C3464B"/>
    <w:rsid w:val="59D95C1D"/>
    <w:rsid w:val="59DA32C4"/>
    <w:rsid w:val="59DD74BB"/>
    <w:rsid w:val="59EB5AF2"/>
    <w:rsid w:val="59F70802"/>
    <w:rsid w:val="59FF38D6"/>
    <w:rsid w:val="5A026F22"/>
    <w:rsid w:val="5A096502"/>
    <w:rsid w:val="5A1153B7"/>
    <w:rsid w:val="5A13112F"/>
    <w:rsid w:val="5A1A6CEB"/>
    <w:rsid w:val="5A274BDA"/>
    <w:rsid w:val="5A2C3F9F"/>
    <w:rsid w:val="5A2E7D17"/>
    <w:rsid w:val="5A47527D"/>
    <w:rsid w:val="5A481A6A"/>
    <w:rsid w:val="5A48336E"/>
    <w:rsid w:val="5A49486C"/>
    <w:rsid w:val="5A494B51"/>
    <w:rsid w:val="5A530D01"/>
    <w:rsid w:val="5A537A69"/>
    <w:rsid w:val="5A551247"/>
    <w:rsid w:val="5A5C7481"/>
    <w:rsid w:val="5A6000EC"/>
    <w:rsid w:val="5A663955"/>
    <w:rsid w:val="5A6776CD"/>
    <w:rsid w:val="5A6951F3"/>
    <w:rsid w:val="5A7073F8"/>
    <w:rsid w:val="5A7616BE"/>
    <w:rsid w:val="5A851901"/>
    <w:rsid w:val="5A8F5C5F"/>
    <w:rsid w:val="5A905CD7"/>
    <w:rsid w:val="5A92474A"/>
    <w:rsid w:val="5A932270"/>
    <w:rsid w:val="5A936E30"/>
    <w:rsid w:val="5A953685"/>
    <w:rsid w:val="5A963B0E"/>
    <w:rsid w:val="5A9B1124"/>
    <w:rsid w:val="5A9D5BC5"/>
    <w:rsid w:val="5AA24261"/>
    <w:rsid w:val="5AA71877"/>
    <w:rsid w:val="5AB02E22"/>
    <w:rsid w:val="5AB32912"/>
    <w:rsid w:val="5ABA133E"/>
    <w:rsid w:val="5ABD72ED"/>
    <w:rsid w:val="5AC24903"/>
    <w:rsid w:val="5AC73CC7"/>
    <w:rsid w:val="5ACD77B4"/>
    <w:rsid w:val="5AD308BE"/>
    <w:rsid w:val="5AD5210D"/>
    <w:rsid w:val="5ADE798F"/>
    <w:rsid w:val="5AE0597A"/>
    <w:rsid w:val="5AEB3E5A"/>
    <w:rsid w:val="5AED1980"/>
    <w:rsid w:val="5AFB5705"/>
    <w:rsid w:val="5B044F1C"/>
    <w:rsid w:val="5B070568"/>
    <w:rsid w:val="5B092B25"/>
    <w:rsid w:val="5B0A0784"/>
    <w:rsid w:val="5B0B0058"/>
    <w:rsid w:val="5B101B12"/>
    <w:rsid w:val="5B127639"/>
    <w:rsid w:val="5B13515F"/>
    <w:rsid w:val="5B1E7D8B"/>
    <w:rsid w:val="5B1F0E94"/>
    <w:rsid w:val="5B3475AF"/>
    <w:rsid w:val="5B353327"/>
    <w:rsid w:val="5B3B6725"/>
    <w:rsid w:val="5B3B7914"/>
    <w:rsid w:val="5B3F6ED3"/>
    <w:rsid w:val="5B4041A6"/>
    <w:rsid w:val="5B48305A"/>
    <w:rsid w:val="5B503CBD"/>
    <w:rsid w:val="5B5163B3"/>
    <w:rsid w:val="5B525C87"/>
    <w:rsid w:val="5B573E29"/>
    <w:rsid w:val="5B5B309C"/>
    <w:rsid w:val="5B5E63DA"/>
    <w:rsid w:val="5B6360E6"/>
    <w:rsid w:val="5B637E94"/>
    <w:rsid w:val="5B641919"/>
    <w:rsid w:val="5B6F4A8B"/>
    <w:rsid w:val="5B742D84"/>
    <w:rsid w:val="5B793214"/>
    <w:rsid w:val="5B7A55BF"/>
    <w:rsid w:val="5B835E40"/>
    <w:rsid w:val="5B871DD5"/>
    <w:rsid w:val="5B8723C2"/>
    <w:rsid w:val="5B876AF2"/>
    <w:rsid w:val="5B9462A0"/>
    <w:rsid w:val="5B9821F0"/>
    <w:rsid w:val="5B9E0ECC"/>
    <w:rsid w:val="5BA74225"/>
    <w:rsid w:val="5BA74D5F"/>
    <w:rsid w:val="5BA83AF9"/>
    <w:rsid w:val="5BA87F9D"/>
    <w:rsid w:val="5BAA161F"/>
    <w:rsid w:val="5BBA54B2"/>
    <w:rsid w:val="5BC36B85"/>
    <w:rsid w:val="5BC37254"/>
    <w:rsid w:val="5BC528FD"/>
    <w:rsid w:val="5BC8419B"/>
    <w:rsid w:val="5BC86642"/>
    <w:rsid w:val="5BC97600"/>
    <w:rsid w:val="5BCA2690"/>
    <w:rsid w:val="5BD65D53"/>
    <w:rsid w:val="5BDC37A3"/>
    <w:rsid w:val="5BE03293"/>
    <w:rsid w:val="5BE67F37"/>
    <w:rsid w:val="5BF8281F"/>
    <w:rsid w:val="5BFD2097"/>
    <w:rsid w:val="5C007491"/>
    <w:rsid w:val="5C073CD7"/>
    <w:rsid w:val="5C163158"/>
    <w:rsid w:val="5C2313D1"/>
    <w:rsid w:val="5C285C93"/>
    <w:rsid w:val="5C2D3FFE"/>
    <w:rsid w:val="5C341831"/>
    <w:rsid w:val="5C361105"/>
    <w:rsid w:val="5C3B671B"/>
    <w:rsid w:val="5C3F26AF"/>
    <w:rsid w:val="5C442095"/>
    <w:rsid w:val="5C45759A"/>
    <w:rsid w:val="5C4A4BB0"/>
    <w:rsid w:val="5C4C2853"/>
    <w:rsid w:val="5C4E7CAF"/>
    <w:rsid w:val="5C54212E"/>
    <w:rsid w:val="5C556587"/>
    <w:rsid w:val="5C5A1C17"/>
    <w:rsid w:val="5C602626"/>
    <w:rsid w:val="5C675762"/>
    <w:rsid w:val="5C6921D2"/>
    <w:rsid w:val="5C69772C"/>
    <w:rsid w:val="5C741C2D"/>
    <w:rsid w:val="5C7B2FBB"/>
    <w:rsid w:val="5C7D4F86"/>
    <w:rsid w:val="5C8207EE"/>
    <w:rsid w:val="5C82259C"/>
    <w:rsid w:val="5C8D4E96"/>
    <w:rsid w:val="5C8E2CEF"/>
    <w:rsid w:val="5C952E62"/>
    <w:rsid w:val="5C98591B"/>
    <w:rsid w:val="5CA40764"/>
    <w:rsid w:val="5CAB38A1"/>
    <w:rsid w:val="5CAE75C8"/>
    <w:rsid w:val="5CB564CD"/>
    <w:rsid w:val="5CBD40C9"/>
    <w:rsid w:val="5CC901CB"/>
    <w:rsid w:val="5CCB7A9F"/>
    <w:rsid w:val="5CCC3817"/>
    <w:rsid w:val="5CD5091E"/>
    <w:rsid w:val="5CD673D2"/>
    <w:rsid w:val="5CDC7EFE"/>
    <w:rsid w:val="5CE40B61"/>
    <w:rsid w:val="5CE442E2"/>
    <w:rsid w:val="5CE60D7D"/>
    <w:rsid w:val="5CE96177"/>
    <w:rsid w:val="5CED5FBE"/>
    <w:rsid w:val="5CF039A9"/>
    <w:rsid w:val="5CF8460C"/>
    <w:rsid w:val="5CFE461E"/>
    <w:rsid w:val="5D080CF3"/>
    <w:rsid w:val="5D0B1753"/>
    <w:rsid w:val="5D1450ED"/>
    <w:rsid w:val="5D215911"/>
    <w:rsid w:val="5D237AA4"/>
    <w:rsid w:val="5D2B4EC5"/>
    <w:rsid w:val="5D353C21"/>
    <w:rsid w:val="5D3970FE"/>
    <w:rsid w:val="5D3F5F0C"/>
    <w:rsid w:val="5D494E68"/>
    <w:rsid w:val="5D4C0510"/>
    <w:rsid w:val="5D4E06D0"/>
    <w:rsid w:val="5D584DCA"/>
    <w:rsid w:val="5D5C26AD"/>
    <w:rsid w:val="5D5E32AB"/>
    <w:rsid w:val="5D656145"/>
    <w:rsid w:val="5D6A654E"/>
    <w:rsid w:val="5D6F2B20"/>
    <w:rsid w:val="5D740137"/>
    <w:rsid w:val="5D752101"/>
    <w:rsid w:val="5D7A14C5"/>
    <w:rsid w:val="5D7A3273"/>
    <w:rsid w:val="5D7C34A4"/>
    <w:rsid w:val="5D8D11F8"/>
    <w:rsid w:val="5D8F31C2"/>
    <w:rsid w:val="5D942587"/>
    <w:rsid w:val="5D9702C9"/>
    <w:rsid w:val="5D997B9D"/>
    <w:rsid w:val="5D9C58DF"/>
    <w:rsid w:val="5D9F2CDA"/>
    <w:rsid w:val="5DA768D4"/>
    <w:rsid w:val="5DA87DE0"/>
    <w:rsid w:val="5DAA3B58"/>
    <w:rsid w:val="5DAA7FFC"/>
    <w:rsid w:val="5DAD53F7"/>
    <w:rsid w:val="5DB06C95"/>
    <w:rsid w:val="5DB25F7C"/>
    <w:rsid w:val="5DC32E6C"/>
    <w:rsid w:val="5DC42740"/>
    <w:rsid w:val="5DC50992"/>
    <w:rsid w:val="5DCD5A99"/>
    <w:rsid w:val="5DDA1A57"/>
    <w:rsid w:val="5DDA4C36"/>
    <w:rsid w:val="5DDC09E9"/>
    <w:rsid w:val="5DE652CA"/>
    <w:rsid w:val="5DE9492A"/>
    <w:rsid w:val="5DEC5CEE"/>
    <w:rsid w:val="5DF94AE0"/>
    <w:rsid w:val="5DFC012C"/>
    <w:rsid w:val="5E000678"/>
    <w:rsid w:val="5E064456"/>
    <w:rsid w:val="5E0A0A9B"/>
    <w:rsid w:val="5E0F7E5F"/>
    <w:rsid w:val="5E1611EE"/>
    <w:rsid w:val="5E1C257C"/>
    <w:rsid w:val="5E2002BE"/>
    <w:rsid w:val="5E27164D"/>
    <w:rsid w:val="5E280F21"/>
    <w:rsid w:val="5E2A3E5C"/>
    <w:rsid w:val="5E2C27BF"/>
    <w:rsid w:val="5E2D4789"/>
    <w:rsid w:val="5E323B4E"/>
    <w:rsid w:val="5E437B09"/>
    <w:rsid w:val="5E451AD3"/>
    <w:rsid w:val="5E483371"/>
    <w:rsid w:val="5E4C4C10"/>
    <w:rsid w:val="5E4E4E2C"/>
    <w:rsid w:val="5E4E6BDA"/>
    <w:rsid w:val="5E5134BA"/>
    <w:rsid w:val="5E555CEB"/>
    <w:rsid w:val="5E5D506F"/>
    <w:rsid w:val="5E6006BB"/>
    <w:rsid w:val="5E6737F7"/>
    <w:rsid w:val="5E6D4B86"/>
    <w:rsid w:val="5E745F14"/>
    <w:rsid w:val="5E785A05"/>
    <w:rsid w:val="5E7B54F5"/>
    <w:rsid w:val="5E7B72A3"/>
    <w:rsid w:val="5E7C0528"/>
    <w:rsid w:val="5E802B0B"/>
    <w:rsid w:val="5E84084D"/>
    <w:rsid w:val="5E8545C5"/>
    <w:rsid w:val="5E9345EC"/>
    <w:rsid w:val="5E954808"/>
    <w:rsid w:val="5E9B7945"/>
    <w:rsid w:val="5E9F094A"/>
    <w:rsid w:val="5EA22A81"/>
    <w:rsid w:val="5EA40C24"/>
    <w:rsid w:val="5EA52572"/>
    <w:rsid w:val="5EA92062"/>
    <w:rsid w:val="5EAA1E65"/>
    <w:rsid w:val="5EB033F0"/>
    <w:rsid w:val="5EB67C4E"/>
    <w:rsid w:val="5EBE2F3E"/>
    <w:rsid w:val="5EBF2243"/>
    <w:rsid w:val="5EC24ED2"/>
    <w:rsid w:val="5ECE1AC8"/>
    <w:rsid w:val="5ED03A93"/>
    <w:rsid w:val="5EDF5A84"/>
    <w:rsid w:val="5EE477F0"/>
    <w:rsid w:val="5EE47F1F"/>
    <w:rsid w:val="5EEE5CC7"/>
    <w:rsid w:val="5EF01A3F"/>
    <w:rsid w:val="5EFC6636"/>
    <w:rsid w:val="5F0279C4"/>
    <w:rsid w:val="5F0F6EA7"/>
    <w:rsid w:val="5F1020E1"/>
    <w:rsid w:val="5F1F2324"/>
    <w:rsid w:val="5F2636B2"/>
    <w:rsid w:val="5F2B0D56"/>
    <w:rsid w:val="5F2D2C93"/>
    <w:rsid w:val="5F2E3272"/>
    <w:rsid w:val="5F3062DF"/>
    <w:rsid w:val="5F38005A"/>
    <w:rsid w:val="5F4D50E3"/>
    <w:rsid w:val="5F50072F"/>
    <w:rsid w:val="5F553F98"/>
    <w:rsid w:val="5F610B8F"/>
    <w:rsid w:val="5F6441DB"/>
    <w:rsid w:val="5F675A73"/>
    <w:rsid w:val="5F6B7317"/>
    <w:rsid w:val="5F7234C0"/>
    <w:rsid w:val="5F797C86"/>
    <w:rsid w:val="5F7A57AC"/>
    <w:rsid w:val="5F8264B2"/>
    <w:rsid w:val="5F85487D"/>
    <w:rsid w:val="5F8605F5"/>
    <w:rsid w:val="5F8E3006"/>
    <w:rsid w:val="5F906D7E"/>
    <w:rsid w:val="5F91655E"/>
    <w:rsid w:val="5F993E84"/>
    <w:rsid w:val="5F996788"/>
    <w:rsid w:val="5FA97E40"/>
    <w:rsid w:val="5FAA6092"/>
    <w:rsid w:val="5FAB3BB8"/>
    <w:rsid w:val="5FB32A6C"/>
    <w:rsid w:val="5FB418A3"/>
    <w:rsid w:val="5FB76A00"/>
    <w:rsid w:val="5FC829BC"/>
    <w:rsid w:val="5FC8476A"/>
    <w:rsid w:val="5FD2383A"/>
    <w:rsid w:val="5FE1243E"/>
    <w:rsid w:val="5FE33352"/>
    <w:rsid w:val="5FEA46E0"/>
    <w:rsid w:val="5FEF1CF6"/>
    <w:rsid w:val="5FFC2665"/>
    <w:rsid w:val="5FFC4413"/>
    <w:rsid w:val="5FFE018B"/>
    <w:rsid w:val="600339F4"/>
    <w:rsid w:val="60082DB8"/>
    <w:rsid w:val="600F4147"/>
    <w:rsid w:val="60193217"/>
    <w:rsid w:val="601C4AB5"/>
    <w:rsid w:val="601C6864"/>
    <w:rsid w:val="601D6507"/>
    <w:rsid w:val="6026216E"/>
    <w:rsid w:val="602C4CF9"/>
    <w:rsid w:val="60363DC9"/>
    <w:rsid w:val="603851FF"/>
    <w:rsid w:val="603B14CB"/>
    <w:rsid w:val="60483AFC"/>
    <w:rsid w:val="604A1623"/>
    <w:rsid w:val="60504B25"/>
    <w:rsid w:val="60563B24"/>
    <w:rsid w:val="606A75CF"/>
    <w:rsid w:val="606C77EB"/>
    <w:rsid w:val="606F6C09"/>
    <w:rsid w:val="607B17DC"/>
    <w:rsid w:val="607E12CC"/>
    <w:rsid w:val="608763D3"/>
    <w:rsid w:val="6089214B"/>
    <w:rsid w:val="608C637E"/>
    <w:rsid w:val="608D150F"/>
    <w:rsid w:val="608F7035"/>
    <w:rsid w:val="60936B26"/>
    <w:rsid w:val="609E54CA"/>
    <w:rsid w:val="60B116A2"/>
    <w:rsid w:val="60BB7E2A"/>
    <w:rsid w:val="60C74A21"/>
    <w:rsid w:val="60D333C6"/>
    <w:rsid w:val="60D94755"/>
    <w:rsid w:val="60DF0DF4"/>
    <w:rsid w:val="60E0467B"/>
    <w:rsid w:val="60E05AE3"/>
    <w:rsid w:val="60E905BC"/>
    <w:rsid w:val="60E90E3C"/>
    <w:rsid w:val="60EA6962"/>
    <w:rsid w:val="60EC4488"/>
    <w:rsid w:val="60EC6236"/>
    <w:rsid w:val="60F03F78"/>
    <w:rsid w:val="60F11A9E"/>
    <w:rsid w:val="60F46B68"/>
    <w:rsid w:val="60FB407F"/>
    <w:rsid w:val="60FD0443"/>
    <w:rsid w:val="60FD6695"/>
    <w:rsid w:val="61047A23"/>
    <w:rsid w:val="61082B97"/>
    <w:rsid w:val="610F5B9A"/>
    <w:rsid w:val="61161505"/>
    <w:rsid w:val="61167757"/>
    <w:rsid w:val="611F6F3D"/>
    <w:rsid w:val="612400C6"/>
    <w:rsid w:val="61307EC2"/>
    <w:rsid w:val="61314591"/>
    <w:rsid w:val="61467F1B"/>
    <w:rsid w:val="614D20BD"/>
    <w:rsid w:val="61504A17"/>
    <w:rsid w:val="615362B5"/>
    <w:rsid w:val="61555EEF"/>
    <w:rsid w:val="615D7134"/>
    <w:rsid w:val="6162299C"/>
    <w:rsid w:val="6166423A"/>
    <w:rsid w:val="616B1343"/>
    <w:rsid w:val="616B35FF"/>
    <w:rsid w:val="616C020C"/>
    <w:rsid w:val="616C5544"/>
    <w:rsid w:val="616D55C9"/>
    <w:rsid w:val="617A1A94"/>
    <w:rsid w:val="617C3A5E"/>
    <w:rsid w:val="61811074"/>
    <w:rsid w:val="618648DC"/>
    <w:rsid w:val="61891CD7"/>
    <w:rsid w:val="618D5C6B"/>
    <w:rsid w:val="61941B7F"/>
    <w:rsid w:val="61945FD9"/>
    <w:rsid w:val="61AB4343"/>
    <w:rsid w:val="61AD1E69"/>
    <w:rsid w:val="61B01959"/>
    <w:rsid w:val="61BD0EFD"/>
    <w:rsid w:val="61C251E9"/>
    <w:rsid w:val="61D373F6"/>
    <w:rsid w:val="61D90EB0"/>
    <w:rsid w:val="61D967BF"/>
    <w:rsid w:val="61DC44FC"/>
    <w:rsid w:val="61DC6B3A"/>
    <w:rsid w:val="61EA6C19"/>
    <w:rsid w:val="61EB473F"/>
    <w:rsid w:val="61ED495B"/>
    <w:rsid w:val="6209072B"/>
    <w:rsid w:val="620C3A89"/>
    <w:rsid w:val="620F042E"/>
    <w:rsid w:val="62122F41"/>
    <w:rsid w:val="62195750"/>
    <w:rsid w:val="62214605"/>
    <w:rsid w:val="62225D4A"/>
    <w:rsid w:val="622C5484"/>
    <w:rsid w:val="6240065E"/>
    <w:rsid w:val="62404A8B"/>
    <w:rsid w:val="624F1172"/>
    <w:rsid w:val="62514EEA"/>
    <w:rsid w:val="62516C98"/>
    <w:rsid w:val="62540537"/>
    <w:rsid w:val="625948C9"/>
    <w:rsid w:val="62595B4D"/>
    <w:rsid w:val="625D128F"/>
    <w:rsid w:val="625E7607"/>
    <w:rsid w:val="626562A0"/>
    <w:rsid w:val="62675548"/>
    <w:rsid w:val="626A4231"/>
    <w:rsid w:val="626A5FAC"/>
    <w:rsid w:val="62704A45"/>
    <w:rsid w:val="627604AD"/>
    <w:rsid w:val="627B1F67"/>
    <w:rsid w:val="627C183B"/>
    <w:rsid w:val="6280132C"/>
    <w:rsid w:val="628249B5"/>
    <w:rsid w:val="62867444"/>
    <w:rsid w:val="628C2B36"/>
    <w:rsid w:val="628F10F4"/>
    <w:rsid w:val="62913539"/>
    <w:rsid w:val="629923ED"/>
    <w:rsid w:val="629B6165"/>
    <w:rsid w:val="62A0377C"/>
    <w:rsid w:val="62AD7C47"/>
    <w:rsid w:val="62BF00A6"/>
    <w:rsid w:val="62C0797A"/>
    <w:rsid w:val="62C31218"/>
    <w:rsid w:val="62C84A81"/>
    <w:rsid w:val="62C864AE"/>
    <w:rsid w:val="62CF7BBD"/>
    <w:rsid w:val="62D03B5C"/>
    <w:rsid w:val="62D90A3C"/>
    <w:rsid w:val="62DE6052"/>
    <w:rsid w:val="62E713AB"/>
    <w:rsid w:val="62EA49F7"/>
    <w:rsid w:val="62EC076F"/>
    <w:rsid w:val="62EE3482"/>
    <w:rsid w:val="631B1054"/>
    <w:rsid w:val="63276DF7"/>
    <w:rsid w:val="632B666D"/>
    <w:rsid w:val="632F4942"/>
    <w:rsid w:val="63350368"/>
    <w:rsid w:val="63381C06"/>
    <w:rsid w:val="633B34A5"/>
    <w:rsid w:val="63416D0D"/>
    <w:rsid w:val="63424833"/>
    <w:rsid w:val="634467FD"/>
    <w:rsid w:val="6345292E"/>
    <w:rsid w:val="63475D14"/>
    <w:rsid w:val="63494739"/>
    <w:rsid w:val="635065E6"/>
    <w:rsid w:val="635C1273"/>
    <w:rsid w:val="636504FC"/>
    <w:rsid w:val="636A0DA9"/>
    <w:rsid w:val="636B30BC"/>
    <w:rsid w:val="638906B4"/>
    <w:rsid w:val="638915D0"/>
    <w:rsid w:val="639130C5"/>
    <w:rsid w:val="639F1C85"/>
    <w:rsid w:val="63A66B70"/>
    <w:rsid w:val="63A710E9"/>
    <w:rsid w:val="63B35731"/>
    <w:rsid w:val="63C94F54"/>
    <w:rsid w:val="63D731CD"/>
    <w:rsid w:val="63DC07E4"/>
    <w:rsid w:val="63DE1377"/>
    <w:rsid w:val="63E31B72"/>
    <w:rsid w:val="63EC49B5"/>
    <w:rsid w:val="63F024E1"/>
    <w:rsid w:val="63F91396"/>
    <w:rsid w:val="63FA3360"/>
    <w:rsid w:val="640970FF"/>
    <w:rsid w:val="640A365A"/>
    <w:rsid w:val="640C3047"/>
    <w:rsid w:val="640F1388"/>
    <w:rsid w:val="641F5CB4"/>
    <w:rsid w:val="64281C7B"/>
    <w:rsid w:val="64340620"/>
    <w:rsid w:val="64357EF4"/>
    <w:rsid w:val="644206E0"/>
    <w:rsid w:val="644F0FB6"/>
    <w:rsid w:val="64542A70"/>
    <w:rsid w:val="6459506F"/>
    <w:rsid w:val="645962D8"/>
    <w:rsid w:val="645B2050"/>
    <w:rsid w:val="645B3DFE"/>
    <w:rsid w:val="64760C38"/>
    <w:rsid w:val="6481138B"/>
    <w:rsid w:val="64836EB1"/>
    <w:rsid w:val="648C045C"/>
    <w:rsid w:val="649B069F"/>
    <w:rsid w:val="649D61FE"/>
    <w:rsid w:val="649E018F"/>
    <w:rsid w:val="64A01811"/>
    <w:rsid w:val="64A82DBC"/>
    <w:rsid w:val="64AD03D2"/>
    <w:rsid w:val="64B17EC2"/>
    <w:rsid w:val="64B21544"/>
    <w:rsid w:val="64B4350F"/>
    <w:rsid w:val="64B92B61"/>
    <w:rsid w:val="64BB7692"/>
    <w:rsid w:val="64BD0615"/>
    <w:rsid w:val="64CA4AE0"/>
    <w:rsid w:val="64CD176A"/>
    <w:rsid w:val="64CE0433"/>
    <w:rsid w:val="64CE0E0E"/>
    <w:rsid w:val="64D21BE7"/>
    <w:rsid w:val="64D67929"/>
    <w:rsid w:val="64D91F3D"/>
    <w:rsid w:val="64DB4F3F"/>
    <w:rsid w:val="64DE058B"/>
    <w:rsid w:val="64EA5D49"/>
    <w:rsid w:val="64F14763"/>
    <w:rsid w:val="64F14A15"/>
    <w:rsid w:val="64F25DE5"/>
    <w:rsid w:val="64FB113D"/>
    <w:rsid w:val="65006754"/>
    <w:rsid w:val="650730DA"/>
    <w:rsid w:val="650A312E"/>
    <w:rsid w:val="650E3A02"/>
    <w:rsid w:val="651450B4"/>
    <w:rsid w:val="65187685"/>
    <w:rsid w:val="652533CA"/>
    <w:rsid w:val="65270184"/>
    <w:rsid w:val="652A557F"/>
    <w:rsid w:val="652C12F7"/>
    <w:rsid w:val="6535464F"/>
    <w:rsid w:val="653A7E8C"/>
    <w:rsid w:val="65436640"/>
    <w:rsid w:val="65441099"/>
    <w:rsid w:val="654416A1"/>
    <w:rsid w:val="65516FAF"/>
    <w:rsid w:val="655F548E"/>
    <w:rsid w:val="656A52FB"/>
    <w:rsid w:val="656C3548"/>
    <w:rsid w:val="65700669"/>
    <w:rsid w:val="65717652"/>
    <w:rsid w:val="65735178"/>
    <w:rsid w:val="657D7DA4"/>
    <w:rsid w:val="65847385"/>
    <w:rsid w:val="65896749"/>
    <w:rsid w:val="65931376"/>
    <w:rsid w:val="65956E9C"/>
    <w:rsid w:val="65A10768"/>
    <w:rsid w:val="65A215B9"/>
    <w:rsid w:val="65A73073"/>
    <w:rsid w:val="65AE5912"/>
    <w:rsid w:val="65BC08CD"/>
    <w:rsid w:val="65C504AF"/>
    <w:rsid w:val="65C6799D"/>
    <w:rsid w:val="65C77271"/>
    <w:rsid w:val="65C9123C"/>
    <w:rsid w:val="65CB4FB4"/>
    <w:rsid w:val="65CE6852"/>
    <w:rsid w:val="65D21007"/>
    <w:rsid w:val="65D521FE"/>
    <w:rsid w:val="65D8322D"/>
    <w:rsid w:val="65DA6FA5"/>
    <w:rsid w:val="65ED7C94"/>
    <w:rsid w:val="65EE0CA2"/>
    <w:rsid w:val="65F04A1A"/>
    <w:rsid w:val="65F067C8"/>
    <w:rsid w:val="65F52031"/>
    <w:rsid w:val="65FE7137"/>
    <w:rsid w:val="65FF3D2A"/>
    <w:rsid w:val="65FF6A0B"/>
    <w:rsid w:val="66065FEC"/>
    <w:rsid w:val="66101A71"/>
    <w:rsid w:val="6612673F"/>
    <w:rsid w:val="66171FA7"/>
    <w:rsid w:val="66196DE7"/>
    <w:rsid w:val="661F0E5C"/>
    <w:rsid w:val="662E109F"/>
    <w:rsid w:val="663469D1"/>
    <w:rsid w:val="66360167"/>
    <w:rsid w:val="66377F53"/>
    <w:rsid w:val="663A5C95"/>
    <w:rsid w:val="663A7A43"/>
    <w:rsid w:val="66417024"/>
    <w:rsid w:val="66551CC6"/>
    <w:rsid w:val="66560D21"/>
    <w:rsid w:val="665A00E6"/>
    <w:rsid w:val="666130C7"/>
    <w:rsid w:val="666845B1"/>
    <w:rsid w:val="666A0329"/>
    <w:rsid w:val="666B30FC"/>
    <w:rsid w:val="666D7E19"/>
    <w:rsid w:val="66737BEF"/>
    <w:rsid w:val="66740704"/>
    <w:rsid w:val="667565E0"/>
    <w:rsid w:val="667A42E4"/>
    <w:rsid w:val="667E3DD4"/>
    <w:rsid w:val="667F14F6"/>
    <w:rsid w:val="667F664F"/>
    <w:rsid w:val="66833198"/>
    <w:rsid w:val="668B64F1"/>
    <w:rsid w:val="668C531E"/>
    <w:rsid w:val="668F1B3D"/>
    <w:rsid w:val="669435F8"/>
    <w:rsid w:val="66973195"/>
    <w:rsid w:val="669A294B"/>
    <w:rsid w:val="66A51361"/>
    <w:rsid w:val="66A650D9"/>
    <w:rsid w:val="66A870A3"/>
    <w:rsid w:val="66AB0941"/>
    <w:rsid w:val="66AC2781"/>
    <w:rsid w:val="66B94E0C"/>
    <w:rsid w:val="66BB1946"/>
    <w:rsid w:val="66C0619B"/>
    <w:rsid w:val="66C17142"/>
    <w:rsid w:val="66C2220F"/>
    <w:rsid w:val="66C33EDD"/>
    <w:rsid w:val="66D6776C"/>
    <w:rsid w:val="66DD5F97"/>
    <w:rsid w:val="66DE0D17"/>
    <w:rsid w:val="66E225B5"/>
    <w:rsid w:val="66E3632D"/>
    <w:rsid w:val="66E8749F"/>
    <w:rsid w:val="66EC0EE7"/>
    <w:rsid w:val="66EE7AE8"/>
    <w:rsid w:val="66FD17D2"/>
    <w:rsid w:val="6707201B"/>
    <w:rsid w:val="670A1B0C"/>
    <w:rsid w:val="67136C12"/>
    <w:rsid w:val="6727446C"/>
    <w:rsid w:val="672F1572"/>
    <w:rsid w:val="67310E46"/>
    <w:rsid w:val="67317098"/>
    <w:rsid w:val="67375BBB"/>
    <w:rsid w:val="67397CFB"/>
    <w:rsid w:val="673F17B5"/>
    <w:rsid w:val="67452B44"/>
    <w:rsid w:val="674D0433"/>
    <w:rsid w:val="674D780B"/>
    <w:rsid w:val="674E7C4A"/>
    <w:rsid w:val="675114E9"/>
    <w:rsid w:val="67580AC9"/>
    <w:rsid w:val="675E59B4"/>
    <w:rsid w:val="67650AF0"/>
    <w:rsid w:val="676F7BC1"/>
    <w:rsid w:val="67782D7F"/>
    <w:rsid w:val="6784541A"/>
    <w:rsid w:val="67876CB8"/>
    <w:rsid w:val="678B49FB"/>
    <w:rsid w:val="678E5BEE"/>
    <w:rsid w:val="679118E5"/>
    <w:rsid w:val="67987117"/>
    <w:rsid w:val="679F2254"/>
    <w:rsid w:val="67A94E81"/>
    <w:rsid w:val="67AB6E4B"/>
    <w:rsid w:val="67B51A77"/>
    <w:rsid w:val="67B72BA3"/>
    <w:rsid w:val="67B80E5B"/>
    <w:rsid w:val="67B81568"/>
    <w:rsid w:val="67BF6452"/>
    <w:rsid w:val="67C1041C"/>
    <w:rsid w:val="67C65A33"/>
    <w:rsid w:val="67E20393"/>
    <w:rsid w:val="67EB086B"/>
    <w:rsid w:val="67F105D6"/>
    <w:rsid w:val="67F51E74"/>
    <w:rsid w:val="67F73E3E"/>
    <w:rsid w:val="67FF2CF3"/>
    <w:rsid w:val="680227E3"/>
    <w:rsid w:val="68071BA7"/>
    <w:rsid w:val="68077DF9"/>
    <w:rsid w:val="680B78E9"/>
    <w:rsid w:val="680D7083"/>
    <w:rsid w:val="680F7207"/>
    <w:rsid w:val="681C58F0"/>
    <w:rsid w:val="6827383A"/>
    <w:rsid w:val="68306E82"/>
    <w:rsid w:val="6832131A"/>
    <w:rsid w:val="68327203"/>
    <w:rsid w:val="683F63B3"/>
    <w:rsid w:val="68464DC5"/>
    <w:rsid w:val="68522367"/>
    <w:rsid w:val="6852376A"/>
    <w:rsid w:val="68556DB7"/>
    <w:rsid w:val="68582403"/>
    <w:rsid w:val="685968A7"/>
    <w:rsid w:val="685A1F5A"/>
    <w:rsid w:val="685E5C6B"/>
    <w:rsid w:val="68623877"/>
    <w:rsid w:val="686314D3"/>
    <w:rsid w:val="6868570A"/>
    <w:rsid w:val="68692862"/>
    <w:rsid w:val="686D4100"/>
    <w:rsid w:val="686D5EAE"/>
    <w:rsid w:val="68703BF0"/>
    <w:rsid w:val="6873723D"/>
    <w:rsid w:val="68745341"/>
    <w:rsid w:val="68757459"/>
    <w:rsid w:val="68763722"/>
    <w:rsid w:val="68776D2D"/>
    <w:rsid w:val="68906740"/>
    <w:rsid w:val="68916F6D"/>
    <w:rsid w:val="6893581B"/>
    <w:rsid w:val="689618A9"/>
    <w:rsid w:val="6897117D"/>
    <w:rsid w:val="68975621"/>
    <w:rsid w:val="689773CF"/>
    <w:rsid w:val="68B47F81"/>
    <w:rsid w:val="68B97345"/>
    <w:rsid w:val="68C36416"/>
    <w:rsid w:val="68C87588"/>
    <w:rsid w:val="68C900CD"/>
    <w:rsid w:val="68CC52CB"/>
    <w:rsid w:val="68CF048B"/>
    <w:rsid w:val="68D4417F"/>
    <w:rsid w:val="68D91796"/>
    <w:rsid w:val="68E02B24"/>
    <w:rsid w:val="68E162F6"/>
    <w:rsid w:val="68E6198D"/>
    <w:rsid w:val="68E63EB3"/>
    <w:rsid w:val="68EA5751"/>
    <w:rsid w:val="68EF0FB9"/>
    <w:rsid w:val="68F276C7"/>
    <w:rsid w:val="68F6059A"/>
    <w:rsid w:val="68F640F6"/>
    <w:rsid w:val="68F95994"/>
    <w:rsid w:val="6900258E"/>
    <w:rsid w:val="690031C6"/>
    <w:rsid w:val="690E2DE0"/>
    <w:rsid w:val="690F6F65"/>
    <w:rsid w:val="6911701E"/>
    <w:rsid w:val="69117181"/>
    <w:rsid w:val="69224EEB"/>
    <w:rsid w:val="692D19E3"/>
    <w:rsid w:val="692D1AE1"/>
    <w:rsid w:val="693370F8"/>
    <w:rsid w:val="69390486"/>
    <w:rsid w:val="69392234"/>
    <w:rsid w:val="693B41FE"/>
    <w:rsid w:val="694857F0"/>
    <w:rsid w:val="694D5CE0"/>
    <w:rsid w:val="695D5F23"/>
    <w:rsid w:val="696A0640"/>
    <w:rsid w:val="696A6892"/>
    <w:rsid w:val="696B6C9C"/>
    <w:rsid w:val="696F3EA8"/>
    <w:rsid w:val="696F5C56"/>
    <w:rsid w:val="69733998"/>
    <w:rsid w:val="69804C34"/>
    <w:rsid w:val="69847593"/>
    <w:rsid w:val="69961435"/>
    <w:rsid w:val="699833FF"/>
    <w:rsid w:val="69A43B52"/>
    <w:rsid w:val="69A449B2"/>
    <w:rsid w:val="69A65340"/>
    <w:rsid w:val="69AE2C22"/>
    <w:rsid w:val="69BA3375"/>
    <w:rsid w:val="69BB0E9B"/>
    <w:rsid w:val="69C02956"/>
    <w:rsid w:val="69C266CE"/>
    <w:rsid w:val="69C42446"/>
    <w:rsid w:val="69C53AC8"/>
    <w:rsid w:val="69CB1149"/>
    <w:rsid w:val="69CB37D4"/>
    <w:rsid w:val="69CC12FA"/>
    <w:rsid w:val="69D106BF"/>
    <w:rsid w:val="69E23671"/>
    <w:rsid w:val="69E71F70"/>
    <w:rsid w:val="69E95A08"/>
    <w:rsid w:val="69E9725A"/>
    <w:rsid w:val="69EC72A7"/>
    <w:rsid w:val="69F04FE9"/>
    <w:rsid w:val="69F47F81"/>
    <w:rsid w:val="69FD14B4"/>
    <w:rsid w:val="69FF2E94"/>
    <w:rsid w:val="6A0445F0"/>
    <w:rsid w:val="6A06480C"/>
    <w:rsid w:val="6A0C7949"/>
    <w:rsid w:val="6A1832F0"/>
    <w:rsid w:val="6A334ED5"/>
    <w:rsid w:val="6A3950E6"/>
    <w:rsid w:val="6A4814BC"/>
    <w:rsid w:val="6A4B66C3"/>
    <w:rsid w:val="6A4C5F97"/>
    <w:rsid w:val="6A5A06B4"/>
    <w:rsid w:val="6A5D139E"/>
    <w:rsid w:val="6A6257BB"/>
    <w:rsid w:val="6A633A0D"/>
    <w:rsid w:val="6A6B28C1"/>
    <w:rsid w:val="6A6D03E7"/>
    <w:rsid w:val="6A731776"/>
    <w:rsid w:val="6A7B6335"/>
    <w:rsid w:val="6A7F45BF"/>
    <w:rsid w:val="6A7F636D"/>
    <w:rsid w:val="6A830498"/>
    <w:rsid w:val="6A8614A9"/>
    <w:rsid w:val="6A863F6D"/>
    <w:rsid w:val="6A8B30C1"/>
    <w:rsid w:val="6A8D4668"/>
    <w:rsid w:val="6A8E581F"/>
    <w:rsid w:val="6A94197B"/>
    <w:rsid w:val="6A9701A5"/>
    <w:rsid w:val="6A9736B6"/>
    <w:rsid w:val="6A99742E"/>
    <w:rsid w:val="6AA61B4B"/>
    <w:rsid w:val="6AAF6C52"/>
    <w:rsid w:val="6ABF5A82"/>
    <w:rsid w:val="6AC63FF1"/>
    <w:rsid w:val="6AC65D4A"/>
    <w:rsid w:val="6AC706C1"/>
    <w:rsid w:val="6AC736B6"/>
    <w:rsid w:val="6AD246EE"/>
    <w:rsid w:val="6AD541DF"/>
    <w:rsid w:val="6AD70591"/>
    <w:rsid w:val="6ADC556D"/>
    <w:rsid w:val="6ADF2E8D"/>
    <w:rsid w:val="6AE461D0"/>
    <w:rsid w:val="6AE54422"/>
    <w:rsid w:val="6AF208ED"/>
    <w:rsid w:val="6AF262EA"/>
    <w:rsid w:val="6B054AC4"/>
    <w:rsid w:val="6B0D1BCA"/>
    <w:rsid w:val="6B0F76F1"/>
    <w:rsid w:val="6B1116BB"/>
    <w:rsid w:val="6B17268F"/>
    <w:rsid w:val="6B182A49"/>
    <w:rsid w:val="6B207688"/>
    <w:rsid w:val="6B252A70"/>
    <w:rsid w:val="6B272C8C"/>
    <w:rsid w:val="6B286A04"/>
    <w:rsid w:val="6B2A713F"/>
    <w:rsid w:val="6B2D401B"/>
    <w:rsid w:val="6B2D47E7"/>
    <w:rsid w:val="6B362ECF"/>
    <w:rsid w:val="6B3929BF"/>
    <w:rsid w:val="6B3D5CD6"/>
    <w:rsid w:val="6B4207CF"/>
    <w:rsid w:val="6B451364"/>
    <w:rsid w:val="6B4B3B36"/>
    <w:rsid w:val="6B4B624F"/>
    <w:rsid w:val="6B5275DD"/>
    <w:rsid w:val="6B596466"/>
    <w:rsid w:val="6B60619E"/>
    <w:rsid w:val="6B633598"/>
    <w:rsid w:val="6B6932A5"/>
    <w:rsid w:val="6B6939B1"/>
    <w:rsid w:val="6B6E08BB"/>
    <w:rsid w:val="6B6F018F"/>
    <w:rsid w:val="6B6F63E1"/>
    <w:rsid w:val="6B736C50"/>
    <w:rsid w:val="6B7457A6"/>
    <w:rsid w:val="6B7834E8"/>
    <w:rsid w:val="6B7E6624"/>
    <w:rsid w:val="6B8359E9"/>
    <w:rsid w:val="6B844E8A"/>
    <w:rsid w:val="6B8D6867"/>
    <w:rsid w:val="6B8F438D"/>
    <w:rsid w:val="6B930322"/>
    <w:rsid w:val="6B9D2F4E"/>
    <w:rsid w:val="6BA77929"/>
    <w:rsid w:val="6BB12556"/>
    <w:rsid w:val="6BBB5183"/>
    <w:rsid w:val="6BBD0EFB"/>
    <w:rsid w:val="6BBF2EC5"/>
    <w:rsid w:val="6BC4672D"/>
    <w:rsid w:val="6BC524A5"/>
    <w:rsid w:val="6BC54253"/>
    <w:rsid w:val="6BCA046F"/>
    <w:rsid w:val="6BCA186A"/>
    <w:rsid w:val="6BCC3834"/>
    <w:rsid w:val="6BDF6A14"/>
    <w:rsid w:val="6BED6C25"/>
    <w:rsid w:val="6BF15048"/>
    <w:rsid w:val="6BFD669F"/>
    <w:rsid w:val="6C022DB1"/>
    <w:rsid w:val="6C07486C"/>
    <w:rsid w:val="6C0B435C"/>
    <w:rsid w:val="6C14738D"/>
    <w:rsid w:val="6C152AE5"/>
    <w:rsid w:val="6C164AAF"/>
    <w:rsid w:val="6C184383"/>
    <w:rsid w:val="6C1B1096"/>
    <w:rsid w:val="6C1B3E73"/>
    <w:rsid w:val="6C1D7BEB"/>
    <w:rsid w:val="6C225202"/>
    <w:rsid w:val="6C2A2F12"/>
    <w:rsid w:val="6C353187"/>
    <w:rsid w:val="6C360CAD"/>
    <w:rsid w:val="6C383D9C"/>
    <w:rsid w:val="6C436BF6"/>
    <w:rsid w:val="6C4C04D0"/>
    <w:rsid w:val="6C4E4249"/>
    <w:rsid w:val="6C515AE7"/>
    <w:rsid w:val="6C52747B"/>
    <w:rsid w:val="6C553829"/>
    <w:rsid w:val="6C591D36"/>
    <w:rsid w:val="6C5F6456"/>
    <w:rsid w:val="6C6406FB"/>
    <w:rsid w:val="6C663340"/>
    <w:rsid w:val="6C7672FB"/>
    <w:rsid w:val="6C77379F"/>
    <w:rsid w:val="6C7C2B64"/>
    <w:rsid w:val="6C7F4402"/>
    <w:rsid w:val="6C847C6A"/>
    <w:rsid w:val="6C850101"/>
    <w:rsid w:val="6C89702F"/>
    <w:rsid w:val="6C8C37A3"/>
    <w:rsid w:val="6C8D6E7D"/>
    <w:rsid w:val="6C9003BD"/>
    <w:rsid w:val="6C9C6D62"/>
    <w:rsid w:val="6CA420BB"/>
    <w:rsid w:val="6CA8771A"/>
    <w:rsid w:val="6CAD0F6F"/>
    <w:rsid w:val="6CB06CB1"/>
    <w:rsid w:val="6CB322FE"/>
    <w:rsid w:val="6CB369C5"/>
    <w:rsid w:val="6CBF5146"/>
    <w:rsid w:val="6CC87B57"/>
    <w:rsid w:val="6CE03ECA"/>
    <w:rsid w:val="6CEB1A97"/>
    <w:rsid w:val="6CF7043C"/>
    <w:rsid w:val="6CF7668E"/>
    <w:rsid w:val="6D034E21"/>
    <w:rsid w:val="6D071EEA"/>
    <w:rsid w:val="6D087337"/>
    <w:rsid w:val="6D093028"/>
    <w:rsid w:val="6D147240"/>
    <w:rsid w:val="6D192AA9"/>
    <w:rsid w:val="6D2154B9"/>
    <w:rsid w:val="6D275520"/>
    <w:rsid w:val="6D372F2F"/>
    <w:rsid w:val="6D463172"/>
    <w:rsid w:val="6D486EEA"/>
    <w:rsid w:val="6D4D49CF"/>
    <w:rsid w:val="6D51792F"/>
    <w:rsid w:val="6D545029"/>
    <w:rsid w:val="6D550B29"/>
    <w:rsid w:val="6D5835D1"/>
    <w:rsid w:val="6D5E04BB"/>
    <w:rsid w:val="6D621D77"/>
    <w:rsid w:val="6D627B71"/>
    <w:rsid w:val="6D6D06FE"/>
    <w:rsid w:val="6D763A57"/>
    <w:rsid w:val="6D7D3037"/>
    <w:rsid w:val="6D8B6DD7"/>
    <w:rsid w:val="6D904A91"/>
    <w:rsid w:val="6DB3116B"/>
    <w:rsid w:val="6DB66549"/>
    <w:rsid w:val="6DB9605E"/>
    <w:rsid w:val="6DBB17B1"/>
    <w:rsid w:val="6DC04CD2"/>
    <w:rsid w:val="6DC742B3"/>
    <w:rsid w:val="6DD32C57"/>
    <w:rsid w:val="6DD469CF"/>
    <w:rsid w:val="6DE00E8F"/>
    <w:rsid w:val="6DE24C48"/>
    <w:rsid w:val="6DE309C1"/>
    <w:rsid w:val="6DEC1F6B"/>
    <w:rsid w:val="6DEF7365"/>
    <w:rsid w:val="6DFC7823"/>
    <w:rsid w:val="6DFD5F26"/>
    <w:rsid w:val="6E027099"/>
    <w:rsid w:val="6E0C0963"/>
    <w:rsid w:val="6E0E0A62"/>
    <w:rsid w:val="6E1E0411"/>
    <w:rsid w:val="6E2371FE"/>
    <w:rsid w:val="6E272FA3"/>
    <w:rsid w:val="6E2C6AC6"/>
    <w:rsid w:val="6E31378E"/>
    <w:rsid w:val="6E34121C"/>
    <w:rsid w:val="6E3616CC"/>
    <w:rsid w:val="6E364F94"/>
    <w:rsid w:val="6E3F209B"/>
    <w:rsid w:val="6E405C45"/>
    <w:rsid w:val="6E5024FA"/>
    <w:rsid w:val="6E5F098F"/>
    <w:rsid w:val="6E6733A0"/>
    <w:rsid w:val="6E711527"/>
    <w:rsid w:val="6E71421E"/>
    <w:rsid w:val="6E731D44"/>
    <w:rsid w:val="6E7B50E1"/>
    <w:rsid w:val="6E7B6E4B"/>
    <w:rsid w:val="6E8421A4"/>
    <w:rsid w:val="6E85656F"/>
    <w:rsid w:val="6E8E6B7E"/>
    <w:rsid w:val="6E906D9A"/>
    <w:rsid w:val="6E9248C1"/>
    <w:rsid w:val="6E971ED7"/>
    <w:rsid w:val="6E9D2C3A"/>
    <w:rsid w:val="6EA2087C"/>
    <w:rsid w:val="6EA939B8"/>
    <w:rsid w:val="6EB1286D"/>
    <w:rsid w:val="6EB14DA4"/>
    <w:rsid w:val="6EB8009F"/>
    <w:rsid w:val="6EBC193D"/>
    <w:rsid w:val="6EBE15CC"/>
    <w:rsid w:val="6EC627BC"/>
    <w:rsid w:val="6ECD58F9"/>
    <w:rsid w:val="6EE3511C"/>
    <w:rsid w:val="6EE635D2"/>
    <w:rsid w:val="6EE64C0C"/>
    <w:rsid w:val="6EEC7ACF"/>
    <w:rsid w:val="6EED3736"/>
    <w:rsid w:val="6EEE3AC1"/>
    <w:rsid w:val="6EF47329"/>
    <w:rsid w:val="6F086931"/>
    <w:rsid w:val="6F0D3F9D"/>
    <w:rsid w:val="6F18711B"/>
    <w:rsid w:val="6F190B3E"/>
    <w:rsid w:val="6F1E2564"/>
    <w:rsid w:val="6F1E43A6"/>
    <w:rsid w:val="6F202238"/>
    <w:rsid w:val="6F2B0871"/>
    <w:rsid w:val="6F3670AA"/>
    <w:rsid w:val="6F3B3C0A"/>
    <w:rsid w:val="6F433254"/>
    <w:rsid w:val="6F433E0D"/>
    <w:rsid w:val="6F571666"/>
    <w:rsid w:val="6F630F46"/>
    <w:rsid w:val="6F653D83"/>
    <w:rsid w:val="6F6618A9"/>
    <w:rsid w:val="6F697C94"/>
    <w:rsid w:val="6F6D294A"/>
    <w:rsid w:val="6F6D6E05"/>
    <w:rsid w:val="6F7264A0"/>
    <w:rsid w:val="6F7447ED"/>
    <w:rsid w:val="6F773AB6"/>
    <w:rsid w:val="6F7B5355"/>
    <w:rsid w:val="6F7C4FD9"/>
    <w:rsid w:val="6F7C731F"/>
    <w:rsid w:val="6F7F4719"/>
    <w:rsid w:val="6F855772"/>
    <w:rsid w:val="6F8561D3"/>
    <w:rsid w:val="6F9E1043"/>
    <w:rsid w:val="6FA10B33"/>
    <w:rsid w:val="6FA348AB"/>
    <w:rsid w:val="6FA973ED"/>
    <w:rsid w:val="6FB2689C"/>
    <w:rsid w:val="6FB62CF7"/>
    <w:rsid w:val="6FBB39A3"/>
    <w:rsid w:val="6FC00FB9"/>
    <w:rsid w:val="6FC116B3"/>
    <w:rsid w:val="6FC36CFC"/>
    <w:rsid w:val="6FC84312"/>
    <w:rsid w:val="6FC860C0"/>
    <w:rsid w:val="6FCB7F43"/>
    <w:rsid w:val="6FCC67C6"/>
    <w:rsid w:val="6FCD7766"/>
    <w:rsid w:val="6FCE468D"/>
    <w:rsid w:val="6FD11419"/>
    <w:rsid w:val="6FD131C7"/>
    <w:rsid w:val="6FD1766A"/>
    <w:rsid w:val="6FD76303"/>
    <w:rsid w:val="6FE32EFA"/>
    <w:rsid w:val="6FEC6252"/>
    <w:rsid w:val="6FEF189F"/>
    <w:rsid w:val="6FEF4FD6"/>
    <w:rsid w:val="6FF04C94"/>
    <w:rsid w:val="6FF20850"/>
    <w:rsid w:val="6FF36ACE"/>
    <w:rsid w:val="6FF670D1"/>
    <w:rsid w:val="6FF9271D"/>
    <w:rsid w:val="6FFD3FBC"/>
    <w:rsid w:val="6FFF2BCE"/>
    <w:rsid w:val="70001540"/>
    <w:rsid w:val="70057314"/>
    <w:rsid w:val="700C06A3"/>
    <w:rsid w:val="70253512"/>
    <w:rsid w:val="702D5223"/>
    <w:rsid w:val="702E0619"/>
    <w:rsid w:val="704414CA"/>
    <w:rsid w:val="704D1660"/>
    <w:rsid w:val="70510B30"/>
    <w:rsid w:val="70531E2E"/>
    <w:rsid w:val="705838E8"/>
    <w:rsid w:val="705F07D2"/>
    <w:rsid w:val="70691651"/>
    <w:rsid w:val="706D25DF"/>
    <w:rsid w:val="70710506"/>
    <w:rsid w:val="7078380A"/>
    <w:rsid w:val="70785D38"/>
    <w:rsid w:val="707A385E"/>
    <w:rsid w:val="70814BED"/>
    <w:rsid w:val="70820965"/>
    <w:rsid w:val="70862203"/>
    <w:rsid w:val="708B7819"/>
    <w:rsid w:val="709A7A5C"/>
    <w:rsid w:val="70B36D70"/>
    <w:rsid w:val="70B86135"/>
    <w:rsid w:val="70BC5C25"/>
    <w:rsid w:val="70BD199D"/>
    <w:rsid w:val="70C920F0"/>
    <w:rsid w:val="70CE6331"/>
    <w:rsid w:val="70D6480D"/>
    <w:rsid w:val="70D72A5F"/>
    <w:rsid w:val="70DE203F"/>
    <w:rsid w:val="70DF1913"/>
    <w:rsid w:val="70E909E4"/>
    <w:rsid w:val="70EE7DA8"/>
    <w:rsid w:val="70F133F4"/>
    <w:rsid w:val="70F51137"/>
    <w:rsid w:val="70FC4273"/>
    <w:rsid w:val="71021EA5"/>
    <w:rsid w:val="710424CA"/>
    <w:rsid w:val="7104661F"/>
    <w:rsid w:val="711315BD"/>
    <w:rsid w:val="71155335"/>
    <w:rsid w:val="711F54AA"/>
    <w:rsid w:val="712E63F7"/>
    <w:rsid w:val="7130216F"/>
    <w:rsid w:val="71342BCF"/>
    <w:rsid w:val="7135696F"/>
    <w:rsid w:val="71364BC1"/>
    <w:rsid w:val="713A4D9B"/>
    <w:rsid w:val="713C0B14"/>
    <w:rsid w:val="713C4FB8"/>
    <w:rsid w:val="713C53B2"/>
    <w:rsid w:val="7141612A"/>
    <w:rsid w:val="714479C8"/>
    <w:rsid w:val="71453E6C"/>
    <w:rsid w:val="71461992"/>
    <w:rsid w:val="714A1482"/>
    <w:rsid w:val="714E3B41"/>
    <w:rsid w:val="7150636D"/>
    <w:rsid w:val="71566079"/>
    <w:rsid w:val="715E0A8A"/>
    <w:rsid w:val="716D5171"/>
    <w:rsid w:val="717464FF"/>
    <w:rsid w:val="71777D9E"/>
    <w:rsid w:val="717C6975"/>
    <w:rsid w:val="717C7162"/>
    <w:rsid w:val="717E2EDA"/>
    <w:rsid w:val="71810C1C"/>
    <w:rsid w:val="71836742"/>
    <w:rsid w:val="71851522"/>
    <w:rsid w:val="718633AD"/>
    <w:rsid w:val="71881FAB"/>
    <w:rsid w:val="718B3849"/>
    <w:rsid w:val="718D348F"/>
    <w:rsid w:val="718D66FF"/>
    <w:rsid w:val="71922E29"/>
    <w:rsid w:val="71A072F4"/>
    <w:rsid w:val="71A62431"/>
    <w:rsid w:val="71A87F57"/>
    <w:rsid w:val="71AA0173"/>
    <w:rsid w:val="71AA1F21"/>
    <w:rsid w:val="71B20DD6"/>
    <w:rsid w:val="71C22190"/>
    <w:rsid w:val="71E05943"/>
    <w:rsid w:val="71E35433"/>
    <w:rsid w:val="71E74F23"/>
    <w:rsid w:val="71EF3DD8"/>
    <w:rsid w:val="71F17B50"/>
    <w:rsid w:val="71F96A05"/>
    <w:rsid w:val="71FE04BF"/>
    <w:rsid w:val="72007D93"/>
    <w:rsid w:val="72030D2C"/>
    <w:rsid w:val="72031631"/>
    <w:rsid w:val="72062ED0"/>
    <w:rsid w:val="72133F6A"/>
    <w:rsid w:val="72141CB1"/>
    <w:rsid w:val="72181581"/>
    <w:rsid w:val="721B4BCD"/>
    <w:rsid w:val="72324E14"/>
    <w:rsid w:val="7238752D"/>
    <w:rsid w:val="72423634"/>
    <w:rsid w:val="72440DCF"/>
    <w:rsid w:val="724C4D86"/>
    <w:rsid w:val="724E4FA2"/>
    <w:rsid w:val="72514A93"/>
    <w:rsid w:val="72534572"/>
    <w:rsid w:val="725D4114"/>
    <w:rsid w:val="72646574"/>
    <w:rsid w:val="726B5CF3"/>
    <w:rsid w:val="7270316B"/>
    <w:rsid w:val="727162DD"/>
    <w:rsid w:val="72732BC1"/>
    <w:rsid w:val="727F0AC4"/>
    <w:rsid w:val="728409C4"/>
    <w:rsid w:val="72874010"/>
    <w:rsid w:val="729055BB"/>
    <w:rsid w:val="729C77D7"/>
    <w:rsid w:val="729D55E2"/>
    <w:rsid w:val="72A050D2"/>
    <w:rsid w:val="72AB5F51"/>
    <w:rsid w:val="72B1108D"/>
    <w:rsid w:val="72B56DCF"/>
    <w:rsid w:val="72BB015E"/>
    <w:rsid w:val="72CC4119"/>
    <w:rsid w:val="72E044D5"/>
    <w:rsid w:val="72E256EB"/>
    <w:rsid w:val="72F36482"/>
    <w:rsid w:val="72F53670"/>
    <w:rsid w:val="7308172E"/>
    <w:rsid w:val="7309711B"/>
    <w:rsid w:val="730A7386"/>
    <w:rsid w:val="731358A4"/>
    <w:rsid w:val="731F25E1"/>
    <w:rsid w:val="73216213"/>
    <w:rsid w:val="73217FC1"/>
    <w:rsid w:val="732301DD"/>
    <w:rsid w:val="73301B0B"/>
    <w:rsid w:val="733046A8"/>
    <w:rsid w:val="733221CE"/>
    <w:rsid w:val="733A1083"/>
    <w:rsid w:val="734704D0"/>
    <w:rsid w:val="73576F3C"/>
    <w:rsid w:val="736B748E"/>
    <w:rsid w:val="736C0ED5"/>
    <w:rsid w:val="736D3206"/>
    <w:rsid w:val="7371736D"/>
    <w:rsid w:val="7375135A"/>
    <w:rsid w:val="737970D6"/>
    <w:rsid w:val="73816CB2"/>
    <w:rsid w:val="73843981"/>
    <w:rsid w:val="73912EBD"/>
    <w:rsid w:val="739509AF"/>
    <w:rsid w:val="73AA26AC"/>
    <w:rsid w:val="73B01AE0"/>
    <w:rsid w:val="73BB6668"/>
    <w:rsid w:val="73BE1CB4"/>
    <w:rsid w:val="73C13552"/>
    <w:rsid w:val="73C179F6"/>
    <w:rsid w:val="73C31078"/>
    <w:rsid w:val="73C372CA"/>
    <w:rsid w:val="73C848E1"/>
    <w:rsid w:val="73C92407"/>
    <w:rsid w:val="73D35A4C"/>
    <w:rsid w:val="73D6524F"/>
    <w:rsid w:val="73DC213A"/>
    <w:rsid w:val="73EB3463"/>
    <w:rsid w:val="73F76F74"/>
    <w:rsid w:val="73FB6A64"/>
    <w:rsid w:val="74024296"/>
    <w:rsid w:val="74031DBD"/>
    <w:rsid w:val="74070859"/>
    <w:rsid w:val="74081181"/>
    <w:rsid w:val="740C16A3"/>
    <w:rsid w:val="740D49E9"/>
    <w:rsid w:val="740F250F"/>
    <w:rsid w:val="741144D9"/>
    <w:rsid w:val="74123DAE"/>
    <w:rsid w:val="74145D78"/>
    <w:rsid w:val="742A559B"/>
    <w:rsid w:val="742A7ABE"/>
    <w:rsid w:val="74312486"/>
    <w:rsid w:val="743401C8"/>
    <w:rsid w:val="74343D24"/>
    <w:rsid w:val="74343F5B"/>
    <w:rsid w:val="74381A66"/>
    <w:rsid w:val="7439421E"/>
    <w:rsid w:val="74424693"/>
    <w:rsid w:val="744321B9"/>
    <w:rsid w:val="74435076"/>
    <w:rsid w:val="744D4DE6"/>
    <w:rsid w:val="744D7589"/>
    <w:rsid w:val="74575C64"/>
    <w:rsid w:val="7460720F"/>
    <w:rsid w:val="74620891"/>
    <w:rsid w:val="74634609"/>
    <w:rsid w:val="746E5488"/>
    <w:rsid w:val="746F2FAE"/>
    <w:rsid w:val="74715F31"/>
    <w:rsid w:val="747405C4"/>
    <w:rsid w:val="74756912"/>
    <w:rsid w:val="74955EF0"/>
    <w:rsid w:val="749649DF"/>
    <w:rsid w:val="7496678D"/>
    <w:rsid w:val="749B262E"/>
    <w:rsid w:val="749C274C"/>
    <w:rsid w:val="74A1611F"/>
    <w:rsid w:val="74A419DE"/>
    <w:rsid w:val="74AE3AD6"/>
    <w:rsid w:val="74B33326"/>
    <w:rsid w:val="74BB4445"/>
    <w:rsid w:val="74BD01BD"/>
    <w:rsid w:val="74C10F48"/>
    <w:rsid w:val="74C23A26"/>
    <w:rsid w:val="74CF1C9F"/>
    <w:rsid w:val="74D07EF1"/>
    <w:rsid w:val="74D3353D"/>
    <w:rsid w:val="74D6127F"/>
    <w:rsid w:val="74D774D1"/>
    <w:rsid w:val="74D9476A"/>
    <w:rsid w:val="74DB0C04"/>
    <w:rsid w:val="74DD260E"/>
    <w:rsid w:val="74E7348C"/>
    <w:rsid w:val="74E86E44"/>
    <w:rsid w:val="74EE1529"/>
    <w:rsid w:val="74EE6765"/>
    <w:rsid w:val="74F17E67"/>
    <w:rsid w:val="74F57957"/>
    <w:rsid w:val="74F8738F"/>
    <w:rsid w:val="75023E22"/>
    <w:rsid w:val="7518696C"/>
    <w:rsid w:val="751A116C"/>
    <w:rsid w:val="751D21C1"/>
    <w:rsid w:val="75204A12"/>
    <w:rsid w:val="75220020"/>
    <w:rsid w:val="75247492"/>
    <w:rsid w:val="752913AF"/>
    <w:rsid w:val="752B5127"/>
    <w:rsid w:val="753C7334"/>
    <w:rsid w:val="753F0BD2"/>
    <w:rsid w:val="754C32EF"/>
    <w:rsid w:val="755102BF"/>
    <w:rsid w:val="75510906"/>
    <w:rsid w:val="75524DAA"/>
    <w:rsid w:val="75530DE9"/>
    <w:rsid w:val="75565720"/>
    <w:rsid w:val="755C3532"/>
    <w:rsid w:val="75630D65"/>
    <w:rsid w:val="7573644F"/>
    <w:rsid w:val="75750A98"/>
    <w:rsid w:val="757F36C5"/>
    <w:rsid w:val="7584645D"/>
    <w:rsid w:val="75874327"/>
    <w:rsid w:val="758807CB"/>
    <w:rsid w:val="758962F1"/>
    <w:rsid w:val="758B3E34"/>
    <w:rsid w:val="759063C7"/>
    <w:rsid w:val="7592164A"/>
    <w:rsid w:val="75956A44"/>
    <w:rsid w:val="759F5B15"/>
    <w:rsid w:val="75A21FAA"/>
    <w:rsid w:val="75A373B3"/>
    <w:rsid w:val="75A60C51"/>
    <w:rsid w:val="75AF3FAA"/>
    <w:rsid w:val="75B90985"/>
    <w:rsid w:val="75C335B1"/>
    <w:rsid w:val="75C94940"/>
    <w:rsid w:val="75D73EB2"/>
    <w:rsid w:val="75D831EF"/>
    <w:rsid w:val="75E672A0"/>
    <w:rsid w:val="75FB0F9D"/>
    <w:rsid w:val="75FD145D"/>
    <w:rsid w:val="75FF0A4C"/>
    <w:rsid w:val="760065B4"/>
    <w:rsid w:val="760C31AA"/>
    <w:rsid w:val="761262E7"/>
    <w:rsid w:val="76133B2A"/>
    <w:rsid w:val="7616632D"/>
    <w:rsid w:val="761A519B"/>
    <w:rsid w:val="76200A04"/>
    <w:rsid w:val="76261D92"/>
    <w:rsid w:val="76286F0E"/>
    <w:rsid w:val="76344645"/>
    <w:rsid w:val="76360227"/>
    <w:rsid w:val="763B30F9"/>
    <w:rsid w:val="76426A7A"/>
    <w:rsid w:val="76432944"/>
    <w:rsid w:val="764364A0"/>
    <w:rsid w:val="764741E2"/>
    <w:rsid w:val="764A5A81"/>
    <w:rsid w:val="764B35A7"/>
    <w:rsid w:val="764C7E1E"/>
    <w:rsid w:val="76515061"/>
    <w:rsid w:val="76592168"/>
    <w:rsid w:val="766823AB"/>
    <w:rsid w:val="766905FD"/>
    <w:rsid w:val="76733229"/>
    <w:rsid w:val="767936DC"/>
    <w:rsid w:val="767E397C"/>
    <w:rsid w:val="768216BE"/>
    <w:rsid w:val="76856AB9"/>
    <w:rsid w:val="76903228"/>
    <w:rsid w:val="769E7B7B"/>
    <w:rsid w:val="76A038F3"/>
    <w:rsid w:val="76A07D97"/>
    <w:rsid w:val="76A80185"/>
    <w:rsid w:val="76B37ACA"/>
    <w:rsid w:val="76B850E0"/>
    <w:rsid w:val="76CC46E8"/>
    <w:rsid w:val="76CF41D8"/>
    <w:rsid w:val="76CF5F86"/>
    <w:rsid w:val="76D13197"/>
    <w:rsid w:val="76D33CC8"/>
    <w:rsid w:val="76D35A76"/>
    <w:rsid w:val="76D812DE"/>
    <w:rsid w:val="76DC7C2A"/>
    <w:rsid w:val="76DE1E2F"/>
    <w:rsid w:val="76E45ED5"/>
    <w:rsid w:val="76E61C4D"/>
    <w:rsid w:val="76F268FC"/>
    <w:rsid w:val="76F45266"/>
    <w:rsid w:val="76F75961"/>
    <w:rsid w:val="76FB4FCD"/>
    <w:rsid w:val="76FD33E8"/>
    <w:rsid w:val="76FF6781"/>
    <w:rsid w:val="77020109"/>
    <w:rsid w:val="770519A8"/>
    <w:rsid w:val="77065E4C"/>
    <w:rsid w:val="77106CCA"/>
    <w:rsid w:val="7713759A"/>
    <w:rsid w:val="77161E07"/>
    <w:rsid w:val="771A18F7"/>
    <w:rsid w:val="771C566F"/>
    <w:rsid w:val="772C33D8"/>
    <w:rsid w:val="77400C32"/>
    <w:rsid w:val="77470212"/>
    <w:rsid w:val="77472401"/>
    <w:rsid w:val="77476464"/>
    <w:rsid w:val="774B7D02"/>
    <w:rsid w:val="774E15A1"/>
    <w:rsid w:val="775070C7"/>
    <w:rsid w:val="77513928"/>
    <w:rsid w:val="77514BED"/>
    <w:rsid w:val="77536DAE"/>
    <w:rsid w:val="77573E97"/>
    <w:rsid w:val="775766A7"/>
    <w:rsid w:val="776072D9"/>
    <w:rsid w:val="77626DFA"/>
    <w:rsid w:val="77640268"/>
    <w:rsid w:val="77664B3C"/>
    <w:rsid w:val="77692D92"/>
    <w:rsid w:val="77731007"/>
    <w:rsid w:val="778154D2"/>
    <w:rsid w:val="77882D05"/>
    <w:rsid w:val="778E5E41"/>
    <w:rsid w:val="77996CC0"/>
    <w:rsid w:val="779C230C"/>
    <w:rsid w:val="779D6084"/>
    <w:rsid w:val="77A45665"/>
    <w:rsid w:val="77A47413"/>
    <w:rsid w:val="77A80CB1"/>
    <w:rsid w:val="77B5517C"/>
    <w:rsid w:val="77BA09E4"/>
    <w:rsid w:val="77BA4E88"/>
    <w:rsid w:val="77C16217"/>
    <w:rsid w:val="77C47AB5"/>
    <w:rsid w:val="77C53C34"/>
    <w:rsid w:val="77CB499F"/>
    <w:rsid w:val="77CE623E"/>
    <w:rsid w:val="77D221D2"/>
    <w:rsid w:val="77D23F80"/>
    <w:rsid w:val="77E53282"/>
    <w:rsid w:val="77E617D9"/>
    <w:rsid w:val="77F01BC2"/>
    <w:rsid w:val="77F15368"/>
    <w:rsid w:val="78016613"/>
    <w:rsid w:val="780240D6"/>
    <w:rsid w:val="780305DD"/>
    <w:rsid w:val="780600CD"/>
    <w:rsid w:val="780A371A"/>
    <w:rsid w:val="780B3511"/>
    <w:rsid w:val="781225CE"/>
    <w:rsid w:val="781F604F"/>
    <w:rsid w:val="782C7B34"/>
    <w:rsid w:val="7840713B"/>
    <w:rsid w:val="784309DA"/>
    <w:rsid w:val="784B4D6A"/>
    <w:rsid w:val="7851759A"/>
    <w:rsid w:val="7855070D"/>
    <w:rsid w:val="7863107C"/>
    <w:rsid w:val="78673398"/>
    <w:rsid w:val="7872306D"/>
    <w:rsid w:val="7880578A"/>
    <w:rsid w:val="78827754"/>
    <w:rsid w:val="78866ABF"/>
    <w:rsid w:val="78874D6A"/>
    <w:rsid w:val="78982F01"/>
    <w:rsid w:val="789D4B82"/>
    <w:rsid w:val="78A21BA4"/>
    <w:rsid w:val="78A84CE1"/>
    <w:rsid w:val="78AD1B9D"/>
    <w:rsid w:val="78AF42C1"/>
    <w:rsid w:val="78B35B5F"/>
    <w:rsid w:val="78B611AB"/>
    <w:rsid w:val="78BB1DEB"/>
    <w:rsid w:val="78BC253A"/>
    <w:rsid w:val="78BD078C"/>
    <w:rsid w:val="78CC4217"/>
    <w:rsid w:val="78CF4963"/>
    <w:rsid w:val="78CF6711"/>
    <w:rsid w:val="78D00040"/>
    <w:rsid w:val="78D21D5D"/>
    <w:rsid w:val="78D41F79"/>
    <w:rsid w:val="78DB6E64"/>
    <w:rsid w:val="78DD0E2E"/>
    <w:rsid w:val="78E24696"/>
    <w:rsid w:val="78E35D19"/>
    <w:rsid w:val="78F3044A"/>
    <w:rsid w:val="78F320B8"/>
    <w:rsid w:val="78F32400"/>
    <w:rsid w:val="78F46178"/>
    <w:rsid w:val="78FD6DDA"/>
    <w:rsid w:val="79030169"/>
    <w:rsid w:val="79102FB2"/>
    <w:rsid w:val="79167E9C"/>
    <w:rsid w:val="791B54B2"/>
    <w:rsid w:val="791D747D"/>
    <w:rsid w:val="79214B3D"/>
    <w:rsid w:val="79226841"/>
    <w:rsid w:val="79273E57"/>
    <w:rsid w:val="792A1B99"/>
    <w:rsid w:val="792F40B6"/>
    <w:rsid w:val="793265B3"/>
    <w:rsid w:val="79393B8B"/>
    <w:rsid w:val="79425135"/>
    <w:rsid w:val="7947274B"/>
    <w:rsid w:val="794B223C"/>
    <w:rsid w:val="794B3FEA"/>
    <w:rsid w:val="79507FD7"/>
    <w:rsid w:val="795135CA"/>
    <w:rsid w:val="79515378"/>
    <w:rsid w:val="79554E68"/>
    <w:rsid w:val="795D5ACB"/>
    <w:rsid w:val="795F5CE7"/>
    <w:rsid w:val="79627585"/>
    <w:rsid w:val="796B643A"/>
    <w:rsid w:val="796C3F60"/>
    <w:rsid w:val="79751047"/>
    <w:rsid w:val="797A667D"/>
    <w:rsid w:val="797D43BF"/>
    <w:rsid w:val="79825532"/>
    <w:rsid w:val="79863274"/>
    <w:rsid w:val="79877573"/>
    <w:rsid w:val="798D1689"/>
    <w:rsid w:val="799139C7"/>
    <w:rsid w:val="799A287B"/>
    <w:rsid w:val="799D05BD"/>
    <w:rsid w:val="79A35019"/>
    <w:rsid w:val="79A951B4"/>
    <w:rsid w:val="79B37DE1"/>
    <w:rsid w:val="79B7342D"/>
    <w:rsid w:val="79CE4C1B"/>
    <w:rsid w:val="79D57D57"/>
    <w:rsid w:val="79E81839"/>
    <w:rsid w:val="79E9735F"/>
    <w:rsid w:val="79F3642F"/>
    <w:rsid w:val="79F77CCE"/>
    <w:rsid w:val="79F91C98"/>
    <w:rsid w:val="7A067F11"/>
    <w:rsid w:val="7A0E52C9"/>
    <w:rsid w:val="7A102B3D"/>
    <w:rsid w:val="7A13262E"/>
    <w:rsid w:val="7A15284A"/>
    <w:rsid w:val="7A17211E"/>
    <w:rsid w:val="7A287E87"/>
    <w:rsid w:val="7A2D36EF"/>
    <w:rsid w:val="7A2F56B9"/>
    <w:rsid w:val="7A2F605F"/>
    <w:rsid w:val="7A342319"/>
    <w:rsid w:val="7A3902E6"/>
    <w:rsid w:val="7A390725"/>
    <w:rsid w:val="7A391673"/>
    <w:rsid w:val="7A3E76AA"/>
    <w:rsid w:val="7A3F1458"/>
    <w:rsid w:val="7A480258"/>
    <w:rsid w:val="7A495A8F"/>
    <w:rsid w:val="7A523AF4"/>
    <w:rsid w:val="7A536490"/>
    <w:rsid w:val="7A57269A"/>
    <w:rsid w:val="7A5B64AE"/>
    <w:rsid w:val="7A5C5D83"/>
    <w:rsid w:val="7A5E7D4D"/>
    <w:rsid w:val="7A645345"/>
    <w:rsid w:val="7A65732D"/>
    <w:rsid w:val="7A664E53"/>
    <w:rsid w:val="7A6A5516"/>
    <w:rsid w:val="7A6F1F5A"/>
    <w:rsid w:val="7A725D8C"/>
    <w:rsid w:val="7A745707"/>
    <w:rsid w:val="7A772BBC"/>
    <w:rsid w:val="7A7F77A4"/>
    <w:rsid w:val="7A831561"/>
    <w:rsid w:val="7A861051"/>
    <w:rsid w:val="7A8E3857"/>
    <w:rsid w:val="7A911ED0"/>
    <w:rsid w:val="7A922676"/>
    <w:rsid w:val="7A97500D"/>
    <w:rsid w:val="7AA02113"/>
    <w:rsid w:val="7AA15E8B"/>
    <w:rsid w:val="7AA240DD"/>
    <w:rsid w:val="7AAC2004"/>
    <w:rsid w:val="7AB42531"/>
    <w:rsid w:val="7AB94F83"/>
    <w:rsid w:val="7ABD2CC5"/>
    <w:rsid w:val="7AC027B5"/>
    <w:rsid w:val="7AC878BC"/>
    <w:rsid w:val="7AD46E57"/>
    <w:rsid w:val="7AD61FD9"/>
    <w:rsid w:val="7AD874E9"/>
    <w:rsid w:val="7ADC6EC3"/>
    <w:rsid w:val="7ADE297D"/>
    <w:rsid w:val="7AE91D0C"/>
    <w:rsid w:val="7AEA5A84"/>
    <w:rsid w:val="7AF631D6"/>
    <w:rsid w:val="7AF91823"/>
    <w:rsid w:val="7AFD7566"/>
    <w:rsid w:val="7B000E04"/>
    <w:rsid w:val="7B007056"/>
    <w:rsid w:val="7B022DCE"/>
    <w:rsid w:val="7B041F22"/>
    <w:rsid w:val="7B193C74"/>
    <w:rsid w:val="7B2014A6"/>
    <w:rsid w:val="7B203504"/>
    <w:rsid w:val="7B22521E"/>
    <w:rsid w:val="7B2B439A"/>
    <w:rsid w:val="7B2C4929"/>
    <w:rsid w:val="7B2D5625"/>
    <w:rsid w:val="7B2F5245"/>
    <w:rsid w:val="7B322A32"/>
    <w:rsid w:val="7B364826"/>
    <w:rsid w:val="7B3665D4"/>
    <w:rsid w:val="7B39121D"/>
    <w:rsid w:val="7B3B1E3C"/>
    <w:rsid w:val="7B446F42"/>
    <w:rsid w:val="7B4A207F"/>
    <w:rsid w:val="7B4A7231"/>
    <w:rsid w:val="7B555B44"/>
    <w:rsid w:val="7B5F1FCE"/>
    <w:rsid w:val="7B6018A2"/>
    <w:rsid w:val="7B643141"/>
    <w:rsid w:val="7B672C31"/>
    <w:rsid w:val="7B851426"/>
    <w:rsid w:val="7B857D92"/>
    <w:rsid w:val="7B9A6B62"/>
    <w:rsid w:val="7B9D6653"/>
    <w:rsid w:val="7BA36C72"/>
    <w:rsid w:val="7BA45C33"/>
    <w:rsid w:val="7BA619AB"/>
    <w:rsid w:val="7BA67CF4"/>
    <w:rsid w:val="7BA774D1"/>
    <w:rsid w:val="7BA9149B"/>
    <w:rsid w:val="7BAB0D70"/>
    <w:rsid w:val="7BB2194B"/>
    <w:rsid w:val="7BBD6CF5"/>
    <w:rsid w:val="7BCF6BF5"/>
    <w:rsid w:val="7BD302C6"/>
    <w:rsid w:val="7BD44756"/>
    <w:rsid w:val="7BD659DE"/>
    <w:rsid w:val="7BE2675B"/>
    <w:rsid w:val="7BE349AD"/>
    <w:rsid w:val="7BE44282"/>
    <w:rsid w:val="7BE95D3C"/>
    <w:rsid w:val="7BEB3862"/>
    <w:rsid w:val="7BFA7117"/>
    <w:rsid w:val="7BFF730D"/>
    <w:rsid w:val="7C014E34"/>
    <w:rsid w:val="7C0A75AC"/>
    <w:rsid w:val="7C0D6056"/>
    <w:rsid w:val="7C1103AD"/>
    <w:rsid w:val="7C11382C"/>
    <w:rsid w:val="7C272C0F"/>
    <w:rsid w:val="7C27396F"/>
    <w:rsid w:val="7C2D79D7"/>
    <w:rsid w:val="7C3074C7"/>
    <w:rsid w:val="7C3245B2"/>
    <w:rsid w:val="7C4371FA"/>
    <w:rsid w:val="7C46731F"/>
    <w:rsid w:val="7C4A4A2C"/>
    <w:rsid w:val="7C4B2553"/>
    <w:rsid w:val="7C52743D"/>
    <w:rsid w:val="7C572CA5"/>
    <w:rsid w:val="7C574A54"/>
    <w:rsid w:val="7C5C069A"/>
    <w:rsid w:val="7C606BB1"/>
    <w:rsid w:val="7C63164A"/>
    <w:rsid w:val="7C683105"/>
    <w:rsid w:val="7C6C7A6D"/>
    <w:rsid w:val="7C7478B9"/>
    <w:rsid w:val="7C7B27EB"/>
    <w:rsid w:val="7C7C095E"/>
    <w:rsid w:val="7C7D2C09"/>
    <w:rsid w:val="7C833A9B"/>
    <w:rsid w:val="7C8A4E29"/>
    <w:rsid w:val="7C9E6B26"/>
    <w:rsid w:val="7CA659DB"/>
    <w:rsid w:val="7CA70377"/>
    <w:rsid w:val="7CA81753"/>
    <w:rsid w:val="7CAA075C"/>
    <w:rsid w:val="7CAA1027"/>
    <w:rsid w:val="7CAB734F"/>
    <w:rsid w:val="7CB2612E"/>
    <w:rsid w:val="7CB400F8"/>
    <w:rsid w:val="7CB77E6C"/>
    <w:rsid w:val="7CBC6FAC"/>
    <w:rsid w:val="7CC06A9D"/>
    <w:rsid w:val="7CC320E9"/>
    <w:rsid w:val="7CD048AA"/>
    <w:rsid w:val="7CD21CA4"/>
    <w:rsid w:val="7CDD764F"/>
    <w:rsid w:val="7CE539D6"/>
    <w:rsid w:val="7CE7227B"/>
    <w:rsid w:val="7CE81B50"/>
    <w:rsid w:val="7CE86FC3"/>
    <w:rsid w:val="7CF84488"/>
    <w:rsid w:val="7CF9764F"/>
    <w:rsid w:val="7CFC55FB"/>
    <w:rsid w:val="7D00333D"/>
    <w:rsid w:val="7D0821F2"/>
    <w:rsid w:val="7D1646C8"/>
    <w:rsid w:val="7D16490F"/>
    <w:rsid w:val="7D1943FF"/>
    <w:rsid w:val="7D1A2FE3"/>
    <w:rsid w:val="7D1B1F25"/>
    <w:rsid w:val="7D2A660C"/>
    <w:rsid w:val="7D2D3A06"/>
    <w:rsid w:val="7D350383"/>
    <w:rsid w:val="7D376E3C"/>
    <w:rsid w:val="7D407BDD"/>
    <w:rsid w:val="7D440FC1"/>
    <w:rsid w:val="7D470F6C"/>
    <w:rsid w:val="7D496A92"/>
    <w:rsid w:val="7D4C6582"/>
    <w:rsid w:val="7D4E40A8"/>
    <w:rsid w:val="7D523A71"/>
    <w:rsid w:val="7D562F5D"/>
    <w:rsid w:val="7D711B45"/>
    <w:rsid w:val="7D723DB3"/>
    <w:rsid w:val="7D735C9F"/>
    <w:rsid w:val="7D7B29C4"/>
    <w:rsid w:val="7D80447E"/>
    <w:rsid w:val="7D80622C"/>
    <w:rsid w:val="7D84412B"/>
    <w:rsid w:val="7D847ACA"/>
    <w:rsid w:val="7D8A2C07"/>
    <w:rsid w:val="7D8C2E23"/>
    <w:rsid w:val="7D8E0949"/>
    <w:rsid w:val="7D913F95"/>
    <w:rsid w:val="7D985324"/>
    <w:rsid w:val="7D9A72EE"/>
    <w:rsid w:val="7D9B3066"/>
    <w:rsid w:val="7DA20010"/>
    <w:rsid w:val="7DAC7021"/>
    <w:rsid w:val="7DB27B05"/>
    <w:rsid w:val="7DB36601"/>
    <w:rsid w:val="7DBB7264"/>
    <w:rsid w:val="7DBF4FA6"/>
    <w:rsid w:val="7DDC7906"/>
    <w:rsid w:val="7DF54524"/>
    <w:rsid w:val="7E02533C"/>
    <w:rsid w:val="7E040C0B"/>
    <w:rsid w:val="7E1C3341"/>
    <w:rsid w:val="7E1D1CCD"/>
    <w:rsid w:val="7E2968C4"/>
    <w:rsid w:val="7E355268"/>
    <w:rsid w:val="7E374B3D"/>
    <w:rsid w:val="7E3D5ECB"/>
    <w:rsid w:val="7E4365D3"/>
    <w:rsid w:val="7E4577B8"/>
    <w:rsid w:val="7E4B4A8C"/>
    <w:rsid w:val="7E5435C9"/>
    <w:rsid w:val="7E5861CC"/>
    <w:rsid w:val="7E68119A"/>
    <w:rsid w:val="7E6B0C8A"/>
    <w:rsid w:val="7E8A55B4"/>
    <w:rsid w:val="7E90249F"/>
    <w:rsid w:val="7E906943"/>
    <w:rsid w:val="7E96574B"/>
    <w:rsid w:val="7E9E5A62"/>
    <w:rsid w:val="7EA1645A"/>
    <w:rsid w:val="7EAA7A04"/>
    <w:rsid w:val="7EB75C7D"/>
    <w:rsid w:val="7EB919F5"/>
    <w:rsid w:val="7EBC3294"/>
    <w:rsid w:val="7EC65EC0"/>
    <w:rsid w:val="7EC860DC"/>
    <w:rsid w:val="7ECA3C03"/>
    <w:rsid w:val="7ECB1729"/>
    <w:rsid w:val="7ED0563F"/>
    <w:rsid w:val="7ED72A0A"/>
    <w:rsid w:val="7EF73484"/>
    <w:rsid w:val="7EF84FD8"/>
    <w:rsid w:val="7F0215EE"/>
    <w:rsid w:val="7F0224C6"/>
    <w:rsid w:val="7F0F1615"/>
    <w:rsid w:val="7F10538E"/>
    <w:rsid w:val="7F2063D5"/>
    <w:rsid w:val="7F271055"/>
    <w:rsid w:val="7F364DF4"/>
    <w:rsid w:val="7F3D43D5"/>
    <w:rsid w:val="7F436576"/>
    <w:rsid w:val="7F480FCB"/>
    <w:rsid w:val="7F4F235A"/>
    <w:rsid w:val="7F5160D2"/>
    <w:rsid w:val="7F5259A6"/>
    <w:rsid w:val="7F547970"/>
    <w:rsid w:val="7F5931D8"/>
    <w:rsid w:val="7F5D5059"/>
    <w:rsid w:val="7F5D547A"/>
    <w:rsid w:val="7F635CDA"/>
    <w:rsid w:val="7F6776A3"/>
    <w:rsid w:val="7F6851CA"/>
    <w:rsid w:val="7F6A0F42"/>
    <w:rsid w:val="7F6F47AA"/>
    <w:rsid w:val="7F71229F"/>
    <w:rsid w:val="7F7818B1"/>
    <w:rsid w:val="7F800765"/>
    <w:rsid w:val="7F840255"/>
    <w:rsid w:val="7F875650"/>
    <w:rsid w:val="7F8A5140"/>
    <w:rsid w:val="7F930498"/>
    <w:rsid w:val="7F983C52"/>
    <w:rsid w:val="7F9D1317"/>
    <w:rsid w:val="7F9D30C5"/>
    <w:rsid w:val="7FA94E28"/>
    <w:rsid w:val="7FB4040F"/>
    <w:rsid w:val="7FC05006"/>
    <w:rsid w:val="7FC06DB4"/>
    <w:rsid w:val="7FC72C0D"/>
    <w:rsid w:val="7FC76394"/>
    <w:rsid w:val="7FC801F6"/>
    <w:rsid w:val="7FCB5E84"/>
    <w:rsid w:val="7FD10B7C"/>
    <w:rsid w:val="7FD12D6F"/>
    <w:rsid w:val="7FDD34C2"/>
    <w:rsid w:val="7FDD5BB8"/>
    <w:rsid w:val="7FDF723A"/>
    <w:rsid w:val="7FEA5BDF"/>
    <w:rsid w:val="7FF32CE5"/>
    <w:rsid w:val="7FF54CAF"/>
    <w:rsid w:val="7FF627D5"/>
    <w:rsid w:val="7FF64583"/>
    <w:rsid w:val="7FFD18D5"/>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autoRedefine/>
    <w:qFormat/>
    <w:uiPriority w:val="0"/>
    <w:pPr>
      <w:keepNext/>
      <w:keepLines/>
      <w:tabs>
        <w:tab w:val="left" w:pos="1080"/>
      </w:tabs>
      <w:spacing w:before="260" w:after="260" w:line="416" w:lineRule="auto"/>
      <w:outlineLvl w:val="1"/>
    </w:pPr>
    <w:rPr>
      <w:rFonts w:ascii="Arial Black" w:hAnsi="Arial Black" w:eastAsia="黑体"/>
      <w:b/>
      <w:bCs/>
      <w:sz w:val="32"/>
      <w:szCs w:val="32"/>
    </w:rPr>
  </w:style>
  <w:style w:type="paragraph" w:styleId="7">
    <w:name w:val="heading 3"/>
    <w:basedOn w:val="1"/>
    <w:next w:val="1"/>
    <w:autoRedefine/>
    <w:qFormat/>
    <w:uiPriority w:val="0"/>
    <w:pPr>
      <w:keepNext/>
      <w:keepLines/>
      <w:tabs>
        <w:tab w:val="left" w:pos="720"/>
      </w:tabs>
      <w:spacing w:line="360" w:lineRule="auto"/>
      <w:ind w:left="720" w:hanging="432"/>
      <w:outlineLvl w:val="2"/>
    </w:pPr>
    <w:rPr>
      <w:b/>
      <w:bCs/>
      <w:sz w:val="24"/>
      <w:szCs w:val="32"/>
    </w:rPr>
  </w:style>
  <w:style w:type="paragraph" w:styleId="8">
    <w:name w:val="heading 4"/>
    <w:basedOn w:val="1"/>
    <w:next w:val="1"/>
    <w:autoRedefine/>
    <w:qFormat/>
    <w:uiPriority w:val="0"/>
    <w:pPr>
      <w:keepNext/>
      <w:keepLines/>
      <w:ind w:firstLine="420" w:firstLineChars="150"/>
      <w:outlineLvl w:val="3"/>
    </w:pPr>
    <w:rPr>
      <w:rFonts w:ascii="Arial" w:hAnsi="Arial" w:cs="Arial"/>
      <w:b/>
      <w:sz w:val="28"/>
      <w:szCs w:val="28"/>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3"/>
    <w:autoRedefine/>
    <w:qFormat/>
    <w:uiPriority w:val="0"/>
    <w:pPr>
      <w:widowControl/>
      <w:ind w:firstLine="420"/>
      <w:jc w:val="left"/>
    </w:pPr>
    <w:rPr>
      <w:kern w:val="0"/>
      <w:sz w:val="20"/>
    </w:rPr>
  </w:style>
  <w:style w:type="paragraph" w:styleId="3">
    <w:name w:val="Body Text"/>
    <w:basedOn w:val="1"/>
    <w:next w:val="4"/>
    <w:autoRedefine/>
    <w:qFormat/>
    <w:uiPriority w:val="0"/>
    <w:pPr>
      <w:spacing w:after="120"/>
    </w:pPr>
  </w:style>
  <w:style w:type="paragraph" w:styleId="4">
    <w:name w:val="Date"/>
    <w:basedOn w:val="1"/>
    <w:next w:val="1"/>
    <w:qFormat/>
    <w:uiPriority w:val="0"/>
    <w:rPr>
      <w:sz w:val="24"/>
      <w:szCs w:val="20"/>
    </w:rPr>
  </w:style>
  <w:style w:type="paragraph" w:styleId="9">
    <w:name w:val="Normal Indent"/>
    <w:basedOn w:val="1"/>
    <w:next w:val="1"/>
    <w:autoRedefine/>
    <w:qFormat/>
    <w:uiPriority w:val="0"/>
    <w:pPr>
      <w:ind w:firstLine="420"/>
    </w:pPr>
  </w:style>
  <w:style w:type="paragraph" w:styleId="10">
    <w:name w:val="toa heading"/>
    <w:basedOn w:val="1"/>
    <w:next w:val="1"/>
    <w:autoRedefine/>
    <w:qFormat/>
    <w:uiPriority w:val="0"/>
    <w:pPr>
      <w:spacing w:before="120"/>
    </w:pPr>
    <w:rPr>
      <w:rFonts w:ascii="Cambria" w:hAnsi="Cambria" w:cs="Times New Roman"/>
      <w:sz w:val="24"/>
      <w:szCs w:val="24"/>
    </w:rPr>
  </w:style>
  <w:style w:type="paragraph" w:styleId="11">
    <w:name w:val="annotation text"/>
    <w:basedOn w:val="1"/>
    <w:autoRedefine/>
    <w:semiHidden/>
    <w:qFormat/>
    <w:uiPriority w:val="0"/>
    <w:pPr>
      <w:jc w:val="left"/>
    </w:pPr>
  </w:style>
  <w:style w:type="paragraph" w:styleId="12">
    <w:name w:val="Body Text 3"/>
    <w:basedOn w:val="1"/>
    <w:autoRedefine/>
    <w:qFormat/>
    <w:uiPriority w:val="99"/>
    <w:pPr>
      <w:spacing w:after="120"/>
    </w:pPr>
    <w:rPr>
      <w:sz w:val="16"/>
      <w:szCs w:val="16"/>
    </w:rPr>
  </w:style>
  <w:style w:type="paragraph" w:styleId="13">
    <w:name w:val="Body Text Indent"/>
    <w:basedOn w:val="1"/>
    <w:autoRedefine/>
    <w:qFormat/>
    <w:uiPriority w:val="0"/>
    <w:pPr>
      <w:spacing w:line="360" w:lineRule="auto"/>
      <w:ind w:firstLine="560" w:firstLineChars="200"/>
    </w:pPr>
    <w:rPr>
      <w:sz w:val="28"/>
    </w:rPr>
  </w:style>
  <w:style w:type="paragraph" w:styleId="14">
    <w:name w:val="HTML Address"/>
    <w:basedOn w:val="1"/>
    <w:next w:val="3"/>
    <w:autoRedefine/>
    <w:unhideWhenUsed/>
    <w:qFormat/>
    <w:uiPriority w:val="99"/>
    <w:pPr>
      <w:topLinePunct/>
    </w:pPr>
  </w:style>
  <w:style w:type="paragraph" w:styleId="15">
    <w:name w:val="Plain Text"/>
    <w:basedOn w:val="1"/>
    <w:autoRedefine/>
    <w:qFormat/>
    <w:uiPriority w:val="0"/>
    <w:rPr>
      <w:rFonts w:ascii="宋体" w:hAnsi="Courier New"/>
    </w:rPr>
  </w:style>
  <w:style w:type="paragraph" w:styleId="16">
    <w:name w:val="footer"/>
    <w:basedOn w:val="1"/>
    <w:autoRedefine/>
    <w:qFormat/>
    <w:uiPriority w:val="99"/>
    <w:pPr>
      <w:tabs>
        <w:tab w:val="center" w:pos="4153"/>
        <w:tab w:val="right" w:pos="8306"/>
      </w:tabs>
      <w:snapToGrid w:val="0"/>
      <w:jc w:val="left"/>
    </w:pPr>
    <w:rPr>
      <w:sz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autoRedefine/>
    <w:qFormat/>
    <w:uiPriority w:val="0"/>
  </w:style>
  <w:style w:type="paragraph" w:styleId="19">
    <w:name w:val="footnote text"/>
    <w:basedOn w:val="1"/>
    <w:next w:val="3"/>
    <w:autoRedefine/>
    <w:qFormat/>
    <w:uiPriority w:val="0"/>
    <w:pPr>
      <w:adjustRightInd w:val="0"/>
      <w:snapToGrid w:val="0"/>
      <w:spacing w:line="312" w:lineRule="atLeast"/>
      <w:jc w:val="left"/>
      <w:textAlignment w:val="baseline"/>
    </w:pPr>
    <w:rPr>
      <w:rFonts w:eastAsia="仿宋"/>
      <w:kern w:val="0"/>
      <w:sz w:val="18"/>
      <w:szCs w:val="18"/>
    </w:rPr>
  </w:style>
  <w:style w:type="paragraph" w:styleId="20">
    <w:name w:val="toc 2"/>
    <w:basedOn w:val="1"/>
    <w:next w:val="1"/>
    <w:autoRedefine/>
    <w:qFormat/>
    <w:uiPriority w:val="39"/>
    <w:pPr>
      <w:ind w:left="420" w:leftChars="200"/>
    </w:pPr>
    <w:rPr>
      <w:rFonts w:cs="Angsana New"/>
      <w:lang w:bidi="th-TH"/>
    </w:rPr>
  </w:style>
  <w:style w:type="paragraph" w:styleId="21">
    <w:name w:val="Body Text 2"/>
    <w:basedOn w:val="1"/>
    <w:autoRedefine/>
    <w:unhideWhenUsed/>
    <w:qFormat/>
    <w:uiPriority w:val="99"/>
    <w:pPr>
      <w:spacing w:line="360" w:lineRule="auto"/>
      <w:ind w:firstLine="0" w:firstLineChars="0"/>
    </w:pPr>
  </w:style>
  <w:style w:type="paragraph" w:styleId="22">
    <w:name w:val="Normal (Web)"/>
    <w:basedOn w:val="1"/>
    <w:next w:val="1"/>
    <w:autoRedefine/>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2"/>
    <w:basedOn w:val="13"/>
    <w:autoRedefine/>
    <w:unhideWhenUsed/>
    <w:qFormat/>
    <w:uiPriority w:val="0"/>
    <w:pPr>
      <w:spacing w:after="120" w:line="240" w:lineRule="auto"/>
      <w:ind w:left="420" w:leftChars="200" w:firstLine="420"/>
    </w:pPr>
    <w:rPr>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page number"/>
    <w:basedOn w:val="26"/>
    <w:autoRedefine/>
    <w:qFormat/>
    <w:uiPriority w:val="0"/>
  </w:style>
  <w:style w:type="character" w:styleId="29">
    <w:name w:val="Hyperlink"/>
    <w:basedOn w:val="26"/>
    <w:autoRedefine/>
    <w:qFormat/>
    <w:uiPriority w:val="0"/>
    <w:rPr>
      <w:color w:val="0000FF"/>
      <w:u w:val="single"/>
    </w:rPr>
  </w:style>
  <w:style w:type="character" w:styleId="30">
    <w:name w:val="HTML Sample"/>
    <w:basedOn w:val="26"/>
    <w:autoRedefine/>
    <w:qFormat/>
    <w:uiPriority w:val="0"/>
    <w:rPr>
      <w:rFonts w:ascii="Courier New" w:hAnsi="Courier New"/>
    </w:rPr>
  </w:style>
  <w:style w:type="paragraph" w:customStyle="1" w:styleId="31">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2">
    <w:name w:val="Default"/>
    <w:autoRedefine/>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33">
    <w:name w:val="正文1"/>
    <w:autoRedefine/>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4">
    <w:name w:val="Char1"/>
    <w:basedOn w:val="1"/>
    <w:autoRedefine/>
    <w:qFormat/>
    <w:uiPriority w:val="0"/>
    <w:rPr>
      <w:szCs w:val="21"/>
    </w:rPr>
  </w:style>
  <w:style w:type="paragraph" w:styleId="35">
    <w:name w:val="List Paragraph"/>
    <w:basedOn w:val="1"/>
    <w:autoRedefine/>
    <w:qFormat/>
    <w:uiPriority w:val="99"/>
    <w:pPr>
      <w:ind w:firstLine="420" w:firstLineChars="200"/>
    </w:pPr>
  </w:style>
  <w:style w:type="paragraph" w:customStyle="1" w:styleId="36">
    <w:name w:val="标书正文"/>
    <w:basedOn w:val="1"/>
    <w:autoRedefine/>
    <w:qFormat/>
    <w:uiPriority w:val="0"/>
    <w:pPr>
      <w:spacing w:line="560" w:lineRule="exact"/>
      <w:ind w:firstLine="723" w:firstLineChars="200"/>
      <w:jc w:val="center"/>
    </w:pPr>
    <w:rPr>
      <w:rFonts w:ascii="仿宋_GB2312" w:eastAsia="仿宋_GB2312"/>
      <w:b/>
      <w:sz w:val="36"/>
      <w:szCs w:val="24"/>
    </w:rPr>
  </w:style>
  <w:style w:type="paragraph" w:customStyle="1" w:styleId="37">
    <w:name w:val="_Style 7"/>
    <w:basedOn w:val="1"/>
    <w:autoRedefine/>
    <w:qFormat/>
    <w:uiPriority w:val="0"/>
    <w:pPr>
      <w:tabs>
        <w:tab w:val="left" w:pos="360"/>
      </w:tabs>
      <w:ind w:firstLine="420" w:firstLineChars="150"/>
    </w:pPr>
    <w:rPr>
      <w:rFonts w:ascii="Arial" w:hAnsi="Arial" w:cs="Arial"/>
      <w:sz w:val="20"/>
    </w:rPr>
  </w:style>
  <w:style w:type="paragraph" w:customStyle="1" w:styleId="38">
    <w:name w:val="缺省文本"/>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39">
    <w:name w:val="font21"/>
    <w:basedOn w:val="26"/>
    <w:autoRedefine/>
    <w:qFormat/>
    <w:uiPriority w:val="0"/>
    <w:rPr>
      <w:rFonts w:hint="eastAsia" w:ascii="宋体" w:hAnsi="宋体" w:eastAsia="宋体" w:cs="宋体"/>
      <w:color w:val="000000"/>
      <w:sz w:val="20"/>
      <w:szCs w:val="20"/>
      <w:u w:val="none"/>
      <w:vertAlign w:val="superscript"/>
    </w:rPr>
  </w:style>
  <w:style w:type="paragraph" w:customStyle="1" w:styleId="40">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42">
    <w:name w:val="font61"/>
    <w:basedOn w:val="26"/>
    <w:autoRedefine/>
    <w:qFormat/>
    <w:uiPriority w:val="0"/>
    <w:rPr>
      <w:rFonts w:hint="eastAsia" w:ascii="宋体" w:hAnsi="宋体" w:eastAsia="宋体" w:cs="宋体"/>
      <w:color w:val="000000"/>
      <w:sz w:val="20"/>
      <w:szCs w:val="20"/>
      <w:u w:val="none"/>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szCs w:val="20"/>
    </w:rPr>
  </w:style>
  <w:style w:type="paragraph" w:customStyle="1" w:styleId="45">
    <w:name w:val="样式1"/>
    <w:basedOn w:val="1"/>
    <w:autoRedefine/>
    <w:qFormat/>
    <w:uiPriority w:val="0"/>
    <w:pPr>
      <w:tabs>
        <w:tab w:val="left" w:pos="480"/>
      </w:tabs>
      <w:adjustRightInd w:val="0"/>
      <w:ind w:left="480" w:hanging="480"/>
      <w:textAlignment w:val="baseline"/>
    </w:pPr>
    <w:rPr>
      <w:rFonts w:ascii="宋体" w:hAnsi="宋体"/>
      <w:kern w:val="0"/>
      <w:szCs w:val="21"/>
    </w:rPr>
  </w:style>
  <w:style w:type="character" w:customStyle="1" w:styleId="46">
    <w:name w:val="font01"/>
    <w:basedOn w:val="26"/>
    <w:autoRedefine/>
    <w:qFormat/>
    <w:uiPriority w:val="0"/>
    <w:rPr>
      <w:rFonts w:hint="eastAsia" w:ascii="宋体" w:hAnsi="宋体" w:eastAsia="宋体" w:cs="宋体"/>
      <w:color w:val="000000"/>
      <w:sz w:val="20"/>
      <w:szCs w:val="20"/>
      <w:u w:val="none"/>
    </w:rPr>
  </w:style>
  <w:style w:type="character" w:customStyle="1" w:styleId="47">
    <w:name w:val="font11"/>
    <w:basedOn w:val="26"/>
    <w:autoRedefine/>
    <w:qFormat/>
    <w:uiPriority w:val="0"/>
    <w:rPr>
      <w:rFonts w:hint="eastAsia" w:ascii="宋体" w:hAnsi="宋体" w:eastAsia="宋体" w:cs="宋体"/>
      <w:color w:val="000000"/>
      <w:sz w:val="20"/>
      <w:szCs w:val="20"/>
      <w:u w:val="none"/>
    </w:rPr>
  </w:style>
  <w:style w:type="character" w:customStyle="1" w:styleId="48">
    <w:name w:val="font81"/>
    <w:basedOn w:val="26"/>
    <w:autoRedefine/>
    <w:qFormat/>
    <w:uiPriority w:val="0"/>
    <w:rPr>
      <w:rFonts w:ascii="Calibri" w:hAnsi="Calibri" w:cs="Calibri"/>
      <w:color w:val="000000"/>
      <w:sz w:val="20"/>
      <w:szCs w:val="20"/>
      <w:u w:val="none"/>
    </w:rPr>
  </w:style>
  <w:style w:type="table" w:customStyle="1" w:styleId="49">
    <w:name w:val="网格型1"/>
    <w:basedOn w:val="24"/>
    <w:autoRedefine/>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0">
    <w:name w:val="font91"/>
    <w:basedOn w:val="26"/>
    <w:autoRedefine/>
    <w:qFormat/>
    <w:uiPriority w:val="0"/>
    <w:rPr>
      <w:rFonts w:hint="eastAsia" w:ascii="宋体" w:hAnsi="宋体" w:eastAsia="宋体" w:cs="宋体"/>
      <w:color w:val="000000"/>
      <w:sz w:val="20"/>
      <w:szCs w:val="20"/>
      <w:u w:val="none"/>
    </w:rPr>
  </w:style>
  <w:style w:type="character" w:customStyle="1" w:styleId="51">
    <w:name w:val="font41"/>
    <w:basedOn w:val="26"/>
    <w:autoRedefine/>
    <w:qFormat/>
    <w:uiPriority w:val="0"/>
    <w:rPr>
      <w:rFonts w:hint="eastAsia" w:ascii="宋体" w:hAnsi="宋体" w:eastAsia="宋体" w:cs="宋体"/>
      <w:color w:val="000000"/>
      <w:sz w:val="22"/>
      <w:szCs w:val="22"/>
      <w:u w:val="none"/>
    </w:rPr>
  </w:style>
  <w:style w:type="character" w:customStyle="1" w:styleId="52">
    <w:name w:val="font101"/>
    <w:basedOn w:val="26"/>
    <w:autoRedefine/>
    <w:qFormat/>
    <w:uiPriority w:val="0"/>
    <w:rPr>
      <w:rFonts w:hint="default" w:ascii="Calibri" w:hAnsi="Calibri" w:cs="Calibri"/>
      <w:color w:val="000000"/>
      <w:sz w:val="22"/>
      <w:szCs w:val="22"/>
      <w:u w:val="none"/>
    </w:rPr>
  </w:style>
  <w:style w:type="character" w:customStyle="1" w:styleId="53">
    <w:name w:val="font51"/>
    <w:basedOn w:val="26"/>
    <w:autoRedefine/>
    <w:qFormat/>
    <w:uiPriority w:val="0"/>
    <w:rPr>
      <w:rFonts w:hint="eastAsia" w:ascii="宋体" w:hAnsi="宋体" w:eastAsia="宋体" w:cs="宋体"/>
      <w:color w:val="000000"/>
      <w:sz w:val="22"/>
      <w:szCs w:val="22"/>
      <w:u w:val="none"/>
    </w:rPr>
  </w:style>
  <w:style w:type="character" w:customStyle="1" w:styleId="54">
    <w:name w:val="font71"/>
    <w:basedOn w:val="26"/>
    <w:autoRedefine/>
    <w:qFormat/>
    <w:uiPriority w:val="0"/>
    <w:rPr>
      <w:rFonts w:hint="eastAsia" w:ascii="宋体" w:hAnsi="宋体" w:eastAsia="宋体" w:cs="宋体"/>
      <w:color w:val="000000"/>
      <w:sz w:val="20"/>
      <w:szCs w:val="20"/>
      <w:u w:val="none"/>
    </w:rPr>
  </w:style>
  <w:style w:type="character" w:customStyle="1" w:styleId="55">
    <w:name w:val="NormalCharacter"/>
    <w:autoRedefine/>
    <w:qFormat/>
    <w:uiPriority w:val="0"/>
    <w:rPr>
      <w:kern w:val="2"/>
      <w:sz w:val="21"/>
      <w:szCs w:val="24"/>
      <w:lang w:val="en-US" w:eastAsia="zh-CN" w:bidi="ar-SA"/>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Table Text"/>
    <w:basedOn w:val="1"/>
    <w:autoRedefine/>
    <w:semiHidden/>
    <w:qFormat/>
    <w:uiPriority w:val="0"/>
    <w:rPr>
      <w:rFonts w:ascii="Arial" w:hAnsi="Arial" w:eastAsia="Arial" w:cs="Arial"/>
      <w:sz w:val="21"/>
      <w:szCs w:val="21"/>
      <w:lang w:val="en-US" w:eastAsia="en-US" w:bidi="ar-SA"/>
    </w:rPr>
  </w:style>
  <w:style w:type="paragraph" w:customStyle="1" w:styleId="58">
    <w:name w:val="_Style 2"/>
    <w:basedOn w:val="1"/>
    <w:autoRedefine/>
    <w:qFormat/>
    <w:uiPriority w:val="0"/>
    <w:pPr>
      <w:ind w:firstLine="420" w:firstLineChars="200"/>
    </w:pPr>
    <w:rPr>
      <w:szCs w:val="24"/>
    </w:rPr>
  </w:style>
  <w:style w:type="paragraph" w:customStyle="1" w:styleId="59">
    <w:name w:val="Table Paragraph"/>
    <w:basedOn w:val="1"/>
    <w:autoRedefine/>
    <w:qFormat/>
    <w:uiPriority w:val="1"/>
    <w:pPr>
      <w:jc w:val="left"/>
    </w:pPr>
    <w:rPr>
      <w:rFonts w:ascii="宋体" w:hAnsi="宋体" w:cs="宋体"/>
      <w:kern w:val="0"/>
      <w:sz w:val="22"/>
      <w:szCs w:val="22"/>
      <w:lang w:eastAsia="en-US"/>
    </w:rPr>
  </w:style>
  <w:style w:type="paragraph" w:customStyle="1" w:styleId="60">
    <w:name w:val="?????????????????¡ì?????????????????????????¡ì?????????????????????????¡§????????????????????????¡ì??????????????????????¡ì????????????????????????¡ì????????o????????????????????¡§????????????????????????¡ì??????????????????????¡ì????????"/>
    <w:basedOn w:val="1"/>
    <w:autoRedefine/>
    <w:qFormat/>
    <w:uiPriority w:val="0"/>
    <w:pPr>
      <w:jc w:val="left"/>
    </w:pPr>
    <w:rPr>
      <w:rFonts w:ascii="Times New Roman" w:hAnsi="Times New Roman"/>
      <w:sz w:val="24"/>
    </w:rPr>
  </w:style>
  <w:style w:type="paragraph" w:customStyle="1" w:styleId="61">
    <w:name w:val="Normal"/>
    <w:autoRedefine/>
    <w:qFormat/>
    <w:uiPriority w:val="0"/>
    <w:rPr>
      <w:rFonts w:ascii="Times New Roman" w:hAnsi="Times New Roman" w:eastAsia="Times New Roman" w:cs="Times New Roman"/>
      <w:sz w:val="24"/>
      <w:szCs w:val="24"/>
      <w:lang w:bidi="ar-SA"/>
    </w:rPr>
  </w:style>
  <w:style w:type="character" w:customStyle="1" w:styleId="62">
    <w:name w:val="font31"/>
    <w:basedOn w:val="26"/>
    <w:autoRedefine/>
    <w:qFormat/>
    <w:uiPriority w:val="0"/>
    <w:rPr>
      <w:rFonts w:hint="eastAsia" w:ascii="宋体" w:hAnsi="宋体" w:eastAsia="宋体" w:cs="宋体"/>
      <w:color w:val="FF0000"/>
      <w:sz w:val="18"/>
      <w:szCs w:val="18"/>
      <w:u w:val="none"/>
    </w:rPr>
  </w:style>
  <w:style w:type="paragraph" w:customStyle="1" w:styleId="63">
    <w:name w:val="样式 样式 样式 左侧:  2 字符1 + 首行缩进:  2 字符1 + 首行缩进:  2 字符"/>
    <w:basedOn w:val="1"/>
    <w:autoRedefine/>
    <w:qFormat/>
    <w:uiPriority w:val="0"/>
    <w:pPr>
      <w:widowControl/>
      <w:adjustRightInd w:val="0"/>
      <w:spacing w:before="60" w:after="120" w:line="440" w:lineRule="atLeast"/>
      <w:ind w:firstLine="480"/>
    </w:pPr>
    <w:rPr>
      <w:sz w:val="24"/>
    </w:rPr>
  </w:style>
  <w:style w:type="character" w:customStyle="1" w:styleId="64">
    <w:name w:val="font112"/>
    <w:basedOn w:val="26"/>
    <w:autoRedefine/>
    <w:qFormat/>
    <w:uiPriority w:val="0"/>
    <w:rPr>
      <w:rFonts w:hint="eastAsia" w:ascii="宋体" w:hAnsi="宋体" w:eastAsia="宋体" w:cs="宋体"/>
      <w:color w:val="000000"/>
      <w:sz w:val="15"/>
      <w:szCs w:val="15"/>
      <w:u w:val="none"/>
    </w:rPr>
  </w:style>
  <w:style w:type="character" w:customStyle="1" w:styleId="65">
    <w:name w:val="font121"/>
    <w:basedOn w:val="26"/>
    <w:autoRedefine/>
    <w:qFormat/>
    <w:uiPriority w:val="0"/>
    <w:rPr>
      <w:rFonts w:hint="eastAsia" w:ascii="仿宋_GB2312" w:eastAsia="仿宋_GB2312" w:cs="仿宋_GB2312"/>
      <w:b/>
      <w:bCs/>
      <w:color w:val="000000"/>
      <w:sz w:val="18"/>
      <w:szCs w:val="18"/>
      <w:u w:val="none"/>
    </w:rPr>
  </w:style>
  <w:style w:type="character" w:customStyle="1" w:styleId="66">
    <w:name w:val="font131"/>
    <w:basedOn w:val="26"/>
    <w:autoRedefine/>
    <w:qFormat/>
    <w:uiPriority w:val="0"/>
    <w:rPr>
      <w:rFonts w:ascii="Arial Unicode MS" w:hAnsi="Arial Unicode MS" w:eastAsia="Arial Unicode MS" w:cs="Arial Unicode MS"/>
      <w:color w:val="000000"/>
      <w:sz w:val="20"/>
      <w:szCs w:val="20"/>
      <w:u w:val="none"/>
    </w:rPr>
  </w:style>
  <w:style w:type="paragraph" w:customStyle="1" w:styleId="6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8">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69">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12694</Words>
  <Characters>13922</Characters>
  <Lines>0</Lines>
  <Paragraphs>0</Paragraphs>
  <TotalTime>0</TotalTime>
  <ScaleCrop>false</ScaleCrop>
  <LinksUpToDate>false</LinksUpToDate>
  <CharactersWithSpaces>14209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2021-09-17T03:33:00Z</dcterms:created>
  <dc:creator>86180</dc:creator>
  <cp:lastModifiedBy>Administrator</cp:lastModifiedBy>
  <cp:lastPrinted>2024-05-15T08:52:00Z</cp:lastPrinted>
  <dcterms:modified xsi:type="dcterms:W3CDTF">2026-05-21T11:08:20Z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D929884A23E14B8E96ECBD4F3C4DED29</vt:lpwstr>
  </property>
  <property fmtid="{D5CDD505-2E9C-101B-9397-08002B2CF9AE}" pid="4" name="commondata">
    <vt:lpwstr>eyJoZGlkIjoiY2VmODU3YmViNzMyMjk1MDIwNjZmNWIwNzc2NzgwZTQifQ==</vt:lpwstr>
  </property>
  <property fmtid="{D5CDD505-2E9C-101B-9397-08002B2CF9AE}" pid="5" name="KSOTemplateDocerSaveRecord">
    <vt:lpwstr>eyJoZGlkIjoiOGI2NDIwN2M2ODljYmVjN2ZmM2NiOGFkNDlmMDNhNzQiLCJ1c2VySWQiOiIxNTQ4NTc1Mzk2In0=</vt:lpwstr>
  </property>
</Properties>
</file>