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C8889">
      <w:pPr>
        <w:spacing w:line="360" w:lineRule="auto"/>
        <w:jc w:val="center"/>
        <w:rPr>
          <w:rFonts w:ascii="宋体" w:hAnsi="宋体" w:cs="宋体"/>
          <w:b/>
          <w:color w:val="000000" w:themeColor="text1"/>
          <w:sz w:val="24"/>
          <w14:textFill>
            <w14:solidFill>
              <w14:schemeClr w14:val="tx1"/>
            </w14:solidFill>
          </w14:textFill>
        </w:rPr>
      </w:pPr>
    </w:p>
    <w:p w14:paraId="254EE316">
      <w:pPr>
        <w:spacing w:line="360" w:lineRule="auto"/>
        <w:jc w:val="center"/>
        <w:rPr>
          <w:rFonts w:ascii="宋体" w:hAnsi="宋体" w:cs="宋体"/>
          <w:b/>
          <w:color w:val="000000" w:themeColor="text1"/>
          <w:sz w:val="24"/>
          <w14:textFill>
            <w14:solidFill>
              <w14:schemeClr w14:val="tx1"/>
            </w14:solidFill>
          </w14:textFill>
        </w:rPr>
      </w:pPr>
    </w:p>
    <w:p w14:paraId="5E6A8B5F">
      <w:pPr>
        <w:adjustRightInd/>
        <w:spacing w:line="360" w:lineRule="auto"/>
        <w:jc w:val="center"/>
        <w:rPr>
          <w:rFonts w:ascii="宋体" w:hAnsi="宋体" w:cs="宋体"/>
          <w:b/>
          <w:color w:val="000000" w:themeColor="text1"/>
          <w:sz w:val="44"/>
          <w:szCs w:val="44"/>
          <w14:textFill>
            <w14:solidFill>
              <w14:schemeClr w14:val="tx1"/>
            </w14:solidFill>
          </w14:textFill>
        </w:rPr>
      </w:pPr>
    </w:p>
    <w:p w14:paraId="3871A72F">
      <w:pPr>
        <w:spacing w:line="360" w:lineRule="auto"/>
        <w:jc w:val="center"/>
        <w:rPr>
          <w:rFonts w:ascii="宋体" w:hAnsi="宋体" w:cs="宋体"/>
          <w:b/>
          <w:color w:val="000000" w:themeColor="text1"/>
          <w:sz w:val="44"/>
          <w:szCs w:val="44"/>
          <w14:textFill>
            <w14:solidFill>
              <w14:schemeClr w14:val="tx1"/>
            </w14:solidFill>
          </w14:textFill>
        </w:rPr>
      </w:pPr>
    </w:p>
    <w:p w14:paraId="7B279096">
      <w:pPr>
        <w:adjustRightInd/>
        <w:spacing w:line="360" w:lineRule="auto"/>
        <w:jc w:val="center"/>
        <w:rPr>
          <w:rFonts w:ascii="宋体" w:hAnsi="宋体" w:cs="宋体"/>
          <w:b/>
          <w:color w:val="000000" w:themeColor="text1"/>
          <w:sz w:val="48"/>
          <w:szCs w:val="48"/>
          <w14:textFill>
            <w14:solidFill>
              <w14:schemeClr w14:val="tx1"/>
            </w14:solidFill>
          </w14:textFill>
        </w:rPr>
      </w:pPr>
    </w:p>
    <w:p w14:paraId="37E2B484">
      <w:pPr>
        <w:adjustRightInd/>
        <w:spacing w:line="360" w:lineRule="auto"/>
        <w:jc w:val="center"/>
        <w:rPr>
          <w:rFonts w:ascii="宋体" w:hAnsi="宋体" w:cs="宋体"/>
          <w:color w:val="000000" w:themeColor="text1"/>
          <w:sz w:val="48"/>
          <w:szCs w:val="48"/>
          <w14:textFill>
            <w14:solidFill>
              <w14:schemeClr w14:val="tx1"/>
            </w14:solidFill>
          </w14:textFill>
        </w:rPr>
      </w:pPr>
      <w:r>
        <w:rPr>
          <w:rFonts w:hint="eastAsia" w:ascii="宋体" w:hAnsi="宋体" w:cs="宋体"/>
          <w:color w:val="000000" w:themeColor="text1"/>
          <w:sz w:val="48"/>
          <w:szCs w:val="48"/>
          <w14:textFill>
            <w14:solidFill>
              <w14:schemeClr w14:val="tx1"/>
            </w14:solidFill>
          </w14:textFill>
        </w:rPr>
        <w:t>钱塘校区弱电设备改造工程（三期）</w:t>
      </w:r>
    </w:p>
    <w:p w14:paraId="0F3406B2">
      <w:pPr>
        <w:adjustRightInd/>
        <w:spacing w:line="360" w:lineRule="auto"/>
        <w:jc w:val="center"/>
        <w:rPr>
          <w:rFonts w:ascii="宋体" w:hAnsi="宋体" w:cs="宋体"/>
          <w:color w:val="000000" w:themeColor="text1"/>
          <w:sz w:val="48"/>
          <w:szCs w:val="48"/>
          <w14:textFill>
            <w14:solidFill>
              <w14:schemeClr w14:val="tx1"/>
            </w14:solidFill>
          </w14:textFill>
        </w:rPr>
      </w:pPr>
      <w:r>
        <w:rPr>
          <w:rFonts w:hint="eastAsia" w:ascii="宋体" w:hAnsi="宋体" w:cs="宋体"/>
          <w:color w:val="000000" w:themeColor="text1"/>
          <w:sz w:val="48"/>
          <w:szCs w:val="48"/>
          <w14:textFill>
            <w14:solidFill>
              <w14:schemeClr w14:val="tx1"/>
            </w14:solidFill>
          </w14:textFill>
        </w:rPr>
        <w:t>招标文件</w:t>
      </w:r>
    </w:p>
    <w:p w14:paraId="59F18CDD">
      <w:pPr>
        <w:adjustRightInd/>
        <w:spacing w:line="360" w:lineRule="auto"/>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（电子招投标）</w:t>
      </w:r>
    </w:p>
    <w:p w14:paraId="22B5EEF3">
      <w:pPr>
        <w:snapToGrid w:val="0"/>
        <w:spacing w:line="360" w:lineRule="auto"/>
        <w:jc w:val="center"/>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编号：</w:t>
      </w:r>
      <w:r>
        <w:rPr>
          <w:rFonts w:hint="eastAsia" w:ascii="宋体" w:hAnsi="宋体" w:cs="宋体"/>
          <w:color w:val="000000" w:themeColor="text1"/>
          <w:sz w:val="30"/>
          <w:szCs w:val="30"/>
          <w:lang w:eastAsia="zh-CN"/>
          <w14:textFill>
            <w14:solidFill>
              <w14:schemeClr w14:val="tx1"/>
            </w14:solidFill>
          </w14:textFill>
        </w:rPr>
        <w:t>330000263030350000163-HSZB-2026-373</w:t>
      </w:r>
    </w:p>
    <w:p w14:paraId="389CB300">
      <w:pPr>
        <w:adjustRightInd/>
        <w:spacing w:line="360" w:lineRule="auto"/>
        <w:rPr>
          <w:rFonts w:ascii="宋体" w:hAnsi="宋体" w:cs="宋体"/>
          <w:color w:val="000000" w:themeColor="text1"/>
          <w:sz w:val="28"/>
          <w:szCs w:val="20"/>
          <w14:textFill>
            <w14:solidFill>
              <w14:schemeClr w14:val="tx1"/>
            </w14:solidFill>
          </w14:textFill>
        </w:rPr>
      </w:pPr>
    </w:p>
    <w:p w14:paraId="6E8BCEDB">
      <w:pPr>
        <w:spacing w:line="360" w:lineRule="auto"/>
        <w:jc w:val="center"/>
        <w:rPr>
          <w:rFonts w:ascii="宋体" w:hAnsi="宋体" w:cs="宋体"/>
          <w:b/>
          <w:color w:val="000000" w:themeColor="text1"/>
          <w:sz w:val="44"/>
          <w:szCs w:val="44"/>
          <w14:textFill>
            <w14:solidFill>
              <w14:schemeClr w14:val="tx1"/>
            </w14:solidFill>
          </w14:textFill>
        </w:rPr>
      </w:pPr>
    </w:p>
    <w:p w14:paraId="048B88D2">
      <w:pPr>
        <w:spacing w:line="360" w:lineRule="auto"/>
        <w:jc w:val="center"/>
        <w:rPr>
          <w:rFonts w:ascii="宋体" w:hAnsi="宋体" w:cs="宋体"/>
          <w:b/>
          <w:color w:val="000000" w:themeColor="text1"/>
          <w:sz w:val="44"/>
          <w:szCs w:val="44"/>
          <w14:textFill>
            <w14:solidFill>
              <w14:schemeClr w14:val="tx1"/>
            </w14:solidFill>
          </w14:textFill>
        </w:rPr>
      </w:pPr>
    </w:p>
    <w:p w14:paraId="780C8B12">
      <w:pPr>
        <w:spacing w:line="360" w:lineRule="auto"/>
        <w:jc w:val="center"/>
        <w:rPr>
          <w:rFonts w:ascii="宋体" w:hAnsi="宋体" w:cs="宋体"/>
          <w:color w:val="000000" w:themeColor="text1"/>
          <w:sz w:val="24"/>
          <w14:textFill>
            <w14:solidFill>
              <w14:schemeClr w14:val="tx1"/>
            </w14:solidFill>
          </w14:textFill>
        </w:rPr>
      </w:pPr>
    </w:p>
    <w:p w14:paraId="144026E1">
      <w:pPr>
        <w:spacing w:line="360" w:lineRule="auto"/>
        <w:jc w:val="center"/>
        <w:rPr>
          <w:rFonts w:ascii="宋体" w:hAnsi="宋体" w:cs="宋体"/>
          <w:color w:val="000000" w:themeColor="text1"/>
          <w:sz w:val="24"/>
          <w14:textFill>
            <w14:solidFill>
              <w14:schemeClr w14:val="tx1"/>
            </w14:solidFill>
          </w14:textFill>
        </w:rPr>
      </w:pPr>
    </w:p>
    <w:p w14:paraId="7C204A98">
      <w:pPr>
        <w:spacing w:line="360" w:lineRule="auto"/>
        <w:rPr>
          <w:rFonts w:ascii="宋体" w:hAnsi="宋体" w:cs="宋体"/>
          <w:color w:val="000000" w:themeColor="text1"/>
          <w:sz w:val="32"/>
          <w:szCs w:val="32"/>
          <w14:textFill>
            <w14:solidFill>
              <w14:schemeClr w14:val="tx1"/>
            </w14:solidFill>
          </w14:textFill>
        </w:rPr>
      </w:pPr>
    </w:p>
    <w:p w14:paraId="7DDAA6A5">
      <w:pPr>
        <w:snapToGrid w:val="0"/>
        <w:spacing w:line="360" w:lineRule="auto"/>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浙江水利水电学院</w:t>
      </w:r>
    </w:p>
    <w:p w14:paraId="48380AD7">
      <w:pPr>
        <w:spacing w:line="360" w:lineRule="auto"/>
        <w:jc w:val="cente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浙江豪圣建设项目管理有限公司</w:t>
      </w:r>
    </w:p>
    <w:p w14:paraId="2904C089">
      <w:pPr>
        <w:snapToGrid w:val="0"/>
        <w:spacing w:line="360" w:lineRule="auto"/>
        <w:jc w:val="cente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二〇二六年</w:t>
      </w:r>
      <w:r>
        <w:rPr>
          <w:rFonts w:hint="eastAsia" w:ascii="宋体" w:hAnsi="宋体" w:cs="宋体"/>
          <w:bCs/>
          <w:color w:val="000000" w:themeColor="text1"/>
          <w:sz w:val="32"/>
          <w:szCs w:val="32"/>
          <w:lang w:val="en-US" w:eastAsia="zh-CN"/>
          <w14:textFill>
            <w14:solidFill>
              <w14:schemeClr w14:val="tx1"/>
            </w14:solidFill>
          </w14:textFill>
        </w:rPr>
        <w:t>五</w:t>
      </w:r>
      <w:r>
        <w:rPr>
          <w:rFonts w:hint="eastAsia" w:ascii="宋体" w:hAnsi="宋体" w:cs="宋体"/>
          <w:bCs/>
          <w:color w:val="000000" w:themeColor="text1"/>
          <w:sz w:val="32"/>
          <w:szCs w:val="32"/>
          <w14:textFill>
            <w14:solidFill>
              <w14:schemeClr w14:val="tx1"/>
            </w14:solidFill>
          </w14:textFill>
        </w:rPr>
        <w:t>月</w:t>
      </w:r>
    </w:p>
    <w:p w14:paraId="365B06DC">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0" w:name="_Hlt67893495"/>
      <w:bookmarkEnd w:id="0"/>
    </w:p>
    <w:p w14:paraId="5D22FD83">
      <w:pPr>
        <w:spacing w:line="360" w:lineRule="auto"/>
        <w:jc w:val="center"/>
        <w:rPr>
          <w:rFonts w:ascii="宋体" w:hAnsi="宋体" w:cs="宋体"/>
          <w:color w:val="000000" w:themeColor="text1"/>
          <w:sz w:val="24"/>
          <w14:textFill>
            <w14:solidFill>
              <w14:schemeClr w14:val="tx1"/>
            </w14:solidFill>
          </w14:textFill>
        </w:rPr>
      </w:pPr>
    </w:p>
    <w:p w14:paraId="22647165">
      <w:pPr>
        <w:spacing w:line="360" w:lineRule="auto"/>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目  录</w:t>
      </w:r>
    </w:p>
    <w:p w14:paraId="025EEB43">
      <w:pPr>
        <w:spacing w:line="360" w:lineRule="auto"/>
        <w:rPr>
          <w:rFonts w:ascii="宋体" w:hAnsi="宋体" w:cs="宋体"/>
          <w:color w:val="000000" w:themeColor="text1"/>
          <w:sz w:val="32"/>
          <w:szCs w:val="32"/>
          <w14:textFill>
            <w14:solidFill>
              <w14:schemeClr w14:val="tx1"/>
            </w14:solidFill>
          </w14:textFill>
        </w:rPr>
      </w:pPr>
    </w:p>
    <w:p w14:paraId="0E742C54">
      <w:pPr>
        <w:spacing w:line="360" w:lineRule="auto"/>
        <w:rPr>
          <w:rFonts w:ascii="宋体" w:hAnsi="宋体" w:cs="宋体"/>
          <w:color w:val="000000" w:themeColor="text1"/>
          <w:sz w:val="32"/>
          <w:szCs w:val="32"/>
          <w14:textFill>
            <w14:solidFill>
              <w14:schemeClr w14:val="tx1"/>
            </w14:solidFill>
          </w14:textFill>
        </w:rPr>
      </w:pPr>
    </w:p>
    <w:p w14:paraId="19D554D5">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第一部分      招标公告</w:t>
      </w:r>
    </w:p>
    <w:p w14:paraId="28243058">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第二部分      投标人须知</w:t>
      </w:r>
    </w:p>
    <w:p w14:paraId="0F5F65F4">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第三部分      采购需求</w:t>
      </w:r>
    </w:p>
    <w:p w14:paraId="59D70E24">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第四部分      评标办法</w:t>
      </w:r>
    </w:p>
    <w:p w14:paraId="2A466661">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第五部分      拟签订的合同文本</w:t>
      </w:r>
    </w:p>
    <w:p w14:paraId="69D24EE8">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第六部分      应提交的有关格式范例</w:t>
      </w:r>
    </w:p>
    <w:p w14:paraId="442A18E9">
      <w:pPr>
        <w:spacing w:line="360" w:lineRule="auto"/>
        <w:ind w:firstLine="549" w:firstLineChars="229"/>
        <w:rPr>
          <w:rFonts w:ascii="宋体" w:hAnsi="宋体" w:cs="宋体"/>
          <w:color w:val="000000" w:themeColor="text1"/>
          <w:sz w:val="24"/>
          <w14:textFill>
            <w14:solidFill>
              <w14:schemeClr w14:val="tx1"/>
            </w14:solidFill>
          </w14:textFill>
        </w:rPr>
      </w:pPr>
      <w:bookmarkStart w:id="1" w:name="_Hlt91233176"/>
      <w:bookmarkEnd w:id="1"/>
      <w:bookmarkStart w:id="2" w:name="_Toc91899869"/>
    </w:p>
    <w:p w14:paraId="1E0A7B70">
      <w:pPr>
        <w:spacing w:line="360" w:lineRule="auto"/>
        <w:ind w:firstLine="549" w:firstLineChars="229"/>
        <w:rPr>
          <w:rFonts w:ascii="宋体" w:hAnsi="宋体" w:cs="宋体"/>
          <w:color w:val="000000" w:themeColor="text1"/>
          <w:sz w:val="24"/>
          <w14:textFill>
            <w14:solidFill>
              <w14:schemeClr w14:val="tx1"/>
            </w14:solidFill>
          </w14:textFill>
        </w:rPr>
      </w:pPr>
    </w:p>
    <w:p w14:paraId="132E3488">
      <w:pPr>
        <w:spacing w:line="360" w:lineRule="auto"/>
        <w:ind w:firstLine="549" w:firstLineChars="229"/>
        <w:rPr>
          <w:rFonts w:ascii="宋体" w:hAnsi="宋体" w:cs="宋体"/>
          <w:color w:val="000000" w:themeColor="text1"/>
          <w:sz w:val="24"/>
          <w14:textFill>
            <w14:solidFill>
              <w14:schemeClr w14:val="tx1"/>
            </w14:solidFill>
          </w14:textFill>
        </w:rPr>
      </w:pPr>
    </w:p>
    <w:p w14:paraId="6EA20BC3">
      <w:pPr>
        <w:spacing w:line="360" w:lineRule="auto"/>
        <w:ind w:firstLine="549" w:firstLineChars="229"/>
        <w:rPr>
          <w:rFonts w:ascii="宋体" w:hAnsi="宋体" w:cs="宋体"/>
          <w:color w:val="000000" w:themeColor="text1"/>
          <w:sz w:val="24"/>
          <w14:textFill>
            <w14:solidFill>
              <w14:schemeClr w14:val="tx1"/>
            </w14:solidFill>
          </w14:textFill>
        </w:rPr>
      </w:pPr>
    </w:p>
    <w:p w14:paraId="59AA272F">
      <w:pPr>
        <w:spacing w:line="360" w:lineRule="auto"/>
        <w:ind w:firstLine="549" w:firstLineChars="229"/>
        <w:rPr>
          <w:rFonts w:ascii="宋体" w:hAnsi="宋体" w:cs="宋体"/>
          <w:color w:val="000000" w:themeColor="text1"/>
          <w:sz w:val="24"/>
          <w14:textFill>
            <w14:solidFill>
              <w14:schemeClr w14:val="tx1"/>
            </w14:solidFill>
          </w14:textFill>
        </w:rPr>
      </w:pPr>
    </w:p>
    <w:p w14:paraId="6FAE0CEA">
      <w:pPr>
        <w:spacing w:line="360" w:lineRule="auto"/>
        <w:ind w:firstLine="549" w:firstLineChars="229"/>
        <w:rPr>
          <w:rFonts w:ascii="宋体" w:hAnsi="宋体" w:cs="宋体"/>
          <w:color w:val="000000" w:themeColor="text1"/>
          <w:sz w:val="24"/>
          <w14:textFill>
            <w14:solidFill>
              <w14:schemeClr w14:val="tx1"/>
            </w14:solidFill>
          </w14:textFill>
        </w:rPr>
      </w:pPr>
    </w:p>
    <w:p w14:paraId="03325ADB">
      <w:pPr>
        <w:spacing w:line="360" w:lineRule="auto"/>
        <w:ind w:firstLine="549" w:firstLineChars="229"/>
        <w:rPr>
          <w:rFonts w:ascii="宋体" w:hAnsi="宋体" w:cs="宋体"/>
          <w:color w:val="000000" w:themeColor="text1"/>
          <w:sz w:val="24"/>
          <w14:textFill>
            <w14:solidFill>
              <w14:schemeClr w14:val="tx1"/>
            </w14:solidFill>
          </w14:textFill>
        </w:rPr>
      </w:pPr>
    </w:p>
    <w:p w14:paraId="3DD44220">
      <w:pPr>
        <w:spacing w:line="360" w:lineRule="auto"/>
        <w:ind w:firstLine="549" w:firstLineChars="229"/>
        <w:rPr>
          <w:rFonts w:ascii="宋体" w:hAnsi="宋体" w:cs="宋体"/>
          <w:color w:val="000000" w:themeColor="text1"/>
          <w:sz w:val="24"/>
          <w14:textFill>
            <w14:solidFill>
              <w14:schemeClr w14:val="tx1"/>
            </w14:solidFill>
          </w14:textFill>
        </w:rPr>
      </w:pPr>
    </w:p>
    <w:p w14:paraId="12F992CE">
      <w:pPr>
        <w:spacing w:line="360" w:lineRule="auto"/>
        <w:ind w:firstLine="549" w:firstLineChars="229"/>
        <w:rPr>
          <w:rFonts w:ascii="宋体" w:hAnsi="宋体" w:cs="宋体"/>
          <w:color w:val="000000" w:themeColor="text1"/>
          <w:sz w:val="24"/>
          <w14:textFill>
            <w14:solidFill>
              <w14:schemeClr w14:val="tx1"/>
            </w14:solidFill>
          </w14:textFill>
        </w:rPr>
      </w:pPr>
    </w:p>
    <w:p w14:paraId="0B81B6C4">
      <w:pPr>
        <w:spacing w:line="360" w:lineRule="auto"/>
        <w:ind w:firstLine="549" w:firstLineChars="229"/>
        <w:rPr>
          <w:rFonts w:ascii="宋体" w:hAnsi="宋体" w:cs="宋体"/>
          <w:color w:val="000000" w:themeColor="text1"/>
          <w:sz w:val="24"/>
          <w14:textFill>
            <w14:solidFill>
              <w14:schemeClr w14:val="tx1"/>
            </w14:solidFill>
          </w14:textFill>
        </w:rPr>
      </w:pPr>
    </w:p>
    <w:p w14:paraId="0A4D2D16">
      <w:pPr>
        <w:spacing w:line="360" w:lineRule="auto"/>
        <w:ind w:firstLine="549" w:firstLineChars="229"/>
        <w:rPr>
          <w:rFonts w:ascii="宋体" w:hAnsi="宋体" w:cs="宋体"/>
          <w:color w:val="000000" w:themeColor="text1"/>
          <w:sz w:val="24"/>
          <w14:textFill>
            <w14:solidFill>
              <w14:schemeClr w14:val="tx1"/>
            </w14:solidFill>
          </w14:textFill>
        </w:rPr>
      </w:pPr>
    </w:p>
    <w:p w14:paraId="4DC75B17">
      <w:pPr>
        <w:spacing w:line="360" w:lineRule="auto"/>
        <w:ind w:firstLine="549" w:firstLineChars="229"/>
        <w:rPr>
          <w:rFonts w:ascii="宋体" w:hAnsi="宋体" w:cs="宋体"/>
          <w:color w:val="000000" w:themeColor="text1"/>
          <w:sz w:val="24"/>
          <w14:textFill>
            <w14:solidFill>
              <w14:schemeClr w14:val="tx1"/>
            </w14:solidFill>
          </w14:textFill>
        </w:rPr>
      </w:pPr>
    </w:p>
    <w:p w14:paraId="73FE60BD">
      <w:pPr>
        <w:spacing w:line="360" w:lineRule="auto"/>
        <w:ind w:firstLine="549" w:firstLineChars="229"/>
        <w:rPr>
          <w:rFonts w:ascii="宋体" w:hAnsi="宋体" w:cs="宋体"/>
          <w:color w:val="000000" w:themeColor="text1"/>
          <w:sz w:val="24"/>
          <w14:textFill>
            <w14:solidFill>
              <w14:schemeClr w14:val="tx1"/>
            </w14:solidFill>
          </w14:textFill>
        </w:rPr>
      </w:pPr>
    </w:p>
    <w:bookmarkEnd w:id="2"/>
    <w:p w14:paraId="11B72CCC">
      <w:pPr>
        <w:adjustRightInd/>
        <w:spacing w:line="360" w:lineRule="auto"/>
        <w:jc w:val="center"/>
        <w:outlineLvl w:val="0"/>
        <w:rPr>
          <w:rFonts w:ascii="宋体" w:hAnsi="宋体" w:cs="宋体"/>
          <w:b/>
          <w:color w:val="000000" w:themeColor="text1"/>
          <w:sz w:val="36"/>
          <w:szCs w:val="20"/>
          <w14:textFill>
            <w14:solidFill>
              <w14:schemeClr w14:val="tx1"/>
            </w14:solidFill>
          </w14:textFill>
        </w:rPr>
        <w:sectPr>
          <w:headerReference r:id="rId4" w:type="first"/>
          <w:headerReference r:id="rId3" w:type="default"/>
          <w:pgSz w:w="11906" w:h="16838"/>
          <w:pgMar w:top="680" w:right="1418" w:bottom="468" w:left="1418" w:header="851" w:footer="992" w:gutter="0"/>
          <w:cols w:space="720" w:num="1"/>
          <w:titlePg/>
          <w:docGrid w:linePitch="312" w:charSpace="0"/>
        </w:sectPr>
      </w:pPr>
      <w:bookmarkStart w:id="3" w:name="_Hlt74707423"/>
      <w:bookmarkEnd w:id="3"/>
      <w:bookmarkStart w:id="4" w:name="_Hlt74729822"/>
      <w:bookmarkEnd w:id="4"/>
      <w:bookmarkStart w:id="5" w:name="_Hlt74728647"/>
      <w:bookmarkEnd w:id="5"/>
      <w:bookmarkStart w:id="6" w:name="_Hlt74649545"/>
      <w:bookmarkEnd w:id="6"/>
      <w:bookmarkStart w:id="7" w:name="第二部分"/>
      <w:bookmarkStart w:id="8" w:name="_Toc91899870"/>
      <w:bookmarkStart w:id="9" w:name="_Toc91899871"/>
    </w:p>
    <w:p w14:paraId="00D21545">
      <w:pPr>
        <w:adjustRightInd/>
        <w:spacing w:line="360" w:lineRule="auto"/>
        <w:jc w:val="center"/>
        <w:outlineLvl w:val="0"/>
        <w:rPr>
          <w:rFonts w:ascii="宋体" w:hAnsi="宋体" w:cs="宋体"/>
          <w:b/>
          <w:color w:val="000000" w:themeColor="text1"/>
          <w:sz w:val="36"/>
          <w:szCs w:val="20"/>
          <w14:textFill>
            <w14:solidFill>
              <w14:schemeClr w14:val="tx1"/>
            </w14:solidFill>
          </w14:textFill>
        </w:rPr>
      </w:pPr>
      <w:r>
        <w:rPr>
          <w:rFonts w:hint="eastAsia" w:ascii="宋体" w:hAnsi="宋体" w:cs="宋体"/>
          <w:b/>
          <w:color w:val="000000" w:themeColor="text1"/>
          <w:sz w:val="36"/>
          <w:szCs w:val="20"/>
          <w14:textFill>
            <w14:solidFill>
              <w14:schemeClr w14:val="tx1"/>
            </w14:solidFill>
          </w14:textFill>
        </w:rPr>
        <w:t>第一部分 招标公告</w:t>
      </w:r>
    </w:p>
    <w:p w14:paraId="1686AD0B">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项目概况</w:t>
      </w:r>
    </w:p>
    <w:p w14:paraId="47A94295">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u w:val="single"/>
          <w14:textFill>
            <w14:solidFill>
              <w14:schemeClr w14:val="tx1"/>
            </w14:solidFill>
          </w14:textFill>
        </w:rPr>
        <w:t>钱塘校区弱电设备改造工程（三期）</w:t>
      </w:r>
      <w:r>
        <w:rPr>
          <w:rFonts w:hint="eastAsia" w:asciiTheme="minorEastAsia" w:hAnsiTheme="minorEastAsia" w:eastAsiaTheme="minorEastAsia"/>
          <w:color w:val="000000" w:themeColor="text1"/>
          <w:sz w:val="24"/>
          <w14:textFill>
            <w14:solidFill>
              <w14:schemeClr w14:val="tx1"/>
            </w14:solidFill>
          </w14:textFill>
        </w:rPr>
        <w:t>招标项目的潜在投标人应在政采云平台（</w:t>
      </w:r>
      <w:r>
        <w:rPr>
          <w:rFonts w:asciiTheme="minorEastAsia" w:hAnsiTheme="minorEastAsia" w:eastAsiaTheme="minorEastAsia"/>
          <w:color w:val="000000" w:themeColor="text1"/>
          <w:sz w:val="24"/>
          <w14:textFill>
            <w14:solidFill>
              <w14:schemeClr w14:val="tx1"/>
            </w14:solidFill>
          </w14:textFill>
        </w:rPr>
        <w:t>https://www.zcygov.cn/）获取（下载）招标文件，并于</w:t>
      </w:r>
      <w:r>
        <w:rPr>
          <w:rFonts w:hint="eastAsia" w:asciiTheme="minorEastAsia" w:hAnsiTheme="minorEastAsia" w:eastAsiaTheme="minorEastAsia"/>
          <w:color w:val="000000" w:themeColor="text1"/>
          <w:sz w:val="24"/>
          <w14:textFill>
            <w14:solidFill>
              <w14:schemeClr w14:val="tx1"/>
            </w14:solidFill>
          </w14:textFill>
        </w:rPr>
        <w:t>2026</w:t>
      </w:r>
      <w:r>
        <w:rPr>
          <w:rFonts w:asciiTheme="minorEastAsia" w:hAnsiTheme="minorEastAsia" w:eastAsiaTheme="minorEastAsia"/>
          <w:color w:val="000000" w:themeColor="text1"/>
          <w:sz w:val="24"/>
          <w14:textFill>
            <w14:solidFill>
              <w14:schemeClr w14:val="tx1"/>
            </w14:solidFill>
          </w14:textFill>
        </w:rPr>
        <w:t>年</w:t>
      </w:r>
      <w:r>
        <w:rPr>
          <w:rFonts w:hint="eastAsia" w:asciiTheme="minorEastAsia" w:hAnsiTheme="minorEastAsia" w:eastAsiaTheme="minorEastAsia"/>
          <w:color w:val="000000" w:themeColor="text1"/>
          <w:sz w:val="24"/>
          <w:lang w:eastAsia="zh-CN"/>
          <w14:textFill>
            <w14:solidFill>
              <w14:schemeClr w14:val="tx1"/>
            </w14:solidFill>
          </w14:textFill>
        </w:rPr>
        <w:t>06月08日</w:t>
      </w:r>
      <w:r>
        <w:rPr>
          <w:rFonts w:hint="eastAsia" w:asciiTheme="minorEastAsia" w:hAnsiTheme="minorEastAsia" w:eastAsiaTheme="minorEastAsia"/>
          <w:color w:val="000000" w:themeColor="text1"/>
          <w:sz w:val="24"/>
          <w14:textFill>
            <w14:solidFill>
              <w14:schemeClr w14:val="tx1"/>
            </w14:solidFill>
          </w14:textFill>
        </w:rPr>
        <w:t>14点00分00秒</w:t>
      </w:r>
      <w:r>
        <w:rPr>
          <w:rFonts w:hint="eastAsia" w:asciiTheme="minorEastAsia" w:hAnsiTheme="minorEastAsia" w:eastAsiaTheme="minorEastAsia"/>
          <w:bCs/>
          <w:color w:val="000000" w:themeColor="text1"/>
          <w:sz w:val="24"/>
          <w14:textFill>
            <w14:solidFill>
              <w14:schemeClr w14:val="tx1"/>
            </w14:solidFill>
          </w14:textFill>
        </w:rPr>
        <w:t>（北京时间）前</w:t>
      </w:r>
      <w:r>
        <w:rPr>
          <w:rFonts w:hint="eastAsia" w:asciiTheme="minorEastAsia" w:hAnsiTheme="minorEastAsia" w:eastAsiaTheme="minorEastAsia"/>
          <w:color w:val="000000" w:themeColor="text1"/>
          <w:sz w:val="24"/>
          <w14:textFill>
            <w14:solidFill>
              <w14:schemeClr w14:val="tx1"/>
            </w14:solidFill>
          </w14:textFill>
        </w:rPr>
        <w:t>递交（上传）投标文件。</w:t>
      </w:r>
    </w:p>
    <w:p w14:paraId="436C2D53">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一、项目基本情况                                            </w:t>
      </w:r>
    </w:p>
    <w:p w14:paraId="2813AD8F">
      <w:pPr>
        <w:spacing w:line="360" w:lineRule="auto"/>
        <w:ind w:firstLine="482"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项目编号：</w:t>
      </w:r>
      <w:bookmarkStart w:id="417" w:name="_GoBack"/>
      <w:bookmarkEnd w:id="417"/>
      <w:r>
        <w:rPr>
          <w:rFonts w:hint="eastAsia" w:ascii="宋体" w:hAnsi="宋体" w:cs="宋体"/>
          <w:color w:val="000000" w:themeColor="text1"/>
          <w:sz w:val="24"/>
          <w:lang w:eastAsia="zh-CN"/>
          <w14:textFill>
            <w14:solidFill>
              <w14:schemeClr w14:val="tx1"/>
            </w14:solidFill>
          </w14:textFill>
        </w:rPr>
        <w:t>330000263030350000163-HSZB-2026-373</w:t>
      </w:r>
    </w:p>
    <w:p w14:paraId="15F609B7">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钱塘校区弱电设备改造工程（三期）</w:t>
      </w:r>
    </w:p>
    <w:p w14:paraId="1ADF5EE4">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预算金额（元）：</w:t>
      </w:r>
      <w:r>
        <w:rPr>
          <w:rFonts w:hint="eastAsia" w:ascii="宋体" w:hAnsi="宋体" w:cs="宋体"/>
          <w:bCs/>
          <w:color w:val="000000" w:themeColor="text1"/>
          <w:sz w:val="24"/>
          <w14:textFill>
            <w14:solidFill>
              <w14:schemeClr w14:val="tx1"/>
            </w14:solidFill>
          </w14:textFill>
        </w:rPr>
        <w:t>3350000</w:t>
      </w:r>
    </w:p>
    <w:p w14:paraId="06480728">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最高限价（元）：</w:t>
      </w:r>
      <w:r>
        <w:rPr>
          <w:rFonts w:hint="eastAsia" w:ascii="宋体" w:hAnsi="宋体" w:cs="宋体"/>
          <w:bCs/>
          <w:color w:val="000000" w:themeColor="text1"/>
          <w:sz w:val="24"/>
          <w14:textFill>
            <w14:solidFill>
              <w14:schemeClr w14:val="tx1"/>
            </w14:solidFill>
          </w14:textFill>
        </w:rPr>
        <w:t>3350000</w:t>
      </w:r>
    </w:p>
    <w:p w14:paraId="14473119">
      <w:pPr>
        <w:pStyle w:val="5"/>
        <w:spacing w:line="360" w:lineRule="auto"/>
        <w:ind w:firstLine="480"/>
        <w:rPr>
          <w:rFonts w:asciiTheme="minorEastAsia" w:hAnsiTheme="minorEastAsia" w:eastAsiaTheme="minorEastAsia"/>
          <w:snapToGrid/>
          <w:color w:val="000000" w:themeColor="text1"/>
          <w:kern w:val="2"/>
          <w:sz w:val="24"/>
          <w:szCs w:val="24"/>
          <w14:textFill>
            <w14:solidFill>
              <w14:schemeClr w14:val="tx1"/>
            </w14:solidFill>
          </w14:textFill>
        </w:rPr>
      </w:pPr>
      <w:r>
        <w:rPr>
          <w:rFonts w:hint="eastAsia" w:hAnsi="宋体" w:cs="宋体"/>
          <w:b/>
          <w:color w:val="000000" w:themeColor="text1"/>
          <w:sz w:val="24"/>
          <w14:textFill>
            <w14:solidFill>
              <w14:schemeClr w14:val="tx1"/>
            </w14:solidFill>
          </w14:textFill>
        </w:rPr>
        <w:t>采购需求：</w:t>
      </w:r>
      <w:r>
        <w:rPr>
          <w:rFonts w:hint="eastAsia" w:hAnsi="宋体" w:cs="宋体"/>
          <w:bCs/>
          <w:snapToGrid/>
          <w:color w:val="000000" w:themeColor="text1"/>
          <w:kern w:val="2"/>
          <w:sz w:val="24"/>
          <w:szCs w:val="24"/>
          <w14:textFill>
            <w14:solidFill>
              <w14:schemeClr w14:val="tx1"/>
            </w14:solidFill>
          </w14:textFill>
        </w:rPr>
        <w:t>钱塘校区弱电设备改造工程（三期）主要内容：</w:t>
      </w:r>
      <w:r>
        <w:rPr>
          <w:rFonts w:hint="eastAsia" w:asciiTheme="minorEastAsia" w:hAnsiTheme="minorEastAsia" w:eastAsiaTheme="minorEastAsia"/>
          <w:snapToGrid/>
          <w:color w:val="000000" w:themeColor="text1"/>
          <w:kern w:val="2"/>
          <w:sz w:val="24"/>
          <w:szCs w:val="24"/>
          <w14:textFill>
            <w14:solidFill>
              <w14:schemeClr w14:val="tx1"/>
            </w14:solidFill>
          </w14:textFill>
        </w:rPr>
        <w:t>具体以招标文件第三部分采购需求为准，供应商可点击本公告下方“浏览采购文件”查看采购需求。</w:t>
      </w:r>
    </w:p>
    <w:p w14:paraId="0A333BF7">
      <w:pPr>
        <w:pStyle w:val="5"/>
        <w:spacing w:line="360" w:lineRule="auto"/>
        <w:ind w:firstLine="480"/>
        <w:rPr>
          <w:rFonts w:hAnsi="宋体" w:cs="宋体"/>
          <w:color w:val="000000" w:themeColor="text1"/>
          <w14:textFill>
            <w14:solidFill>
              <w14:schemeClr w14:val="tx1"/>
            </w14:solidFill>
          </w14:textFill>
        </w:rPr>
      </w:pPr>
      <w:r>
        <w:rPr>
          <w:rFonts w:hint="eastAsia" w:hAnsi="宋体" w:cs="宋体"/>
          <w:b/>
          <w:color w:val="000000" w:themeColor="text1"/>
          <w:sz w:val="24"/>
          <w14:textFill>
            <w14:solidFill>
              <w14:schemeClr w14:val="tx1"/>
            </w14:solidFill>
          </w14:textFill>
        </w:rPr>
        <w:t>合同履约期限：</w:t>
      </w:r>
      <w:r>
        <w:rPr>
          <w:rFonts w:hint="eastAsia" w:hAnsi="宋体" w:cs="宋体"/>
          <w:color w:val="auto"/>
          <w:sz w:val="24"/>
          <w:szCs w:val="24"/>
        </w:rPr>
        <w:t>详见采购需求。</w:t>
      </w:r>
    </w:p>
    <w:p w14:paraId="6A9028D4">
      <w:pPr>
        <w:pStyle w:val="5"/>
        <w:spacing w:line="360" w:lineRule="auto"/>
        <w:ind w:firstLine="480"/>
        <w:rPr>
          <w:rFonts w:hAnsi="宋体" w:cs="宋体"/>
          <w:color w:val="000000" w:themeColor="text1"/>
          <w:kern w:val="0"/>
          <w:sz w:val="24"/>
          <w14:textFill>
            <w14:solidFill>
              <w14:schemeClr w14:val="tx1"/>
            </w14:solidFill>
          </w14:textFill>
        </w:rPr>
      </w:pPr>
      <w:r>
        <w:rPr>
          <w:rFonts w:hint="eastAsia" w:hAnsi="宋体" w:cs="宋体"/>
          <w:b/>
          <w:color w:val="000000" w:themeColor="text1"/>
          <w:sz w:val="24"/>
          <w14:textFill>
            <w14:solidFill>
              <w14:schemeClr w14:val="tx1"/>
            </w14:solidFill>
          </w14:textFill>
        </w:rPr>
        <w:t>本项目接受联合体投标：</w:t>
      </w:r>
      <w:sdt>
        <w:sdtPr>
          <w:rPr>
            <w:rFonts w:hint="eastAsia" w:hAnsi="宋体" w:cs="宋体"/>
            <w:b/>
            <w:color w:val="000000" w:themeColor="text1"/>
            <w:sz w:val="24"/>
            <w14:textFill>
              <w14:solidFill>
                <w14:schemeClr w14:val="tx1"/>
              </w14:solidFill>
            </w14:textFill>
          </w:rPr>
          <w:id w:val="2035453831"/>
        </w:sdtPr>
        <w:sdtEndPr>
          <w:rPr>
            <w:rFonts w:hint="eastAsia" w:hAnsi="宋体" w:cs="宋体"/>
            <w:b/>
            <w:color w:val="000000" w:themeColor="text1"/>
            <w:kern w:val="0"/>
            <w:sz w:val="24"/>
            <w14:textFill>
              <w14:solidFill>
                <w14:schemeClr w14:val="tx1"/>
              </w14:solidFill>
            </w14:textFill>
          </w:rPr>
        </w:sdtEndPr>
        <w:sdtContent>
          <w:r>
            <w:rPr>
              <w:rFonts w:hint="eastAsia" w:hAnsi="宋体" w:cs="宋体"/>
              <w:color w:val="000000" w:themeColor="text1"/>
              <w:kern w:val="0"/>
              <w:sz w:val="24"/>
              <w14:textFill>
                <w14:solidFill>
                  <w14:schemeClr w14:val="tx1"/>
                </w14:solidFill>
              </w14:textFill>
            </w:rPr>
            <w:sym w:font="Wingdings" w:char="F0FE"/>
          </w:r>
        </w:sdtContent>
      </w:sdt>
      <w:r>
        <w:rPr>
          <w:rFonts w:hint="eastAsia" w:hAnsi="宋体" w:cs="宋体"/>
          <w:b/>
          <w:color w:val="000000" w:themeColor="text1"/>
          <w:sz w:val="24"/>
          <w14:textFill>
            <w14:solidFill>
              <w14:schemeClr w14:val="tx1"/>
            </w14:solidFill>
          </w14:textFill>
        </w:rPr>
        <w:t>是</w:t>
      </w:r>
      <w:r>
        <w:rPr>
          <w:rFonts w:hint="eastAsia" w:hAnsi="宋体" w:cs="宋体"/>
          <w:b/>
          <w:snapToGrid/>
          <w:color w:val="000000" w:themeColor="text1"/>
          <w:kern w:val="2"/>
          <w:sz w:val="24"/>
          <w14:textFill>
            <w14:solidFill>
              <w14:schemeClr w14:val="tx1"/>
            </w14:solidFill>
          </w14:textFill>
        </w:rPr>
        <w:t>；</w:t>
      </w:r>
      <w:sdt>
        <w:sdtPr>
          <w:rPr>
            <w:rFonts w:hint="eastAsia" w:hAnsi="宋体" w:cs="宋体"/>
            <w:color w:val="000000" w:themeColor="text1"/>
            <w:kern w:val="0"/>
            <w:sz w:val="24"/>
            <w14:textFill>
              <w14:solidFill>
                <w14:schemeClr w14:val="tx1"/>
              </w14:solidFill>
            </w14:textFill>
          </w:rPr>
          <w:id w:val="-1"/>
        </w:sdtPr>
        <w:sdtEndPr>
          <w:rPr>
            <w:rFonts w:hint="eastAsia" w:hAnsi="宋体" w:cs="宋体"/>
            <w:color w:val="000000" w:themeColor="text1"/>
            <w:kern w:val="0"/>
            <w:sz w:val="24"/>
            <w14:textFill>
              <w14:solidFill>
                <w14:schemeClr w14:val="tx1"/>
              </w14:solidFill>
            </w14:textFill>
          </w:rPr>
        </w:sdtEndPr>
        <w:sdtContent>
          <w:r>
            <w:rPr>
              <w:rFonts w:hint="eastAsia" w:hAnsi="宋体" w:cs="宋体"/>
              <w:color w:val="000000" w:themeColor="text1"/>
              <w:kern w:val="0"/>
              <w:sz w:val="24"/>
              <w14:textFill>
                <w14:solidFill>
                  <w14:schemeClr w14:val="tx1"/>
                </w14:solidFill>
              </w14:textFill>
            </w:rPr>
            <w:t>☐</w:t>
          </w:r>
        </w:sdtContent>
      </w:sdt>
      <w:r>
        <w:rPr>
          <w:rFonts w:hint="eastAsia" w:hAnsi="宋体" w:cs="宋体"/>
          <w:b/>
          <w:color w:val="000000" w:themeColor="text1"/>
          <w:sz w:val="24"/>
          <w14:textFill>
            <w14:solidFill>
              <w14:schemeClr w14:val="tx1"/>
            </w14:solidFill>
          </w14:textFill>
        </w:rPr>
        <w:t>否</w:t>
      </w:r>
      <w:r>
        <w:rPr>
          <w:rFonts w:hint="eastAsia" w:hAnsi="宋体" w:cs="宋体"/>
          <w:color w:val="000000" w:themeColor="text1"/>
          <w:kern w:val="0"/>
          <w:sz w:val="24"/>
          <w14:textFill>
            <w14:solidFill>
              <w14:schemeClr w14:val="tx1"/>
            </w14:solidFill>
          </w14:textFill>
        </w:rPr>
        <w:t>。</w:t>
      </w:r>
    </w:p>
    <w:p w14:paraId="377B2C66">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w:t>
      </w:r>
      <w:bookmarkStart w:id="10" w:name="_Hlk101132948"/>
      <w:r>
        <w:rPr>
          <w:rFonts w:hint="eastAsia" w:ascii="宋体" w:hAnsi="宋体" w:cs="宋体"/>
          <w:b/>
          <w:color w:val="000000" w:themeColor="text1"/>
          <w:sz w:val="24"/>
          <w14:textFill>
            <w14:solidFill>
              <w14:schemeClr w14:val="tx1"/>
            </w14:solidFill>
          </w14:textFill>
        </w:rPr>
        <w:t>申请人的资格要求</w:t>
      </w:r>
      <w:bookmarkEnd w:id="10"/>
      <w:r>
        <w:rPr>
          <w:rFonts w:hint="eastAsia" w:ascii="宋体" w:hAnsi="宋体" w:cs="宋体"/>
          <w:b/>
          <w:color w:val="000000" w:themeColor="text1"/>
          <w:sz w:val="24"/>
          <w14:textFill>
            <w14:solidFill>
              <w14:schemeClr w14:val="tx1"/>
            </w14:solidFill>
          </w14:textFill>
        </w:rPr>
        <w:t>：</w:t>
      </w:r>
    </w:p>
    <w:p w14:paraId="0B6327AA">
      <w:pPr>
        <w:spacing w:line="360" w:lineRule="auto"/>
        <w:ind w:firstLine="480"/>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75F559BB">
      <w:pPr>
        <w:spacing w:line="360" w:lineRule="auto"/>
        <w:ind w:firstLine="480" w:firstLineChars="200"/>
        <w:rPr>
          <w:rFonts w:ascii="宋体" w:hAnsi="宋体" w:cs="宋体"/>
          <w:snapToGrid w:val="0"/>
          <w:color w:val="000000" w:themeColor="text1"/>
          <w:kern w:val="28"/>
          <w:sz w:val="24"/>
          <w:szCs w:val="20"/>
          <w14:textFill>
            <w14:solidFill>
              <w14:schemeClr w14:val="tx1"/>
            </w14:solidFill>
          </w14:textFill>
        </w:rPr>
      </w:pPr>
      <w:r>
        <w:rPr>
          <w:rFonts w:ascii="宋体" w:hAnsi="宋体" w:cs="宋体"/>
          <w:snapToGrid w:val="0"/>
          <w:color w:val="000000" w:themeColor="text1"/>
          <w:kern w:val="28"/>
          <w:sz w:val="24"/>
          <w:szCs w:val="20"/>
          <w14:textFill>
            <w14:solidFill>
              <w14:schemeClr w14:val="tx1"/>
            </w14:solidFill>
          </w14:textFill>
        </w:rPr>
        <w:t>2</w:t>
      </w:r>
      <w:r>
        <w:rPr>
          <w:rFonts w:hint="eastAsia" w:ascii="宋体" w:hAnsi="宋体" w:cs="宋体"/>
          <w:snapToGrid w:val="0"/>
          <w:color w:val="000000" w:themeColor="text1"/>
          <w:kern w:val="28"/>
          <w:sz w:val="24"/>
          <w:szCs w:val="20"/>
          <w14:textFill>
            <w14:solidFill>
              <w14:schemeClr w14:val="tx1"/>
            </w14:solidFill>
          </w14:textFill>
        </w:rPr>
        <w:t>.以联合体形式投标的，提供联合协议(本项目不接受联合体投标或者投标人不以联合体形式投标的，则不需要提供) ；</w:t>
      </w:r>
    </w:p>
    <w:p w14:paraId="608044E1">
      <w:pPr>
        <w:spacing w:line="360" w:lineRule="auto"/>
        <w:ind w:firstLine="480" w:firstLineChars="200"/>
        <w:rPr>
          <w:rFonts w:ascii="宋体" w:hAnsi="宋体" w:cs="宋体"/>
          <w:snapToGrid w:val="0"/>
          <w:color w:val="000000" w:themeColor="text1"/>
          <w:kern w:val="28"/>
          <w:sz w:val="24"/>
          <w:szCs w:val="20"/>
          <w14:textFill>
            <w14:solidFill>
              <w14:schemeClr w14:val="tx1"/>
            </w14:solidFill>
          </w14:textFill>
        </w:rPr>
      </w:pPr>
      <w:r>
        <w:rPr>
          <w:rFonts w:ascii="宋体" w:hAnsi="宋体" w:cs="宋体"/>
          <w:snapToGrid w:val="0"/>
          <w:color w:val="000000" w:themeColor="text1"/>
          <w:kern w:val="28"/>
          <w:sz w:val="24"/>
          <w:szCs w:val="20"/>
          <w14:textFill>
            <w14:solidFill>
              <w14:schemeClr w14:val="tx1"/>
            </w14:solidFill>
          </w14:textFill>
        </w:rPr>
        <w:t>3</w:t>
      </w:r>
      <w:r>
        <w:rPr>
          <w:rFonts w:hint="eastAsia" w:ascii="宋体" w:hAnsi="宋体" w:cs="宋体"/>
          <w:snapToGrid w:val="0"/>
          <w:color w:val="000000" w:themeColor="text1"/>
          <w:kern w:val="28"/>
          <w:sz w:val="24"/>
          <w:szCs w:val="20"/>
          <w14:textFill>
            <w14:solidFill>
              <w14:schemeClr w14:val="tx1"/>
            </w14:solidFill>
          </w14:textFill>
        </w:rPr>
        <w:t>.落实政府采购政策需满足的资格要求：</w:t>
      </w:r>
    </w:p>
    <w:p w14:paraId="33DF65F3">
      <w:pPr>
        <w:spacing w:line="360" w:lineRule="auto"/>
        <w:ind w:firstLine="480" w:firstLineChars="200"/>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928616923"/>
        </w:sdtPr>
        <w:sdtEndPr>
          <w:rPr>
            <w:rFonts w:hint="eastAsia" w:ascii="宋体" w:hAnsi="宋体" w:cs="宋体"/>
            <w:color w:val="000000" w:themeColor="text1"/>
            <w:kern w:val="0"/>
            <w:sz w:val="24"/>
            <w14:textFill>
              <w14:solidFill>
                <w14:schemeClr w14:val="tx1"/>
              </w14:solidFill>
            </w14:textFill>
          </w:rPr>
        </w:sdtEndPr>
        <w:sdtContent>
          <w:sdt>
            <w:sdtPr>
              <w:rPr>
                <w:rFonts w:hint="eastAsia" w:ascii="宋体" w:hAnsi="宋体" w:cs="宋体"/>
                <w:color w:val="000000" w:themeColor="text1"/>
                <w:kern w:val="0"/>
                <w:sz w:val="24"/>
                <w14:textFill>
                  <w14:solidFill>
                    <w14:schemeClr w14:val="tx1"/>
                  </w14:solidFill>
                </w14:textFill>
              </w:rPr>
              <w:id w:val="147470976"/>
            </w:sdtPr>
            <w:sdtEndPr>
              <w:rPr>
                <w:rFonts w:hint="eastAsia" w:ascii="宋体" w:hAnsi="宋体" w:cs="宋体"/>
                <w:color w:val="000000" w:themeColor="text1"/>
                <w:kern w:val="0"/>
                <w:sz w:val="24"/>
                <w14:textFill>
                  <w14:solidFill>
                    <w14:schemeClr w14:val="tx1"/>
                  </w14:solidFill>
                </w14:textFill>
              </w:rPr>
            </w:sdtEndPr>
            <w:sdtContent>
              <w:r>
                <w:rPr>
                  <w:rFonts w:ascii="Wingdings" w:hAnsi="Wingdings" w:eastAsia="MS Gothic" w:cs="宋体"/>
                  <w:color w:val="000000" w:themeColor="text1"/>
                  <w:kern w:val="0"/>
                  <w:sz w:val="24"/>
                  <w14:textFill>
                    <w14:solidFill>
                      <w14:schemeClr w14:val="tx1"/>
                    </w14:solidFill>
                  </w14:textFill>
                </w:rPr>
                <w:sym w:font="Wingdings" w:char="00FE"/>
              </w:r>
            </w:sdtContent>
          </w:sdt>
        </w:sdtContent>
      </w:sdt>
      <w:r>
        <w:rPr>
          <w:rFonts w:hint="eastAsia" w:ascii="宋体" w:hAnsi="宋体" w:cs="宋体"/>
          <w:color w:val="000000" w:themeColor="text1"/>
          <w:sz w:val="24"/>
          <w14:textFill>
            <w14:solidFill>
              <w14:schemeClr w14:val="tx1"/>
            </w14:solidFill>
          </w14:textFill>
        </w:rPr>
        <w:t>无</w:t>
      </w:r>
      <w:r>
        <w:rPr>
          <w:rFonts w:hint="eastAsia" w:ascii="宋体" w:hAnsi="宋体" w:cs="宋体"/>
          <w:snapToGrid w:val="0"/>
          <w:color w:val="000000" w:themeColor="text1"/>
          <w:kern w:val="28"/>
          <w:sz w:val="24"/>
          <w:szCs w:val="20"/>
          <w14:textFill>
            <w14:solidFill>
              <w14:schemeClr w14:val="tx1"/>
            </w14:solidFill>
          </w14:textFill>
        </w:rPr>
        <w:t>（注：不得限制大中型企业与小微企业组成联合体参与投标）</w:t>
      </w:r>
      <w:r>
        <w:rPr>
          <w:rFonts w:hint="eastAsia" w:ascii="宋体" w:hAnsi="宋体" w:cs="宋体"/>
          <w:color w:val="000000" w:themeColor="text1"/>
          <w:sz w:val="24"/>
          <w14:textFill>
            <w14:solidFill>
              <w14:schemeClr w14:val="tx1"/>
            </w14:solidFill>
          </w14:textFill>
        </w:rPr>
        <w:t>；</w:t>
      </w:r>
    </w:p>
    <w:p w14:paraId="1C56D892">
      <w:pPr>
        <w:spacing w:line="360" w:lineRule="auto"/>
        <w:ind w:firstLine="480" w:firstLineChars="200"/>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957145625"/>
        </w:sdtPr>
        <w:sdtEndPr>
          <w:rPr>
            <w:rFonts w:hint="eastAsia" w:ascii="宋体" w:hAnsi="宋体" w:cs="宋体"/>
            <w:color w:val="000000" w:themeColor="text1"/>
            <w:kern w:val="0"/>
            <w:sz w:val="24"/>
            <w14:textFill>
              <w14:solidFill>
                <w14:schemeClr w14:val="tx1"/>
              </w14:solidFill>
            </w14:textFill>
          </w:rPr>
        </w:sdtEndPr>
        <w:sdtContent>
          <w:r>
            <w:rPr>
              <w:rFonts w:ascii="Wingdings" w:hAnsi="Wingdings" w:eastAsia="MS Gothic" w:cs="宋体"/>
              <w:color w:val="000000" w:themeColor="text1"/>
              <w:kern w:val="0"/>
              <w:sz w:val="24"/>
              <w14:textFill>
                <w14:solidFill>
                  <w14:schemeClr w14:val="tx1"/>
                </w14:solidFill>
              </w14:textFill>
            </w:rPr>
            <w:sym w:font="Wingdings" w:char="00A8"/>
          </w:r>
        </w:sdtContent>
      </w:sdt>
      <w:r>
        <w:rPr>
          <w:rFonts w:hint="eastAsia" w:ascii="宋体" w:hAnsi="宋体" w:cs="宋体"/>
          <w:color w:val="000000" w:themeColor="text1"/>
          <w:kern w:val="0"/>
          <w:sz w:val="24"/>
          <w14:textFill>
            <w14:solidFill>
              <w14:schemeClr w14:val="tx1"/>
            </w14:solidFill>
          </w14:textFill>
        </w:rPr>
        <w:t>专</w:t>
      </w:r>
      <w:r>
        <w:rPr>
          <w:rFonts w:hint="eastAsia" w:ascii="宋体" w:hAnsi="宋体" w:cs="宋体"/>
          <w:color w:val="000000" w:themeColor="text1"/>
          <w:sz w:val="24"/>
          <w14:textFill>
            <w14:solidFill>
              <w14:schemeClr w14:val="tx1"/>
            </w14:solidFill>
          </w14:textFill>
        </w:rPr>
        <w:t>门面向中小企业</w:t>
      </w:r>
    </w:p>
    <w:p w14:paraId="4ABF22D8">
      <w:pPr>
        <w:spacing w:line="360" w:lineRule="auto"/>
        <w:ind w:firstLine="897" w:firstLineChars="374"/>
        <w:rPr>
          <w:rFonts w:ascii="宋体" w:hAnsi="宋体" w:cs="宋体"/>
          <w:color w:val="000000" w:themeColor="text1"/>
          <w:sz w:val="24"/>
          <w:u w:val="single"/>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354303675"/>
        </w:sdtPr>
        <w:sdtEndPr>
          <w:rPr>
            <w:rFonts w:hint="eastAsia" w:ascii="宋体" w:hAnsi="宋体" w:cs="宋体"/>
            <w:color w:val="000000" w:themeColor="text1"/>
            <w:kern w:val="0"/>
            <w:sz w:val="24"/>
            <w14:textFill>
              <w14:solidFill>
                <w14:schemeClr w14:val="tx1"/>
              </w14:solidFill>
            </w14:textFill>
          </w:rPr>
        </w:sdtEndPr>
        <w:sdtContent>
          <w:r>
            <w:rPr>
              <w:rFonts w:ascii="Wingdings" w:hAnsi="Wingdings" w:eastAsia="MS Gothic" w:cs="宋体"/>
              <w:color w:val="000000" w:themeColor="text1"/>
              <w:kern w:val="0"/>
              <w:sz w:val="24"/>
              <w14:textFill>
                <w14:solidFill>
                  <w14:schemeClr w14:val="tx1"/>
                </w14:solidFill>
              </w14:textFill>
            </w:rPr>
            <w:sym w:font="Wingdings" w:char="00A8"/>
          </w:r>
        </w:sdtContent>
      </w:sdt>
      <w:r>
        <w:rPr>
          <w:rFonts w:hint="eastAsia" w:ascii="宋体" w:hAnsi="宋体" w:cs="宋体"/>
          <w:color w:val="000000" w:themeColor="text1"/>
          <w:sz w:val="24"/>
          <w14:textFill>
            <w14:solidFill>
              <w14:schemeClr w14:val="tx1"/>
            </w14:solidFill>
          </w14:textFill>
        </w:rPr>
        <w:t>货物全部由符合政策要求的中小企业制造，提供中小企业声明函；</w:t>
      </w:r>
    </w:p>
    <w:p w14:paraId="21A88F17">
      <w:pPr>
        <w:spacing w:line="360" w:lineRule="auto"/>
        <w:ind w:firstLine="897" w:firstLineChars="374"/>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313491756"/>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货物全部由符合政策要求的小微企业制造，提供中小企业声明函；</w:t>
      </w:r>
    </w:p>
    <w:p w14:paraId="5A8617EE">
      <w:pPr>
        <w:spacing w:line="360" w:lineRule="auto"/>
        <w:ind w:firstLine="480" w:firstLineChars="200"/>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648567299"/>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bookmarkStart w:id="11" w:name="_Hlk101132524"/>
        </w:sdtContent>
      </w:sdt>
      <w:r>
        <w:rPr>
          <w:rFonts w:hint="eastAsia" w:ascii="宋体" w:hAnsi="宋体" w:cs="宋体"/>
          <w:color w:val="000000" w:themeColor="text1"/>
          <w:sz w:val="24"/>
          <w14:textFill>
            <w14:solidFill>
              <w14:schemeClr w14:val="tx1"/>
            </w14:solidFill>
          </w14:textFill>
        </w:rPr>
        <w:t>要求以联合体形式参加，提供联合协议和中小企业声明函，联合协议中中小企业合同金额应当达到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%，其中小微企业合同金额应当达到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pacing w:val="8"/>
          <w:kern w:val="0"/>
          <w:sz w:val="24"/>
          <w14:textFill>
            <w14:solidFill>
              <w14:schemeClr w14:val="tx1"/>
            </w14:solidFill>
          </w14:textFill>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000000" w:themeColor="text1"/>
          <w:sz w:val="24"/>
          <w14:textFill>
            <w14:solidFill>
              <w14:schemeClr w14:val="tx1"/>
            </w14:solidFill>
          </w14:textFill>
        </w:rPr>
        <w:t>；</w:t>
      </w:r>
    </w:p>
    <w:bookmarkEnd w:id="11"/>
    <w:p w14:paraId="6550F69A">
      <w:pPr>
        <w:spacing w:line="360" w:lineRule="auto"/>
        <w:ind w:firstLine="480" w:firstLineChars="200"/>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34630645"/>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要求合同分包，提供分包意向协议和中小企业声明函，分包意向协议中中小企业合同金额应当达到达到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，其中小微企业合同金额应当达到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w:t>
      </w:r>
      <w:r>
        <w:rPr>
          <w:rFonts w:hint="eastAsia" w:ascii="宋体" w:hAnsi="宋体" w:cs="宋体"/>
          <w:color w:val="000000" w:themeColor="text1"/>
          <w:spacing w:val="8"/>
          <w:kern w:val="0"/>
          <w:sz w:val="24"/>
          <w14:textFill>
            <w14:solidFill>
              <w14:schemeClr w14:val="tx1"/>
            </w14:solidFill>
          </w14:textFill>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000000" w:themeColor="text1"/>
          <w:sz w:val="24"/>
          <w14:textFill>
            <w14:solidFill>
              <w14:schemeClr w14:val="tx1"/>
            </w14:solidFill>
          </w14:textFill>
        </w:rPr>
        <w:t>；</w:t>
      </w:r>
    </w:p>
    <w:p w14:paraId="6E11566C">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.本项目的特定资格要求：</w:t>
      </w:r>
    </w:p>
    <w:p w14:paraId="2A2D5D54">
      <w:pPr>
        <w:snapToGrid w:val="0"/>
        <w:spacing w:line="360" w:lineRule="auto"/>
        <w:ind w:firstLine="480" w:firstLineChars="200"/>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47466463"/>
        </w:sdtPr>
        <w:sdtEndPr>
          <w:rPr>
            <w:rFonts w:hint="eastAsia" w:ascii="宋体" w:hAnsi="宋体" w:cs="宋体"/>
            <w:color w:val="000000" w:themeColor="text1"/>
            <w:kern w:val="0"/>
            <w:sz w:val="24"/>
            <w14:textFill>
              <w14:solidFill>
                <w14:schemeClr w14:val="tx1"/>
              </w14:solidFill>
            </w14:textFill>
          </w:rPr>
        </w:sdtEndPr>
        <w:sdtContent>
          <w:r>
            <w:rPr>
              <w:rFonts w:ascii="Wingdings" w:hAnsi="Wingdings" w:eastAsia="MS Gothic"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无。</w:t>
      </w:r>
    </w:p>
    <w:p w14:paraId="29622F2B">
      <w:pPr>
        <w:snapToGrid w:val="0"/>
        <w:spacing w:line="360" w:lineRule="auto"/>
        <w:ind w:firstLine="480" w:firstLineChars="200"/>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470266774"/>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eastAsia="MS Gothic"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有特定资格要求：</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，该特定条件的法律法规依据：</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36B83B52">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4C88331">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三、获取招标文件 </w:t>
      </w:r>
    </w:p>
    <w:p w14:paraId="2B5DD6CE">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时间：</w:t>
      </w:r>
      <w:r>
        <w:rPr>
          <w:rFonts w:hint="eastAsia" w:ascii="宋体" w:hAnsi="宋体" w:cs="宋体"/>
          <w:color w:val="000000" w:themeColor="text1"/>
          <w:sz w:val="24"/>
          <w14:textFill>
            <w14:solidFill>
              <w14:schemeClr w14:val="tx1"/>
            </w14:solidFill>
          </w14:textFill>
        </w:rPr>
        <w:t>/至</w:t>
      </w:r>
      <w:r>
        <w:rPr>
          <w:rFonts w:hint="eastAsia" w:ascii="宋体" w:hAnsi="宋体" w:cs="宋体"/>
          <w:color w:val="000000" w:themeColor="text1"/>
          <w:sz w:val="24"/>
          <w:u w:val="single"/>
          <w14:textFill>
            <w14:solidFill>
              <w14:schemeClr w14:val="tx1"/>
            </w14:solidFill>
          </w14:textFill>
        </w:rPr>
        <w:t>2026年</w:t>
      </w:r>
      <w:r>
        <w:rPr>
          <w:rFonts w:hint="eastAsia" w:ascii="宋体" w:hAnsi="宋体" w:cs="宋体"/>
          <w:color w:val="000000" w:themeColor="text1"/>
          <w:sz w:val="24"/>
          <w:u w:val="single"/>
          <w:lang w:eastAsia="zh-CN"/>
          <w14:textFill>
            <w14:solidFill>
              <w14:schemeClr w14:val="tx1"/>
            </w14:solidFill>
          </w14:textFill>
        </w:rPr>
        <w:t>06月08日</w:t>
      </w:r>
      <w:r>
        <w:rPr>
          <w:rFonts w:hint="eastAsia" w:ascii="宋体" w:hAnsi="宋体" w:cs="宋体"/>
          <w:color w:val="000000" w:themeColor="text1"/>
          <w:sz w:val="24"/>
          <w14:textFill>
            <w14:solidFill>
              <w14:schemeClr w14:val="tx1"/>
            </w14:solidFill>
          </w14:textFill>
        </w:rPr>
        <w:t>，每天上午00:00至12:00 ，下午12:00至23:59（北京时间，线上获取法定节假日均可，线下获取文件法定节假日除外）</w:t>
      </w:r>
    </w:p>
    <w:p w14:paraId="4A0654CF">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地点（网址）：</w:t>
      </w:r>
      <w:r>
        <w:rPr>
          <w:rFonts w:hint="eastAsia" w:ascii="宋体" w:hAnsi="宋体" w:cs="宋体"/>
          <w:color w:val="000000" w:themeColor="text1"/>
          <w:sz w:val="24"/>
          <w14:textFill>
            <w14:solidFill>
              <w14:schemeClr w14:val="tx1"/>
            </w14:solidFill>
          </w14:textFill>
        </w:rPr>
        <w:t xml:space="preserve">政采云平台（https://www.zcygov.cn/） </w:t>
      </w:r>
    </w:p>
    <w:p w14:paraId="6FF056F9">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方式：</w:t>
      </w:r>
      <w:r>
        <w:rPr>
          <w:rFonts w:hint="eastAsia" w:ascii="宋体" w:hAnsi="宋体" w:cs="宋体"/>
          <w:color w:val="000000" w:themeColor="text1"/>
          <w:sz w:val="24"/>
          <w14:textFill>
            <w14:solidFill>
              <w14:schemeClr w14:val="tx1"/>
            </w14:solidFill>
          </w14:textFill>
        </w:rPr>
        <w:t xml:space="preserve">供应商登录政采云平台https://www.zcygov.cn/在线申请获取采购文件（进入“项目采购”应用，在获取采购文件菜单中选择项目，申请获取采购文件）。 </w:t>
      </w:r>
    </w:p>
    <w:p w14:paraId="72457D20">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售价（元）：</w:t>
      </w:r>
      <w:r>
        <w:rPr>
          <w:rFonts w:hint="eastAsia" w:ascii="宋体" w:hAnsi="宋体" w:cs="宋体"/>
          <w:color w:val="000000" w:themeColor="text1"/>
          <w:sz w:val="24"/>
          <w14:textFill>
            <w14:solidFill>
              <w14:schemeClr w14:val="tx1"/>
            </w14:solidFill>
          </w14:textFill>
        </w:rPr>
        <w:t xml:space="preserve">0 </w:t>
      </w:r>
      <w:r>
        <w:rPr>
          <w:rFonts w:hint="eastAsia" w:ascii="宋体" w:hAnsi="宋体" w:cs="宋体"/>
          <w:color w:val="000000" w:themeColor="text1"/>
          <w:sz w:val="24"/>
          <w14:textFill>
            <w14:solidFill>
              <w14:schemeClr w14:val="tx1"/>
            </w14:solidFill>
          </w14:textFill>
        </w:rPr>
        <w:tab/>
      </w:r>
    </w:p>
    <w:p w14:paraId="6EDE1967">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四、提交投标文件截止时间、开标时间和地点</w:t>
      </w:r>
    </w:p>
    <w:p w14:paraId="59816A18">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提交投标文件截止时间：</w:t>
      </w:r>
      <w:r>
        <w:rPr>
          <w:rFonts w:hint="eastAsia" w:ascii="宋体" w:hAnsi="宋体" w:cs="宋体"/>
          <w:color w:val="000000" w:themeColor="text1"/>
          <w:sz w:val="24"/>
          <w:u w:val="single"/>
          <w14:textFill>
            <w14:solidFill>
              <w14:schemeClr w14:val="tx1"/>
            </w14:solidFill>
          </w14:textFill>
        </w:rPr>
        <w:t>2026年</w:t>
      </w:r>
      <w:r>
        <w:rPr>
          <w:rFonts w:hint="eastAsia" w:ascii="宋体" w:hAnsi="宋体" w:cs="宋体"/>
          <w:color w:val="000000" w:themeColor="text1"/>
          <w:sz w:val="24"/>
          <w:u w:val="single"/>
          <w:lang w:eastAsia="zh-CN"/>
          <w14:textFill>
            <w14:solidFill>
              <w14:schemeClr w14:val="tx1"/>
            </w14:solidFill>
          </w14:textFill>
        </w:rPr>
        <w:t>06月08日</w:t>
      </w:r>
      <w:r>
        <w:rPr>
          <w:rFonts w:hint="eastAsia" w:ascii="宋体" w:hAnsi="宋体" w:cs="宋体"/>
          <w:color w:val="000000" w:themeColor="text1"/>
          <w:sz w:val="24"/>
          <w:u w:val="single"/>
          <w14:textFill>
            <w14:solidFill>
              <w14:schemeClr w14:val="tx1"/>
            </w14:solidFill>
          </w14:textFill>
        </w:rPr>
        <w:t>14点00分00秒</w:t>
      </w:r>
      <w:r>
        <w:rPr>
          <w:rFonts w:hint="eastAsia" w:ascii="宋体" w:hAnsi="宋体" w:cs="宋体"/>
          <w:color w:val="000000" w:themeColor="text1"/>
          <w:sz w:val="24"/>
          <w14:textFill>
            <w14:solidFill>
              <w14:schemeClr w14:val="tx1"/>
            </w14:solidFill>
          </w14:textFill>
        </w:rPr>
        <w:t>（北京时间）</w:t>
      </w:r>
    </w:p>
    <w:p w14:paraId="54D0074A">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投标地点（网址）：</w:t>
      </w:r>
      <w:r>
        <w:rPr>
          <w:rFonts w:hint="eastAsia" w:ascii="宋体" w:hAnsi="宋体" w:cs="宋体"/>
          <w:color w:val="000000" w:themeColor="text1"/>
          <w:sz w:val="24"/>
          <w14:textFill>
            <w14:solidFill>
              <w14:schemeClr w14:val="tx1"/>
            </w14:solidFill>
          </w14:textFill>
        </w:rPr>
        <w:t xml:space="preserve">政采云平台（https://www.zcygov.cn/） </w:t>
      </w:r>
    </w:p>
    <w:p w14:paraId="4BB4834A">
      <w:pPr>
        <w:spacing w:line="360" w:lineRule="auto"/>
        <w:ind w:firstLine="482" w:firstLineChars="200"/>
        <w:rPr>
          <w:rFonts w:ascii="宋体" w:hAnsi="宋体" w:cs="宋体"/>
          <w:bCs/>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开标时间：</w:t>
      </w:r>
      <w:r>
        <w:rPr>
          <w:rFonts w:hint="eastAsia" w:ascii="宋体" w:hAnsi="宋体" w:cs="宋体"/>
          <w:color w:val="000000" w:themeColor="text1"/>
          <w:sz w:val="24"/>
          <w:u w:val="single"/>
          <w14:textFill>
            <w14:solidFill>
              <w14:schemeClr w14:val="tx1"/>
            </w14:solidFill>
          </w14:textFill>
        </w:rPr>
        <w:t>2026年</w:t>
      </w:r>
      <w:r>
        <w:rPr>
          <w:rFonts w:hint="eastAsia" w:ascii="宋体" w:hAnsi="宋体" w:cs="宋体"/>
          <w:color w:val="000000" w:themeColor="text1"/>
          <w:sz w:val="24"/>
          <w:u w:val="single"/>
          <w:lang w:eastAsia="zh-CN"/>
          <w14:textFill>
            <w14:solidFill>
              <w14:schemeClr w14:val="tx1"/>
            </w14:solidFill>
          </w14:textFill>
        </w:rPr>
        <w:t>06月08日</w:t>
      </w:r>
      <w:r>
        <w:rPr>
          <w:rFonts w:hint="eastAsia" w:ascii="宋体" w:hAnsi="宋体" w:cs="宋体"/>
          <w:color w:val="000000" w:themeColor="text1"/>
          <w:sz w:val="24"/>
          <w:u w:val="single"/>
          <w14:textFill>
            <w14:solidFill>
              <w14:schemeClr w14:val="tx1"/>
            </w14:solidFill>
          </w14:textFill>
        </w:rPr>
        <w:t>14点00分00秒</w:t>
      </w:r>
    </w:p>
    <w:p w14:paraId="671D8CD1">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开标地点（网址）：</w:t>
      </w:r>
      <w:r>
        <w:rPr>
          <w:rFonts w:hint="eastAsia" w:ascii="宋体" w:hAnsi="宋体" w:cs="宋体"/>
          <w:color w:val="000000" w:themeColor="text1"/>
          <w:sz w:val="24"/>
          <w14:textFill>
            <w14:solidFill>
              <w14:schemeClr w14:val="tx1"/>
            </w14:solidFill>
          </w14:textFill>
        </w:rPr>
        <w:t>政采云平台（https://www.zcygov.cn/）</w:t>
      </w:r>
    </w:p>
    <w:p w14:paraId="73B00D1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五、公告期限 </w:t>
      </w:r>
    </w:p>
    <w:p w14:paraId="43F2D2B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自本公告发布之日起5个工作日。</w:t>
      </w:r>
    </w:p>
    <w:p w14:paraId="5589B813">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六、其他补充事宜</w:t>
      </w:r>
    </w:p>
    <w:p w14:paraId="1F67A0B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000000" w:themeColor="text1"/>
          <w:sz w:val="24"/>
          <w14:textFill>
            <w14:solidFill>
              <w14:schemeClr w14:val="tx1"/>
            </w14:solidFill>
          </w14:textFill>
        </w:rPr>
        <w:t>。</w:t>
      </w:r>
    </w:p>
    <w:p w14:paraId="658CA6CD">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FE7F40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0892CB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098584EF">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七、对本次采购提出询问、质疑、投诉，请按以下方式联系</w:t>
      </w:r>
    </w:p>
    <w:p w14:paraId="6249827D">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1.采购人信息</w:t>
      </w:r>
    </w:p>
    <w:p w14:paraId="391FE20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称：浙江水利水电学院</w:t>
      </w:r>
    </w:p>
    <w:p w14:paraId="17301B7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址：杭州钱塘区学林街583号</w:t>
      </w:r>
    </w:p>
    <w:p w14:paraId="2B9A58AF">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项目联系人（询问）：王老师</w:t>
      </w:r>
    </w:p>
    <w:p w14:paraId="5B48EAB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项目联系方式（询问）：0571-86929225 </w:t>
      </w:r>
    </w:p>
    <w:p w14:paraId="17626B9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质疑联系人：王老师</w:t>
      </w:r>
    </w:p>
    <w:p w14:paraId="35C56CC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质疑联系方式：0571-86929686 </w:t>
      </w:r>
    </w:p>
    <w:p w14:paraId="71EAAC4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2.采购代理机构信息            </w:t>
      </w:r>
    </w:p>
    <w:p w14:paraId="52DF795B">
      <w:pPr>
        <w:pStyle w:val="24"/>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名    称：浙江豪圣建设项目管理有限公司</w:t>
      </w:r>
    </w:p>
    <w:p w14:paraId="623F6B01">
      <w:pPr>
        <w:pStyle w:val="24"/>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地    址：杭州市拱墅区大关路179号远洋国际中心A座17楼1706室</w:t>
      </w:r>
    </w:p>
    <w:p w14:paraId="35F8E220">
      <w:pPr>
        <w:pStyle w:val="24"/>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项目联系人（询问）：赵邵东、王移蓬、曹剑斌、陈敏娇</w:t>
      </w:r>
    </w:p>
    <w:p w14:paraId="2807BA85">
      <w:pPr>
        <w:pStyle w:val="24"/>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项目联系方式（询问）：0571-87981527</w:t>
      </w:r>
    </w:p>
    <w:p w14:paraId="4B8B5270">
      <w:pPr>
        <w:pStyle w:val="24"/>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质疑联系人：桑国坚</w:t>
      </w:r>
    </w:p>
    <w:p w14:paraId="3AE66F8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质疑联系方式：</w:t>
      </w:r>
      <w:r>
        <w:rPr>
          <w:rFonts w:hint="eastAsia" w:ascii="宋体" w:hAnsi="宋体" w:cs="宋体"/>
          <w:color w:val="000000" w:themeColor="text1"/>
          <w:kern w:val="0"/>
          <w:sz w:val="24"/>
          <w14:textFill>
            <w14:solidFill>
              <w14:schemeClr w14:val="tx1"/>
            </w14:solidFill>
          </w14:textFill>
        </w:rPr>
        <w:t>0571-56386096</w:t>
      </w:r>
    </w:p>
    <w:p w14:paraId="730F9DD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3.同级政府采购监督管理部门：</w:t>
      </w:r>
    </w:p>
    <w:p w14:paraId="730F9DD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称：浙江省政府采购行政裁决服务中心（杭州）</w:t>
      </w:r>
    </w:p>
    <w:p w14:paraId="730F9DD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地  址：杭州市上城区清泰街549号城建综合大楼11楼（快递仅限ems或顺丰） </w:t>
      </w:r>
    </w:p>
    <w:p w14:paraId="730F9DDD">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  真： /</w:t>
      </w:r>
    </w:p>
    <w:p w14:paraId="730F9DD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联系人：匡老师</w:t>
      </w:r>
    </w:p>
    <w:p w14:paraId="0EB32C68">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监督投诉电话：0571-87807798</w:t>
      </w:r>
    </w:p>
    <w:p w14:paraId="55E257C2">
      <w:pPr>
        <w:spacing w:line="360" w:lineRule="auto"/>
        <w:ind w:firstLine="480"/>
        <w:rPr>
          <w:rFonts w:ascii="宋体" w:hAnsi="宋体" w:cs="宋体"/>
          <w:color w:val="000000" w:themeColor="text1"/>
          <w:sz w:val="24"/>
          <w14:textFill>
            <w14:solidFill>
              <w14:schemeClr w14:val="tx1"/>
            </w14:solidFill>
          </w14:textFill>
        </w:rPr>
      </w:pPr>
    </w:p>
    <w:p w14:paraId="674D8238">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政策咨询电话：何一平、冯华，0571-87058424、87055741</w:t>
      </w:r>
    </w:p>
    <w:p w14:paraId="238988E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预算金额未达100万元的采购项目，由采购人处理采购争议。    </w:t>
      </w:r>
    </w:p>
    <w:p w14:paraId="6E5577E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若对项目采购电子交易系统操作有疑问，可登录政采云（https://www.zcygov.cn/），点击右侧咨询小采，获取采小蜜智能服务管家帮助，或拨打政采云服务热线95763获取热线服务帮助。</w:t>
      </w:r>
    </w:p>
    <w:p w14:paraId="5FE5DA6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CA问题联系电话（人工）：汇信CA 400-888-4636；天谷CA 400-087-8198。</w:t>
      </w:r>
    </w:p>
    <w:p w14:paraId="3E65F15B">
      <w:pPr>
        <w:tabs>
          <w:tab w:val="left" w:pos="432"/>
        </w:tabs>
        <w:rPr>
          <w:rFonts w:ascii="宋体"/>
          <w:snapToGrid w:val="0"/>
          <w:color w:val="000000" w:themeColor="text1"/>
          <w14:textFill>
            <w14:solidFill>
              <w14:schemeClr w14:val="tx1"/>
            </w14:solidFill>
          </w14:textFill>
        </w:rPr>
      </w:pPr>
      <w:r>
        <w:rPr>
          <w:color w:val="000000" w:themeColor="text1"/>
          <w14:textFill>
            <w14:solidFill>
              <w14:schemeClr w14:val="tx1"/>
            </w14:solidFill>
          </w14:textFill>
        </w:rPr>
        <w:br w:type="page"/>
      </w:r>
    </w:p>
    <w:p w14:paraId="67E904A7">
      <w:pPr>
        <w:adjustRightInd/>
        <w:spacing w:line="360" w:lineRule="auto"/>
        <w:jc w:val="center"/>
        <w:outlineLvl w:val="0"/>
        <w:rPr>
          <w:rFonts w:ascii="宋体" w:hAnsi="宋体" w:cs="宋体"/>
          <w:b/>
          <w:color w:val="000000" w:themeColor="text1"/>
          <w:sz w:val="36"/>
          <w:szCs w:val="20"/>
          <w14:textFill>
            <w14:solidFill>
              <w14:schemeClr w14:val="tx1"/>
            </w14:solidFill>
          </w14:textFill>
        </w:rPr>
      </w:pPr>
      <w:r>
        <w:rPr>
          <w:rFonts w:hint="eastAsia" w:ascii="宋体" w:hAnsi="宋体" w:cs="宋体"/>
          <w:b/>
          <w:color w:val="000000" w:themeColor="text1"/>
          <w:sz w:val="36"/>
          <w:szCs w:val="20"/>
          <w14:textFill>
            <w14:solidFill>
              <w14:schemeClr w14:val="tx1"/>
            </w14:solidFill>
          </w14:textFill>
        </w:rPr>
        <w:t>第二部分</w:t>
      </w:r>
      <w:bookmarkEnd w:id="7"/>
      <w:r>
        <w:rPr>
          <w:rFonts w:hint="eastAsia" w:ascii="宋体" w:hAnsi="宋体" w:cs="宋体"/>
          <w:b/>
          <w:color w:val="000000" w:themeColor="text1"/>
          <w:sz w:val="36"/>
          <w:szCs w:val="20"/>
          <w14:textFill>
            <w14:solidFill>
              <w14:schemeClr w14:val="tx1"/>
            </w14:solidFill>
          </w14:textFill>
        </w:rPr>
        <w:t xml:space="preserve"> 投标人须知</w:t>
      </w:r>
      <w:bookmarkEnd w:id="8"/>
    </w:p>
    <w:p w14:paraId="71645747">
      <w:pPr>
        <w:adjustRightInd/>
        <w:spacing w:line="360" w:lineRule="auto"/>
        <w:jc w:val="center"/>
        <w:outlineLvl w:val="1"/>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76032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blHeader/>
        </w:trPr>
        <w:tc>
          <w:tcPr>
            <w:tcW w:w="629" w:type="dxa"/>
            <w:tcBorders>
              <w:top w:val="single" w:color="auto" w:sz="4" w:space="0"/>
              <w:left w:val="single" w:color="auto" w:sz="4" w:space="0"/>
              <w:bottom w:val="single" w:color="auto" w:sz="4" w:space="0"/>
              <w:right w:val="single" w:color="auto" w:sz="4" w:space="0"/>
            </w:tcBorders>
            <w:vAlign w:val="center"/>
          </w:tcPr>
          <w:p w14:paraId="31752C1D">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72A2EF8">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2858E984">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本项目的特别规定</w:t>
            </w:r>
          </w:p>
        </w:tc>
      </w:tr>
      <w:tr w14:paraId="12E172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blHeader/>
        </w:trPr>
        <w:tc>
          <w:tcPr>
            <w:tcW w:w="629" w:type="dxa"/>
            <w:tcBorders>
              <w:top w:val="single" w:color="auto" w:sz="4" w:space="0"/>
              <w:left w:val="single" w:color="auto" w:sz="4" w:space="0"/>
              <w:bottom w:val="single" w:color="auto" w:sz="4" w:space="0"/>
              <w:right w:val="single" w:color="auto" w:sz="4" w:space="0"/>
            </w:tcBorders>
            <w:vAlign w:val="center"/>
          </w:tcPr>
          <w:p w14:paraId="71C364D6">
            <w:pPr>
              <w:snapToGrid w:val="0"/>
              <w:jc w:val="center"/>
              <w:rPr>
                <w:rFonts w:ascii="宋体" w:hAnsi="宋体" w:cs="宋体"/>
                <w:color w:val="000000" w:themeColor="text1"/>
                <w:sz w:val="24"/>
                <w14:textFill>
                  <w14:solidFill>
                    <w14:schemeClr w14:val="tx1"/>
                  </w14:solidFill>
                </w14:textFill>
              </w:rPr>
            </w:pPr>
          </w:p>
          <w:p w14:paraId="700059F4">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5887DB5A">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6EF6F352">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货物类，</w:t>
            </w:r>
            <w:r>
              <w:rPr>
                <w:rFonts w:hint="eastAsia" w:ascii="宋体" w:hAnsi="宋体" w:cs="宋体"/>
                <w:color w:val="000000" w:themeColor="text1"/>
                <w:kern w:val="0"/>
                <w:sz w:val="24"/>
                <w14:textFill>
                  <w14:solidFill>
                    <w14:schemeClr w14:val="tx1"/>
                  </w14:solidFill>
                </w14:textFill>
              </w:rPr>
              <w:t>核心产品为：</w:t>
            </w:r>
            <w:r>
              <w:rPr>
                <w:rFonts w:hint="eastAsia" w:ascii="宋体" w:hAnsi="宋体" w:cs="宋体"/>
                <w:color w:val="000000" w:themeColor="text1"/>
                <w:kern w:val="0"/>
                <w:sz w:val="24"/>
                <w:u w:val="single"/>
                <w14:textFill>
                  <w14:solidFill>
                    <w14:schemeClr w14:val="tx1"/>
                  </w14:solidFill>
                </w14:textFill>
              </w:rPr>
              <w:t xml:space="preserve"> </w:t>
            </w:r>
            <w:r>
              <w:rPr>
                <w:rFonts w:ascii="宋体" w:hAnsi="宋体" w:cs="宋体"/>
                <w:color w:val="000000" w:themeColor="text1"/>
                <w:kern w:val="0"/>
                <w:sz w:val="24"/>
                <w:u w:val="single"/>
                <w14:textFill>
                  <w14:solidFill>
                    <w14:schemeClr w14:val="tx1"/>
                  </w14:solidFill>
                </w14:textFill>
              </w:rPr>
              <w:t>24</w:t>
            </w:r>
            <w:r>
              <w:rPr>
                <w:rFonts w:hint="eastAsia" w:ascii="宋体" w:hAnsi="宋体" w:cs="宋体"/>
                <w:color w:val="000000" w:themeColor="text1"/>
                <w:kern w:val="0"/>
                <w:sz w:val="24"/>
                <w:u w:val="single"/>
                <w14:textFill>
                  <w14:solidFill>
                    <w14:schemeClr w14:val="tx1"/>
                  </w14:solidFill>
                </w14:textFill>
              </w:rPr>
              <w:t xml:space="preserve">口交换机 </w:t>
            </w:r>
            <w:r>
              <w:rPr>
                <w:rFonts w:hint="eastAsia" w:ascii="宋体" w:hAnsi="宋体" w:cs="宋体"/>
                <w:color w:val="000000" w:themeColor="text1"/>
                <w:sz w:val="24"/>
                <w14:textFill>
                  <w14:solidFill>
                    <w14:schemeClr w14:val="tx1"/>
                  </w14:solidFill>
                </w14:textFill>
              </w:rPr>
              <w:t>。</w:t>
            </w:r>
          </w:p>
        </w:tc>
      </w:tr>
      <w:tr w14:paraId="69546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blHeader/>
        </w:trPr>
        <w:tc>
          <w:tcPr>
            <w:tcW w:w="629" w:type="dxa"/>
            <w:tcBorders>
              <w:top w:val="single" w:color="auto" w:sz="4" w:space="0"/>
              <w:left w:val="single" w:color="auto" w:sz="4" w:space="0"/>
              <w:bottom w:val="single" w:color="auto" w:sz="4" w:space="0"/>
              <w:right w:val="single" w:color="auto" w:sz="4" w:space="0"/>
            </w:tcBorders>
            <w:vAlign w:val="center"/>
          </w:tcPr>
          <w:p w14:paraId="6DF80678">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5F1D2453">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4C32A840">
            <w:pPr>
              <w:snapToGrid w:val="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（1）标的：</w:t>
            </w:r>
            <w:r>
              <w:rPr>
                <w:rFonts w:hint="eastAsia" w:ascii="宋体" w:hAnsi="宋体" w:cs="宋体"/>
                <w:color w:val="000000" w:themeColor="text1"/>
                <w:kern w:val="0"/>
                <w:sz w:val="24"/>
                <w:u w:val="single"/>
                <w14:textFill>
                  <w14:solidFill>
                    <w14:schemeClr w14:val="tx1"/>
                  </w14:solidFill>
                </w14:textFill>
              </w:rPr>
              <w:t>24口交换机、48口交换机、8口poe交换机、2.5G-POE交换机、汇聚交换机1、数据中心交换机、24口万兆光主机、48口万兆光主机、AP用光电混合缆、AP端模块、主机端模块、放装AP、高密AP1、高密AP2、面板AP、光面板AP、室外AP1、室外AP2</w:t>
            </w:r>
            <w:r>
              <w:rPr>
                <w:rFonts w:hint="eastAsia" w:ascii="宋体" w:hAnsi="宋体" w:cs="宋体"/>
                <w:color w:val="000000" w:themeColor="text1"/>
                <w:kern w:val="0"/>
                <w:sz w:val="24"/>
                <w14:textFill>
                  <w14:solidFill>
                    <w14:schemeClr w14:val="tx1"/>
                  </w14:solidFill>
                </w14:textFill>
              </w:rPr>
              <w:t>，属于</w:t>
            </w:r>
            <w:r>
              <w:rPr>
                <w:rFonts w:hint="eastAsia" w:ascii="宋体" w:hAnsi="宋体" w:cs="宋体"/>
                <w:color w:val="000000" w:themeColor="text1"/>
                <w:kern w:val="0"/>
                <w:sz w:val="24"/>
                <w:u w:val="single"/>
                <w14:textFill>
                  <w14:solidFill>
                    <w14:schemeClr w14:val="tx1"/>
                  </w14:solidFill>
                </w14:textFill>
              </w:rPr>
              <w:t xml:space="preserve"> 工业 </w:t>
            </w:r>
            <w:r>
              <w:rPr>
                <w:rFonts w:hint="eastAsia" w:ascii="宋体" w:hAnsi="宋体" w:cs="宋体"/>
                <w:color w:val="000000" w:themeColor="text1"/>
                <w:kern w:val="0"/>
                <w:sz w:val="24"/>
                <w14:textFill>
                  <w14:solidFill>
                    <w14:schemeClr w14:val="tx1"/>
                  </w14:solidFill>
                </w14:textFill>
              </w:rPr>
              <w:t>行业；</w:t>
            </w:r>
          </w:p>
          <w:p w14:paraId="44BB87C5">
            <w:pPr>
              <w:pStyle w:val="2"/>
              <w:spacing w:line="240" w:lineRule="auto"/>
              <w:ind w:left="0" w:firstLine="0"/>
              <w:rPr>
                <w:rFonts w:ascii="宋体" w:hAnsi="宋体" w:cs="宋体"/>
                <w:color w:val="000000" w:themeColor="text1"/>
                <w:lang w:val="en-US"/>
                <w14:textFill>
                  <w14:solidFill>
                    <w14:schemeClr w14:val="tx1"/>
                  </w14:solidFill>
                </w14:textFill>
              </w:rPr>
            </w:pPr>
            <w:r>
              <w:rPr>
                <w:rFonts w:hint="eastAsia" w:ascii="宋体" w:hAnsi="宋体" w:eastAsia="宋体" w:cs="宋体"/>
                <w:b w:val="0"/>
                <w:bCs w:val="0"/>
                <w:color w:val="000000" w:themeColor="text1"/>
                <w:kern w:val="0"/>
                <w:sz w:val="24"/>
                <w:szCs w:val="24"/>
                <w:lang w:val="en-US"/>
                <w14:textFill>
                  <w14:solidFill>
                    <w14:schemeClr w14:val="tx1"/>
                  </w14:solidFill>
                </w14:textFill>
              </w:rPr>
              <w:t>（2）根据《关于印发中小企业划型标准规定的通知》（工信部联企业〔2011〕300号）第四条规定：工业行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4B008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blHeader/>
        </w:trPr>
        <w:tc>
          <w:tcPr>
            <w:tcW w:w="629" w:type="dxa"/>
            <w:tcBorders>
              <w:top w:val="single" w:color="auto" w:sz="4" w:space="0"/>
              <w:left w:val="single" w:color="auto" w:sz="4" w:space="0"/>
              <w:bottom w:val="single" w:color="auto" w:sz="4" w:space="0"/>
              <w:right w:val="single" w:color="auto" w:sz="4" w:space="0"/>
            </w:tcBorders>
            <w:vAlign w:val="center"/>
          </w:tcPr>
          <w:p w14:paraId="65357874">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F5AE536">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6D18381C">
            <w:pPr>
              <w:rPr>
                <w:rFonts w:ascii="宋体" w:hAnsi="宋体" w:cs="宋体"/>
                <w:color w:val="000000" w:themeColor="text1"/>
                <w:kern w:val="0"/>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672303543"/>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sym w:font="Wingdings" w:char="F0FE"/>
                </w:r>
              </w:sdtContent>
            </w:sdt>
            <w:r>
              <w:rPr>
                <w:rFonts w:hint="eastAsia" w:ascii="宋体" w:hAnsi="宋体" w:cs="宋体"/>
                <w:color w:val="000000" w:themeColor="text1"/>
                <w:kern w:val="0"/>
                <w:sz w:val="24"/>
                <w14:textFill>
                  <w14:solidFill>
                    <w14:schemeClr w14:val="tx1"/>
                  </w14:solidFill>
                </w14:textFill>
              </w:rPr>
              <w:t>本项目不允许采购进口产品。</w:t>
            </w:r>
          </w:p>
          <w:p w14:paraId="552D6ECD">
            <w:pPr>
              <w:rPr>
                <w:rFonts w:ascii="宋体" w:hAnsi="宋体" w:cs="宋体"/>
                <w:color w:val="000000" w:themeColor="text1"/>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72905932"/>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可以就</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采购进口产品。</w:t>
            </w:r>
          </w:p>
        </w:tc>
      </w:tr>
      <w:tr w14:paraId="0C38A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blHeader/>
        </w:trPr>
        <w:tc>
          <w:tcPr>
            <w:tcW w:w="629" w:type="dxa"/>
            <w:tcBorders>
              <w:top w:val="single" w:color="auto" w:sz="4" w:space="0"/>
              <w:left w:val="single" w:color="auto" w:sz="4" w:space="0"/>
              <w:bottom w:val="single" w:color="auto" w:sz="4" w:space="0"/>
              <w:right w:val="single" w:color="auto" w:sz="4" w:space="0"/>
            </w:tcBorders>
            <w:vAlign w:val="center"/>
          </w:tcPr>
          <w:p w14:paraId="6E29BA5A">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51DF0EBF">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75459F8F">
            <w:pPr>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644818902"/>
              </w:sdtPr>
              <w:sdtEndPr>
                <w:rPr>
                  <w:rFonts w:hint="eastAsia" w:ascii="宋体" w:hAnsi="宋体" w:cs="宋体"/>
                  <w:color w:val="000000" w:themeColor="text1"/>
                  <w:kern w:val="0"/>
                  <w:sz w:val="24"/>
                  <w14:textFill>
                    <w14:solidFill>
                      <w14:schemeClr w14:val="tx1"/>
                    </w14:solidFill>
                  </w14:textFill>
                </w:rPr>
              </w:sdtEndPr>
              <w:sdtContent>
                <w:r>
                  <w:rPr>
                    <w:rFonts w:ascii="Wingdings" w:hAnsi="Wingdings"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A</w:t>
            </w:r>
            <w:r>
              <w:rPr>
                <w:rFonts w:hint="eastAsia" w:ascii="宋体" w:hAnsi="宋体" w:cs="宋体"/>
                <w:color w:val="000000" w:themeColor="text1"/>
                <w:sz w:val="24"/>
                <w14:textFill>
                  <w14:solidFill>
                    <w14:schemeClr w14:val="tx1"/>
                  </w14:solidFill>
                </w14:textFill>
              </w:rPr>
              <w:t>同意将非主体、非关键性的</w:t>
            </w:r>
            <w:r>
              <w:rPr>
                <w:rFonts w:hint="eastAsia" w:ascii="宋体" w:hAnsi="宋体" w:cs="宋体"/>
                <w:color w:val="000000" w:themeColor="text1"/>
                <w:sz w:val="24"/>
                <w:u w:val="single"/>
                <w14:textFill>
                  <w14:solidFill>
                    <w14:schemeClr w14:val="tx1"/>
                  </w14:solidFill>
                </w14:textFill>
              </w:rPr>
              <w:t xml:space="preserve"> 运输 </w:t>
            </w:r>
            <w:r>
              <w:rPr>
                <w:rFonts w:hint="eastAsia" w:ascii="宋体" w:hAnsi="宋体" w:cs="宋体"/>
                <w:color w:val="000000" w:themeColor="text1"/>
                <w:sz w:val="24"/>
                <w14:textFill>
                  <w14:solidFill>
                    <w14:schemeClr w14:val="tx1"/>
                  </w14:solidFill>
                </w14:textFill>
              </w:rPr>
              <w:t>工作分包。</w:t>
            </w:r>
          </w:p>
          <w:p w14:paraId="0B07198D">
            <w:pPr>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242807027"/>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B</w:t>
            </w:r>
            <w:r>
              <w:rPr>
                <w:rFonts w:hint="eastAsia" w:ascii="宋体" w:hAnsi="宋体" w:cs="宋体"/>
                <w:color w:val="000000" w:themeColor="text1"/>
                <w:sz w:val="24"/>
                <w14:textFill>
                  <w14:solidFill>
                    <w14:schemeClr w14:val="tx1"/>
                  </w14:solidFill>
                </w14:textFill>
              </w:rPr>
              <w:t>不同意分包。</w:t>
            </w:r>
          </w:p>
          <w:p w14:paraId="2A6BFF94">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注：不得限制大中型企业向小微企业合理分包。</w:t>
            </w:r>
          </w:p>
        </w:tc>
      </w:tr>
      <w:tr w14:paraId="4449D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blHeader/>
        </w:trPr>
        <w:tc>
          <w:tcPr>
            <w:tcW w:w="629" w:type="dxa"/>
            <w:tcBorders>
              <w:top w:val="single" w:color="auto" w:sz="4" w:space="0"/>
              <w:left w:val="single" w:color="auto" w:sz="4" w:space="0"/>
              <w:bottom w:val="single" w:color="auto" w:sz="4" w:space="0"/>
              <w:right w:val="single" w:color="auto" w:sz="4" w:space="0"/>
            </w:tcBorders>
            <w:vAlign w:val="center"/>
          </w:tcPr>
          <w:p w14:paraId="73F5F97D">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3E711F4E">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开标前现场考察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14CAC696">
            <w:pPr>
              <w:rPr>
                <w:rFonts w:ascii="宋体" w:hAnsi="宋体" w:cs="宋体"/>
                <w:color w:val="000000" w:themeColor="text1"/>
                <w:sz w:val="24"/>
                <w:szCs w:val="32"/>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47475425"/>
              </w:sdtPr>
              <w:sdtEndPr>
                <w:rPr>
                  <w:rFonts w:hint="eastAsia" w:ascii="宋体" w:hAnsi="宋体" w:cs="宋体"/>
                  <w:color w:val="000000" w:themeColor="text1"/>
                  <w:kern w:val="0"/>
                  <w:sz w:val="24"/>
                  <w14:textFill>
                    <w14:solidFill>
                      <w14:schemeClr w14:val="tx1"/>
                    </w14:solidFill>
                  </w14:textFill>
                </w:rPr>
              </w:sdtEndPr>
              <w:sdtContent>
                <w:r>
                  <w:rPr>
                    <w:rFonts w:ascii="Wingdings" w:hAnsi="Wingdings" w:cs="宋体"/>
                    <w:color w:val="000000" w:themeColor="text1"/>
                    <w:kern w:val="0"/>
                    <w:sz w:val="24"/>
                    <w14:textFill>
                      <w14:solidFill>
                        <w14:schemeClr w14:val="tx1"/>
                      </w14:solidFill>
                    </w14:textFill>
                  </w:rPr>
                  <w:sym w:font="Wingdings" w:char="00A8"/>
                </w:r>
              </w:sdtContent>
            </w:sdt>
            <w:r>
              <w:rPr>
                <w:rFonts w:hint="eastAsia" w:ascii="宋体" w:hAnsi="宋体" w:cs="宋体"/>
                <w:color w:val="000000" w:themeColor="text1"/>
                <w:sz w:val="24"/>
                <w:szCs w:val="32"/>
                <w14:textFill>
                  <w14:solidFill>
                    <w14:schemeClr w14:val="tx1"/>
                  </w14:solidFill>
                </w14:textFill>
              </w:rPr>
              <w:t>A不组织。</w:t>
            </w:r>
          </w:p>
          <w:p w14:paraId="42311466">
            <w:pPr>
              <w:rPr>
                <w:rFonts w:ascii="宋体" w:hAnsi="宋体" w:cs="宋体"/>
                <w:color w:val="000000" w:themeColor="text1"/>
                <w:sz w:val="24"/>
                <w:szCs w:val="32"/>
                <w14:textFill>
                  <w14:solidFill>
                    <w14:schemeClr w14:val="tx1"/>
                  </w14:solidFill>
                </w14:textFill>
              </w:rPr>
            </w:pPr>
            <w:sdt>
              <w:sdtPr>
                <w:rPr>
                  <w:rFonts w:hint="eastAsia" w:ascii="宋体" w:hAnsi="宋体" w:cs="宋体"/>
                  <w:color w:val="000000" w:themeColor="text1"/>
                  <w:sz w:val="24"/>
                  <w:szCs w:val="32"/>
                  <w14:textFill>
                    <w14:solidFill>
                      <w14:schemeClr w14:val="tx1"/>
                    </w14:solidFill>
                  </w14:textFill>
                </w:rPr>
                <w:id w:val="238790731"/>
              </w:sdtPr>
              <w:sdtEndPr>
                <w:rPr>
                  <w:rFonts w:hint="eastAsia" w:ascii="宋体" w:hAnsi="宋体" w:cs="宋体"/>
                  <w:color w:val="000000" w:themeColor="text1"/>
                  <w:sz w:val="24"/>
                  <w:szCs w:val="32"/>
                  <w14:textFill>
                    <w14:solidFill>
                      <w14:schemeClr w14:val="tx1"/>
                    </w14:solidFill>
                  </w14:textFill>
                </w:rPr>
              </w:sdtEndPr>
              <w:sdtContent>
                <w:r>
                  <w:rPr>
                    <w:rFonts w:hint="eastAsia" w:ascii="MS Gothic" w:hAnsi="MS Gothic" w:cs="宋体"/>
                    <w:color w:val="000000" w:themeColor="text1"/>
                    <w:sz w:val="24"/>
                    <w:szCs w:val="32"/>
                    <w14:textFill>
                      <w14:solidFill>
                        <w14:schemeClr w14:val="tx1"/>
                      </w14:solidFill>
                    </w14:textFill>
                  </w:rPr>
                  <w:t>☐</w:t>
                </w:r>
              </w:sdtContent>
            </w:sdt>
            <w:r>
              <w:rPr>
                <w:rFonts w:hint="eastAsia" w:ascii="宋体" w:hAnsi="宋体" w:cs="宋体"/>
                <w:color w:val="000000" w:themeColor="text1"/>
                <w:sz w:val="24"/>
                <w:szCs w:val="32"/>
                <w14:textFill>
                  <w14:solidFill>
                    <w14:schemeClr w14:val="tx1"/>
                  </w14:solidFill>
                </w14:textFill>
              </w:rPr>
              <w:t>B组织，时间：      ,地点：      ，联系人：      ，联系方式：      。</w:t>
            </w:r>
          </w:p>
          <w:p w14:paraId="6FE877D3">
            <w:pPr>
              <w:pStyle w:val="79"/>
              <w:spacing w:line="240" w:lineRule="auto"/>
              <w:ind w:firstLine="0" w:firstLineChars="0"/>
              <w:rPr>
                <w:color w:val="000000" w:themeColor="text1"/>
                <w14:textFill>
                  <w14:solidFill>
                    <w14:schemeClr w14:val="tx1"/>
                  </w14:solidFill>
                </w14:textFill>
              </w:rPr>
            </w:pPr>
            <w:sdt>
              <w:sdtPr>
                <w:rPr>
                  <w:rFonts w:hint="eastAsia" w:ascii="宋体" w:hAnsi="宋体" w:cs="宋体"/>
                  <w:color w:val="000000" w:themeColor="text1"/>
                  <w:sz w:val="24"/>
                  <w14:textFill>
                    <w14:solidFill>
                      <w14:schemeClr w14:val="tx1"/>
                    </w14:solidFill>
                  </w14:textFill>
                </w:rPr>
                <w:id w:val="147462284"/>
              </w:sdtPr>
              <w:sdtEndPr>
                <w:rPr>
                  <w:rFonts w:hint="eastAsia" w:ascii="宋体" w:hAnsi="宋体" w:cs="宋体"/>
                  <w:color w:val="000000" w:themeColor="text1"/>
                  <w:sz w:val="24"/>
                  <w14:textFill>
                    <w14:solidFill>
                      <w14:schemeClr w14:val="tx1"/>
                    </w14:solidFill>
                  </w14:textFill>
                </w:rPr>
              </w:sdtEndPr>
              <w:sdtContent>
                <w:r>
                  <w:rPr>
                    <w:rFonts w:ascii="Wingdings" w:hAnsi="Wingdings" w:cs="宋体"/>
                    <w:color w:val="000000" w:themeColor="text1"/>
                    <w:sz w:val="24"/>
                    <w14:textFill>
                      <w14:solidFill>
                        <w14:schemeClr w14:val="tx1"/>
                      </w14:solidFill>
                    </w14:textFill>
                  </w:rPr>
                  <w:t></w:t>
                </w:r>
              </w:sdtContent>
            </w:sdt>
            <w:r>
              <w:rPr>
                <w:rFonts w:hint="eastAsia" w:ascii="宋体" w:hAnsi="宋体" w:eastAsia="宋体" w:cs="宋体"/>
                <w:color w:val="000000" w:themeColor="text1"/>
                <w:kern w:val="2"/>
                <w:sz w:val="24"/>
                <w:szCs w:val="32"/>
                <w14:textFill>
                  <w14:solidFill>
                    <w14:schemeClr w14:val="tx1"/>
                  </w14:solidFill>
                </w14:textFill>
              </w:rPr>
              <w:t>C不统一组织，供应商在获取采购文件后，自行至项目现场考察。地点：浙江水利水电学院（钱塘校区），联系人：全老师，联系方式：0</w:t>
            </w:r>
            <w:r>
              <w:rPr>
                <w:rFonts w:ascii="宋体" w:hAnsi="宋体" w:eastAsia="宋体" w:cs="宋体"/>
                <w:color w:val="000000" w:themeColor="text1"/>
                <w:kern w:val="2"/>
                <w:sz w:val="24"/>
                <w:szCs w:val="32"/>
                <w14:textFill>
                  <w14:solidFill>
                    <w14:schemeClr w14:val="tx1"/>
                  </w14:solidFill>
                </w14:textFill>
              </w:rPr>
              <w:t>571-</w:t>
            </w:r>
            <w:r>
              <w:rPr>
                <w:rFonts w:hint="eastAsia" w:ascii="宋体" w:hAnsi="宋体" w:eastAsia="宋体" w:cs="宋体"/>
                <w:color w:val="000000" w:themeColor="text1"/>
                <w:kern w:val="2"/>
                <w:sz w:val="24"/>
                <w:szCs w:val="32"/>
                <w14:textFill>
                  <w14:solidFill>
                    <w14:schemeClr w14:val="tx1"/>
                  </w14:solidFill>
                </w14:textFill>
              </w:rPr>
              <w:t>8</w:t>
            </w:r>
            <w:r>
              <w:rPr>
                <w:rFonts w:ascii="宋体" w:hAnsi="宋体" w:eastAsia="宋体" w:cs="宋体"/>
                <w:color w:val="000000" w:themeColor="text1"/>
                <w:kern w:val="2"/>
                <w:sz w:val="24"/>
                <w:szCs w:val="32"/>
                <w14:textFill>
                  <w14:solidFill>
                    <w14:schemeClr w14:val="tx1"/>
                  </w14:solidFill>
                </w14:textFill>
              </w:rPr>
              <w:t>6929168</w:t>
            </w:r>
            <w:r>
              <w:rPr>
                <w:rFonts w:hint="eastAsia" w:ascii="宋体" w:hAnsi="宋体" w:eastAsia="宋体" w:cs="宋体"/>
                <w:color w:val="000000" w:themeColor="text1"/>
                <w:kern w:val="2"/>
                <w:sz w:val="24"/>
                <w:szCs w:val="32"/>
                <w14:textFill>
                  <w14:solidFill>
                    <w14:schemeClr w14:val="tx1"/>
                  </w14:solidFill>
                </w14:textFill>
              </w:rPr>
              <w:t>。</w:t>
            </w:r>
          </w:p>
        </w:tc>
      </w:tr>
      <w:tr w14:paraId="09736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blHeader/>
        </w:trPr>
        <w:tc>
          <w:tcPr>
            <w:tcW w:w="629" w:type="dxa"/>
            <w:tcBorders>
              <w:top w:val="single" w:color="auto" w:sz="4" w:space="0"/>
              <w:left w:val="single" w:color="auto" w:sz="4" w:space="0"/>
              <w:bottom w:val="single" w:color="auto" w:sz="4" w:space="0"/>
              <w:right w:val="single" w:color="auto" w:sz="4" w:space="0"/>
            </w:tcBorders>
            <w:vAlign w:val="center"/>
          </w:tcPr>
          <w:p w14:paraId="5F48E2F7">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A37F3E7">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1F94940D">
            <w:pPr>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352762657"/>
              </w:sdtPr>
              <w:sdtEndPr>
                <w:rPr>
                  <w:rFonts w:hint="eastAsia" w:ascii="宋体" w:hAnsi="宋体" w:cs="宋体"/>
                  <w:color w:val="000000" w:themeColor="text1"/>
                  <w:kern w:val="0"/>
                  <w:sz w:val="24"/>
                  <w14:textFill>
                    <w14:solidFill>
                      <w14:schemeClr w14:val="tx1"/>
                    </w14:solidFill>
                  </w14:textFill>
                </w:rPr>
              </w:sdtEndPr>
              <w:sdtContent>
                <w:sdt>
                  <w:sdtPr>
                    <w:rPr>
                      <w:rFonts w:hint="eastAsia" w:ascii="宋体" w:hAnsi="宋体" w:cs="宋体"/>
                      <w:color w:val="000000" w:themeColor="text1"/>
                      <w:kern w:val="0"/>
                      <w:sz w:val="24"/>
                      <w14:textFill>
                        <w14:solidFill>
                          <w14:schemeClr w14:val="tx1"/>
                        </w14:solidFill>
                      </w14:textFill>
                    </w:rPr>
                    <w:id w:val="147473784"/>
                  </w:sdtPr>
                  <w:sdtEndPr>
                    <w:rPr>
                      <w:rFonts w:hint="eastAsia" w:ascii="宋体" w:hAnsi="宋体" w:cs="宋体"/>
                      <w:color w:val="000000" w:themeColor="text1"/>
                      <w:kern w:val="0"/>
                      <w:sz w:val="24"/>
                      <w14:textFill>
                        <w14:solidFill>
                          <w14:schemeClr w14:val="tx1"/>
                        </w14:solidFill>
                      </w14:textFill>
                    </w:rPr>
                  </w:sdtEndPr>
                  <w:sdtContent>
                    <w:r>
                      <w:rPr>
                        <w:rFonts w:ascii="Wingdings" w:hAnsi="Wingdings" w:eastAsia="MS Gothic" w:cs="宋体"/>
                        <w:color w:val="000000" w:themeColor="text1"/>
                        <w:kern w:val="0"/>
                        <w:sz w:val="24"/>
                        <w14:textFill>
                          <w14:solidFill>
                            <w14:schemeClr w14:val="tx1"/>
                          </w14:solidFill>
                        </w14:textFill>
                      </w:rPr>
                      <w:t></w:t>
                    </w:r>
                  </w:sdtContent>
                </w:sdt>
              </w:sdtContent>
            </w:sdt>
            <w:r>
              <w:rPr>
                <w:rFonts w:hint="eastAsia" w:ascii="宋体" w:hAnsi="宋体" w:cs="宋体"/>
                <w:color w:val="000000" w:themeColor="text1"/>
                <w:kern w:val="0"/>
                <w:sz w:val="24"/>
                <w14:textFill>
                  <w14:solidFill>
                    <w14:schemeClr w14:val="tx1"/>
                  </w14:solidFill>
                </w14:textFill>
              </w:rPr>
              <w:t>A</w:t>
            </w:r>
            <w:r>
              <w:rPr>
                <w:rFonts w:hint="eastAsia" w:ascii="宋体" w:hAnsi="宋体" w:cs="宋体"/>
                <w:color w:val="000000" w:themeColor="text1"/>
                <w:sz w:val="24"/>
                <w14:textFill>
                  <w14:solidFill>
                    <w14:schemeClr w14:val="tx1"/>
                  </w14:solidFill>
                </w14:textFill>
              </w:rPr>
              <w:t>不要求提供。</w:t>
            </w:r>
          </w:p>
          <w:p w14:paraId="220073DE">
            <w:pPr>
              <w:rPr>
                <w:rFonts w:ascii="宋体" w:hAnsi="宋体" w:cs="宋体"/>
                <w:color w:val="000000" w:themeColor="text1"/>
                <w:kern w:val="0"/>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026831988"/>
              </w:sdtPr>
              <w:sdtEndPr>
                <w:rPr>
                  <w:rFonts w:hint="eastAsia" w:ascii="宋体" w:hAnsi="宋体" w:cs="宋体"/>
                  <w:color w:val="000000" w:themeColor="text1"/>
                  <w:kern w:val="0"/>
                  <w:sz w:val="24"/>
                  <w14:textFill>
                    <w14:solidFill>
                      <w14:schemeClr w14:val="tx1"/>
                    </w14:solidFill>
                  </w14:textFill>
                </w:rPr>
              </w:sdtEndPr>
              <w:sdtContent>
                <w:r>
                  <w:rPr>
                    <w:rFonts w:ascii="Wingdings" w:hAnsi="Wingdings" w:eastAsia="MS Gothic" w:cs="宋体"/>
                    <w:color w:val="000000" w:themeColor="text1"/>
                    <w:kern w:val="0"/>
                    <w:sz w:val="24"/>
                    <w14:textFill>
                      <w14:solidFill>
                        <w14:schemeClr w14:val="tx1"/>
                      </w14:solidFill>
                    </w14:textFill>
                  </w:rPr>
                  <w:sym w:font="Wingdings" w:char="00A8"/>
                </w:r>
              </w:sdtContent>
            </w:sdt>
            <w:r>
              <w:rPr>
                <w:rFonts w:hint="eastAsia" w:ascii="宋体" w:hAnsi="宋体" w:cs="宋体"/>
                <w:color w:val="000000" w:themeColor="text1"/>
                <w:kern w:val="0"/>
                <w:sz w:val="24"/>
                <w14:textFill>
                  <w14:solidFill>
                    <w14:schemeClr w14:val="tx1"/>
                  </w14:solidFill>
                </w14:textFill>
              </w:rPr>
              <w:t>B要求提供，</w:t>
            </w:r>
          </w:p>
          <w:p w14:paraId="0669C785">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snapToGrid w:val="0"/>
                <w:color w:val="000000" w:themeColor="text1"/>
                <w:kern w:val="28"/>
                <w:sz w:val="24"/>
                <w14:textFill>
                  <w14:solidFill>
                    <w14:schemeClr w14:val="tx1"/>
                  </w14:solidFill>
                </w14:textFill>
              </w:rPr>
              <w:t>样品：</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2317F1D0">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snapToGrid w:val="0"/>
                <w:color w:val="000000" w:themeColor="text1"/>
                <w:kern w:val="28"/>
                <w:sz w:val="24"/>
                <w14:textFill>
                  <w14:solidFill>
                    <w14:schemeClr w14:val="tx1"/>
                  </w14:solidFill>
                </w14:textFill>
              </w:rPr>
              <w:t>样品制作的标准和要求：</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68A490C0">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（3）样品的评审方法以及评审标准</w:t>
            </w:r>
            <w:r>
              <w:rPr>
                <w:rFonts w:hint="eastAsia" w:ascii="宋体" w:hAnsi="宋体" w:cs="宋体"/>
                <w:snapToGrid w:val="0"/>
                <w:color w:val="000000" w:themeColor="text1"/>
                <w:kern w:val="28"/>
                <w:sz w:val="24"/>
                <w14:textFill>
                  <w14:solidFill>
                    <w14:schemeClr w14:val="tx1"/>
                  </w14:solidFill>
                </w14:textFill>
              </w:rPr>
              <w:t>：详见</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0C520DF0">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（4）是否需要随样品提交检测报告：</w:t>
            </w:r>
            <w:sdt>
              <w:sdtPr>
                <w:rPr>
                  <w:rFonts w:hint="eastAsia" w:ascii="宋体" w:hAnsi="宋体" w:cs="宋体"/>
                  <w:color w:val="000000" w:themeColor="text1"/>
                  <w:kern w:val="0"/>
                  <w:sz w:val="24"/>
                  <w14:textFill>
                    <w14:solidFill>
                      <w14:schemeClr w14:val="tx1"/>
                    </w14:solidFill>
                  </w14:textFill>
                </w:rPr>
                <w:id w:val="1303421454"/>
              </w:sdtPr>
              <w:sdtEndPr>
                <w:rPr>
                  <w:rFonts w:hint="eastAsia" w:ascii="宋体" w:hAnsi="宋体" w:cs="宋体"/>
                  <w:color w:val="000000" w:themeColor="text1"/>
                  <w:kern w:val="0"/>
                  <w:sz w:val="24"/>
                  <w14:textFill>
                    <w14:solidFill>
                      <w14:schemeClr w14:val="tx1"/>
                    </w14:solidFill>
                  </w14:textFill>
                </w:rPr>
              </w:sdtEndPr>
              <w:sdtContent>
                <w:sdt>
                  <w:sdtPr>
                    <w:rPr>
                      <w:rFonts w:hint="eastAsia" w:hAnsi="宋体" w:cs="宋体"/>
                      <w:color w:val="000000" w:themeColor="text1"/>
                      <w:kern w:val="0"/>
                      <w:sz w:val="24"/>
                      <w14:textFill>
                        <w14:solidFill>
                          <w14:schemeClr w14:val="tx1"/>
                        </w14:solidFill>
                      </w14:textFill>
                    </w:rPr>
                    <w:id w:val="147475487"/>
                  </w:sdtPr>
                  <w:sdtEndPr>
                    <w:rPr>
                      <w:rFonts w:hint="eastAsia" w:hAnsi="宋体" w:cs="宋体"/>
                      <w:color w:val="000000" w:themeColor="text1"/>
                      <w:kern w:val="0"/>
                      <w:sz w:val="24"/>
                      <w14:textFill>
                        <w14:solidFill>
                          <w14:schemeClr w14:val="tx1"/>
                        </w14:solidFill>
                      </w14:textFill>
                    </w:rPr>
                  </w:sdtEndPr>
                  <w:sdtContent>
                    <w:sdt>
                      <w:sdtPr>
                        <w:rPr>
                          <w:rFonts w:hint="eastAsia" w:ascii="宋体" w:hAnsi="宋体" w:cs="宋体"/>
                          <w:color w:val="000000" w:themeColor="text1"/>
                          <w:kern w:val="0"/>
                          <w:sz w:val="24"/>
                          <w14:textFill>
                            <w14:solidFill>
                              <w14:schemeClr w14:val="tx1"/>
                            </w14:solidFill>
                          </w14:textFill>
                        </w:rPr>
                        <w:id w:val="217264640"/>
                      </w:sdtPr>
                      <w:sdtEndPr>
                        <w:rPr>
                          <w:rFonts w:hint="eastAsia" w:ascii="宋体" w:hAnsi="宋体" w:cs="宋体"/>
                          <w:color w:val="000000" w:themeColor="text1"/>
                          <w:kern w:val="0"/>
                          <w:sz w:val="24"/>
                          <w14:textFill>
                            <w14:solidFill>
                              <w14:schemeClr w14:val="tx1"/>
                            </w14:solidFill>
                          </w14:textFill>
                        </w:rPr>
                      </w:sdtEndPr>
                      <w:sdtContent>
                        <w:sdt>
                          <w:sdtPr>
                            <w:rPr>
                              <w:rFonts w:hint="eastAsia" w:ascii="宋体" w:hAnsi="宋体" w:cs="宋体"/>
                              <w:color w:val="000000" w:themeColor="text1"/>
                              <w:kern w:val="0"/>
                              <w:sz w:val="24"/>
                              <w14:textFill>
                                <w14:solidFill>
                                  <w14:schemeClr w14:val="tx1"/>
                                </w14:solidFill>
                              </w14:textFill>
                            </w:rPr>
                            <w:id w:val="147451284"/>
                          </w:sdtPr>
                          <w:sdtEndPr>
                            <w:rPr>
                              <w:rFonts w:hint="eastAsia" w:ascii="宋体" w:hAnsi="宋体" w:cs="宋体"/>
                              <w:color w:val="000000" w:themeColor="text1"/>
                              <w:kern w:val="0"/>
                              <w:sz w:val="24"/>
                              <w14:textFill>
                                <w14:solidFill>
                                  <w14:schemeClr w14:val="tx1"/>
                                </w14:solidFill>
                              </w14:textFill>
                            </w:rPr>
                          </w:sdtEndPr>
                          <w:sdtContent>
                            <w:r>
                              <w:rPr>
                                <w:rFonts w:hint="eastAsia" w:hAnsi="宋体" w:cs="宋体"/>
                                <w:color w:val="000000" w:themeColor="text1"/>
                                <w:kern w:val="0"/>
                                <w:sz w:val="24"/>
                                <w14:textFill>
                                  <w14:solidFill>
                                    <w14:schemeClr w14:val="tx1"/>
                                  </w14:solidFill>
                                </w14:textFill>
                              </w:rPr>
                              <w:sym w:font="Wingdings" w:char="00FE"/>
                            </w:r>
                          </w:sdtContent>
                        </w:sdt>
                      </w:sdtContent>
                    </w:sdt>
                  </w:sdtContent>
                </w:sdt>
              </w:sdtContent>
            </w:sdt>
            <w:r>
              <w:rPr>
                <w:rFonts w:hint="eastAsia" w:ascii="宋体" w:hAnsi="宋体" w:cs="宋体"/>
                <w:color w:val="000000" w:themeColor="text1"/>
                <w:kern w:val="0"/>
                <w:sz w:val="24"/>
                <w14:textFill>
                  <w14:solidFill>
                    <w14:schemeClr w14:val="tx1"/>
                  </w14:solidFill>
                </w14:textFill>
              </w:rPr>
              <w:t>否；</w:t>
            </w:r>
            <w:sdt>
              <w:sdtPr>
                <w:rPr>
                  <w:rFonts w:hint="eastAsia" w:ascii="宋体" w:hAnsi="宋体" w:cs="宋体"/>
                  <w:color w:val="000000" w:themeColor="text1"/>
                  <w:kern w:val="0"/>
                  <w:sz w:val="24"/>
                  <w14:textFill>
                    <w14:solidFill>
                      <w14:schemeClr w14:val="tx1"/>
                    </w14:solidFill>
                  </w14:textFill>
                </w:rPr>
                <w:id w:val="1621728433"/>
              </w:sdtPr>
              <w:sdtEndPr>
                <w:rPr>
                  <w:rFonts w:hint="eastAsia" w:ascii="宋体" w:hAnsi="宋体" w:cs="宋体"/>
                  <w:color w:val="000000" w:themeColor="text1"/>
                  <w:kern w:val="0"/>
                  <w:sz w:val="24"/>
                  <w14:textFill>
                    <w14:solidFill>
                      <w14:schemeClr w14:val="tx1"/>
                    </w14:solidFill>
                  </w14:textFill>
                </w:rPr>
              </w:sdtEndPr>
              <w:sdtContent>
                <w:r>
                  <w:rPr>
                    <w:rFonts w:hint="eastAsia" w:hAnsi="宋体" w:cs="宋体"/>
                    <w:color w:val="000000" w:themeColor="text1"/>
                    <w:kern w:val="0"/>
                    <w:sz w:val="24"/>
                    <w14:textFill>
                      <w14:solidFill>
                        <w14:schemeClr w14:val="tx1"/>
                      </w14:solidFill>
                    </w14:textFill>
                  </w:rPr>
                  <w:sym w:font="Wingdings" w:char="00A8"/>
                </w:r>
              </w:sdtContent>
            </w:sdt>
            <w:r>
              <w:rPr>
                <w:rFonts w:hint="eastAsia" w:ascii="宋体" w:hAnsi="宋体" w:cs="宋体"/>
                <w:color w:val="000000" w:themeColor="text1"/>
                <w:kern w:val="0"/>
                <w:sz w:val="24"/>
                <w14:textFill>
                  <w14:solidFill>
                    <w14:schemeClr w14:val="tx1"/>
                  </w14:solidFill>
                </w14:textFill>
              </w:rPr>
              <w:t>是，检测机构的要求</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；检测内容</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42ED712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（5）提供样品的时间：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；地点：</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kern w:val="0"/>
                <w:sz w:val="24"/>
                <w14:textFill>
                  <w14:solidFill>
                    <w14:schemeClr w14:val="tx1"/>
                  </w14:solidFill>
                </w14:textFill>
              </w:rPr>
              <w:t>；联系人</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28"/>
                <w:sz w:val="24"/>
                <w14:textFill>
                  <w14:solidFill>
                    <w14:schemeClr w14:val="tx1"/>
                  </w14:solidFill>
                </w14:textFill>
              </w:rPr>
              <w:t>联系电话：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。请投标人在上述时间内提供样品并按规定位置安装完毕。超过截止时间的，采购人或采购代理机构将不予接收，并将清场并封闭样品现场。</w:t>
            </w:r>
          </w:p>
          <w:p w14:paraId="2A1AAB2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5C24C3AB">
            <w:pP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（7）制作、运输、安装和保管样品所发生的一切费用由投标人自理。</w:t>
            </w:r>
          </w:p>
        </w:tc>
      </w:tr>
      <w:tr w14:paraId="47ACA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blHeader/>
        </w:trPr>
        <w:tc>
          <w:tcPr>
            <w:tcW w:w="629" w:type="dxa"/>
            <w:tcBorders>
              <w:top w:val="single" w:color="auto" w:sz="4" w:space="0"/>
              <w:left w:val="single" w:color="auto" w:sz="4" w:space="0"/>
              <w:bottom w:val="single" w:color="auto" w:sz="4" w:space="0"/>
              <w:right w:val="single" w:color="auto" w:sz="4" w:space="0"/>
            </w:tcBorders>
            <w:vAlign w:val="center"/>
          </w:tcPr>
          <w:p w14:paraId="2A9380E8">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77C51C8B">
            <w:pPr>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5FE4FFA6">
            <w:pPr>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330370633"/>
              </w:sdtPr>
              <w:sdtEndPr>
                <w:rPr>
                  <w:rFonts w:hint="eastAsia" w:ascii="宋体" w:hAnsi="宋体" w:cs="宋体"/>
                  <w:color w:val="000000" w:themeColor="text1"/>
                  <w:kern w:val="0"/>
                  <w:sz w:val="24"/>
                  <w14:textFill>
                    <w14:solidFill>
                      <w14:schemeClr w14:val="tx1"/>
                    </w14:solidFill>
                  </w14:textFill>
                </w:rPr>
              </w:sdtEndPr>
              <w:sdtContent>
                <w:r>
                  <w:rPr>
                    <w:rFonts w:ascii="Wingdings" w:hAnsi="Wingdings" w:eastAsia="MS Gothic"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A</w:t>
            </w:r>
            <w:r>
              <w:rPr>
                <w:rFonts w:hint="eastAsia" w:ascii="宋体" w:hAnsi="宋体" w:cs="宋体"/>
                <w:color w:val="000000" w:themeColor="text1"/>
                <w:sz w:val="24"/>
                <w14:textFill>
                  <w14:solidFill>
                    <w14:schemeClr w14:val="tx1"/>
                  </w14:solidFill>
                </w14:textFill>
              </w:rPr>
              <w:t>不组织。</w:t>
            </w:r>
          </w:p>
          <w:p w14:paraId="6F306695">
            <w:pPr>
              <w:rPr>
                <w:rFonts w:ascii="宋体" w:hAnsi="宋体" w:cs="宋体"/>
                <w:color w:val="000000" w:themeColor="text1"/>
                <w:kern w:val="0"/>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174071719"/>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B组织。</w:t>
            </w:r>
          </w:p>
          <w:p w14:paraId="2EDC55D2">
            <w:pPr>
              <w:snapToGrid w:val="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（1）在评标时安排每个投标人进行方案讲解演示。每个投标人时间不超过</w:t>
            </w:r>
            <w:r>
              <w:rPr>
                <w:rFonts w:hint="eastAsia" w:ascii="宋体" w:hAnsi="宋体" w:cs="宋体"/>
                <w:color w:val="000000" w:themeColor="text1"/>
                <w:kern w:val="0"/>
                <w:sz w:val="24"/>
                <w:u w:val="single"/>
                <w14:textFill>
                  <w14:solidFill>
                    <w14:schemeClr w14:val="tx1"/>
                  </w14:solidFill>
                </w14:textFill>
              </w:rPr>
              <w:t>20（编制时可根据项目情况进行调整）</w:t>
            </w:r>
            <w:r>
              <w:rPr>
                <w:rFonts w:hint="eastAsia" w:ascii="宋体" w:hAnsi="宋体" w:cs="宋体"/>
                <w:color w:val="000000" w:themeColor="text1"/>
                <w:kern w:val="0"/>
                <w:sz w:val="24"/>
                <w14:textFill>
                  <w14:solidFill>
                    <w14:schemeClr w14:val="tx1"/>
                  </w14:solidFill>
                </w14:textFill>
              </w:rPr>
              <w:t>分钟，讲解次序以投标文件解密时间先后次序为准，讲解演示人员不超过</w:t>
            </w:r>
            <w:r>
              <w:rPr>
                <w:rFonts w:hint="eastAsia" w:ascii="宋体" w:hAnsi="宋体" w:cs="宋体"/>
                <w:color w:val="000000" w:themeColor="text1"/>
                <w:kern w:val="0"/>
                <w:sz w:val="24"/>
                <w:u w:val="single"/>
                <w14:textFill>
                  <w14:solidFill>
                    <w14:schemeClr w14:val="tx1"/>
                  </w14:solidFill>
                </w14:textFill>
              </w:rPr>
              <w:t>3（编制时可根据项目情况进行调整）</w:t>
            </w:r>
            <w:r>
              <w:rPr>
                <w:rFonts w:hint="eastAsia" w:ascii="宋体" w:hAnsi="宋体" w:cs="宋体"/>
                <w:color w:val="000000" w:themeColor="text1"/>
                <w:kern w:val="0"/>
                <w:sz w:val="24"/>
                <w14:textFill>
                  <w14:solidFill>
                    <w14:schemeClr w14:val="tx1"/>
                  </w14:solidFill>
                </w14:textFill>
              </w:rPr>
              <w:t>人。讲解演示结束后按要求解答评标委员会提问。</w:t>
            </w:r>
          </w:p>
          <w:p w14:paraId="55D51E26">
            <w:pPr>
              <w:snapToGrid w:val="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（2）方案讲解演示可选择以下其中一种方式：</w:t>
            </w:r>
          </w:p>
          <w:p w14:paraId="6BF26EDE">
            <w:pPr>
              <w:snapToGrid w:val="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方式一：政采云平台在线讲解演示。政采云平台在线讲解需投标人根据政采云平台操作要求做好准备工作，提前完善软硬件配置环境。</w:t>
            </w:r>
          </w:p>
          <w:p w14:paraId="4E943D66">
            <w:pPr>
              <w:snapToGrid w:val="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方式二：交易中心现场讲解演示。现场讲解地点为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，讲解演示所用电脑等设备由投标人自备。现场讲解演示人员进场时提供讲解人员名单（加盖公章或授权代表签名）及身份证明，否则不得讲解演示。</w:t>
            </w:r>
          </w:p>
          <w:p w14:paraId="28044A8C">
            <w:pPr>
              <w:snapToGrid w:val="0"/>
              <w:rPr>
                <w:rFonts w:ascii="宋体" w:hAnsi="宋体" w:cs="宋体"/>
                <w:b/>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注：因投标人自身原因导致无法演示或者演示效果不理想的，责任自负。因平台原因导致本项目方案讲解演示环节无法顺利开展，按照《浙江省政府采购项目电子交易管理暂行办法》相关规定执行。</w:t>
            </w:r>
          </w:p>
        </w:tc>
      </w:tr>
      <w:tr w14:paraId="546BF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blHeader/>
        </w:trPr>
        <w:tc>
          <w:tcPr>
            <w:tcW w:w="629" w:type="dxa"/>
            <w:vMerge w:val="restart"/>
            <w:tcBorders>
              <w:top w:val="single" w:color="auto" w:sz="4" w:space="0"/>
              <w:left w:val="single" w:color="auto" w:sz="4" w:space="0"/>
              <w:right w:val="single" w:color="auto" w:sz="4" w:space="0"/>
            </w:tcBorders>
            <w:vAlign w:val="center"/>
          </w:tcPr>
          <w:p w14:paraId="4523C2A5">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1843" w:type="dxa"/>
            <w:vMerge w:val="restart"/>
            <w:tcBorders>
              <w:top w:val="single" w:color="000000" w:sz="8" w:space="0"/>
              <w:left w:val="single" w:color="auto" w:sz="4" w:space="0"/>
              <w:right w:val="single" w:color="000000" w:sz="8" w:space="0"/>
            </w:tcBorders>
            <w:vAlign w:val="center"/>
          </w:tcPr>
          <w:p w14:paraId="07EEFB6D">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76304303">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（1）资格证明文件：见招标文件第二部分11.1。</w:t>
            </w:r>
          </w:p>
          <w:p w14:paraId="3487AFB2">
            <w:pPr>
              <w:rPr>
                <w:rFonts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投标人未提供有效的资格证明文件的，视为投标人不具备招标文件中规定的资格要求，投标无效。</w:t>
            </w:r>
          </w:p>
        </w:tc>
      </w:tr>
      <w:tr w14:paraId="5BCC88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blHeader/>
        </w:trPr>
        <w:tc>
          <w:tcPr>
            <w:tcW w:w="629" w:type="dxa"/>
            <w:vMerge w:val="continue"/>
            <w:tcBorders>
              <w:left w:val="single" w:color="auto" w:sz="4" w:space="0"/>
              <w:bottom w:val="single" w:color="auto" w:sz="4" w:space="0"/>
              <w:right w:val="single" w:color="auto" w:sz="4" w:space="0"/>
            </w:tcBorders>
            <w:vAlign w:val="center"/>
          </w:tcPr>
          <w:p w14:paraId="4E1BE993">
            <w:pPr>
              <w:snapToGrid w:val="0"/>
              <w:jc w:val="center"/>
              <w:rPr>
                <w:rFonts w:ascii="宋体" w:hAnsi="宋体" w:cs="宋体"/>
                <w:color w:val="000000" w:themeColor="text1"/>
                <w:sz w:val="24"/>
                <w14:textFill>
                  <w14:solidFill>
                    <w14:schemeClr w14:val="tx1"/>
                  </w14:solidFill>
                </w14:textFill>
              </w:rPr>
            </w:pPr>
          </w:p>
        </w:tc>
        <w:tc>
          <w:tcPr>
            <w:tcW w:w="1843" w:type="dxa"/>
            <w:vMerge w:val="continue"/>
            <w:tcBorders>
              <w:left w:val="single" w:color="auto" w:sz="4" w:space="0"/>
              <w:bottom w:val="single" w:color="000000" w:sz="8" w:space="0"/>
              <w:right w:val="single" w:color="000000" w:sz="8" w:space="0"/>
            </w:tcBorders>
            <w:vAlign w:val="center"/>
          </w:tcPr>
          <w:p w14:paraId="1FDC8F16">
            <w:pPr>
              <w:snapToGrid w:val="0"/>
              <w:jc w:val="center"/>
              <w:rPr>
                <w:rFonts w:ascii="宋体" w:hAnsi="宋体" w:cs="宋体"/>
                <w:b/>
                <w:color w:val="000000" w:themeColor="text1"/>
                <w:sz w:val="24"/>
                <w14:textFill>
                  <w14:solidFill>
                    <w14:schemeClr w14:val="tx1"/>
                  </w14:solidFill>
                </w14:textFill>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6B69FAE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（2）资信证明文件：根据招标文件第四部分评标标准提供。</w:t>
            </w:r>
          </w:p>
        </w:tc>
      </w:tr>
      <w:tr w14:paraId="4CBB38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blHeader/>
        </w:trPr>
        <w:tc>
          <w:tcPr>
            <w:tcW w:w="629" w:type="dxa"/>
            <w:tcBorders>
              <w:top w:val="single" w:color="auto" w:sz="4" w:space="0"/>
              <w:left w:val="single" w:color="000000" w:sz="8" w:space="0"/>
              <w:bottom w:val="single" w:color="auto" w:sz="4" w:space="0"/>
              <w:right w:val="single" w:color="000000" w:sz="2" w:space="0"/>
            </w:tcBorders>
            <w:vAlign w:val="center"/>
          </w:tcPr>
          <w:p w14:paraId="18A70542">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A8166BA">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14EDECA">
            <w:pPr>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39C5B078">
            <w:pPr>
              <w:snapToGrid w:val="0"/>
              <w:rPr>
                <w:color w:val="000000" w:themeColor="text1"/>
                <w:sz w:val="24"/>
                <w14:textFill>
                  <w14:solidFill>
                    <w14:schemeClr w14:val="tx1"/>
                  </w14:solidFill>
                </w14:textFill>
              </w:rPr>
            </w:pPr>
            <w:sdt>
              <w:sdtPr>
                <w:rPr>
                  <w:rFonts w:hint="eastAsia"/>
                  <w:color w:val="000000" w:themeColor="text1"/>
                  <w:sz w:val="24"/>
                  <w14:textFill>
                    <w14:solidFill>
                      <w14:schemeClr w14:val="tx1"/>
                    </w14:solidFill>
                  </w14:textFill>
                </w:rPr>
                <w:id w:val="147461840"/>
              </w:sdtPr>
              <w:sdtEndPr>
                <w:rPr>
                  <w:rFonts w:hint="eastAsia"/>
                  <w:color w:val="000000" w:themeColor="text1"/>
                  <w:sz w:val="24"/>
                  <w14:textFill>
                    <w14:solidFill>
                      <w14:schemeClr w14:val="tx1"/>
                    </w14:solidFill>
                  </w14:textFill>
                </w:rPr>
              </w:sdtEndPr>
              <w:sdtContent>
                <w:r>
                  <w:rPr>
                    <w:rFonts w:hint="eastAsia"/>
                    <w:color w:val="000000" w:themeColor="text1"/>
                    <w:sz w:val="24"/>
                    <w14:textFill>
                      <w14:solidFill>
                        <w14:schemeClr w14:val="tx1"/>
                      </w14:solidFill>
                    </w14:textFill>
                  </w:rPr>
                  <w:t>☐</w:t>
                </w:r>
              </w:sdtContent>
            </w:sdt>
            <w:r>
              <w:rPr>
                <w:rFonts w:hint="eastAsia"/>
                <w:color w:val="000000" w:themeColor="text1"/>
                <w:sz w:val="24"/>
                <w14:textFill>
                  <w14:solidFill>
                    <w14:schemeClr w14:val="tx1"/>
                  </w14:solidFill>
                </w14:textFill>
              </w:rPr>
              <w:t>强制采购节能产品。</w:t>
            </w:r>
          </w:p>
          <w:p w14:paraId="700FB133">
            <w:pPr>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☑优先采购节能产品。</w:t>
            </w:r>
          </w:p>
          <w:p w14:paraId="250DE7EA">
            <w:pPr>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☑优先采购环保产品。</w:t>
            </w:r>
          </w:p>
          <w:p w14:paraId="2186D58D">
            <w:pPr>
              <w:snapToGrid w:val="0"/>
              <w:rPr>
                <w:rFonts w:ascii="宋体" w:hAnsi="宋体" w:cs="宋体"/>
                <w:color w:val="000000" w:themeColor="text1"/>
                <w:kern w:val="0"/>
                <w:sz w:val="24"/>
                <w14:textFill>
                  <w14:solidFill>
                    <w14:schemeClr w14:val="tx1"/>
                  </w14:solidFill>
                </w14:textFill>
              </w:rPr>
            </w:pPr>
            <w:r>
              <w:rPr>
                <w:rFonts w:hint="eastAsia"/>
                <w:color w:val="000000" w:themeColor="text1"/>
                <w:sz w:val="24"/>
                <w14:textFill>
                  <w14:solidFill>
                    <w14:schemeClr w14:val="tx1"/>
                  </w14:solidFill>
                </w14:textFill>
              </w:rPr>
              <w:t>□无</w:t>
            </w:r>
          </w:p>
        </w:tc>
      </w:tr>
      <w:tr w14:paraId="14F89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blHeader/>
        </w:trPr>
        <w:tc>
          <w:tcPr>
            <w:tcW w:w="629" w:type="dxa"/>
            <w:tcBorders>
              <w:top w:val="single" w:color="auto" w:sz="4" w:space="0"/>
              <w:left w:val="single" w:color="000000" w:sz="8" w:space="0"/>
              <w:bottom w:val="single" w:color="auto" w:sz="4" w:space="0"/>
              <w:right w:val="single" w:color="000000" w:sz="2" w:space="0"/>
            </w:tcBorders>
            <w:vAlign w:val="center"/>
          </w:tcPr>
          <w:p w14:paraId="456101B1">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358AB007">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248FD662">
            <w:pPr>
              <w:snapToGrid w:val="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有关本项目实施所需的所有费用（含税费）均计入报价。</w:t>
            </w:r>
            <w:r>
              <w:rPr>
                <w:rFonts w:hint="eastAsia" w:ascii="宋体" w:hAnsi="宋体" w:cs="宋体"/>
                <w:b/>
                <w:bCs/>
                <w:color w:val="000000" w:themeColor="text1"/>
                <w:kern w:val="0"/>
                <w:sz w:val="24"/>
                <w:lang w:val="zh-CN"/>
                <w14:textFill>
                  <w14:solidFill>
                    <w14:schemeClr w14:val="tx1"/>
                  </w14:solidFill>
                </w14:textFill>
              </w:rPr>
              <w:t>投标文件</w:t>
            </w:r>
            <w:r>
              <w:rPr>
                <w:rFonts w:hint="eastAsia" w:ascii="宋体" w:hAnsi="宋体" w:cs="宋体"/>
                <w:b/>
                <w:bCs/>
                <w:color w:val="000000" w:themeColor="text1"/>
                <w:sz w:val="24"/>
                <w14:textFill>
                  <w14:solidFill>
                    <w14:schemeClr w14:val="tx1"/>
                  </w14:solidFill>
                </w14:textFill>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000000" w:themeColor="text1"/>
                <w:kern w:val="0"/>
                <w:sz w:val="24"/>
                <w:lang w:val="zh-CN"/>
                <w14:textFill>
                  <w14:solidFill>
                    <w14:schemeClr w14:val="tx1"/>
                  </w14:solidFill>
                </w14:textFill>
              </w:rPr>
              <w:t>投标文件中价格全部采用人民币报价。招标文件未列明，而投标人认为必需的费用也需列入报价。</w:t>
            </w:r>
          </w:p>
          <w:p w14:paraId="632116C9">
            <w:pPr>
              <w:snapToGrid w:val="0"/>
              <w:ind w:firstLine="482" w:firstLineChars="200"/>
              <w:jc w:val="left"/>
              <w:rPr>
                <w:rFonts w:ascii="宋体" w:hAnsi="宋体" w:cs="宋体"/>
                <w:b/>
                <w:bCs/>
                <w:kern w:val="0"/>
                <w:sz w:val="24"/>
                <w:lang w:val="zh-CN"/>
              </w:rPr>
            </w:pPr>
            <w:r>
              <w:rPr>
                <w:rFonts w:hint="eastAsia" w:ascii="宋体" w:hAnsi="宋体" w:cs="宋体"/>
                <w:b/>
                <w:bCs/>
                <w:kern w:val="0"/>
                <w:sz w:val="24"/>
                <w:lang w:val="zh-CN"/>
              </w:rPr>
              <w:t>政府采购评审中出现下列情形之一的，评审委员会应当启动异常低价投标（响应）审查程序：</w:t>
            </w:r>
          </w:p>
          <w:p w14:paraId="370714A4">
            <w:pPr>
              <w:snapToGrid w:val="0"/>
              <w:ind w:firstLine="482" w:firstLineChars="200"/>
              <w:jc w:val="left"/>
              <w:rPr>
                <w:rFonts w:ascii="宋体" w:hAnsi="宋体" w:cs="宋体"/>
                <w:b/>
                <w:bCs/>
                <w:kern w:val="0"/>
                <w:sz w:val="24"/>
                <w:lang w:val="zh-CN"/>
              </w:rPr>
            </w:pPr>
            <w:r>
              <w:rPr>
                <w:rFonts w:hint="eastAsia" w:ascii="宋体" w:hAnsi="宋体" w:cs="宋体"/>
                <w:b/>
                <w:bCs/>
                <w:kern w:val="0"/>
                <w:sz w:val="24"/>
                <w:lang w:val="zh-CN"/>
              </w:rPr>
              <w:t>1.投标（响应）报价低于全部通过符合性审查供应商投标（响应）报价平均值50%的，即投标（响应）报价＜全部通过符合性审查供应商投标（响应）报价平均值×50%；</w:t>
            </w:r>
          </w:p>
          <w:p w14:paraId="303C50C0">
            <w:pPr>
              <w:snapToGrid w:val="0"/>
              <w:ind w:firstLine="482" w:firstLineChars="200"/>
              <w:jc w:val="left"/>
              <w:rPr>
                <w:rFonts w:ascii="宋体" w:hAnsi="宋体" w:cs="宋体"/>
                <w:b/>
                <w:bCs/>
                <w:kern w:val="0"/>
                <w:sz w:val="24"/>
                <w:lang w:val="zh-CN"/>
              </w:rPr>
            </w:pPr>
            <w:r>
              <w:rPr>
                <w:rFonts w:hint="eastAsia" w:ascii="宋体" w:hAnsi="宋体" w:cs="宋体"/>
                <w:b/>
                <w:bCs/>
                <w:kern w:val="0"/>
                <w:sz w:val="24"/>
                <w:lang w:val="zh-CN"/>
              </w:rPr>
              <w:t>2.投标（响应）报价低于通过符合性审查的次低报价供应商投标（响应）报价50%的，即投标（响应）报价＜通过符合性审查的次低报价供应商投标（响应）报价×50%；</w:t>
            </w:r>
          </w:p>
          <w:p w14:paraId="6DE440BA">
            <w:pPr>
              <w:snapToGrid w:val="0"/>
              <w:ind w:firstLine="482" w:firstLineChars="200"/>
              <w:jc w:val="left"/>
              <w:rPr>
                <w:rFonts w:ascii="宋体" w:hAnsi="宋体" w:cs="宋体"/>
                <w:b/>
                <w:bCs/>
                <w:kern w:val="0"/>
                <w:sz w:val="24"/>
                <w:lang w:val="zh-CN"/>
              </w:rPr>
            </w:pPr>
            <w:r>
              <w:rPr>
                <w:rFonts w:hint="eastAsia" w:ascii="宋体" w:hAnsi="宋体" w:cs="宋体"/>
                <w:b/>
                <w:bCs/>
                <w:kern w:val="0"/>
                <w:sz w:val="24"/>
                <w:lang w:val="zh-CN"/>
              </w:rPr>
              <w:t>3.投标（响应）报价低于采购项目最高限价</w:t>
            </w:r>
            <w:r>
              <w:rPr>
                <w:rFonts w:hint="eastAsia" w:ascii="宋体" w:hAnsi="宋体" w:cs="宋体"/>
                <w:b/>
                <w:bCs/>
                <w:kern w:val="0"/>
                <w:sz w:val="24"/>
                <w:lang w:val="en-US" w:eastAsia="zh-CN"/>
              </w:rPr>
              <w:t>45</w:t>
            </w:r>
            <w:r>
              <w:rPr>
                <w:rFonts w:hint="eastAsia" w:ascii="宋体" w:hAnsi="宋体" w:cs="宋体"/>
                <w:b/>
                <w:bCs/>
                <w:kern w:val="0"/>
                <w:sz w:val="24"/>
                <w:lang w:val="zh-CN"/>
              </w:rPr>
              <w:t>%的，即投标（响应）报价＜采购项目最高限价×45%；</w:t>
            </w:r>
          </w:p>
          <w:p w14:paraId="5374D787">
            <w:pPr>
              <w:snapToGrid w:val="0"/>
              <w:ind w:firstLine="482" w:firstLineChars="200"/>
              <w:jc w:val="left"/>
              <w:rPr>
                <w:rFonts w:ascii="宋体" w:hAnsi="宋体" w:cs="宋体"/>
                <w:b/>
                <w:bCs/>
                <w:kern w:val="0"/>
                <w:sz w:val="24"/>
                <w:lang w:val="zh-CN"/>
              </w:rPr>
            </w:pPr>
            <w:r>
              <w:rPr>
                <w:rFonts w:hint="eastAsia" w:ascii="宋体" w:hAnsi="宋体" w:cs="宋体"/>
                <w:b/>
                <w:bCs/>
                <w:kern w:val="0"/>
                <w:sz w:val="24"/>
                <w:lang w:val="zh-CN"/>
              </w:rPr>
              <w:t>4.评审委员会基于专业判断，认为供应商报价过低，有可能影响产品质量或者不能诚信履约的其他情形。</w:t>
            </w:r>
          </w:p>
          <w:p w14:paraId="284EEF5B">
            <w:pPr>
              <w:snapToGrid w:val="0"/>
              <w:ind w:firstLine="482"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b/>
                <w:bCs/>
                <w:kern w:val="0"/>
                <w:sz w:val="24"/>
                <w:lang w:val="zh-CN"/>
              </w:rPr>
              <w:t>相关法律法规对供应商报价有规定的，从其规定。</w:t>
            </w:r>
          </w:p>
          <w:p w14:paraId="3D203F46">
            <w:pPr>
              <w:snapToGrid w:val="0"/>
              <w:jc w:val="left"/>
              <w:rPr>
                <w:rFonts w:ascii="宋体" w:hAnsi="宋体" w:cs="宋体"/>
                <w:b/>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投标报价出现下列情形的，投标无效：</w:t>
            </w:r>
          </w:p>
          <w:p w14:paraId="192839D2">
            <w:pPr>
              <w:snapToGrid w:val="0"/>
              <w:ind w:firstLine="482" w:firstLineChars="200"/>
              <w:jc w:val="left"/>
              <w:rPr>
                <w:rFonts w:ascii="宋体" w:hAnsi="宋体" w:cs="宋体"/>
                <w:b/>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投标文件出现不是唯一的、有选择性投标报价的；</w:t>
            </w:r>
          </w:p>
          <w:p w14:paraId="373EFB84">
            <w:pPr>
              <w:snapToGrid w:val="0"/>
              <w:ind w:firstLine="482"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投标报价超过招标文件中规定的预算金额或者最高限价的；</w:t>
            </w:r>
          </w:p>
          <w:p w14:paraId="0643C2B6">
            <w:pPr>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报价明显低于其他通过符合性审查投标人的报价，有可能影响产品质量或者不能诚信履约的，未能按要求提供书面说明或者提交相关证明材料证明其报价合理性的；</w:t>
            </w:r>
          </w:p>
          <w:p w14:paraId="709165BB">
            <w:pPr>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投标人对根据修正原则修正后的报价不确认的</w:t>
            </w:r>
            <w:r>
              <w:rPr>
                <w:rFonts w:hint="eastAsia" w:ascii="宋体" w:hAnsi="宋体" w:cs="宋体"/>
                <w:b/>
                <w:color w:val="000000" w:themeColor="text1"/>
                <w:sz w:val="24"/>
                <w14:textFill>
                  <w14:solidFill>
                    <w14:schemeClr w14:val="tx1"/>
                  </w14:solidFill>
                </w14:textFill>
              </w:rPr>
              <w:t>。</w:t>
            </w:r>
          </w:p>
        </w:tc>
      </w:tr>
      <w:tr w14:paraId="3F9D8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blHeader/>
        </w:trPr>
        <w:tc>
          <w:tcPr>
            <w:tcW w:w="629" w:type="dxa"/>
            <w:tcBorders>
              <w:top w:val="single" w:color="auto" w:sz="4" w:space="0"/>
              <w:left w:val="single" w:color="000000" w:sz="8" w:space="0"/>
              <w:bottom w:val="single" w:color="auto" w:sz="4" w:space="0"/>
              <w:right w:val="single" w:color="000000" w:sz="2" w:space="0"/>
            </w:tcBorders>
            <w:vAlign w:val="center"/>
          </w:tcPr>
          <w:p w14:paraId="1FE50186">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2F7827EE">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2FA09C6B">
            <w:pPr>
              <w:pStyle w:val="33"/>
              <w:rPr>
                <w:rFonts w:hAnsi="宋体" w:cs="宋体"/>
                <w:color w:val="000000" w:themeColor="text1"/>
                <w:kern w:val="28"/>
                <w:sz w:val="24"/>
                <w14:textFill>
                  <w14:solidFill>
                    <w14:schemeClr w14:val="tx1"/>
                  </w14:solidFill>
                </w14:textFill>
              </w:rPr>
            </w:pPr>
            <w:r>
              <w:rPr>
                <w:rFonts w:hint="eastAsia" w:hAnsi="宋体" w:cs="宋体"/>
                <w:color w:val="000000" w:themeColor="text1"/>
                <w:kern w:val="28"/>
                <w:sz w:val="24"/>
                <w:szCs w:val="24"/>
                <w14:textFill>
                  <w14:solidFill>
                    <w14:schemeClr w14:val="tx1"/>
                  </w14:solidFill>
                </w14:textFill>
              </w:rPr>
              <w:t>备份投标文件送达地点：</w:t>
            </w:r>
            <w:r>
              <w:rPr>
                <w:rFonts w:hint="eastAsia" w:hAnsi="宋体" w:cs="宋体"/>
                <w:color w:val="000000" w:themeColor="text1"/>
                <w:kern w:val="28"/>
                <w:sz w:val="24"/>
                <w:szCs w:val="24"/>
                <w:u w:val="single"/>
                <w14:textFill>
                  <w14:solidFill>
                    <w14:schemeClr w14:val="tx1"/>
                  </w14:solidFill>
                </w14:textFill>
              </w:rPr>
              <w:t>杭州市拱墅区大关路179号远洋国际中心A座17楼1706室</w:t>
            </w:r>
            <w:r>
              <w:rPr>
                <w:rFonts w:hint="eastAsia" w:hAnsi="宋体" w:cs="宋体"/>
                <w:color w:val="000000" w:themeColor="text1"/>
                <w:kern w:val="28"/>
                <w:sz w:val="24"/>
                <w:szCs w:val="24"/>
                <w14:textFill>
                  <w14:solidFill>
                    <w14:schemeClr w14:val="tx1"/>
                  </w14:solidFill>
                </w14:textFill>
              </w:rPr>
              <w:t>；备份投标文件签收人员联系电话：</w:t>
            </w:r>
            <w:r>
              <w:rPr>
                <w:rFonts w:hint="eastAsia" w:hAnsi="宋体" w:cs="宋体"/>
                <w:color w:val="000000" w:themeColor="text1"/>
                <w:kern w:val="28"/>
                <w:sz w:val="24"/>
                <w:szCs w:val="24"/>
                <w:u w:val="single"/>
                <w14:textFill>
                  <w14:solidFill>
                    <w14:schemeClr w14:val="tx1"/>
                  </w14:solidFill>
                </w14:textFill>
              </w:rPr>
              <w:t>赵邵东，</w:t>
            </w:r>
            <w:r>
              <w:rPr>
                <w:rFonts w:hint="eastAsia" w:hAnsi="宋体" w:cs="宋体"/>
                <w:color w:val="000000" w:themeColor="text1"/>
                <w:sz w:val="24"/>
                <w:szCs w:val="24"/>
                <w:u w:val="single"/>
                <w14:textFill>
                  <w14:solidFill>
                    <w14:schemeClr w14:val="tx1"/>
                  </w14:solidFill>
                </w14:textFill>
              </w:rPr>
              <w:t>0571-87981527</w:t>
            </w:r>
            <w:r>
              <w:rPr>
                <w:rFonts w:hint="eastAsia" w:hAnsi="宋体" w:cs="宋体"/>
                <w:color w:val="000000" w:themeColor="text1"/>
                <w:sz w:val="24"/>
                <w:szCs w:val="24"/>
                <w14:textFill>
                  <w14:solidFill>
                    <w14:schemeClr w14:val="tx1"/>
                  </w14:solidFill>
                </w14:textFill>
              </w:rPr>
              <w:t>。（备份文件请在开标前一个工作日寄到我处）</w:t>
            </w:r>
            <w:r>
              <w:rPr>
                <w:rFonts w:hint="eastAsia" w:hAnsi="宋体" w:cs="宋体"/>
                <w:b/>
                <w:color w:val="000000" w:themeColor="text1"/>
                <w:sz w:val="24"/>
                <w:szCs w:val="24"/>
                <w14:textFill>
                  <w14:solidFill>
                    <w14:schemeClr w14:val="tx1"/>
                  </w14:solidFill>
                </w14:textFill>
              </w:rPr>
              <w:t>采购人、采购代理机构不强制或变相强制投标人提交备份投标文件。</w:t>
            </w:r>
          </w:p>
        </w:tc>
      </w:tr>
      <w:tr w14:paraId="6486E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blHeader/>
        </w:trPr>
        <w:tc>
          <w:tcPr>
            <w:tcW w:w="629" w:type="dxa"/>
            <w:vMerge w:val="restart"/>
            <w:tcBorders>
              <w:top w:val="single" w:color="auto" w:sz="4" w:space="0"/>
              <w:left w:val="single" w:color="000000" w:sz="8" w:space="0"/>
              <w:right w:val="single" w:color="000000" w:sz="2" w:space="0"/>
            </w:tcBorders>
            <w:vAlign w:val="center"/>
          </w:tcPr>
          <w:p w14:paraId="1A8CCCE3">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1843" w:type="dxa"/>
            <w:vMerge w:val="restart"/>
            <w:tcBorders>
              <w:top w:val="single" w:color="000000" w:sz="8" w:space="0"/>
              <w:left w:val="single" w:color="000000" w:sz="2" w:space="0"/>
              <w:right w:val="single" w:color="000000" w:sz="8" w:space="0"/>
            </w:tcBorders>
            <w:vAlign w:val="center"/>
          </w:tcPr>
          <w:p w14:paraId="269CDD02">
            <w:pPr>
              <w:snapToGrid w:val="0"/>
              <w:jc w:val="center"/>
              <w:rPr>
                <w:rFonts w:ascii="宋体" w:hAnsi="宋体" w:cs="宋体"/>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6AD76692">
            <w:pPr>
              <w:rPr>
                <w:rFonts w:ascii="宋体" w:hAnsi="宋体" w:cs="宋体"/>
                <w:snapToGrid w:val="0"/>
                <w:color w:val="000000" w:themeColor="text1"/>
                <w:kern w:val="28"/>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联合体投标的，联合体各方分别提供与联合体协议中规定的分工内容相应的业绩证明材料，业绩数量以提供材料较少的一方为准。</w:t>
            </w:r>
          </w:p>
        </w:tc>
      </w:tr>
      <w:tr w14:paraId="03623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blHeader/>
        </w:trPr>
        <w:tc>
          <w:tcPr>
            <w:tcW w:w="629" w:type="dxa"/>
            <w:vMerge w:val="continue"/>
            <w:tcBorders>
              <w:left w:val="single" w:color="000000" w:sz="8" w:space="0"/>
              <w:bottom w:val="single" w:color="auto" w:sz="4" w:space="0"/>
              <w:right w:val="single" w:color="000000" w:sz="2" w:space="0"/>
            </w:tcBorders>
            <w:vAlign w:val="center"/>
          </w:tcPr>
          <w:p w14:paraId="27868FFE">
            <w:pPr>
              <w:snapToGrid w:val="0"/>
              <w:jc w:val="center"/>
              <w:rPr>
                <w:rFonts w:ascii="宋体" w:hAnsi="宋体" w:cs="宋体"/>
                <w:color w:val="000000" w:themeColor="text1"/>
                <w:sz w:val="24"/>
                <w14:textFill>
                  <w14:solidFill>
                    <w14:schemeClr w14:val="tx1"/>
                  </w14:solidFill>
                </w14:textFill>
              </w:rPr>
            </w:pPr>
          </w:p>
        </w:tc>
        <w:tc>
          <w:tcPr>
            <w:tcW w:w="1843" w:type="dxa"/>
            <w:vMerge w:val="continue"/>
            <w:tcBorders>
              <w:left w:val="single" w:color="000000" w:sz="2" w:space="0"/>
              <w:bottom w:val="single" w:color="auto" w:sz="4" w:space="0"/>
              <w:right w:val="single" w:color="000000" w:sz="8" w:space="0"/>
            </w:tcBorders>
            <w:vAlign w:val="center"/>
          </w:tcPr>
          <w:p w14:paraId="704ED8D7">
            <w:pPr>
              <w:snapToGrid w:val="0"/>
              <w:jc w:val="center"/>
              <w:rPr>
                <w:rFonts w:ascii="宋体" w:hAnsi="宋体" w:cs="宋体"/>
                <w:b/>
                <w:color w:val="000000" w:themeColor="text1"/>
                <w:sz w:val="24"/>
                <w14:textFill>
                  <w14:solidFill>
                    <w14:schemeClr w14:val="tx1"/>
                  </w14:solidFill>
                </w14:textFill>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1BE19A95">
            <w:pPr>
              <w:rPr>
                <w:rFonts w:ascii="宋体" w:hAnsi="宋体" w:cs="宋体"/>
                <w:snapToGrid w:val="0"/>
                <w:color w:val="000000" w:themeColor="text1"/>
                <w:kern w:val="28"/>
                <w:sz w:val="24"/>
                <w14:textFill>
                  <w14:solidFill>
                    <w14:schemeClr w14:val="tx1"/>
                  </w14:solidFill>
                </w14:textFill>
              </w:rPr>
            </w:pPr>
            <w:sdt>
              <w:sdtPr>
                <w:rPr>
                  <w:rFonts w:hint="eastAsia" w:cs="Arial" w:asciiTheme="minorEastAsia" w:hAnsiTheme="minorEastAsia" w:eastAsiaTheme="minorEastAsia"/>
                  <w:color w:val="000000" w:themeColor="text1"/>
                  <w:kern w:val="0"/>
                  <w:sz w:val="24"/>
                  <w14:textFill>
                    <w14:solidFill>
                      <w14:schemeClr w14:val="tx1"/>
                    </w14:solidFill>
                  </w14:textFill>
                </w:rPr>
                <w:id w:val="194891717"/>
              </w:sdtPr>
              <w:sdtEndPr>
                <w:rPr>
                  <w:rFonts w:hint="eastAsia" w:cs="Arial"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ascii="宋体" w:hAnsi="宋体" w:cs="宋体"/>
                <w:snapToGrid w:val="0"/>
                <w:color w:val="000000" w:themeColor="text1"/>
                <w:kern w:val="28"/>
                <w:sz w:val="24"/>
                <w14:textFill>
                  <w14:solidFill>
                    <w14:schemeClr w14:val="tx1"/>
                  </w14:solidFill>
                </w14:textFill>
              </w:rPr>
              <w:t>联合体投标的，联合体各方均需按招标文件第四部分评标标准要求提供资信证明文件，否则视为不符合相关要求。</w:t>
            </w:r>
          </w:p>
          <w:p w14:paraId="38F3FDF4">
            <w:pPr>
              <w:rPr>
                <w:rFonts w:ascii="宋体" w:hAnsi="宋体" w:cs="宋体"/>
                <w:snapToGrid w:val="0"/>
                <w:color w:val="000000" w:themeColor="text1"/>
                <w:kern w:val="28"/>
                <w:sz w:val="24"/>
                <w14:textFill>
                  <w14:solidFill>
                    <w14:schemeClr w14:val="tx1"/>
                  </w14:solidFill>
                </w14:textFill>
              </w:rPr>
            </w:pPr>
            <w:sdt>
              <w:sdtPr>
                <w:rPr>
                  <w:rFonts w:hint="eastAsia" w:cs="Arial" w:asciiTheme="minorEastAsia" w:hAnsiTheme="minorEastAsia" w:eastAsiaTheme="minorEastAsia"/>
                  <w:color w:val="000000" w:themeColor="text1"/>
                  <w:kern w:val="0"/>
                  <w:sz w:val="24"/>
                  <w14:textFill>
                    <w14:solidFill>
                      <w14:schemeClr w14:val="tx1"/>
                    </w14:solidFill>
                  </w14:textFill>
                </w:rPr>
                <w:id w:val="1052570136"/>
              </w:sdtPr>
              <w:sdtEndPr>
                <w:rPr>
                  <w:rFonts w:hint="eastAsia" w:cs="Arial" w:asciiTheme="minorEastAsia" w:hAnsiTheme="minorEastAsia" w:eastAsiaTheme="minorEastAsia"/>
                  <w:color w:val="000000" w:themeColor="text1"/>
                  <w:kern w:val="0"/>
                  <w:sz w:val="24"/>
                  <w14:textFill>
                    <w14:solidFill>
                      <w14:schemeClr w14:val="tx1"/>
                    </w14:solidFill>
                  </w14:textFill>
                </w:rPr>
              </w:sdtEndPr>
              <w:sdtContent>
                <w:r>
                  <w:rPr>
                    <w:rFonts w:hint="eastAsia" w:cs="Arial" w:asciiTheme="minorEastAsia" w:hAnsiTheme="minorEastAsia" w:eastAsiaTheme="minorEastAsia"/>
                    <w:color w:val="000000" w:themeColor="text1"/>
                    <w:kern w:val="0"/>
                    <w:sz w:val="24"/>
                    <w14:textFill>
                      <w14:solidFill>
                        <w14:schemeClr w14:val="tx1"/>
                      </w14:solidFill>
                    </w14:textFill>
                  </w:rPr>
                  <w:sym w:font="Wingdings" w:char="F0FE"/>
                </w:r>
              </w:sdtContent>
            </w:sdt>
            <w:r>
              <w:rPr>
                <w:rFonts w:hint="eastAsia" w:ascii="宋体" w:hAnsi="宋体" w:cs="宋体"/>
                <w:snapToGrid w:val="0"/>
                <w:color w:val="000000" w:themeColor="text1"/>
                <w:kern w:val="28"/>
                <w:sz w:val="24"/>
                <w14:textFill>
                  <w14:solidFill>
                    <w14:schemeClr w14:val="tx1"/>
                  </w14:solidFill>
                </w14:textFill>
              </w:rPr>
              <w:t>联合体投标的，联合体中有一方或者联合体成员根据分工按招标文件第四部分评标标准要求提供资信证明文件的，视为符合了相关要求。</w:t>
            </w:r>
          </w:p>
        </w:tc>
      </w:tr>
      <w:tr w14:paraId="2C0D0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6A43F43B">
            <w:pPr>
              <w:snapToGrid w:val="0"/>
              <w:jc w:val="center"/>
              <w:rPr>
                <w:rFonts w:ascii="宋体" w:hAnsi="宋体" w:cs="宋体"/>
                <w:color w:val="000000" w:themeColor="text1"/>
                <w:sz w:val="24"/>
                <w14:textFill>
                  <w14:solidFill>
                    <w14:schemeClr w14:val="tx1"/>
                  </w14:solidFill>
                </w14:textFill>
              </w:rPr>
            </w:pPr>
            <w:bookmarkStart w:id="12" w:name="第三部分"/>
            <w:bookmarkStart w:id="13" w:name="_Toc164416483"/>
            <w:r>
              <w:rPr>
                <w:rFonts w:hint="eastAsia" w:ascii="宋体" w:hAnsi="宋体" w:cs="宋体"/>
                <w:color w:val="000000" w:themeColor="text1"/>
                <w:sz w:val="24"/>
                <w14:textFill>
                  <w14:solidFill>
                    <w14:schemeClr w14:val="tx1"/>
                  </w14:solidFill>
                </w14:textFill>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4BFD5F63">
            <w:pPr>
              <w:snapToGrid w:val="0"/>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中标候选人数量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52413EA4">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本项目推荐的中标候选人数量：</w:t>
            </w:r>
            <w:r>
              <w:rPr>
                <w:rFonts w:hint="eastAsia" w:ascii="宋体" w:hAnsi="宋体" w:cs="宋体"/>
                <w:color w:val="000000" w:themeColor="text1"/>
                <w:kern w:val="0"/>
                <w:sz w:val="24"/>
                <w:u w:val="single"/>
                <w14:textFill>
                  <w14:solidFill>
                    <w14:schemeClr w14:val="tx1"/>
                  </w14:solidFill>
                </w14:textFill>
              </w:rPr>
              <w:t xml:space="preserve"> 1 </w:t>
            </w:r>
            <w:r>
              <w:rPr>
                <w:rFonts w:hint="eastAsia" w:ascii="宋体" w:hAnsi="宋体" w:cs="宋体"/>
                <w:color w:val="000000" w:themeColor="text1"/>
                <w:kern w:val="0"/>
                <w:sz w:val="24"/>
                <w14:textFill>
                  <w14:solidFill>
                    <w14:schemeClr w14:val="tx1"/>
                  </w14:solidFill>
                </w14:textFill>
              </w:rPr>
              <w:t>。</w:t>
            </w:r>
          </w:p>
        </w:tc>
      </w:tr>
      <w:tr w14:paraId="5DC17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blHeader/>
        </w:trPr>
        <w:tc>
          <w:tcPr>
            <w:tcW w:w="629" w:type="dxa"/>
            <w:tcBorders>
              <w:top w:val="single" w:color="auto" w:sz="4" w:space="0"/>
              <w:left w:val="single" w:color="auto" w:sz="4" w:space="0"/>
              <w:bottom w:val="single" w:color="auto" w:sz="4" w:space="0"/>
              <w:right w:val="single" w:color="000000" w:sz="2" w:space="0"/>
            </w:tcBorders>
            <w:vAlign w:val="center"/>
          </w:tcPr>
          <w:p w14:paraId="0AAEE158">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7207A9A8">
            <w:pPr>
              <w:snapToGrid w:val="0"/>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代理费用收取方式及标准</w:t>
            </w:r>
          </w:p>
        </w:tc>
        <w:tc>
          <w:tcPr>
            <w:tcW w:w="6095" w:type="dxa"/>
            <w:tcBorders>
              <w:top w:val="single" w:color="000000" w:sz="8" w:space="0"/>
              <w:left w:val="single" w:color="auto" w:sz="4" w:space="0"/>
              <w:bottom w:val="single" w:color="auto" w:sz="4" w:space="0"/>
              <w:right w:val="single" w:color="auto" w:sz="4" w:space="0"/>
            </w:tcBorders>
            <w:vAlign w:val="center"/>
          </w:tcPr>
          <w:p w14:paraId="2B04972E">
            <w:pPr>
              <w:jc w:val="left"/>
              <w:rPr>
                <w:rFonts w:ascii="宋体" w:hAnsi="宋体" w:cs="宋体"/>
                <w:snapToGrid w:val="0"/>
                <w:color w:val="000000" w:themeColor="text1"/>
                <w:kern w:val="28"/>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（1）以中标价为基数，国家发展和改革委员会“发改价格【2011】534号”文件规定的收费标准下浮30%，向中标供应商收取服务费，不足3000元按3000元收取。</w:t>
            </w:r>
          </w:p>
          <w:p w14:paraId="6A289102">
            <w:pPr>
              <w:jc w:val="left"/>
              <w:rPr>
                <w:rFonts w:ascii="宋体" w:hAnsi="宋体" w:cs="宋体"/>
                <w:snapToGrid w:val="0"/>
                <w:color w:val="000000" w:themeColor="text1"/>
                <w:kern w:val="28"/>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（2）投标人在领取中标通知书前，应向招标代理机构交纳代理服务费，如未按上述规定办理，招标代理机构有权对于代理服务费不足部分进行追索。</w:t>
            </w:r>
          </w:p>
          <w:p w14:paraId="314FD6A4">
            <w:pPr>
              <w:jc w:val="left"/>
              <w:rPr>
                <w:rFonts w:ascii="宋体" w:hAnsi="宋体" w:cs="宋体"/>
                <w:snapToGrid w:val="0"/>
                <w:color w:val="000000" w:themeColor="text1"/>
                <w:kern w:val="28"/>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（3）后期合同的签订及履行不影响招标代理服务费的收取。</w:t>
            </w:r>
          </w:p>
          <w:p w14:paraId="5EEA0E0B">
            <w:pPr>
              <w:jc w:val="left"/>
              <w:rPr>
                <w:rFonts w:ascii="宋体" w:hAnsi="宋体" w:cs="宋体"/>
                <w:snapToGrid w:val="0"/>
                <w:color w:val="000000" w:themeColor="text1"/>
                <w:kern w:val="28"/>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（4）若投标人未在约定时间内支付招标代理服务费，从逾期之日起按日利率千分之一承担违约金。</w:t>
            </w:r>
          </w:p>
          <w:p w14:paraId="5429AC3D">
            <w:pPr>
              <w:rPr>
                <w:rFonts w:ascii="宋体" w:hAnsi="宋体" w:cs="宋体"/>
                <w:color w:val="000000" w:themeColor="text1"/>
                <w:kern w:val="0"/>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（5）若投标人未按上述规定办理，需承担招标代理机构为实现债权的所有费用（包括但不限于律师费、催讨车旅费、保全担保费等）</w:t>
            </w:r>
          </w:p>
        </w:tc>
      </w:tr>
      <w:bookmarkEnd w:id="9"/>
    </w:tbl>
    <w:p w14:paraId="6301DD34">
      <w:pPr>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br w:type="page"/>
      </w:r>
    </w:p>
    <w:p w14:paraId="59900568">
      <w:pPr>
        <w:adjustRightInd/>
        <w:spacing w:line="360" w:lineRule="auto"/>
        <w:ind w:firstLine="3845" w:firstLineChars="1197"/>
        <w:outlineLvl w:val="1"/>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一、总则</w:t>
      </w:r>
    </w:p>
    <w:p w14:paraId="052C47BE">
      <w:pPr>
        <w:snapToGrid w:val="0"/>
        <w:spacing w:line="360" w:lineRule="auto"/>
        <w:ind w:firstLine="241" w:firstLineChars="1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1.适用范围</w:t>
      </w:r>
    </w:p>
    <w:p w14:paraId="0EC8F927">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本招标文件适用于该项目的招标、投标、开标、资格审查及信用信息查询、评标、定标、合同、验收等行为（法律、法规另有规定的，从其规定）。</w:t>
      </w:r>
    </w:p>
    <w:p w14:paraId="4F0AF853">
      <w:pPr>
        <w:adjustRightInd/>
        <w:spacing w:line="360" w:lineRule="auto"/>
        <w:ind w:firstLine="241" w:firstLineChars="1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2.定义</w:t>
      </w:r>
    </w:p>
    <w:p w14:paraId="72E579F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2.1“采购人”系指招标公告中载明的本项目的采购人。</w:t>
      </w:r>
    </w:p>
    <w:p w14:paraId="6884F58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2.2“采购代理机构”系指招标公告中载明的本项目的采购代理机构。</w:t>
      </w:r>
    </w:p>
    <w:p w14:paraId="4FCD607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2.3“投标人”系指响应招标、参加投标竞争的法人、其他组织或者自然人。</w:t>
      </w:r>
    </w:p>
    <w:p w14:paraId="14FA963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2.4“负责人”系指法人企业的法定负责人，或其他组织为法律、行政法规规定代表单位行使职权的主要负责人，或自然人本人。</w:t>
      </w:r>
    </w:p>
    <w:p w14:paraId="6C608AE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4EBE779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2.6“电子交易平台”系指本项目政府采购活动所依托的政府采购云平台（https://www.zcygov.cn/）。</w:t>
      </w:r>
    </w:p>
    <w:p w14:paraId="7BFFDA3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 “▲” 系指实质性要求条款，“</w:t>
      </w:r>
      <w:sdt>
        <w:sdtPr>
          <w:rPr>
            <w:rFonts w:hint="eastAsia" w:ascii="宋体" w:hAnsi="宋体" w:cs="宋体"/>
            <w:color w:val="000000" w:themeColor="text1"/>
            <w:kern w:val="0"/>
            <w:sz w:val="24"/>
            <w14:textFill>
              <w14:solidFill>
                <w14:schemeClr w14:val="tx1"/>
              </w14:solidFill>
            </w14:textFill>
          </w:rPr>
          <w:id w:val="512970236"/>
        </w:sdtPr>
        <w:sdtEndPr>
          <w:rPr>
            <w:rFonts w:hint="eastAsia" w:ascii="宋体" w:hAnsi="宋体" w:cs="宋体"/>
            <w:color w:val="000000" w:themeColor="text1"/>
            <w:kern w:val="0"/>
            <w:sz w:val="24"/>
            <w14:textFill>
              <w14:solidFill>
                <w14:schemeClr w14:val="tx1"/>
              </w14:solidFill>
            </w14:textFill>
          </w:rPr>
        </w:sdtEndPr>
        <w:sdtContent>
          <w:r>
            <w:rPr>
              <w:rFonts w:ascii="Wingdings" w:hAnsi="Wingdings"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 系指适用本项目的要求，“</w:t>
      </w:r>
      <w:sdt>
        <w:sdtPr>
          <w:rPr>
            <w:rFonts w:hint="eastAsia" w:ascii="宋体" w:hAnsi="宋体" w:cs="宋体"/>
            <w:color w:val="000000" w:themeColor="text1"/>
            <w:kern w:val="0"/>
            <w:sz w:val="24"/>
            <w14:textFill>
              <w14:solidFill>
                <w14:schemeClr w14:val="tx1"/>
              </w14:solidFill>
            </w14:textFill>
          </w:rPr>
          <w:id w:val="404888855"/>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 系指不适用本项目的要求。</w:t>
      </w:r>
    </w:p>
    <w:p w14:paraId="21634673">
      <w:pPr>
        <w:spacing w:line="360" w:lineRule="auto"/>
        <w:ind w:firstLine="241" w:firstLineChars="1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3.采购项目需要落实的政府采购政策</w:t>
      </w:r>
    </w:p>
    <w:p w14:paraId="0797229A">
      <w:pPr>
        <w:snapToGrid w:val="0"/>
        <w:spacing w:line="360" w:lineRule="auto"/>
        <w:ind w:firstLine="240" w:firstLineChars="100"/>
        <w:rPr>
          <w:rFonts w:ascii="宋体" w:hAnsi="宋体" w:cs="宋体"/>
          <w:sz w:val="24"/>
        </w:rPr>
      </w:pPr>
      <w:r>
        <w:rPr>
          <w:rFonts w:hint="eastAsia" w:ascii="宋体" w:hAnsi="宋体" w:cs="宋体"/>
          <w:color w:val="000000" w:themeColor="text1"/>
          <w:sz w:val="24"/>
          <w14:textFill>
            <w14:solidFill>
              <w14:schemeClr w14:val="tx1"/>
            </w14:solidFill>
          </w14:textFill>
        </w:rPr>
        <w:t>3.1</w:t>
      </w:r>
      <w:r>
        <w:rPr>
          <w:rFonts w:hint="eastAsia" w:ascii="宋体" w:hAnsi="宋体" w:cs="宋体"/>
          <w:sz w:val="24"/>
        </w:rPr>
        <w:t>支持本国产品</w:t>
      </w:r>
    </w:p>
    <w:p w14:paraId="0C01A870">
      <w:pPr>
        <w:snapToGrid w:val="0"/>
        <w:spacing w:line="360" w:lineRule="auto"/>
        <w:ind w:firstLine="480" w:firstLineChars="200"/>
        <w:rPr>
          <w:rFonts w:ascii="宋体" w:hAnsi="宋体" w:cs="宋体"/>
          <w:sz w:val="24"/>
        </w:rPr>
      </w:pPr>
      <w:r>
        <w:rPr>
          <w:rFonts w:hint="eastAsia" w:ascii="宋体" w:hAnsi="宋体" w:cs="宋体"/>
          <w:sz w:val="24"/>
        </w:rPr>
        <w:t>3.1.1 本国产品标准(依据《国务院办公厅关于在政府采购中实施本国产品标准及相关政策的通知》国办发〔2025〕34号)</w:t>
      </w:r>
    </w:p>
    <w:p w14:paraId="3009F9F5">
      <w:pPr>
        <w:snapToGrid w:val="0"/>
        <w:spacing w:line="360" w:lineRule="auto"/>
        <w:ind w:firstLine="480" w:firstLineChars="200"/>
        <w:rPr>
          <w:rFonts w:ascii="宋体" w:hAnsi="宋体" w:cs="宋体"/>
          <w:sz w:val="24"/>
        </w:rPr>
      </w:pPr>
      <w:r>
        <w:rPr>
          <w:rFonts w:hint="eastAsia" w:ascii="宋体" w:hAnsi="宋体" w:cs="宋体"/>
          <w:sz w:val="24"/>
        </w:rPr>
        <w:t>本国产品应当符合以下条件：</w:t>
      </w:r>
    </w:p>
    <w:p w14:paraId="3A73419E">
      <w:pPr>
        <w:snapToGrid w:val="0"/>
        <w:spacing w:line="360" w:lineRule="auto"/>
        <w:ind w:firstLine="480" w:firstLineChars="200"/>
        <w:rPr>
          <w:rFonts w:ascii="宋体" w:hAnsi="宋体" w:cs="宋体"/>
          <w:sz w:val="24"/>
        </w:rPr>
      </w:pPr>
      <w:r>
        <w:rPr>
          <w:rFonts w:hint="eastAsia" w:ascii="宋体" w:hAnsi="宋体" w:cs="宋体"/>
          <w:sz w:val="24"/>
        </w:rPr>
        <w:t>（一）在中国境内生产</w:t>
      </w:r>
    </w:p>
    <w:p w14:paraId="2C2CECF0">
      <w:pPr>
        <w:snapToGrid w:val="0"/>
        <w:spacing w:line="360" w:lineRule="auto"/>
        <w:ind w:firstLine="480" w:firstLineChars="200"/>
        <w:rPr>
          <w:rFonts w:ascii="宋体" w:hAnsi="宋体" w:cs="宋体"/>
          <w:sz w:val="24"/>
        </w:rPr>
      </w:pPr>
      <w:r>
        <w:rPr>
          <w:rFonts w:hint="eastAsia" w:ascii="宋体" w:hAnsi="宋体" w:cs="宋体"/>
          <w:sz w:val="24"/>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0F6EC3AE">
      <w:pPr>
        <w:snapToGrid w:val="0"/>
        <w:spacing w:line="360" w:lineRule="auto"/>
        <w:ind w:firstLine="480" w:firstLineChars="200"/>
        <w:rPr>
          <w:rFonts w:ascii="宋体" w:hAnsi="宋体" w:cs="宋体"/>
          <w:sz w:val="24"/>
        </w:rPr>
      </w:pPr>
      <w:r>
        <w:rPr>
          <w:rFonts w:hint="eastAsia" w:ascii="宋体" w:hAnsi="宋体" w:cs="宋体"/>
          <w:sz w:val="24"/>
        </w:rPr>
        <w:t>1.为确保产品在运输或者储存期间保持某种状态而进行的操作；</w:t>
      </w:r>
    </w:p>
    <w:p w14:paraId="2D4C280F">
      <w:pPr>
        <w:snapToGrid w:val="0"/>
        <w:spacing w:line="360" w:lineRule="auto"/>
        <w:ind w:firstLine="480" w:firstLineChars="200"/>
        <w:rPr>
          <w:rFonts w:ascii="宋体" w:hAnsi="宋体" w:cs="宋体"/>
          <w:sz w:val="24"/>
        </w:rPr>
      </w:pPr>
      <w:r>
        <w:rPr>
          <w:rFonts w:hint="eastAsia" w:ascii="宋体" w:hAnsi="宋体" w:cs="宋体"/>
          <w:sz w:val="24"/>
        </w:rPr>
        <w:t>2.为产品运输或者销售进行的包装或者展示；</w:t>
      </w:r>
    </w:p>
    <w:p w14:paraId="21C3CEF6">
      <w:pPr>
        <w:snapToGrid w:val="0"/>
        <w:spacing w:line="360" w:lineRule="auto"/>
        <w:ind w:firstLine="480" w:firstLineChars="200"/>
        <w:rPr>
          <w:rFonts w:ascii="宋体" w:hAnsi="宋体" w:cs="宋体"/>
          <w:sz w:val="24"/>
        </w:rPr>
      </w:pPr>
      <w:r>
        <w:rPr>
          <w:rFonts w:hint="eastAsia" w:ascii="宋体" w:hAnsi="宋体" w:cs="宋体"/>
          <w:sz w:val="24"/>
        </w:rPr>
        <w:t>3.在产品或者其包装上粘贴或者印刷品牌、标志、标识以及其他用于区别的标记；</w:t>
      </w:r>
    </w:p>
    <w:p w14:paraId="2792920C">
      <w:pPr>
        <w:snapToGrid w:val="0"/>
        <w:spacing w:line="360" w:lineRule="auto"/>
        <w:ind w:firstLine="480" w:firstLineChars="200"/>
        <w:rPr>
          <w:rFonts w:ascii="宋体" w:hAnsi="宋体" w:cs="宋体"/>
          <w:sz w:val="24"/>
        </w:rPr>
      </w:pPr>
      <w:r>
        <w:rPr>
          <w:rFonts w:hint="eastAsia" w:ascii="宋体" w:hAnsi="宋体" w:cs="宋体"/>
          <w:sz w:val="24"/>
        </w:rPr>
        <w:t>4.简单的上漆、磨光和分装；</w:t>
      </w:r>
    </w:p>
    <w:p w14:paraId="0C743604">
      <w:pPr>
        <w:snapToGrid w:val="0"/>
        <w:spacing w:line="360" w:lineRule="auto"/>
        <w:ind w:firstLine="480" w:firstLineChars="200"/>
        <w:rPr>
          <w:rFonts w:ascii="宋体" w:hAnsi="宋体" w:cs="宋体"/>
          <w:sz w:val="24"/>
        </w:rPr>
      </w:pPr>
      <w:r>
        <w:rPr>
          <w:rFonts w:hint="eastAsia" w:ascii="宋体" w:hAnsi="宋体" w:cs="宋体"/>
          <w:sz w:val="24"/>
        </w:rPr>
        <w:t>5.其他不属于属性改变的情形。</w:t>
      </w:r>
    </w:p>
    <w:p w14:paraId="7AD18655">
      <w:pPr>
        <w:snapToGrid w:val="0"/>
        <w:spacing w:line="360" w:lineRule="auto"/>
        <w:ind w:firstLine="480" w:firstLineChars="200"/>
        <w:rPr>
          <w:rFonts w:ascii="宋体" w:hAnsi="宋体" w:cs="宋体"/>
          <w:sz w:val="24"/>
        </w:rPr>
      </w:pPr>
      <w:r>
        <w:rPr>
          <w:rFonts w:hint="eastAsia" w:ascii="宋体" w:hAnsi="宋体" w:cs="宋体"/>
          <w:sz w:val="24"/>
        </w:rPr>
        <w:t>（二）在中国境内生产的组件成本占比达到规定比例</w:t>
      </w:r>
    </w:p>
    <w:p w14:paraId="5773D969">
      <w:pPr>
        <w:snapToGrid w:val="0"/>
        <w:spacing w:line="360" w:lineRule="auto"/>
        <w:ind w:firstLine="480" w:firstLineChars="200"/>
        <w:rPr>
          <w:rFonts w:ascii="宋体" w:hAnsi="宋体" w:cs="宋体"/>
          <w:sz w:val="24"/>
        </w:rPr>
      </w:pPr>
      <w:r>
        <w:rPr>
          <w:rFonts w:hint="eastAsia" w:ascii="宋体" w:hAnsi="宋体" w:cs="宋体"/>
          <w:sz w:val="24"/>
        </w:rPr>
        <w:t>产品在中国境内生产的组件成本占比应当达到规定比例，计算公式为：</w:t>
      </w:r>
    </w:p>
    <w:p w14:paraId="1C08FFA1">
      <w:pPr>
        <w:snapToGrid w:val="0"/>
        <w:spacing w:line="360" w:lineRule="auto"/>
        <w:ind w:firstLine="480" w:firstLineChars="200"/>
        <w:rPr>
          <w:rFonts w:ascii="宋体" w:hAnsi="宋体" w:cs="宋体"/>
          <w:sz w:val="24"/>
        </w:rPr>
      </w:pPr>
      <w:r>
        <w:rPr>
          <w:rFonts w:hint="eastAsia" w:ascii="宋体" w:hAnsi="宋体" w:cs="宋体"/>
          <w:sz w:val="24"/>
        </w:rPr>
        <w:t>（产品在中国境内生产的组件成本/产品总成本）≥规定比例。</w:t>
      </w:r>
    </w:p>
    <w:p w14:paraId="0D498032">
      <w:pPr>
        <w:snapToGrid w:val="0"/>
        <w:spacing w:line="360" w:lineRule="auto"/>
        <w:ind w:firstLine="480" w:firstLineChars="200"/>
        <w:rPr>
          <w:rFonts w:ascii="宋体" w:hAnsi="宋体" w:cs="宋体"/>
          <w:sz w:val="24"/>
        </w:rPr>
      </w:pPr>
      <w:r>
        <w:rPr>
          <w:rFonts w:hint="eastAsia" w:ascii="宋体" w:hAnsi="宋体" w:cs="宋体"/>
          <w:sz w:val="24"/>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AE6A7DF">
      <w:pPr>
        <w:snapToGrid w:val="0"/>
        <w:spacing w:line="360" w:lineRule="auto"/>
        <w:ind w:firstLine="480" w:firstLineChars="200"/>
        <w:rPr>
          <w:rFonts w:ascii="宋体" w:hAnsi="宋体" w:cs="宋体"/>
          <w:sz w:val="24"/>
        </w:rPr>
      </w:pPr>
      <w:r>
        <w:rPr>
          <w:rFonts w:hint="eastAsia" w:ascii="宋体" w:hAnsi="宋体" w:cs="宋体"/>
          <w:sz w:val="24"/>
        </w:rPr>
        <w:t>（三）特定产品的关键组件、关键工序符合相关要求</w:t>
      </w:r>
    </w:p>
    <w:p w14:paraId="357BC90C">
      <w:pPr>
        <w:snapToGrid w:val="0"/>
        <w:spacing w:line="360" w:lineRule="auto"/>
        <w:ind w:firstLine="480" w:firstLineChars="200"/>
        <w:rPr>
          <w:rFonts w:ascii="宋体" w:hAnsi="宋体" w:cs="宋体"/>
          <w:sz w:val="24"/>
        </w:rPr>
      </w:pPr>
      <w:r>
        <w:rPr>
          <w:rFonts w:hint="eastAsia" w:ascii="宋体" w:hAnsi="宋体" w:cs="宋体"/>
          <w:sz w:val="24"/>
        </w:rPr>
        <w:t>对特定产品，在符合本通知第一条第（一）项和第（二）项条件的基础上，应当符合财政部会同有关行业主管部门确定的其关键组件、关键工序在中国境内生产、完成等要求。</w:t>
      </w:r>
    </w:p>
    <w:p w14:paraId="7FB72A44">
      <w:pPr>
        <w:snapToGrid w:val="0"/>
        <w:spacing w:line="360" w:lineRule="auto"/>
        <w:ind w:firstLine="480" w:firstLineChars="200"/>
        <w:rPr>
          <w:rFonts w:ascii="宋体" w:hAnsi="宋体" w:cs="宋体"/>
          <w:sz w:val="24"/>
        </w:rPr>
      </w:pPr>
      <w:r>
        <w:rPr>
          <w:rFonts w:hint="eastAsia" w:ascii="宋体" w:hAnsi="宋体" w:cs="宋体"/>
          <w:sz w:val="24"/>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42B6E842">
      <w:pPr>
        <w:snapToGrid w:val="0"/>
        <w:spacing w:line="360" w:lineRule="auto"/>
        <w:ind w:firstLine="480" w:firstLineChars="200"/>
        <w:rPr>
          <w:rFonts w:ascii="宋体" w:hAnsi="宋体" w:cs="宋体"/>
          <w:sz w:val="24"/>
        </w:rPr>
      </w:pPr>
      <w:r>
        <w:rPr>
          <w:rFonts w:hint="eastAsia" w:ascii="宋体" w:hAnsi="宋体" w:cs="宋体"/>
          <w:sz w:val="24"/>
        </w:rPr>
        <w:t>3.1.2 本国产品标准的适用范围</w:t>
      </w:r>
    </w:p>
    <w:p w14:paraId="3EF540E3">
      <w:pPr>
        <w:snapToGrid w:val="0"/>
        <w:spacing w:line="360" w:lineRule="auto"/>
        <w:ind w:firstLine="480" w:firstLineChars="200"/>
        <w:rPr>
          <w:rFonts w:ascii="宋体" w:hAnsi="宋体" w:cs="宋体"/>
          <w:sz w:val="24"/>
        </w:rPr>
      </w:pPr>
      <w:r>
        <w:rPr>
          <w:rFonts w:hint="eastAsia" w:ascii="宋体" w:hAnsi="宋体" w:cs="宋体"/>
          <w:sz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1E83BE6">
      <w:pPr>
        <w:snapToGrid w:val="0"/>
        <w:spacing w:line="360" w:lineRule="auto"/>
        <w:ind w:firstLine="480" w:firstLineChars="200"/>
        <w:rPr>
          <w:rFonts w:ascii="宋体" w:hAnsi="宋体" w:cs="宋体"/>
          <w:sz w:val="24"/>
        </w:rPr>
      </w:pPr>
      <w:r>
        <w:rPr>
          <w:rFonts w:hint="eastAsia" w:ascii="宋体" w:hAnsi="宋体" w:cs="宋体"/>
          <w:sz w:val="24"/>
        </w:rPr>
        <w:t>3.1.3 对本国产品的支持政策</w:t>
      </w:r>
    </w:p>
    <w:p w14:paraId="5D374883">
      <w:pPr>
        <w:snapToGrid w:val="0"/>
        <w:spacing w:line="360" w:lineRule="auto"/>
        <w:ind w:firstLine="480" w:firstLineChars="200"/>
        <w:rPr>
          <w:rFonts w:ascii="宋体" w:hAnsi="宋体" w:cs="宋体"/>
          <w:sz w:val="24"/>
        </w:rPr>
      </w:pPr>
      <w:r>
        <w:rPr>
          <w:rFonts w:hint="eastAsia" w:ascii="宋体" w:hAnsi="宋体" w:cs="宋体"/>
          <w:sz w:val="24"/>
        </w:rPr>
        <w:t>政府采购活动中既有本国产品又有非本国产品参与竞争的，依法对本国产品给予价格评审优惠，对本国产品的报价给予20%的价格扣除，用扣除后的价格参与评审。</w:t>
      </w:r>
    </w:p>
    <w:p w14:paraId="63E7C493">
      <w:pPr>
        <w:snapToGrid w:val="0"/>
        <w:spacing w:line="360" w:lineRule="auto"/>
        <w:ind w:firstLine="480" w:firstLineChars="200"/>
        <w:rPr>
          <w:rFonts w:ascii="宋体" w:hAnsi="宋体" w:cs="宋体"/>
          <w:sz w:val="24"/>
        </w:rPr>
      </w:pPr>
      <w:r>
        <w:rPr>
          <w:rFonts w:hint="eastAsia" w:ascii="宋体" w:hAnsi="宋体" w:cs="宋体"/>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294F61E">
      <w:pPr>
        <w:snapToGrid w:val="0"/>
        <w:spacing w:line="360" w:lineRule="auto"/>
        <w:ind w:firstLine="480" w:firstLineChars="200"/>
        <w:rPr>
          <w:rFonts w:ascii="宋体" w:hAnsi="宋体" w:cs="宋体"/>
          <w:sz w:val="24"/>
        </w:rPr>
      </w:pPr>
      <w:r>
        <w:rPr>
          <w:rFonts w:hint="eastAsia" w:ascii="宋体" w:hAnsi="宋体" w:cs="宋体"/>
          <w:sz w:val="24"/>
        </w:rPr>
        <w:t>3.1.4 本项目原则上采购本国生产的货物、服务，不允许采购进口产品。</w:t>
      </w:r>
      <w:r>
        <w:rPr>
          <w:rFonts w:ascii="宋体" w:hAnsi="宋体" w:cs="宋体"/>
          <w:sz w:val="24"/>
        </w:rPr>
        <w:t>除非采购人采购进口货物，已经在采购活动开始前向财政部门提出申请并获得财政部门审核同意，且在采购需求中明确规定可以采购进口货物（但如果因信息不对称等原因，仍有满足需求的国内产品要求参与采购竞争的，采购人、采购代理机构不会对其加以限制，仍将按照公平竞争原则实施采购）</w:t>
      </w:r>
      <w:r>
        <w:rPr>
          <w:rFonts w:hint="eastAsia" w:ascii="宋体" w:hAnsi="宋体" w:cs="宋体"/>
          <w:sz w:val="24"/>
        </w:rPr>
        <w:t>。</w:t>
      </w:r>
      <w:r>
        <w:rPr>
          <w:rFonts w:ascii="宋体" w:hAnsi="宋体" w:cs="宋体"/>
          <w:kern w:val="0"/>
          <w:sz w:val="24"/>
        </w:rPr>
        <w:t>优先采购向我国企业转让技术、与我国企业签订消化吸收再创新方案的供应商的进口货物</w:t>
      </w:r>
      <w:r>
        <w:rPr>
          <w:rFonts w:ascii="宋体" w:hAnsi="宋体" w:cs="宋体"/>
          <w:sz w:val="24"/>
        </w:rPr>
        <w:t>。</w:t>
      </w:r>
    </w:p>
    <w:p w14:paraId="22B40C8D">
      <w:pPr>
        <w:snapToGrid w:val="0"/>
        <w:spacing w:line="360" w:lineRule="auto"/>
        <w:ind w:firstLine="480" w:firstLineChars="200"/>
        <w:rPr>
          <w:rFonts w:ascii="宋体" w:hAnsi="宋体" w:cs="宋体"/>
          <w:sz w:val="24"/>
        </w:rPr>
      </w:pPr>
      <w:r>
        <w:rPr>
          <w:rFonts w:hint="eastAsia" w:ascii="宋体" w:hAnsi="宋体" w:cs="宋体"/>
          <w:sz w:val="24"/>
        </w:rPr>
        <w:t>采购人已经在采购活动开始前向财政部门提出申请并获得财政部门审核同意（高校和科研院所采购用于科研的进口仪器设备，以及其他根据财政部规定实行备案管理的，实行备案管理）购买进口产品的，将在招标文件中明确规定可以采购进口产品（但如果因信息不对称等原因，仍有满足需求的国内产品要求参与采购竞争的，不会对其加以限制，仍将按照公平竞争原则实施采购）。</w:t>
      </w:r>
    </w:p>
    <w:p w14:paraId="23D77CA7">
      <w:pPr>
        <w:snapToGrid w:val="0"/>
        <w:spacing w:line="360" w:lineRule="auto"/>
        <w:ind w:firstLine="480" w:firstLineChars="200"/>
        <w:rPr>
          <w:rFonts w:ascii="宋体" w:hAnsi="宋体" w:cs="宋体"/>
          <w:sz w:val="24"/>
        </w:rPr>
      </w:pPr>
      <w:r>
        <w:rPr>
          <w:rFonts w:hint="eastAsia" w:ascii="宋体" w:hAnsi="宋体" w:cs="宋体"/>
          <w:sz w:val="24"/>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17F5FD3F">
      <w:pPr>
        <w:snapToGrid w:val="0"/>
        <w:spacing w:line="360" w:lineRule="auto"/>
        <w:ind w:firstLine="480" w:firstLineChars="200"/>
        <w:rPr>
          <w:rFonts w:ascii="宋体" w:hAnsi="宋体" w:cs="宋体"/>
          <w:sz w:val="24"/>
        </w:rPr>
      </w:pPr>
      <w:r>
        <w:rPr>
          <w:rFonts w:hint="eastAsia" w:ascii="宋体" w:hAnsi="宋体" w:cs="宋体"/>
          <w:sz w:val="24"/>
        </w:rPr>
        <w:t>3.1.5 供应商提供符合本国产品标准的产品，应出具《关于符合本国产品标准的声明函》；当采购项目或者采购包中含有多种产品的，供应商还应当提供《关于本国产品成本比例的声明函》。</w:t>
      </w:r>
    </w:p>
    <w:p w14:paraId="3CF961B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3.1.6 评审价格同时存在小微企业价格扣除和本国产品价格扣除的，按以下公式计算：评审价格=有效报价×（1-小微企业价格扣除率-本国产品价格扣除率）。</w:t>
      </w:r>
    </w:p>
    <w:p w14:paraId="259CAF6C">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3.2支持绿色发展</w:t>
      </w:r>
    </w:p>
    <w:p w14:paraId="07027783">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000000" w:themeColor="text1"/>
          <w:sz w:val="24"/>
          <w14:textFill>
            <w14:solidFill>
              <w14:schemeClr w14:val="tx1"/>
            </w14:solidFill>
          </w14:textFill>
        </w:rPr>
        <w:t>▲采购人拟采购的产品属于政府强制采购的节能产品品目清单范围的，投标人相应的投标产品未获得国家确定的认证机构出具的、处于有效期之内的节能产品认证证书的，投标无效。</w:t>
      </w:r>
    </w:p>
    <w:p w14:paraId="04AF95B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3.2.2 纳入政府采购管理的修缮、装修类项目采购建材的，鼓励采购单位将绿色建材性能、指标等作为实质性条件纳入采购文件和合同，具体性能指标要求参考相关绿色建材政府采购需求标准。</w:t>
      </w:r>
    </w:p>
    <w:p w14:paraId="5F0E442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4" w:name="_Hlk107568539"/>
      <w:r>
        <w:rPr>
          <w:rFonts w:hint="eastAsia" w:ascii="宋体" w:hAnsi="宋体" w:cs="宋体"/>
          <w:color w:val="000000" w:themeColor="text1"/>
          <w:sz w:val="24"/>
          <w14:textFill>
            <w14:solidFill>
              <w14:schemeClr w14:val="tx1"/>
            </w14:solidFill>
          </w14:textFill>
        </w:rPr>
        <w:t>鼓励采购单位优先采购秸秆环保板材等资源综合利用产品。鼓励采购单位优先采购绿色物流配送服务、提供新能源交通工具的租赁服务。</w:t>
      </w:r>
    </w:p>
    <w:p w14:paraId="41593D0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3.2.4鼓励供应商在参加政府采购过程中开展绿色设计、选择绿色材料、打造绿色制造工艺、开展绿色运输、做好废弃产品回收处理，实现产品全周期的绿色环保。鼓励采购单位对其提高预付款比例、免收履约保证金。</w:t>
      </w:r>
      <w:bookmarkEnd w:id="14"/>
    </w:p>
    <w:p w14:paraId="1786D324">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3.3支持中小企业发展</w:t>
      </w:r>
    </w:p>
    <w:p w14:paraId="2A5EDC4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4346AB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符合中小企业划分标准的个体工商户，在政府采购活动中视同中小企业。</w:t>
      </w:r>
    </w:p>
    <w:p w14:paraId="39EF357E">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bCs/>
          <w:color w:val="000000" w:themeColor="text1"/>
          <w:sz w:val="24"/>
          <w14:textFill>
            <w14:solidFill>
              <w14:schemeClr w14:val="tx1"/>
            </w14:solidFill>
          </w14:textFill>
        </w:rPr>
        <w:t>3.3.2</w:t>
      </w:r>
      <w:r>
        <w:rPr>
          <w:rFonts w:hint="eastAsia" w:ascii="宋体" w:hAnsi="宋体" w:cs="宋体"/>
          <w:color w:val="000000" w:themeColor="text1"/>
          <w:kern w:val="0"/>
          <w:sz w:val="24"/>
          <w14:textFill>
            <w14:solidFill>
              <w14:schemeClr w14:val="tx1"/>
            </w14:solidFill>
          </w14:textFill>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28E3E709">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A2309F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3.3.3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w:t>
      </w:r>
      <w:bookmarkStart w:id="15" w:name="_Hlk101132181"/>
      <w:r>
        <w:rPr>
          <w:rFonts w:hint="eastAsia" w:ascii="宋体" w:hAnsi="宋体" w:cs="宋体"/>
          <w:color w:val="000000" w:themeColor="text1"/>
          <w:sz w:val="24"/>
          <w14:textFill>
            <w14:solidFill>
              <w14:schemeClr w14:val="tx1"/>
            </w14:solidFill>
          </w14:textFill>
        </w:rPr>
        <w:t>联合协议或者分包意向协议约定小微企业的合同份额占到合同总金额30%以上的</w:t>
      </w:r>
      <w:bookmarkEnd w:id="15"/>
      <w:r>
        <w:rPr>
          <w:rFonts w:hint="eastAsia" w:ascii="宋体" w:hAnsi="宋体" w:cs="宋体"/>
          <w:color w:val="000000" w:themeColor="text1"/>
          <w:sz w:val="24"/>
          <w14:textFill>
            <w14:solidFill>
              <w14:schemeClr w14:val="tx1"/>
            </w14:solidFill>
          </w14:textFill>
        </w:rPr>
        <w:t>，对联合体或者大中型企业的报价给予4%的扣除，用扣除后的价格参加评审。组成联合体或者接受分包的小微企业与联合体内其他企业、分包企业之间存在直接控股、管理关系的，不享受价格扣除优惠政策。</w:t>
      </w:r>
    </w:p>
    <w:p w14:paraId="3D41ACA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3.3.4符合《关于促进残疾人就业政府采购政策的通知》（财库〔2017〕141号）规定的条件并提供《残疾人福利性单位声明函》（附件1）的残疾人福利性单位视同小型、微型企业；</w:t>
      </w:r>
    </w:p>
    <w:p w14:paraId="1B88984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2466B9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3.3.6可享受中小企业扶持政策的投标人应按照招标文件格式要求提供《中小企业声明函》，《中小企业声明函》填写企业类型错误，导致该企业享受本不能享受的中小企业扶持政策，投标无效并依法承担法律责任。</w:t>
      </w:r>
    </w:p>
    <w:p w14:paraId="429AD94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3.3.7中小企业享受扶持政策获得政府采购合同的，小微企业不得将合同分包给大中型企业，中型企业不得将合同分包给大型企业。</w:t>
      </w:r>
    </w:p>
    <w:p w14:paraId="498F1718">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w:t>
      </w:r>
      <w:r>
        <w:rPr>
          <w:rFonts w:hint="eastAsia" w:ascii="宋体" w:hAnsi="宋体" w:cs="宋体"/>
          <w:bCs/>
          <w:color w:val="000000" w:themeColor="text1"/>
          <w:sz w:val="24"/>
          <w14:textFill>
            <w14:solidFill>
              <w14:schemeClr w14:val="tx1"/>
            </w14:solidFill>
          </w14:textFill>
        </w:rPr>
        <w:t>支持创新发展</w:t>
      </w:r>
    </w:p>
    <w:p w14:paraId="1175CF6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3.4.1 首台套、“制造精品”、“专精特新”等创新产品按规定享受政府采购支持政策。</w:t>
      </w:r>
    </w:p>
    <w:p w14:paraId="6FA3956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3.4.2 采购人应当贯彻落实知识产权保护相关法律法规，应当采购使用正版软件。</w:t>
      </w:r>
    </w:p>
    <w:p w14:paraId="71A6DC6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3.5平等对待内外资企业和符合条件的破产重整企业</w:t>
      </w:r>
    </w:p>
    <w:p w14:paraId="2962CC9D">
      <w:pPr>
        <w:spacing w:line="360" w:lineRule="auto"/>
        <w:ind w:firstLine="480" w:firstLineChars="200"/>
        <w:rPr>
          <w:b/>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平等对待内外资企业和符合条件的破产重整企业，切实保障企业公平竞争，平等维护企业的合法利益。</w:t>
      </w:r>
      <w:r>
        <w:rPr>
          <w:rFonts w:hint="eastAsia" w:ascii="宋体" w:hAnsi="宋体" w:cs="宋体"/>
          <w:color w:val="000000" w:themeColor="text1"/>
          <w:sz w:val="24"/>
          <w14:textFill>
            <w14:solidFill>
              <w14:schemeClr w14:val="tx1"/>
            </w14:solidFill>
          </w14:textFill>
        </w:rPr>
        <w:cr/>
      </w:r>
      <w:r>
        <w:rPr>
          <w:rFonts w:hint="eastAsia" w:ascii="宋体" w:hAnsi="宋体" w:cs="宋体"/>
          <w:b/>
          <w:color w:val="000000" w:themeColor="text1"/>
          <w:sz w:val="24"/>
          <w14:textFill>
            <w14:solidFill>
              <w14:schemeClr w14:val="tx1"/>
            </w14:solidFill>
          </w14:textFill>
        </w:rPr>
        <w:t>4. 询问、质疑、投诉、补偿救济</w:t>
      </w:r>
    </w:p>
    <w:p w14:paraId="4E50717C">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4.1在线询问、质疑、投诉</w:t>
      </w:r>
    </w:p>
    <w:p w14:paraId="7F1E82B3">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089195E">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4.2供应商询问</w:t>
      </w:r>
    </w:p>
    <w:p w14:paraId="369F0D3B">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ECB615C">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4.3供应商质疑</w:t>
      </w:r>
    </w:p>
    <w:p w14:paraId="2B62C07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4.3</w:t>
      </w:r>
      <w:r>
        <w:rPr>
          <w:rFonts w:hint="eastAsia" w:ascii="宋体" w:hAnsi="宋体" w:cs="宋体"/>
          <w:color w:val="000000" w:themeColor="text1"/>
          <w:sz w:val="24"/>
          <w14:textFill>
            <w14:solidFill>
              <w14:schemeClr w14:val="tx1"/>
            </w14:solidFill>
          </w14:textFill>
        </w:rPr>
        <w:t>.1提出质疑的供应商应当是参与所质疑项目采购活动的供应商。潜在供应商已依法获取其可质疑的招标文件的，可以对该文件提出质疑。</w:t>
      </w:r>
    </w:p>
    <w:p w14:paraId="067F72D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4.3</w:t>
      </w:r>
      <w:r>
        <w:rPr>
          <w:rFonts w:hint="eastAsia" w:ascii="宋体" w:hAnsi="宋体" w:cs="宋体"/>
          <w:color w:val="000000" w:themeColor="text1"/>
          <w:sz w:val="24"/>
          <w14:textFill>
            <w14:solidFill>
              <w14:schemeClr w14:val="tx1"/>
            </w14:solidFill>
          </w14:textFill>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6265B6D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4.3.2.1对招标文件提出质疑的，质疑期限为供应商获得招标文件之日或者招标文件公告期限届满之日起计算。</w:t>
      </w:r>
    </w:p>
    <w:p w14:paraId="73241EE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4.3.2.2对采购过程提出质疑的，质疑期限为各采购程序环节结束之日起计算。4.3.2.3对采购结果提出质疑的，质疑期限自采购结果公告期限届满之日起计算。</w:t>
      </w:r>
    </w:p>
    <w:p w14:paraId="4BC3A5F1">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4.3.3</w:t>
      </w:r>
      <w:r>
        <w:rPr>
          <w:rFonts w:hint="eastAsia" w:ascii="宋体" w:hAnsi="宋体" w:cs="宋体"/>
          <w:color w:val="000000" w:themeColor="text1"/>
          <w:sz w:val="24"/>
          <w14:textFill>
            <w14:solidFill>
              <w14:schemeClr w14:val="tx1"/>
            </w14:solidFill>
          </w14:textFill>
        </w:rPr>
        <w:t>供应商提出质疑应当提交质疑函和必要的证明材料。质疑函应当包括下列内容：</w:t>
      </w:r>
    </w:p>
    <w:p w14:paraId="2BC1F6C7">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4.3.3.1供应商的姓名或者名称、地址、邮编、联系人及联系电话；</w:t>
      </w:r>
    </w:p>
    <w:p w14:paraId="4B24FD2B">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4.3.3.2质疑项目的名称、编号；</w:t>
      </w:r>
    </w:p>
    <w:p w14:paraId="65114265">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4.3.3.3具体、明确的质疑事项和与质疑事项相关的请求；</w:t>
      </w:r>
    </w:p>
    <w:p w14:paraId="622D0C7C">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4.3.3.4事实依据；</w:t>
      </w:r>
    </w:p>
    <w:p w14:paraId="7544CB2F">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4.3.3.5必要的法律依据；</w:t>
      </w:r>
    </w:p>
    <w:p w14:paraId="6B33B79E">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4.3.3.6提出质疑的日期。</w:t>
      </w:r>
    </w:p>
    <w:p w14:paraId="3A1817D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供应商提交的质疑函需一式三份。供应商为自然人的，应当由本人签字；供应商为法人或者其他组织的，应当由法定代表人、主要负责人，或者其授权代表签字或者盖章，并加盖公章。</w:t>
      </w:r>
    </w:p>
    <w:p w14:paraId="49568AA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质疑函范本及制作说明详见附件2。</w:t>
      </w:r>
    </w:p>
    <w:p w14:paraId="1812582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4.3.4对同一采购程序环节的质疑，供应商须在法定质疑期内一次性提出。</w:t>
      </w:r>
    </w:p>
    <w:p w14:paraId="12CC931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4.3</w:t>
      </w:r>
      <w:r>
        <w:rPr>
          <w:rFonts w:hint="eastAsia" w:ascii="宋体" w:hAnsi="宋体" w:cs="宋体"/>
          <w:color w:val="000000" w:themeColor="text1"/>
          <w:sz w:val="24"/>
          <w14:textFill>
            <w14:solidFill>
              <w14:schemeClr w14:val="tx1"/>
            </w14:solidFill>
          </w14:textFill>
        </w:rPr>
        <w:t>.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4D3347F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4.3</w:t>
      </w:r>
      <w:r>
        <w:rPr>
          <w:rFonts w:hint="eastAsia" w:ascii="宋体" w:hAnsi="宋体" w:cs="宋体"/>
          <w:color w:val="000000" w:themeColor="text1"/>
          <w:sz w:val="24"/>
          <w14:textFill>
            <w14:solidFill>
              <w14:schemeClr w14:val="tx1"/>
            </w14:solidFill>
          </w14:textFill>
        </w:rPr>
        <w:t>.6询问或者质疑事项可能影响采购结果的，采购人应当暂停签订合同，已经签订合同的，应当中止履行合同。</w:t>
      </w:r>
    </w:p>
    <w:p w14:paraId="435CEFE7">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4.4供应商投诉</w:t>
      </w:r>
    </w:p>
    <w:p w14:paraId="5F6C3F9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4.4.1质疑供应商对采购人、采购代理机构的答复不满意或者采购人、采购代理机构未在规定的时间内作出答复的，可以在答复期满后十五个工作日内向同级政府采购监督管理部门提出投诉。</w:t>
      </w:r>
    </w:p>
    <w:p w14:paraId="56D0796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w:t>
      </w:r>
      <w:r>
        <w:rPr>
          <w:rFonts w:hint="eastAsia" w:ascii="宋体" w:hAnsi="宋体" w:cs="宋体"/>
          <w:color w:val="000000" w:themeColor="text1"/>
          <w:sz w:val="24"/>
          <w:lang w:val="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供应商投诉的事项不得超出已质疑事项的范围，基于质疑答复内容提出的投诉事项除外。</w:t>
      </w:r>
    </w:p>
    <w:p w14:paraId="16CED77D">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4.4.3供应商投诉应当有明确的请求和必要的证明材料。</w:t>
      </w:r>
    </w:p>
    <w:p w14:paraId="182D932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4.4.4 以联合体形式参加政府采购活动的，其投诉应当由组成联合体的所有供应商共同提出。</w:t>
      </w:r>
    </w:p>
    <w:p w14:paraId="27740B1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4.4.5根据政府采购行政裁决省市区三级联动试点工作安排，政府采购项目投诉材料可寄送至浙江省政府采购行政裁决服务中心（杭州），地址：杭州市上城区清泰街549号城建综合大楼11楼（快递仅限ems或顺丰），收件人：朱女士、王女士，电话：0571-87227671,0571-87800218</w:t>
      </w:r>
    </w:p>
    <w:p w14:paraId="29DAB18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投诉书范本及制作说明详见附件3。</w:t>
      </w:r>
    </w:p>
    <w:p w14:paraId="45DA1E2D">
      <w:pPr>
        <w:adjustRightInd/>
        <w:spacing w:line="360" w:lineRule="auto"/>
        <w:jc w:val="center"/>
        <w:outlineLvl w:val="1"/>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二、招标文件的构成、澄清、修改</w:t>
      </w:r>
    </w:p>
    <w:p w14:paraId="5BC487C7">
      <w:pPr>
        <w:pStyle w:val="33"/>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5.招标文件的构成</w:t>
      </w:r>
    </w:p>
    <w:p w14:paraId="1D99B88F">
      <w:pPr>
        <w:pStyle w:val="33"/>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 招标文件包括下列文件及附件：</w:t>
      </w:r>
    </w:p>
    <w:p w14:paraId="2D4A0291">
      <w:pPr>
        <w:pStyle w:val="33"/>
        <w:tabs>
          <w:tab w:val="left" w:pos="840"/>
        </w:tabs>
        <w:spacing w:line="360" w:lineRule="auto"/>
        <w:ind w:firstLine="960" w:firstLineChars="4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5.1.1招标公告；</w:t>
      </w:r>
    </w:p>
    <w:p w14:paraId="0B514C7F">
      <w:pPr>
        <w:pStyle w:val="33"/>
        <w:tabs>
          <w:tab w:val="left" w:pos="840"/>
        </w:tabs>
        <w:spacing w:line="360" w:lineRule="auto"/>
        <w:ind w:firstLine="960" w:firstLineChars="4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5.1.2投标人须知；</w:t>
      </w:r>
    </w:p>
    <w:p w14:paraId="48F0531E">
      <w:pPr>
        <w:pStyle w:val="33"/>
        <w:tabs>
          <w:tab w:val="left" w:pos="840"/>
        </w:tabs>
        <w:spacing w:line="360" w:lineRule="auto"/>
        <w:ind w:firstLine="960" w:firstLineChars="4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5.1.3采购需求；</w:t>
      </w:r>
    </w:p>
    <w:p w14:paraId="46B17B77">
      <w:pPr>
        <w:pStyle w:val="33"/>
        <w:tabs>
          <w:tab w:val="left" w:pos="840"/>
        </w:tabs>
        <w:spacing w:line="360" w:lineRule="auto"/>
        <w:ind w:firstLine="960" w:firstLineChars="4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5.1.4评标办法；</w:t>
      </w:r>
    </w:p>
    <w:p w14:paraId="21DA6EB5">
      <w:pPr>
        <w:pStyle w:val="33"/>
        <w:tabs>
          <w:tab w:val="left" w:pos="840"/>
        </w:tabs>
        <w:spacing w:line="360" w:lineRule="auto"/>
        <w:ind w:firstLine="960" w:firstLineChars="4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5.1.5拟签订的合同文本；</w:t>
      </w:r>
    </w:p>
    <w:p w14:paraId="53D5CD80">
      <w:pPr>
        <w:pStyle w:val="33"/>
        <w:tabs>
          <w:tab w:val="left" w:pos="840"/>
        </w:tabs>
        <w:spacing w:line="360" w:lineRule="auto"/>
        <w:ind w:firstLine="960" w:firstLineChars="4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14:textFill>
            <w14:solidFill>
              <w14:schemeClr w14:val="tx1"/>
            </w14:solidFill>
          </w14:textFill>
        </w:rPr>
        <w:t>5.1.6</w:t>
      </w:r>
      <w:r>
        <w:rPr>
          <w:rFonts w:hint="eastAsia" w:hAnsi="宋体" w:cs="宋体"/>
          <w:color w:val="000000" w:themeColor="text1"/>
          <w:sz w:val="24"/>
          <w:szCs w:val="24"/>
          <w14:textFill>
            <w14:solidFill>
              <w14:schemeClr w14:val="tx1"/>
            </w14:solidFill>
          </w14:textFill>
        </w:rPr>
        <w:t>应提交的有关格式范例。</w:t>
      </w:r>
    </w:p>
    <w:p w14:paraId="4C3986B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5.2与本项目有关的</w:t>
      </w:r>
      <w:r>
        <w:rPr>
          <w:rFonts w:hint="eastAsia" w:ascii="宋体" w:hAnsi="宋体" w:cs="宋体"/>
          <w:bCs/>
          <w:color w:val="000000" w:themeColor="text1"/>
          <w:sz w:val="24"/>
          <w14:textFill>
            <w14:solidFill>
              <w14:schemeClr w14:val="tx1"/>
            </w14:solidFill>
          </w14:textFill>
        </w:rPr>
        <w:t>澄清或者修改的内容为招标文件的组成部分</w:t>
      </w:r>
      <w:r>
        <w:rPr>
          <w:rFonts w:hint="eastAsia" w:ascii="宋体" w:hAnsi="宋体" w:cs="宋体"/>
          <w:color w:val="000000" w:themeColor="text1"/>
          <w:sz w:val="24"/>
          <w14:textFill>
            <w14:solidFill>
              <w14:schemeClr w14:val="tx1"/>
            </w14:solidFill>
          </w14:textFill>
        </w:rPr>
        <w:t>。</w:t>
      </w:r>
    </w:p>
    <w:p w14:paraId="55F2AEF7">
      <w:pPr>
        <w:pStyle w:val="33"/>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6.招标文件的澄清、修改</w:t>
      </w:r>
    </w:p>
    <w:p w14:paraId="5A2F1D4F">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6.1已获取招标文件的潜在投标人，若有问题需要澄清，应于投标截止时间前，以书面形式向采购代理机构提出。</w:t>
      </w:r>
    </w:p>
    <w:p w14:paraId="5C8448E6">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67967D1">
      <w:pPr>
        <w:adjustRightInd/>
        <w:spacing w:line="360" w:lineRule="auto"/>
        <w:jc w:val="center"/>
        <w:outlineLvl w:val="1"/>
        <w:rPr>
          <w:rFonts w:ascii="宋体" w:hAnsi="宋体" w:cs="宋体"/>
          <w:b/>
          <w:color w:val="000000" w:themeColor="text1"/>
          <w:sz w:val="30"/>
          <w:szCs w:val="20"/>
          <w14:textFill>
            <w14:solidFill>
              <w14:schemeClr w14:val="tx1"/>
            </w14:solidFill>
          </w14:textFill>
        </w:rPr>
      </w:pPr>
      <w:r>
        <w:rPr>
          <w:rFonts w:hint="eastAsia" w:ascii="宋体" w:hAnsi="宋体" w:cs="宋体"/>
          <w:b/>
          <w:color w:val="000000" w:themeColor="text1"/>
          <w:sz w:val="30"/>
          <w:szCs w:val="20"/>
          <w14:textFill>
            <w14:solidFill>
              <w14:schemeClr w14:val="tx1"/>
            </w14:solidFill>
          </w14:textFill>
        </w:rPr>
        <w:t>三、投标</w:t>
      </w:r>
    </w:p>
    <w:p w14:paraId="7A9064DC">
      <w:pPr>
        <w:pStyle w:val="33"/>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7.招标文件的获取</w:t>
      </w:r>
    </w:p>
    <w:p w14:paraId="107A4502">
      <w:pPr>
        <w:spacing w:line="360" w:lineRule="auto"/>
        <w:ind w:firstLine="480" w:firstLineChars="200"/>
        <w:rPr>
          <w:rFonts w:ascii="宋体" w:hAnsi="宋体" w:cs="宋体"/>
          <w:snapToGrid w:val="0"/>
          <w:color w:val="000000" w:themeColor="text1"/>
          <w:kern w:val="28"/>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详见招标公告中获取招标文件的时间期限、地点、方式及招标文件售价。</w:t>
      </w:r>
    </w:p>
    <w:p w14:paraId="3DB62595">
      <w:pPr>
        <w:pStyle w:val="33"/>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8.开标前答疑会或现场考察</w:t>
      </w:r>
    </w:p>
    <w:p w14:paraId="0FCCA664">
      <w:pPr>
        <w:pStyle w:val="33"/>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采购人组织潜在投标人现场考察或者召开开标前答疑会的，潜在投标人按第二部分投标人须知前附表的规定参加现场考察或者开标前答疑会。</w:t>
      </w:r>
    </w:p>
    <w:p w14:paraId="3917F4F7">
      <w:pPr>
        <w:pStyle w:val="33"/>
        <w:spacing w:line="360" w:lineRule="auto"/>
        <w:rPr>
          <w:rFonts w:hAnsi="宋体" w:cs="宋体"/>
          <w:b/>
          <w:color w:val="000000" w:themeColor="text1"/>
          <w:szCs w:val="24"/>
          <w14:textFill>
            <w14:solidFill>
              <w14:schemeClr w14:val="tx1"/>
            </w14:solidFill>
          </w14:textFill>
        </w:rPr>
      </w:pPr>
      <w:r>
        <w:rPr>
          <w:rFonts w:hint="eastAsia" w:hAnsi="宋体" w:cs="宋体"/>
          <w:b/>
          <w:color w:val="000000" w:themeColor="text1"/>
          <w:kern w:val="28"/>
          <w:sz w:val="24"/>
          <w:szCs w:val="24"/>
          <w14:textFill>
            <w14:solidFill>
              <w14:schemeClr w14:val="tx1"/>
            </w14:solidFill>
          </w14:textFill>
        </w:rPr>
        <w:t>9.投标保证金</w:t>
      </w:r>
    </w:p>
    <w:p w14:paraId="671D68C4">
      <w:pPr>
        <w:pStyle w:val="5"/>
        <w:spacing w:line="360" w:lineRule="auto"/>
        <w:ind w:firstLine="470" w:firstLineChars="196"/>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本项目不需缴纳投标保证金。</w:t>
      </w:r>
    </w:p>
    <w:p w14:paraId="6E491A84">
      <w:pPr>
        <w:pStyle w:val="33"/>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10.投标文件的语言</w:t>
      </w:r>
    </w:p>
    <w:p w14:paraId="058B28B3">
      <w:pPr>
        <w:autoSpaceDE w:val="0"/>
        <w:autoSpaceDN w:val="0"/>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投标文件及投标人与采购有关的来往通知、函件和文件均应使用中文。</w:t>
      </w:r>
    </w:p>
    <w:p w14:paraId="46A5207C">
      <w:pPr>
        <w:pStyle w:val="33"/>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11.投标文件的组成</w:t>
      </w:r>
    </w:p>
    <w:p w14:paraId="47DC1D7F">
      <w:pPr>
        <w:snapToGrid w:val="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11.1资格文件：</w:t>
      </w:r>
    </w:p>
    <w:p w14:paraId="626472EB">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11.1.1符合参加政府采购活动应当具备的一般条件的承诺函；</w:t>
      </w:r>
    </w:p>
    <w:p w14:paraId="42997CC9">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1.1.2</w:t>
      </w:r>
      <w:bookmarkStart w:id="16" w:name="_Hlk101259339"/>
      <w:r>
        <w:rPr>
          <w:rFonts w:hint="eastAsia" w:ascii="宋体" w:hAnsi="宋体" w:cs="宋体"/>
          <w:snapToGrid w:val="0"/>
          <w:color w:val="000000" w:themeColor="text1"/>
          <w:kern w:val="28"/>
          <w:sz w:val="24"/>
          <w:szCs w:val="20"/>
          <w14:textFill>
            <w14:solidFill>
              <w14:schemeClr w14:val="tx1"/>
            </w14:solidFill>
          </w14:textFill>
        </w:rPr>
        <w:t>联合协议</w:t>
      </w:r>
      <w:bookmarkEnd w:id="16"/>
      <w:r>
        <w:rPr>
          <w:rFonts w:hint="eastAsia" w:ascii="宋体" w:hAnsi="宋体" w:cs="宋体"/>
          <w:snapToGrid w:val="0"/>
          <w:color w:val="000000" w:themeColor="text1"/>
          <w:kern w:val="28"/>
          <w:sz w:val="24"/>
          <w:szCs w:val="20"/>
          <w14:textFill>
            <w14:solidFill>
              <w14:schemeClr w14:val="tx1"/>
            </w14:solidFill>
          </w14:textFill>
        </w:rPr>
        <w:t>（如果有)；</w:t>
      </w:r>
    </w:p>
    <w:p w14:paraId="1554F593">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14:textFill>
            <w14:solidFill>
              <w14:schemeClr w14:val="tx1"/>
            </w14:solidFill>
          </w14:textFill>
        </w:rPr>
        <w:t>（如果有)</w:t>
      </w:r>
      <w:r>
        <w:rPr>
          <w:rFonts w:hint="eastAsia" w:ascii="宋体" w:hAnsi="宋体" w:cs="宋体"/>
          <w:color w:val="000000" w:themeColor="text1"/>
          <w:sz w:val="24"/>
          <w14:textFill>
            <w14:solidFill>
              <w14:schemeClr w14:val="tx1"/>
            </w14:solidFill>
          </w14:textFill>
        </w:rPr>
        <w:t>；</w:t>
      </w:r>
    </w:p>
    <w:p w14:paraId="775DD7F9">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本项目的特定资格要求</w:t>
      </w:r>
      <w:r>
        <w:rPr>
          <w:rFonts w:hint="eastAsia" w:ascii="宋体" w:hAnsi="宋体" w:cs="宋体"/>
          <w:snapToGrid w:val="0"/>
          <w:color w:val="000000" w:themeColor="text1"/>
          <w:kern w:val="28"/>
          <w:sz w:val="24"/>
          <w:szCs w:val="20"/>
          <w14:textFill>
            <w14:solidFill>
              <w14:schemeClr w14:val="tx1"/>
            </w14:solidFill>
          </w14:textFill>
        </w:rPr>
        <w:t>（如果有)</w:t>
      </w:r>
      <w:r>
        <w:rPr>
          <w:rFonts w:hint="eastAsia" w:ascii="宋体" w:hAnsi="宋体" w:cs="宋体"/>
          <w:color w:val="000000" w:themeColor="text1"/>
          <w:sz w:val="24"/>
          <w14:textFill>
            <w14:solidFill>
              <w14:schemeClr w14:val="tx1"/>
            </w14:solidFill>
          </w14:textFill>
        </w:rPr>
        <w:t>。</w:t>
      </w:r>
    </w:p>
    <w:p w14:paraId="663367E9">
      <w:pPr>
        <w:snapToGrid w:val="0"/>
        <w:spacing w:line="360" w:lineRule="auto"/>
        <w:ind w:firstLine="482" w:firstLineChars="200"/>
        <w:rPr>
          <w:rFonts w:ascii="宋体" w:hAnsi="宋体" w:cs="宋体"/>
          <w:b/>
          <w:bCs/>
          <w:color w:val="000000" w:themeColor="text1"/>
          <w:sz w:val="24"/>
          <w:lang w:val="zh-CN"/>
          <w14:textFill>
            <w14:solidFill>
              <w14:schemeClr w14:val="tx1"/>
            </w14:solidFill>
          </w14:textFill>
        </w:rPr>
      </w:pPr>
      <w:r>
        <w:rPr>
          <w:rFonts w:hint="eastAsia" w:ascii="宋体" w:hAnsi="宋体" w:cs="宋体"/>
          <w:b/>
          <w:bCs/>
          <w:color w:val="000000" w:themeColor="text1"/>
          <w:sz w:val="24"/>
          <w:lang w:val="zh-CN"/>
          <w14:textFill>
            <w14:solidFill>
              <w14:schemeClr w14:val="tx1"/>
            </w14:solidFill>
          </w14:textFill>
        </w:rPr>
        <w:t>11.</w:t>
      </w:r>
      <w:r>
        <w:rPr>
          <w:rFonts w:hint="eastAsia" w:ascii="宋体" w:hAnsi="宋体" w:cs="宋体"/>
          <w:b/>
          <w:bCs/>
          <w:color w:val="000000" w:themeColor="text1"/>
          <w:sz w:val="24"/>
          <w14:textFill>
            <w14:solidFill>
              <w14:schemeClr w14:val="tx1"/>
            </w14:solidFill>
          </w14:textFill>
        </w:rPr>
        <w:t>2</w:t>
      </w:r>
      <w:r>
        <w:rPr>
          <w:rFonts w:hint="eastAsia" w:ascii="宋体" w:hAnsi="宋体" w:cs="宋体"/>
          <w:b/>
          <w:bCs/>
          <w:color w:val="000000" w:themeColor="text1"/>
          <w:sz w:val="24"/>
          <w:lang w:val="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商务技术</w:t>
      </w:r>
      <w:r>
        <w:rPr>
          <w:rFonts w:hint="eastAsia" w:ascii="宋体" w:hAnsi="宋体" w:cs="宋体"/>
          <w:b/>
          <w:bCs/>
          <w:color w:val="000000" w:themeColor="text1"/>
          <w:sz w:val="24"/>
          <w:lang w:val="zh-CN"/>
          <w14:textFill>
            <w14:solidFill>
              <w14:schemeClr w14:val="tx1"/>
            </w14:solidFill>
          </w14:textFill>
        </w:rPr>
        <w:t>文件：</w:t>
      </w:r>
    </w:p>
    <w:p w14:paraId="5D264A9B">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11.2.1投标函；</w:t>
      </w:r>
      <w:r>
        <w:rPr>
          <w:rFonts w:hint="eastAsia" w:ascii="宋体" w:hAnsi="宋体" w:cs="宋体"/>
          <w:color w:val="000000" w:themeColor="text1"/>
          <w:sz w:val="24"/>
          <w:lang w:val="zh-CN"/>
          <w14:textFill>
            <w14:solidFill>
              <w14:schemeClr w14:val="tx1"/>
            </w14:solidFill>
          </w14:textFill>
        </w:rPr>
        <w:t xml:space="preserve"> </w:t>
      </w:r>
    </w:p>
    <w:p w14:paraId="21090AE8">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11.2.2授权委托书或法定代表人（单位负责人、自然人本人）身份证明；</w:t>
      </w:r>
    </w:p>
    <w:p w14:paraId="72F41DA7">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分包意向协议</w:t>
      </w:r>
      <w:r>
        <w:rPr>
          <w:rFonts w:hint="eastAsia" w:ascii="宋体" w:hAnsi="宋体" w:cs="宋体"/>
          <w:snapToGrid w:val="0"/>
          <w:color w:val="000000" w:themeColor="text1"/>
          <w:kern w:val="28"/>
          <w:sz w:val="24"/>
          <w:szCs w:val="20"/>
          <w14:textFill>
            <w14:solidFill>
              <w14:schemeClr w14:val="tx1"/>
            </w14:solidFill>
          </w14:textFill>
        </w:rPr>
        <w:t>（如果有)</w:t>
      </w:r>
      <w:r>
        <w:rPr>
          <w:rFonts w:hint="eastAsia" w:ascii="宋体" w:hAnsi="宋体" w:cs="宋体"/>
          <w:color w:val="000000" w:themeColor="text1"/>
          <w:sz w:val="24"/>
          <w14:textFill>
            <w14:solidFill>
              <w14:schemeClr w14:val="tx1"/>
            </w14:solidFill>
          </w14:textFill>
        </w:rPr>
        <w:t>；</w:t>
      </w:r>
    </w:p>
    <w:p w14:paraId="1A22726D">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符合性审查资料；</w:t>
      </w:r>
    </w:p>
    <w:p w14:paraId="368C82A9">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评标标准相应的商务技术资料；</w:t>
      </w:r>
    </w:p>
    <w:p w14:paraId="477D56AD">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投标标的清单；</w:t>
      </w:r>
    </w:p>
    <w:p w14:paraId="2E72F70D">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w:t>
      </w: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商务技术偏离表；</w:t>
      </w:r>
    </w:p>
    <w:p w14:paraId="0B7C7D26">
      <w:pPr>
        <w:snapToGrid w:val="0"/>
        <w:spacing w:line="360" w:lineRule="auto"/>
        <w:ind w:firstLine="960" w:firstLineChars="4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w:t>
      </w:r>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lang w:val="zh-CN"/>
          <w14:textFill>
            <w14:solidFill>
              <w14:schemeClr w14:val="tx1"/>
            </w14:solidFill>
          </w14:textFill>
        </w:rPr>
        <w:t>政府采购供应商廉洁自律承诺书；</w:t>
      </w:r>
    </w:p>
    <w:p w14:paraId="41D9E2F6">
      <w:pPr>
        <w:snapToGrid w:val="0"/>
        <w:spacing w:line="360" w:lineRule="auto"/>
        <w:ind w:firstLine="482" w:firstLineChars="200"/>
        <w:rPr>
          <w:rFonts w:ascii="宋体" w:hAnsi="宋体" w:cs="宋体"/>
          <w:b/>
          <w:bCs/>
          <w:color w:val="000000" w:themeColor="text1"/>
          <w:sz w:val="24"/>
          <w:u w:val="single"/>
          <w:lang w:val="zh-CN"/>
          <w14:textFill>
            <w14:solidFill>
              <w14:schemeClr w14:val="tx1"/>
            </w14:solidFill>
          </w14:textFill>
        </w:rPr>
      </w:pPr>
      <w:r>
        <w:rPr>
          <w:rFonts w:hint="eastAsia" w:ascii="宋体" w:hAnsi="宋体" w:cs="宋体"/>
          <w:b/>
          <w:bCs/>
          <w:color w:val="000000" w:themeColor="text1"/>
          <w:kern w:val="0"/>
          <w:sz w:val="24"/>
          <w:lang w:val="zh-CN"/>
          <w14:textFill>
            <w14:solidFill>
              <w14:schemeClr w14:val="tx1"/>
            </w14:solidFill>
          </w14:textFill>
        </w:rPr>
        <w:t>11.</w:t>
      </w:r>
      <w:r>
        <w:rPr>
          <w:rFonts w:hint="eastAsia" w:ascii="宋体" w:hAnsi="宋体" w:cs="宋体"/>
          <w:b/>
          <w:bCs/>
          <w:color w:val="000000" w:themeColor="text1"/>
          <w:kern w:val="0"/>
          <w:sz w:val="24"/>
          <w14:textFill>
            <w14:solidFill>
              <w14:schemeClr w14:val="tx1"/>
            </w14:solidFill>
          </w14:textFill>
        </w:rPr>
        <w:t>3</w:t>
      </w:r>
      <w:r>
        <w:rPr>
          <w:rFonts w:hint="eastAsia" w:ascii="宋体" w:hAnsi="宋体" w:cs="宋体"/>
          <w:b/>
          <w:bCs/>
          <w:color w:val="000000" w:themeColor="text1"/>
          <w:sz w:val="24"/>
          <w14:textFill>
            <w14:solidFill>
              <w14:schemeClr w14:val="tx1"/>
            </w14:solidFill>
          </w14:textFill>
        </w:rPr>
        <w:t xml:space="preserve">报价文件： </w:t>
      </w:r>
    </w:p>
    <w:p w14:paraId="5EE4CE22">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11.3.1开标一览表（报价表）；</w:t>
      </w:r>
    </w:p>
    <w:p w14:paraId="028EC061">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11.3.2中小企业声明函；（如有）</w:t>
      </w:r>
    </w:p>
    <w:p w14:paraId="3E7578B2">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11.3.3关于符合本国产品标准的声明函（若符合本国产品标准）；</w:t>
      </w:r>
    </w:p>
    <w:p w14:paraId="41E85012">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11.3.4关于本国产品成本比例的声明函（当采购项目或者采购包中含有多种产品时）</w:t>
      </w:r>
      <w:r>
        <w:rPr>
          <w:rFonts w:hint="eastAsia"/>
        </w:rPr>
        <w:t>；</w:t>
      </w:r>
    </w:p>
    <w:p w14:paraId="0AC4D53B">
      <w:pPr>
        <w:spacing w:line="360" w:lineRule="auto"/>
        <w:ind w:firstLine="723" w:firstLineChars="3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投标文件含有采购人不能接受的附加条件的，投标无效；</w:t>
      </w:r>
    </w:p>
    <w:p w14:paraId="3C34FAF8">
      <w:pPr>
        <w:spacing w:line="360" w:lineRule="auto"/>
        <w:ind w:firstLine="723" w:firstLineChars="3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投标人提供虚假材料投标的，投标无效。</w:t>
      </w:r>
    </w:p>
    <w:p w14:paraId="578CE152">
      <w:pPr>
        <w:spacing w:line="360" w:lineRule="auto"/>
        <w:ind w:firstLine="720" w:firstLineChars="300"/>
        <w:rPr>
          <w:color w:val="000000" w:themeColor="text1"/>
          <w14:textFill>
            <w14:solidFill>
              <w14:schemeClr w14:val="tx1"/>
            </w14:solidFill>
          </w14:textFill>
        </w:rPr>
      </w:pPr>
      <w:r>
        <w:rPr>
          <w:rFonts w:hint="eastAsia"/>
          <w:color w:val="000000" w:themeColor="text1"/>
          <w:sz w:val="24"/>
          <w:shd w:val="clear" w:color="auto" w:fill="FFFFFF"/>
          <w14:textFill>
            <w14:solidFill>
              <w14:schemeClr w14:val="tx1"/>
            </w14:solidFill>
          </w14:textFill>
        </w:rPr>
        <w:t>投标人应对投标文件中材料的真实性、合法性负责。投标人可事先在公开官网查询、核对相关证书和报告内容，确保投标（响应）文件资料准确无误。</w:t>
      </w:r>
    </w:p>
    <w:p w14:paraId="52ACEFD6">
      <w:pPr>
        <w:pStyle w:val="131"/>
        <w:snapToGrid w:val="0"/>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12</w:t>
      </w:r>
      <w:r>
        <w:rPr>
          <w:rFonts w:hint="eastAsia" w:ascii="宋体" w:hAnsi="宋体" w:cs="宋体"/>
          <w:b/>
          <w:color w:val="000000" w:themeColor="text1"/>
          <w:kern w:val="0"/>
          <w:szCs w:val="24"/>
          <w:lang w:val="zh-CN"/>
          <w14:textFill>
            <w14:solidFill>
              <w14:schemeClr w14:val="tx1"/>
            </w14:solidFill>
          </w14:textFill>
        </w:rPr>
        <w:t>.</w:t>
      </w:r>
      <w:r>
        <w:rPr>
          <w:rFonts w:hint="eastAsia" w:ascii="宋体" w:hAnsi="宋体" w:cs="宋体"/>
          <w:b/>
          <w:color w:val="000000" w:themeColor="text1"/>
          <w:szCs w:val="24"/>
          <w14:textFill>
            <w14:solidFill>
              <w14:schemeClr w14:val="tx1"/>
            </w14:solidFill>
          </w14:textFill>
        </w:rPr>
        <w:t>投标文件的编制</w:t>
      </w:r>
    </w:p>
    <w:p w14:paraId="4F79D7E8">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105CC018">
      <w:pPr>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12.2投标人进行电子投标应安装客户端软件—“政采云电子交易客户端”，并按照招标文件和电子交易平台的要求编制并加密投标文件。投标人未按规定加密的投标文件，电子交易平台将拒收并提示。</w:t>
      </w:r>
    </w:p>
    <w:p w14:paraId="5141FFE8">
      <w:pPr>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12.3使用“政采云电子交易客户端”需要提前申领CA数字证书，申领流程请自行前往“浙江政府采购网-下载专区-电子交易客户端-CA驱动和申领流程”进行查阅。</w:t>
      </w:r>
    </w:p>
    <w:p w14:paraId="6C03410B">
      <w:pPr>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13.投标文件的签署、盖章</w:t>
      </w:r>
    </w:p>
    <w:p w14:paraId="53E33410">
      <w:pPr>
        <w:pStyle w:val="131"/>
        <w:snapToGrid w:val="0"/>
        <w:spacing w:before="0"/>
        <w:ind w:firstLine="480"/>
        <w:rPr>
          <w:rFonts w:ascii="宋体" w:hAnsi="宋体" w:cs="宋体"/>
          <w:b/>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13.1投标文件按照招标文件第六部分格式要</w:t>
      </w:r>
      <w:r>
        <w:rPr>
          <w:rFonts w:hint="eastAsia" w:ascii="宋体" w:hAnsi="宋体" w:cs="宋体"/>
          <w:color w:val="000000" w:themeColor="text1"/>
          <w14:textFill>
            <w14:solidFill>
              <w14:schemeClr w14:val="tx1"/>
            </w14:solidFill>
          </w14:textFill>
        </w:rPr>
        <w:t>求进行签署、盖章。</w:t>
      </w:r>
      <w:r>
        <w:rPr>
          <w:rFonts w:hint="eastAsia" w:ascii="宋体" w:hAnsi="宋体" w:cs="宋体"/>
          <w:b/>
          <w:color w:val="000000" w:themeColor="text1"/>
          <w14:textFill>
            <w14:solidFill>
              <w14:schemeClr w14:val="tx1"/>
            </w14:solidFill>
          </w14:textFill>
        </w:rPr>
        <w:t>▲投标人的投标文件未按照招标文件要求签署、盖章的，其投标无效</w:t>
      </w:r>
      <w:r>
        <w:rPr>
          <w:rFonts w:hint="eastAsia" w:ascii="宋体" w:hAnsi="宋体" w:cs="宋体"/>
          <w:color w:val="000000" w:themeColor="text1"/>
          <w:szCs w:val="24"/>
          <w14:textFill>
            <w14:solidFill>
              <w14:schemeClr w14:val="tx1"/>
            </w14:solidFill>
          </w14:textFill>
        </w:rPr>
        <w:t>。</w:t>
      </w:r>
    </w:p>
    <w:p w14:paraId="4E512766">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13.2为确保网上操作合法、有效和安全，投标人应当在投标截止时间前完成在“政府采购云平台”的身份认证，确保在电子投标过程中能够对相关数据电文进行加密和使用电子签名。</w:t>
      </w:r>
    </w:p>
    <w:p w14:paraId="1A6148E0">
      <w:pPr>
        <w:pStyle w:val="131"/>
        <w:snapToGrid w:val="0"/>
        <w:spacing w:before="0"/>
        <w:ind w:firstLine="48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14:textFill>
            <w14:solidFill>
              <w14:schemeClr w14:val="tx1"/>
            </w14:solidFill>
          </w14:textFill>
        </w:rPr>
        <w:t>13.3招标文件对投标文件签署、盖章的要求适用于电子签名。</w:t>
      </w:r>
    </w:p>
    <w:p w14:paraId="21358488">
      <w:pPr>
        <w:pStyle w:val="131"/>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14.投标文件的提交、补充、修改、撤回</w:t>
      </w:r>
    </w:p>
    <w:p w14:paraId="1D2A1001">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1B4AB7C">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14.2电子交易平台收到投标文件，将妥善保存并即时向供应商发出确认回执通知。在投标截止时间前，除供应商补充、修改或者撤回投标文件外，任何单位和个人不得解密或提取投标文件。</w:t>
      </w:r>
    </w:p>
    <w:p w14:paraId="3B23ABEF">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14.3采购人、采购代理机构可以视情况延长投标文件提交的截止时间。在上述情况下，采购代理机构与投标人以前在投标截止期方面的全部权利、责任和义务，将适用于延长至新的投标截止期。</w:t>
      </w:r>
    </w:p>
    <w:p w14:paraId="6287BB46">
      <w:pPr>
        <w:pStyle w:val="33"/>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15.备份投标文件</w:t>
      </w:r>
    </w:p>
    <w:p w14:paraId="0C286944">
      <w:pPr>
        <w:pStyle w:val="33"/>
        <w:spacing w:line="360" w:lineRule="auto"/>
        <w:ind w:firstLine="360" w:firstLineChars="150"/>
        <w:rPr>
          <w:rFonts w:hAnsi="宋体" w:cs="宋体"/>
          <w:b/>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15.1投标人在电子交易平台传输递交投标文件后，还可以在投标截止时间前直接提交或者以邮政快递方式递交备份投标文件1份，</w:t>
      </w:r>
      <w:r>
        <w:rPr>
          <w:rFonts w:hint="eastAsia" w:hAnsi="宋体" w:cs="宋体"/>
          <w:b/>
          <w:color w:val="000000" w:themeColor="text1"/>
          <w:sz w:val="24"/>
          <w:szCs w:val="24"/>
          <w14:textFill>
            <w14:solidFill>
              <w14:schemeClr w14:val="tx1"/>
            </w14:solidFill>
          </w14:textFill>
        </w:rPr>
        <w:t>但采购人、采购代理机构不强制或变相强制投标人提交备份投标文件。</w:t>
      </w:r>
    </w:p>
    <w:p w14:paraId="055AFA59">
      <w:pPr>
        <w:pStyle w:val="33"/>
        <w:spacing w:line="360" w:lineRule="auto"/>
        <w:ind w:firstLine="480" w:firstLineChars="200"/>
        <w:rPr>
          <w:rFonts w:hAnsi="宋体" w:cs="宋体"/>
          <w:b/>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15.2备份投标文件须在“政采云投标客户端”制作生成，并储存在</w:t>
      </w:r>
      <w:r>
        <w:rPr>
          <w:rFonts w:hint="eastAsia" w:hAnsi="宋体" w:cs="宋体"/>
          <w:color w:val="000000" w:themeColor="text1"/>
          <w:sz w:val="24"/>
          <w14:textFill>
            <w14:solidFill>
              <w14:schemeClr w14:val="tx1"/>
            </w14:solidFill>
          </w14:textFill>
        </w:rPr>
        <w:t>DVD光盘等存储介质</w:t>
      </w:r>
      <w:r>
        <w:rPr>
          <w:rFonts w:hint="eastAsia" w:hAnsi="宋体" w:cs="宋体"/>
          <w:color w:val="000000" w:themeColor="text1"/>
          <w:sz w:val="24"/>
          <w:szCs w:val="24"/>
          <w14:textFill>
            <w14:solidFill>
              <w14:schemeClr w14:val="tx1"/>
            </w14:solidFill>
          </w14:textFill>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000000" w:themeColor="text1"/>
          <w:sz w:val="24"/>
          <w14:textFill>
            <w14:solidFill>
              <w14:schemeClr w14:val="tx1"/>
            </w14:solidFill>
          </w14:textFill>
        </w:rPr>
        <w:t>不符合上述制作、</w:t>
      </w:r>
      <w:r>
        <w:rPr>
          <w:rFonts w:hint="eastAsia" w:hAnsi="宋体" w:cs="宋体"/>
          <w:b/>
          <w:color w:val="000000" w:themeColor="text1"/>
          <w:sz w:val="24"/>
          <w:szCs w:val="24"/>
          <w14:textFill>
            <w14:solidFill>
              <w14:schemeClr w14:val="tx1"/>
            </w14:solidFill>
          </w14:textFill>
        </w:rPr>
        <w:t>存储、密封规定的备份投标文件将被视为无效或者被拒绝接收。</w:t>
      </w:r>
    </w:p>
    <w:p w14:paraId="0E42D4FE">
      <w:pPr>
        <w:pStyle w:val="33"/>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15.3直接提交备份投标文件的，投标人应于投标截止时间前在招标公告中载明的开标地点将备份投标文件提交给采购代理机构，采购代理机构将拒绝接受逾期送达的备份投标文件。</w:t>
      </w:r>
    </w:p>
    <w:p w14:paraId="34F1D1A4">
      <w:pPr>
        <w:pStyle w:val="33"/>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000000" w:themeColor="text1"/>
          <w:sz w:val="24"/>
          <w:szCs w:val="24"/>
          <w14:textFill>
            <w14:solidFill>
              <w14:schemeClr w14:val="tx1"/>
            </w14:solidFill>
          </w14:textFill>
        </w:rPr>
        <w:t>招标文件第二部分投标人须知前附表规定的备份投标文件送达地点；</w:t>
      </w:r>
      <w:r>
        <w:rPr>
          <w:rFonts w:hint="eastAsia" w:hAnsi="宋体" w:cs="宋体"/>
          <w:color w:val="000000" w:themeColor="text1"/>
          <w:sz w:val="24"/>
          <w:szCs w:val="24"/>
          <w14:textFill>
            <w14:solidFill>
              <w14:schemeClr w14:val="tx1"/>
            </w14:solidFill>
          </w14:textFill>
        </w:rPr>
        <w:t>送达时间以签收人签收时间为准。采购代理机构将拒绝接受逾期送达的备份投标文件。邮寄过程中，电子备份投标文件发生泄露、遗失、损坏或延期送达等情况的，由投标人自行负责。</w:t>
      </w:r>
    </w:p>
    <w:p w14:paraId="3C04515A">
      <w:pPr>
        <w:pStyle w:val="33"/>
        <w:spacing w:line="360" w:lineRule="auto"/>
        <w:ind w:firstLine="479" w:firstLineChars="199"/>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15.5投标人仅提交备份投标文件，未在电子交易平台传输递交投标文件的，投标无效。</w:t>
      </w:r>
    </w:p>
    <w:p w14:paraId="0CB1BC32">
      <w:pPr>
        <w:pStyle w:val="131"/>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16.投标文件的无效处理</w:t>
      </w:r>
    </w:p>
    <w:p w14:paraId="198D7D1E">
      <w:pPr>
        <w:pStyle w:val="24"/>
        <w:spacing w:line="360" w:lineRule="auto"/>
        <w:ind w:firstLine="360" w:firstLineChars="15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有招标文件第四部分</w:t>
      </w:r>
      <w:r>
        <w:rPr>
          <w:rFonts w:cs="宋体"/>
          <w:color w:val="000000" w:themeColor="text1"/>
          <w14:textFill>
            <w14:solidFill>
              <w14:schemeClr w14:val="tx1"/>
            </w14:solidFill>
          </w14:textFill>
        </w:rPr>
        <w:t>4.2规定</w:t>
      </w:r>
      <w:r>
        <w:rPr>
          <w:rFonts w:hint="eastAsia" w:cs="宋体"/>
          <w:color w:val="000000" w:themeColor="text1"/>
          <w:szCs w:val="21"/>
          <w14:textFill>
            <w14:solidFill>
              <w14:schemeClr w14:val="tx1"/>
            </w14:solidFill>
          </w14:textFill>
        </w:rPr>
        <w:t>的情形之一的，投标无效：</w:t>
      </w:r>
    </w:p>
    <w:p w14:paraId="6405AF27">
      <w:pPr>
        <w:pStyle w:val="131"/>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17.投标有效期</w:t>
      </w:r>
    </w:p>
    <w:p w14:paraId="491D6168">
      <w:pPr>
        <w:spacing w:line="360" w:lineRule="auto"/>
        <w:ind w:firstLine="480" w:firstLineChars="200"/>
        <w:rPr>
          <w:rFonts w:ascii="宋体" w:hAnsi="宋体" w:cs="宋体"/>
          <w:b/>
          <w:color w:val="000000" w:themeColor="text1"/>
          <w:sz w:val="24"/>
          <w:szCs w:val="21"/>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17.1投标有效期为从提交投标文件的截止之日起90天。▲</w:t>
      </w:r>
      <w:r>
        <w:rPr>
          <w:rFonts w:hint="eastAsia" w:ascii="宋体" w:hAnsi="宋体" w:cs="宋体"/>
          <w:b/>
          <w:color w:val="000000" w:themeColor="text1"/>
          <w:sz w:val="24"/>
          <w:szCs w:val="20"/>
          <w14:textFill>
            <w14:solidFill>
              <w14:schemeClr w14:val="tx1"/>
            </w14:solidFill>
          </w14:textFill>
        </w:rPr>
        <w:t>投标人的投标文件中承</w:t>
      </w:r>
      <w:r>
        <w:rPr>
          <w:rFonts w:hint="eastAsia" w:ascii="宋体" w:hAnsi="宋体" w:cs="宋体"/>
          <w:b/>
          <w:color w:val="000000" w:themeColor="text1"/>
          <w:sz w:val="24"/>
          <w:szCs w:val="21"/>
          <w14:textFill>
            <w14:solidFill>
              <w14:schemeClr w14:val="tx1"/>
            </w14:solidFill>
          </w14:textFill>
        </w:rPr>
        <w:t>诺的投标有效期少于招标文件中载明的投标有效期的，投标无效。</w:t>
      </w:r>
    </w:p>
    <w:p w14:paraId="072E9E63">
      <w:pPr>
        <w:pStyle w:val="131"/>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17.2投标文件合格投递后，自投标截止日期起，在投标有效期内有效。</w:t>
      </w:r>
    </w:p>
    <w:p w14:paraId="227EFA02">
      <w:pPr>
        <w:pStyle w:val="131"/>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17.3在原定投标有效期满之前，如果出现特殊情况，采购代理机构可以以书面形式通知投标人延长投标有效期。投标人同意延长的，不得要求或被允许修改其投标文件，投标人拒绝延长的，其投标无效。</w:t>
      </w:r>
    </w:p>
    <w:p w14:paraId="7C49E17C">
      <w:pPr>
        <w:pStyle w:val="131"/>
        <w:spacing w:before="0"/>
        <w:ind w:firstLine="643"/>
        <w:rPr>
          <w:rFonts w:ascii="宋体" w:hAnsi="宋体" w:cs="宋体"/>
          <w:b/>
          <w:color w:val="000000" w:themeColor="text1"/>
          <w:sz w:val="32"/>
          <w14:textFill>
            <w14:solidFill>
              <w14:schemeClr w14:val="tx1"/>
            </w14:solidFill>
          </w14:textFill>
        </w:rPr>
      </w:pPr>
    </w:p>
    <w:p w14:paraId="395C4C2E">
      <w:pPr>
        <w:pStyle w:val="131"/>
        <w:spacing w:before="0"/>
        <w:ind w:firstLine="1928" w:firstLineChars="600"/>
        <w:rPr>
          <w:rFonts w:ascii="宋体" w:hAnsi="宋体" w:cs="宋体"/>
          <w:b/>
          <w:color w:val="000000" w:themeColor="text1"/>
          <w:sz w:val="32"/>
          <w14:textFill>
            <w14:solidFill>
              <w14:schemeClr w14:val="tx1"/>
            </w14:solidFill>
          </w14:textFill>
        </w:rPr>
      </w:pPr>
    </w:p>
    <w:p w14:paraId="24E35D8D">
      <w:pPr>
        <w:pStyle w:val="131"/>
        <w:spacing w:before="0"/>
        <w:ind w:firstLine="1928" w:firstLineChars="600"/>
        <w:outlineLvl w:val="1"/>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四、开标、资格审查与信用信息查询</w:t>
      </w:r>
    </w:p>
    <w:p w14:paraId="41889FB9">
      <w:pPr>
        <w:pStyle w:val="557"/>
        <w:spacing w:before="0" w:line="360" w:lineRule="auto"/>
        <w:ind w:left="0" w:firstLine="0"/>
        <w:contextualSpacing/>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18.开标</w:t>
      </w:r>
      <w:r>
        <w:rPr>
          <w:rFonts w:hint="eastAsia" w:ascii="宋体" w:hAnsi="宋体" w:cs="宋体"/>
          <w:color w:val="000000" w:themeColor="text1"/>
          <w:sz w:val="24"/>
          <w14:textFill>
            <w14:solidFill>
              <w14:schemeClr w14:val="tx1"/>
            </w14:solidFill>
          </w14:textFill>
        </w:rPr>
        <w:t xml:space="preserve"> </w:t>
      </w:r>
    </w:p>
    <w:p w14:paraId="31644A35">
      <w:pPr>
        <w:pStyle w:val="557"/>
        <w:spacing w:before="0" w:line="360" w:lineRule="auto"/>
        <w:ind w:left="0"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18.1采购代理机构按照招标文件规定的时间通过电子交易平台组织开标，所有投标人均应当准时在线参加。投标人不足3家的，不得开标。</w:t>
      </w:r>
    </w:p>
    <w:p w14:paraId="6F7FB076">
      <w:pPr>
        <w:pStyle w:val="557"/>
        <w:spacing w:before="0" w:line="360" w:lineRule="auto"/>
        <w:ind w:left="0" w:firstLine="240" w:firstLineChars="1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18.2开标时，电子交易平台按开标时间自动提取所有投标文件。采购代理机构依托电子交易平台发起开始解密指令，投标人按照平台提示和招标文件的规定在半小时内完成在线解密。</w:t>
      </w:r>
    </w:p>
    <w:p w14:paraId="10A19D93">
      <w:pPr>
        <w:pStyle w:val="557"/>
        <w:spacing w:before="0" w:line="360" w:lineRule="auto"/>
        <w:ind w:left="0" w:firstLine="240" w:firstLineChars="100"/>
        <w:contextualSpacing/>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18.3</w:t>
      </w:r>
      <w:r>
        <w:rPr>
          <w:rFonts w:hint="eastAsia" w:ascii="宋体" w:hAnsi="宋体" w:cs="宋体"/>
          <w:b/>
          <w:color w:val="000000" w:themeColor="text1"/>
          <w:sz w:val="24"/>
          <w14:textFill>
            <w14:solidFill>
              <w14:schemeClr w14:val="tx1"/>
            </w14:solidFill>
          </w14:textFill>
        </w:rPr>
        <w:t>投标文件未按时解密，投标人提供了备份投标文件的，以备份投标文件作为依据，否则视为投标文件撤回。投标文件已按时解密的，备份投标文件自动失效。</w:t>
      </w:r>
    </w:p>
    <w:p w14:paraId="2326C9E0">
      <w:pPr>
        <w:pStyle w:val="557"/>
        <w:spacing w:before="0" w:line="360" w:lineRule="auto"/>
        <w:ind w:left="0" w:firstLine="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19.资格审查</w:t>
      </w:r>
    </w:p>
    <w:p w14:paraId="221B5611">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19.1</w:t>
      </w:r>
      <w:r>
        <w:rPr>
          <w:rFonts w:hint="eastAsia" w:ascii="宋体" w:hAnsi="宋体" w:cs="宋体"/>
          <w:color w:val="000000" w:themeColor="text1"/>
          <w:sz w:val="24"/>
          <w14:textFill>
            <w14:solidFill>
              <w14:schemeClr w14:val="tx1"/>
            </w14:solidFill>
          </w14:textFill>
        </w:rPr>
        <w:t>采购人或采购代理机构依据法律法规和招标文件的规定，对投标人的资格进行审查。</w:t>
      </w:r>
    </w:p>
    <w:p w14:paraId="0DC18CCA">
      <w:pPr>
        <w:pStyle w:val="131"/>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19.2投标人未按照招标文件要求提供与</w:t>
      </w:r>
      <w:r>
        <w:rPr>
          <w:rFonts w:hint="eastAsia" w:ascii="宋体" w:hAnsi="宋体" w:cs="宋体"/>
          <w:color w:val="000000" w:themeColor="text1"/>
          <w14:textFill>
            <w14:solidFill>
              <w14:schemeClr w14:val="tx1"/>
            </w14:solidFill>
          </w14:textFill>
        </w:rPr>
        <w:t>资格条件相应的</w:t>
      </w:r>
      <w:r>
        <w:rPr>
          <w:rFonts w:hint="eastAsia" w:ascii="宋体" w:hAnsi="宋体" w:cs="宋体"/>
          <w:color w:val="000000" w:themeColor="text1"/>
          <w:kern w:val="0"/>
          <w:szCs w:val="24"/>
          <w14:textFill>
            <w14:solidFill>
              <w14:schemeClr w14:val="tx1"/>
            </w14:solidFill>
          </w14:textFill>
        </w:rPr>
        <w:t>有效资格证明材料的，视为</w:t>
      </w:r>
      <w:r>
        <w:rPr>
          <w:rFonts w:hint="eastAsia" w:ascii="宋体" w:hAnsi="宋体" w:cs="宋体"/>
          <w:color w:val="000000" w:themeColor="text1"/>
          <w14:textFill>
            <w14:solidFill>
              <w14:schemeClr w14:val="tx1"/>
            </w14:solidFill>
          </w14:textFill>
        </w:rPr>
        <w:t>投标人不具备招标文件中规定的资格要求，其投标无效。</w:t>
      </w:r>
    </w:p>
    <w:p w14:paraId="5542E737">
      <w:pPr>
        <w:pStyle w:val="131"/>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19.</w:t>
      </w:r>
      <w:r>
        <w:rPr>
          <w:rFonts w:hint="eastAsia" w:ascii="宋体" w:hAnsi="宋体" w:cs="宋体"/>
          <w:color w:val="000000" w:themeColor="text1"/>
          <w14:textFill>
            <w14:solidFill>
              <w14:schemeClr w14:val="tx1"/>
            </w14:solidFill>
          </w14:textFill>
        </w:rPr>
        <w:t>3对未通过资格审查的投标人，采购人或采购代理机构告知其未通过的原因。</w:t>
      </w:r>
    </w:p>
    <w:p w14:paraId="02AD0DEA">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19.</w:t>
      </w:r>
      <w:r>
        <w:rPr>
          <w:rFonts w:hint="eastAsia" w:ascii="宋体" w:hAnsi="宋体" w:cs="宋体"/>
          <w:color w:val="000000" w:themeColor="text1"/>
          <w14:textFill>
            <w14:solidFill>
              <w14:schemeClr w14:val="tx1"/>
            </w14:solidFill>
          </w14:textFill>
        </w:rPr>
        <w:t>4合格投标人不足3家的，不再评标。</w:t>
      </w:r>
    </w:p>
    <w:p w14:paraId="43FB70D2">
      <w:pPr>
        <w:pStyle w:val="131"/>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20.信用信息查询</w:t>
      </w:r>
    </w:p>
    <w:p w14:paraId="20240594">
      <w:pPr>
        <w:pStyle w:val="131"/>
        <w:spacing w:before="0"/>
        <w:ind w:firstLine="495" w:firstLineChars="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20.1信用信息查询渠道及截止时间：采购代理机构将在资格审查时通过“信用中国”网站(www.creditchina.gov.cn)、中国政府采购网(www.ccgp.gov.cn)渠道查询投标人的信用记录。</w:t>
      </w:r>
    </w:p>
    <w:p w14:paraId="20F6CEB7">
      <w:pPr>
        <w:pStyle w:val="131"/>
        <w:spacing w:before="0"/>
        <w:ind w:firstLine="495" w:firstLineChars="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20.2信用信息查询记录和证据留存的具体方式：现场查询的投标人的信用记录、查询结果经确认后将与采购文件一起存档。</w:t>
      </w:r>
    </w:p>
    <w:p w14:paraId="3765150D">
      <w:pPr>
        <w:pStyle w:val="131"/>
        <w:spacing w:before="0"/>
        <w:ind w:firstLine="495" w:firstLineChars="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20.3信用信息的使用规则：经查询列入失信被执行人名单、重大税收违法案件当事人名单、政府采购严重违法失信行为记录名单的投标人将被拒绝参与政府采购活动。</w:t>
      </w:r>
    </w:p>
    <w:p w14:paraId="3BE57402">
      <w:pPr>
        <w:pStyle w:val="131"/>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000000" w:themeColor="text1"/>
          <w14:textFill>
            <w14:solidFill>
              <w14:schemeClr w14:val="tx1"/>
            </w14:solidFill>
          </w14:textFill>
        </w:rPr>
        <w:t>。</w:t>
      </w:r>
    </w:p>
    <w:p w14:paraId="6CA033DC">
      <w:pPr>
        <w:pStyle w:val="131"/>
        <w:spacing w:before="0"/>
        <w:ind w:firstLine="0" w:firstLineChars="0"/>
        <w:rPr>
          <w:rFonts w:ascii="宋体" w:hAnsi="宋体" w:cs="宋体"/>
          <w:color w:val="000000" w:themeColor="text1"/>
          <w:kern w:val="0"/>
          <w:szCs w:val="24"/>
          <w14:textFill>
            <w14:solidFill>
              <w14:schemeClr w14:val="tx1"/>
            </w14:solidFill>
          </w14:textFill>
        </w:rPr>
      </w:pPr>
    </w:p>
    <w:p w14:paraId="58F27588">
      <w:pPr>
        <w:snapToGrid w:val="0"/>
        <w:spacing w:line="360" w:lineRule="auto"/>
        <w:jc w:val="center"/>
        <w:outlineLvl w:val="1"/>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五、评标</w:t>
      </w:r>
    </w:p>
    <w:p w14:paraId="6893D0EC">
      <w:pPr>
        <w:spacing w:line="360" w:lineRule="auto"/>
        <w:rPr>
          <w:rFonts w:ascii="宋体" w:hAnsi="宋体" w:cs="宋体"/>
          <w:b/>
          <w:color w:val="000000" w:themeColor="text1"/>
          <w:sz w:val="24"/>
          <w14:textFill>
            <w14:solidFill>
              <w14:schemeClr w14:val="tx1"/>
            </w14:solidFill>
          </w14:textFill>
        </w:rPr>
      </w:pPr>
      <w:bookmarkStart w:id="17" w:name="_Toc91899903"/>
      <w:r>
        <w:rPr>
          <w:rFonts w:hint="eastAsia" w:ascii="宋体" w:hAnsi="宋体" w:cs="宋体"/>
          <w:b/>
          <w:color w:val="000000" w:themeColor="text1"/>
          <w:sz w:val="24"/>
          <w14:textFill>
            <w14:solidFill>
              <w14:schemeClr w14:val="tx1"/>
            </w14:solidFill>
          </w14:textFill>
        </w:rPr>
        <w:t>21.</w:t>
      </w:r>
      <w:r>
        <w:rPr>
          <w:rFonts w:hint="eastAsia" w:ascii="宋体" w:hAnsi="宋体" w:cs="宋体"/>
          <w:color w:val="000000" w:themeColor="text1"/>
          <w:sz w:val="24"/>
          <w14:textFill>
            <w14:solidFill>
              <w14:schemeClr w14:val="tx1"/>
            </w14:solidFill>
          </w14:textFill>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000000" w:themeColor="text1"/>
          <w:sz w:val="24"/>
          <w14:textFill>
            <w14:solidFill>
              <w14:schemeClr w14:val="tx1"/>
            </w14:solidFill>
          </w14:textFill>
        </w:rPr>
        <w:t>详见招标文件第四部分评标办法。</w:t>
      </w:r>
    </w:p>
    <w:p w14:paraId="09C2EADE">
      <w:pPr>
        <w:spacing w:line="360" w:lineRule="auto"/>
        <w:rPr>
          <w:rFonts w:ascii="宋体" w:hAnsi="宋体" w:cs="宋体"/>
          <w:b/>
          <w:color w:val="000000" w:themeColor="text1"/>
          <w:sz w:val="24"/>
          <w14:textFill>
            <w14:solidFill>
              <w14:schemeClr w14:val="tx1"/>
            </w14:solidFill>
          </w14:textFill>
        </w:rPr>
      </w:pPr>
    </w:p>
    <w:p w14:paraId="15B9072A">
      <w:pPr>
        <w:snapToGrid w:val="0"/>
        <w:spacing w:line="360" w:lineRule="auto"/>
        <w:jc w:val="center"/>
        <w:outlineLvl w:val="1"/>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六、定标</w:t>
      </w:r>
    </w:p>
    <w:p w14:paraId="765498CB">
      <w:pPr>
        <w:pStyle w:val="24"/>
        <w:spacing w:line="360" w:lineRule="auto"/>
        <w:ind w:left="479" w:hanging="479" w:hangingChars="199"/>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22.确定中标供应商</w:t>
      </w:r>
    </w:p>
    <w:p w14:paraId="267688FA">
      <w:pPr>
        <w:pStyle w:val="131"/>
        <w:snapToGrid w:val="0"/>
        <w:spacing w:before="0"/>
        <w:ind w:firstLine="480"/>
        <w:rPr>
          <w:rFonts w:ascii="宋体" w:hAnsi="宋体" w:cs="宋体"/>
          <w:b/>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2C71A195">
      <w:pPr>
        <w:pStyle w:val="131"/>
        <w:snapToGrid w:val="0"/>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23.中标通知与中标结果公告</w:t>
      </w:r>
    </w:p>
    <w:p w14:paraId="1E50A4E7">
      <w:pPr>
        <w:widowControl/>
        <w:shd w:val="clear" w:color="auto" w:fill="FFFFFF"/>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23.1自中标人确定之日起2个工作日内，采购代理机构通过电子交易平台向中标人发出中标通知书，同时编制发布采购结果公告。采购代理机构也可以以纸质形式进行中标通知。</w:t>
      </w:r>
    </w:p>
    <w:p w14:paraId="16D2E83E">
      <w:pPr>
        <w:widowControl/>
        <w:shd w:val="clear" w:color="auto" w:fill="FFFFFF"/>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34246073">
      <w:pPr>
        <w:widowControl/>
        <w:shd w:val="clear" w:color="auto" w:fill="FFFFFF"/>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23.3公告期限为1个工作日。</w:t>
      </w:r>
    </w:p>
    <w:p w14:paraId="7294F204">
      <w:pPr>
        <w:pStyle w:val="131"/>
        <w:snapToGrid w:val="0"/>
        <w:spacing w:before="0"/>
        <w:ind w:firstLine="482"/>
        <w:rPr>
          <w:rStyle w:val="78"/>
          <w:color w:val="000000" w:themeColor="text1"/>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 xml:space="preserve">23.4 </w:t>
      </w:r>
      <w:r>
        <w:rPr>
          <w:rFonts w:hint="eastAsia" w:ascii="宋体" w:hAnsi="宋体" w:cs="宋体"/>
          <w:bCs/>
          <w:color w:val="000000" w:themeColor="text1"/>
          <w:szCs w:val="24"/>
          <w14:textFill>
            <w14:solidFill>
              <w14:schemeClr w14:val="tx1"/>
            </w14:solidFill>
          </w14:textFill>
        </w:rPr>
        <w:t>由于中标、成交供应商原因导致重新采购的，应当承担支付代理费和专家评审费等费用在内的赔偿责任。</w:t>
      </w:r>
    </w:p>
    <w:p w14:paraId="57158647">
      <w:pPr>
        <w:pStyle w:val="80"/>
        <w:rPr>
          <w:color w:val="000000" w:themeColor="text1"/>
          <w14:textFill>
            <w14:solidFill>
              <w14:schemeClr w14:val="tx1"/>
            </w14:solidFill>
          </w14:textFill>
        </w:rPr>
      </w:pPr>
    </w:p>
    <w:p w14:paraId="6FCD3153">
      <w:pPr>
        <w:snapToGrid w:val="0"/>
        <w:spacing w:line="360" w:lineRule="auto"/>
        <w:ind w:left="120" w:leftChars="57" w:firstLine="482" w:firstLineChars="150"/>
        <w:jc w:val="center"/>
        <w:outlineLvl w:val="1"/>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七、合同授予</w:t>
      </w:r>
    </w:p>
    <w:p w14:paraId="2DEA2DB2">
      <w:pPr>
        <w:pStyle w:val="24"/>
        <w:spacing w:line="360" w:lineRule="auto"/>
        <w:ind w:left="479" w:hanging="479" w:hangingChars="199"/>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24.</w:t>
      </w:r>
      <w:r>
        <w:rPr>
          <w:rFonts w:hint="eastAsia" w:cs="宋体"/>
          <w:color w:val="000000" w:themeColor="text1"/>
          <w14:textFill>
            <w14:solidFill>
              <w14:schemeClr w14:val="tx1"/>
            </w14:solidFill>
          </w14:textFill>
        </w:rPr>
        <w:t>合同主要条款详见第五部分拟签订的合同文本。</w:t>
      </w:r>
    </w:p>
    <w:p w14:paraId="0BE7D8EA">
      <w:pPr>
        <w:pStyle w:val="24"/>
        <w:spacing w:line="360" w:lineRule="auto"/>
        <w:ind w:left="479" w:hanging="479" w:hangingChars="199"/>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25.合同的签订</w:t>
      </w:r>
    </w:p>
    <w:p w14:paraId="587934EA">
      <w:pPr>
        <w:widowControl/>
        <w:shd w:val="clear" w:color="auto" w:fill="FFFFFF"/>
        <w:spacing w:line="360" w:lineRule="auto"/>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25.1</w:t>
      </w:r>
      <w:r>
        <w:rPr>
          <w:rFonts w:hint="eastAsia" w:ascii="宋体" w:hAnsi="宋体" w:cs="宋体"/>
          <w:color w:val="000000" w:themeColor="text1"/>
          <w:kern w:val="0"/>
          <w:sz w:val="24"/>
          <w14:textFill>
            <w14:solidFill>
              <w14:schemeClr w14:val="tx1"/>
            </w14:solidFill>
          </w14:textFill>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三十日内，与中标供应商按照采购文件确定的事项签订政府采购合同。</w:t>
      </w:r>
    </w:p>
    <w:p w14:paraId="3CEFDFC8">
      <w:pPr>
        <w:pStyle w:val="131"/>
        <w:snapToGrid w:val="0"/>
        <w:spacing w:before="0"/>
        <w:ind w:firstLine="4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25.2中标人按规定的日期、时间、地点，由法定代表人或其授权代表与采购人代表签订合同。如中标人为联合体的，由联合体成员各方法定代表人或其授权代表与采购人代表签订合同。</w:t>
      </w:r>
    </w:p>
    <w:p w14:paraId="5968CF46">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25.3如签订合同并生效后，供应商无故拒绝或延期，除按照合同条款处理外，列入不良行为记录一次，并给予通报。</w:t>
      </w:r>
    </w:p>
    <w:p w14:paraId="24E4A58B">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25.4中标供应商拒绝与采购人签订合同的，采购人可以按照评审报告推荐的中标或者成交候选人名单排序，确定下一候选人为中标供应商，也可以重新开展政府采购活动。</w:t>
      </w:r>
    </w:p>
    <w:p w14:paraId="72AF9BA9">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25.5采购合同由采购人与中标供应商根据招标文件、投标文件等内容通过政府采购电子交易平台在线签订，自动备案。</w:t>
      </w:r>
    </w:p>
    <w:p w14:paraId="55F39E40">
      <w:pPr>
        <w:pStyle w:val="131"/>
        <w:snapToGrid w:val="0"/>
        <w:spacing w:before="0"/>
        <w:ind w:firstLine="0" w:firstLineChars="0"/>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26.履约保证金</w:t>
      </w:r>
    </w:p>
    <w:p w14:paraId="7E0AE0D4">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拟签订的合同文本要求中标供应商提交履约保证金的，供应商应当以支票、汇票、本票或者金融机构、</w:t>
      </w:r>
      <w:r>
        <w:rPr>
          <w:rFonts w:hint="eastAsia" w:ascii="宋体" w:hAnsi="宋体" w:cs="宋体"/>
          <w:color w:val="000000" w:themeColor="text1"/>
          <w:kern w:val="0"/>
          <w14:textFill>
            <w14:solidFill>
              <w14:schemeClr w14:val="tx1"/>
            </w14:solidFill>
          </w14:textFill>
        </w:rPr>
        <w:t>担保机构出具的保函等非现金形式提交</w:t>
      </w:r>
      <w:r>
        <w:rPr>
          <w:rFonts w:hint="eastAsia" w:ascii="宋体" w:hAnsi="宋体" w:cs="宋体"/>
          <w:color w:val="000000" w:themeColor="text1"/>
          <w14:textFill>
            <w14:solidFill>
              <w14:schemeClr w14:val="tx1"/>
            </w14:solidFill>
          </w14:textFill>
        </w:rPr>
        <w:t>。履约保证金的数额不得超过政府采购合同金额的</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02600E38">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3A0E2EB8">
      <w:pPr>
        <w:pStyle w:val="131"/>
        <w:snapToGrid w:val="0"/>
        <w:spacing w:before="0"/>
        <w:ind w:firstLine="0" w:firstLineChars="0"/>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27.预付款</w:t>
      </w:r>
    </w:p>
    <w:p w14:paraId="4D232169">
      <w:pPr>
        <w:adjustRightInd/>
        <w:spacing w:line="360" w:lineRule="auto"/>
        <w:ind w:firstLine="480" w:firstLineChars="20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采购单位应当在政府采购合同中约定预付款，对中小企业合同预付款比例原则上不低于合同金额的</w:t>
      </w:r>
      <w:r>
        <w:rPr>
          <w:rFonts w:ascii="宋体" w:hAnsi="宋体"/>
          <w:color w:val="000000" w:themeColor="text1"/>
          <w:sz w:val="24"/>
          <w14:textFill>
            <w14:solidFill>
              <w14:schemeClr w14:val="tx1"/>
            </w14:solidFill>
          </w14:textFill>
        </w:rPr>
        <w:t>40％</w:t>
      </w:r>
      <w:r>
        <w:rPr>
          <w:rFonts w:hint="eastAsia" w:ascii="宋体" w:hAnsi="宋体"/>
          <w:color w:val="000000" w:themeColor="text1"/>
          <w:sz w:val="24"/>
          <w14:textFill>
            <w14:solidFill>
              <w14:schemeClr w14:val="tx1"/>
            </w14:solidFill>
          </w14:textFill>
        </w:rPr>
        <w:t>，不高于合同金额的</w:t>
      </w:r>
      <w:r>
        <w:rPr>
          <w:rFonts w:ascii="宋体" w:hAnsi="宋体"/>
          <w:color w:val="000000" w:themeColor="text1"/>
          <w:sz w:val="24"/>
          <w14:textFill>
            <w14:solidFill>
              <w14:schemeClr w14:val="tx1"/>
            </w14:solidFill>
          </w14:textFill>
        </w:rPr>
        <w:t>70%；项目分年安排预算的，每年预付款比例</w:t>
      </w:r>
      <w:r>
        <w:rPr>
          <w:rFonts w:hint="eastAsia" w:ascii="宋体" w:hAnsi="宋体"/>
          <w:color w:val="000000" w:themeColor="text1"/>
          <w:sz w:val="24"/>
          <w14:textFill>
            <w14:solidFill>
              <w14:schemeClr w14:val="tx1"/>
            </w14:solidFill>
          </w14:textFill>
        </w:rPr>
        <w:t>不低于</w:t>
      </w:r>
      <w:r>
        <w:rPr>
          <w:rFonts w:ascii="宋体" w:hAnsi="宋体"/>
          <w:color w:val="000000" w:themeColor="text1"/>
          <w:sz w:val="24"/>
          <w14:textFill>
            <w14:solidFill>
              <w14:schemeClr w14:val="tx1"/>
            </w14:solidFill>
          </w14:textFill>
        </w:rPr>
        <w:t>项目年度计划支付资金额的40％</w:t>
      </w:r>
      <w:r>
        <w:rPr>
          <w:rFonts w:hint="eastAsia" w:ascii="宋体" w:hAnsi="宋体"/>
          <w:color w:val="000000" w:themeColor="text1"/>
          <w:sz w:val="24"/>
          <w14:textFill>
            <w14:solidFill>
              <w14:schemeClr w14:val="tx1"/>
            </w14:solidFill>
          </w14:textFill>
        </w:rPr>
        <w:t>，不高于合同金额的</w:t>
      </w:r>
      <w:r>
        <w:rPr>
          <w:rFonts w:ascii="宋体" w:hAnsi="宋体"/>
          <w:color w:val="000000" w:themeColor="text1"/>
          <w:sz w:val="24"/>
          <w14:textFill>
            <w14:solidFill>
              <w14:schemeClr w14:val="tx1"/>
            </w14:solidFill>
          </w14:textFill>
        </w:rPr>
        <w:t>70%；采购项目实施以人工投入为主的，</w:t>
      </w:r>
      <w:r>
        <w:rPr>
          <w:rFonts w:hint="eastAsia" w:ascii="宋体" w:hAnsi="宋体"/>
          <w:color w:val="000000" w:themeColor="text1"/>
          <w:sz w:val="24"/>
          <w14:textFill>
            <w14:solidFill>
              <w14:schemeClr w14:val="tx1"/>
            </w14:solidFill>
          </w14:textFill>
        </w:rPr>
        <w:t>可适当降低预付款比例，但不得低于</w:t>
      </w:r>
      <w:r>
        <w:rPr>
          <w:rFonts w:ascii="宋体" w:hAnsi="宋体"/>
          <w:color w:val="000000" w:themeColor="text1"/>
          <w:sz w:val="24"/>
          <w14:textFill>
            <w14:solidFill>
              <w14:schemeClr w14:val="tx1"/>
            </w14:solidFill>
          </w14:textFill>
        </w:rPr>
        <w:t>20%。对供应商为大型企业的项目或者以人工投入为主且实行按月定期结算支付款项的项目，预付款可低于上述比例或者不约定预付款。在签订合同时，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明确表示无需预付款或者主动要求降低预付款比例的，</w:t>
      </w:r>
      <w:r>
        <w:rPr>
          <w:rFonts w:hint="eastAsia" w:ascii="宋体" w:hAnsi="宋体"/>
          <w:color w:val="000000" w:themeColor="text1"/>
          <w:sz w:val="24"/>
          <w14:textFill>
            <w14:solidFill>
              <w14:schemeClr w14:val="tx1"/>
            </w14:solidFill>
          </w14:textFill>
        </w:rPr>
        <w:t>采购单位</w:t>
      </w:r>
      <w:r>
        <w:rPr>
          <w:rFonts w:ascii="宋体" w:hAnsi="宋体"/>
          <w:color w:val="000000" w:themeColor="text1"/>
          <w:sz w:val="24"/>
          <w14:textFill>
            <w14:solidFill>
              <w14:schemeClr w14:val="tx1"/>
            </w14:solidFill>
          </w14:textFill>
        </w:rPr>
        <w:t>可不适用前述规定。</w:t>
      </w:r>
      <w:r>
        <w:rPr>
          <w:rFonts w:hint="eastAsia" w:ascii="宋体" w:hAnsi="宋体"/>
          <w:color w:val="000000" w:themeColor="text1"/>
          <w:sz w:val="24"/>
          <w14:textFill>
            <w14:solidFill>
              <w14:schemeClr w14:val="tx1"/>
            </w14:solidFill>
          </w14:textFill>
        </w:rPr>
        <w:t>采购单位</w:t>
      </w:r>
      <w:r>
        <w:rPr>
          <w:rFonts w:ascii="宋体" w:hAnsi="宋体"/>
          <w:color w:val="000000" w:themeColor="text1"/>
          <w:sz w:val="24"/>
          <w14:textFill>
            <w14:solidFill>
              <w14:schemeClr w14:val="tx1"/>
            </w14:solidFill>
          </w14:textFill>
        </w:rPr>
        <w:t>根据项目特点、供应商诚信等因素，可以要求</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提交银行、保险公司等金融机构出具的预付款保函或其他担保措施。政府采购预付款应在合同生效以及具备实施条件后5个工作日内支付。</w:t>
      </w:r>
      <w:r>
        <w:rPr>
          <w:rFonts w:hint="eastAsia" w:ascii="宋体" w:hAnsi="宋体"/>
          <w:color w:val="000000" w:themeColor="text1"/>
          <w:sz w:val="24"/>
          <w14:textFill>
            <w14:solidFill>
              <w14:schemeClr w14:val="tx1"/>
            </w14:solidFill>
          </w14:textFill>
        </w:rPr>
        <w:t>政府采购工程以及与工程建设有关的货物、服务，采用招标方式采购的，预付款从其相关规定。供应商可登录政采云前台大厅选择金融服务</w:t>
      </w:r>
      <w:r>
        <w:rPr>
          <w:rFonts w:ascii="宋体" w:hAnsi="宋体"/>
          <w:color w:val="000000" w:themeColor="text1"/>
          <w:sz w:val="24"/>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14:textFill>
            <w14:solidFill>
              <w14:schemeClr w14:val="tx1"/>
            </w14:solidFill>
          </w14:textFill>
        </w:rPr>
        <w:t>/保函受理—确认保单—支付保费—成功出单。政</w:t>
      </w:r>
      <w:r>
        <w:rPr>
          <w:rFonts w:hint="eastAsia" w:ascii="宋体" w:hAnsi="宋体"/>
          <w:color w:val="000000" w:themeColor="text1"/>
          <w:sz w:val="24"/>
          <w14:textFill>
            <w14:solidFill>
              <w14:schemeClr w14:val="tx1"/>
            </w14:solidFill>
          </w14:textFill>
        </w:rPr>
        <w:t>采云金融专线95763</w:t>
      </w:r>
      <w:r>
        <w:rPr>
          <w:rFonts w:ascii="宋体" w:hAnsi="宋体"/>
          <w:color w:val="000000" w:themeColor="text1"/>
          <w:sz w:val="24"/>
          <w14:textFill>
            <w14:solidFill>
              <w14:schemeClr w14:val="tx1"/>
            </w14:solidFill>
          </w14:textFill>
        </w:rPr>
        <w:t>。</w:t>
      </w:r>
    </w:p>
    <w:p w14:paraId="57C59E72">
      <w:pPr>
        <w:rPr>
          <w:color w:val="000000" w:themeColor="text1"/>
          <w14:textFill>
            <w14:solidFill>
              <w14:schemeClr w14:val="tx1"/>
            </w14:solidFill>
          </w14:textFill>
        </w:rPr>
      </w:pPr>
    </w:p>
    <w:p w14:paraId="535C6B6E">
      <w:pPr>
        <w:snapToGrid w:val="0"/>
        <w:spacing w:line="360" w:lineRule="auto"/>
        <w:ind w:firstLine="3357" w:firstLineChars="1045"/>
        <w:rPr>
          <w:rFonts w:ascii="宋体" w:hAnsi="宋体" w:cs="宋体"/>
          <w:b/>
          <w:color w:val="000000" w:themeColor="text1"/>
          <w:sz w:val="32"/>
          <w14:textFill>
            <w14:solidFill>
              <w14:schemeClr w14:val="tx1"/>
            </w14:solidFill>
          </w14:textFill>
        </w:rPr>
      </w:pPr>
    </w:p>
    <w:p w14:paraId="1B924A02">
      <w:pPr>
        <w:snapToGrid w:val="0"/>
        <w:spacing w:line="360" w:lineRule="auto"/>
        <w:jc w:val="center"/>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32"/>
          <w14:textFill>
            <w14:solidFill>
              <w14:schemeClr w14:val="tx1"/>
            </w14:solidFill>
          </w14:textFill>
        </w:rPr>
        <w:t>八、电子交易活动的中止</w:t>
      </w:r>
    </w:p>
    <w:p w14:paraId="562DE98B">
      <w:pPr>
        <w:pStyle w:val="131"/>
        <w:snapToGrid w:val="0"/>
        <w:spacing w:before="0"/>
        <w:ind w:firstLine="0" w:firstLineChars="0"/>
        <w:rPr>
          <w:rFonts w:ascii="宋体" w:hAnsi="宋体" w:cs="宋体"/>
          <w:color w:val="000000" w:themeColor="text1"/>
          <w14:textFill>
            <w14:solidFill>
              <w14:schemeClr w14:val="tx1"/>
            </w14:solidFill>
          </w14:textFill>
        </w:rPr>
      </w:pPr>
      <w:r>
        <w:rPr>
          <w:rFonts w:ascii="宋体" w:hAnsi="宋体" w:cs="宋体"/>
          <w:b/>
          <w:bCs/>
          <w:color w:val="000000" w:themeColor="text1"/>
          <w14:textFill>
            <w14:solidFill>
              <w14:schemeClr w14:val="tx1"/>
            </w14:solidFill>
          </w14:textFill>
        </w:rPr>
        <w:t>2</w:t>
      </w:r>
      <w:r>
        <w:rPr>
          <w:rFonts w:ascii="宋体" w:hAnsi="宋体" w:cs="宋体"/>
          <w:b/>
          <w:bCs/>
          <w:color w:val="000000" w:themeColor="text1"/>
          <w:szCs w:val="24"/>
          <w14:textFill>
            <w14:solidFill>
              <w14:schemeClr w14:val="tx1"/>
            </w14:solidFill>
          </w14:textFill>
        </w:rPr>
        <w:t>8</w:t>
      </w:r>
      <w:r>
        <w:rPr>
          <w:rFonts w:hint="eastAsia" w:ascii="宋体" w:hAnsi="宋体" w:cs="宋体"/>
          <w:b/>
          <w:color w:val="000000" w:themeColor="text1"/>
          <w:szCs w:val="24"/>
          <w14:textFill>
            <w14:solidFill>
              <w14:schemeClr w14:val="tx1"/>
            </w14:solidFill>
          </w14:textFill>
        </w:rPr>
        <w:t>.电子交易活动的中止。</w:t>
      </w:r>
      <w:r>
        <w:rPr>
          <w:rFonts w:hint="eastAsia" w:ascii="宋体" w:hAnsi="宋体" w:cs="宋体"/>
          <w:color w:val="000000" w:themeColor="text1"/>
          <w14:textFill>
            <w14:solidFill>
              <w14:schemeClr w14:val="tx1"/>
            </w14:solidFill>
          </w14:textFill>
        </w:rPr>
        <w:t>采购过程中出现以下情形，导致电子交易平台无法正常运行，或者无法保证电子交易的公平、公正和安全时，采购代理机构可中止电子交易活动：</w:t>
      </w:r>
    </w:p>
    <w:p w14:paraId="3A6569E4">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28.1电子交易平台发生故障而无法登录访问的； </w:t>
      </w:r>
    </w:p>
    <w:p w14:paraId="5F9C14FC">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28.2电子交易平台应用或数据库出现错误，不能进行正常操作的；</w:t>
      </w:r>
    </w:p>
    <w:p w14:paraId="01DDFA7E">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28.3电子交易平台发现严重安全漏洞，有潜在泄密危险的；</w:t>
      </w:r>
    </w:p>
    <w:p w14:paraId="3BDF5950">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28.4病毒发作导致不能进行正常操作的； </w:t>
      </w:r>
    </w:p>
    <w:p w14:paraId="02722BFC">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28.5其他无法保证电子交易的公平、公正和安全的情况。</w:t>
      </w:r>
    </w:p>
    <w:p w14:paraId="710E0576">
      <w:pPr>
        <w:pStyle w:val="131"/>
        <w:snapToGrid w:val="0"/>
        <w:spacing w:before="0"/>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29.出现以上情形，不影响采购公平、公正性的，采购组织机构可以待上述情形消除后继续组织电子交易活动，也可以决定某些环节以纸质形式进行；影响或可能影响采购公平、公正性的，应当重新采购。</w:t>
      </w:r>
    </w:p>
    <w:p w14:paraId="41F4726F">
      <w:pPr>
        <w:tabs>
          <w:tab w:val="left" w:pos="0"/>
        </w:tabs>
        <w:spacing w:line="360" w:lineRule="auto"/>
        <w:ind w:firstLine="480"/>
        <w:rPr>
          <w:rFonts w:ascii="宋体" w:hAnsi="宋体" w:cs="宋体"/>
          <w:color w:val="000000" w:themeColor="text1"/>
          <w:sz w:val="24"/>
          <w14:textFill>
            <w14:solidFill>
              <w14:schemeClr w14:val="tx1"/>
            </w14:solidFill>
          </w14:textFill>
        </w:rPr>
      </w:pPr>
    </w:p>
    <w:p w14:paraId="59D6F2C0">
      <w:pPr>
        <w:snapToGrid w:val="0"/>
        <w:spacing w:line="360" w:lineRule="auto"/>
        <w:jc w:val="center"/>
        <w:outlineLvl w:val="1"/>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九、验收</w:t>
      </w:r>
    </w:p>
    <w:p w14:paraId="262B9534">
      <w:pPr>
        <w:pStyle w:val="24"/>
        <w:spacing w:line="360" w:lineRule="auto"/>
        <w:ind w:firstLine="0" w:firstLineChars="0"/>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30.验收</w:t>
      </w:r>
    </w:p>
    <w:p w14:paraId="7107C37B">
      <w:pPr>
        <w:tabs>
          <w:tab w:val="left" w:pos="0"/>
        </w:tabs>
        <w:spacing w:line="360" w:lineRule="auto"/>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1E32C7C">
      <w:pPr>
        <w:tabs>
          <w:tab w:val="left" w:pos="0"/>
        </w:tabs>
        <w:spacing w:line="360" w:lineRule="auto"/>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30.2采购人可以邀请参加本项目的其他投标人或者第三方机构参与验收。参与验收的投标人或者第三方机构的意见作为验收书的参考资料一并存档。</w:t>
      </w:r>
    </w:p>
    <w:p w14:paraId="132E72FB">
      <w:pPr>
        <w:tabs>
          <w:tab w:val="left" w:pos="0"/>
        </w:tabs>
        <w:spacing w:line="360" w:lineRule="auto"/>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7FDCA2B">
      <w:pPr>
        <w:tabs>
          <w:tab w:val="left" w:pos="0"/>
        </w:tabs>
        <w:spacing w:line="360" w:lineRule="auto"/>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7"/>
      <w:bookmarkStart w:id="18" w:name="_Hlt74730295"/>
      <w:bookmarkEnd w:id="18"/>
      <w:bookmarkStart w:id="19" w:name="_Hlt75236011"/>
      <w:bookmarkEnd w:id="19"/>
      <w:bookmarkStart w:id="20" w:name="_Hlt75236101"/>
      <w:bookmarkEnd w:id="20"/>
      <w:bookmarkStart w:id="21" w:name="_Hlt68072998"/>
      <w:bookmarkEnd w:id="21"/>
      <w:bookmarkStart w:id="22" w:name="_Hlt75236290"/>
      <w:bookmarkEnd w:id="22"/>
      <w:bookmarkStart w:id="23" w:name="_Hlt68403820"/>
      <w:bookmarkEnd w:id="23"/>
      <w:bookmarkStart w:id="24" w:name="_Hlt68057669"/>
      <w:bookmarkEnd w:id="24"/>
      <w:bookmarkStart w:id="25" w:name="_Hlt74714665"/>
      <w:bookmarkEnd w:id="25"/>
      <w:bookmarkStart w:id="26" w:name="_Hlt74729768"/>
      <w:bookmarkEnd w:id="26"/>
      <w:bookmarkStart w:id="27" w:name="_Hlt68072990"/>
      <w:bookmarkEnd w:id="27"/>
      <w:bookmarkStart w:id="28" w:name="_Hlt74707468"/>
      <w:bookmarkEnd w:id="28"/>
      <w:bookmarkStart w:id="29" w:name="_Hlt68073093"/>
      <w:bookmarkEnd w:id="29"/>
    </w:p>
    <w:p w14:paraId="5E41BC4B">
      <w:pPr>
        <w:tabs>
          <w:tab w:val="left" w:pos="0"/>
        </w:tabs>
        <w:spacing w:line="360" w:lineRule="auto"/>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1AE18003">
      <w:pPr>
        <w:pStyle w:val="80"/>
        <w:rPr>
          <w:color w:val="000000" w:themeColor="text1"/>
          <w14:textFill>
            <w14:solidFill>
              <w14:schemeClr w14:val="tx1"/>
            </w14:solidFill>
          </w14:textFill>
        </w:rPr>
        <w:sectPr>
          <w:footerReference r:id="rId6" w:type="first"/>
          <w:footerReference r:id="rId5" w:type="default"/>
          <w:pgSz w:w="11906" w:h="16838"/>
          <w:pgMar w:top="680" w:right="1418" w:bottom="468" w:left="1418" w:header="851" w:footer="992" w:gutter="0"/>
          <w:pgNumType w:start="1"/>
          <w:cols w:space="720" w:num="1"/>
          <w:titlePg/>
          <w:docGrid w:linePitch="312" w:charSpace="0"/>
        </w:sectPr>
      </w:pPr>
    </w:p>
    <w:bookmarkEnd w:id="12"/>
    <w:bookmarkEnd w:id="13"/>
    <w:p w14:paraId="57F8A2BE">
      <w:pPr>
        <w:spacing w:line="360" w:lineRule="auto"/>
        <w:jc w:val="center"/>
        <w:outlineLvl w:val="0"/>
        <w:rPr>
          <w:rFonts w:ascii="宋体" w:hAnsi="宋体" w:cs="宋体"/>
          <w:b/>
          <w:color w:val="000000" w:themeColor="text1"/>
          <w:sz w:val="36"/>
          <w:szCs w:val="36"/>
          <w14:textFill>
            <w14:solidFill>
              <w14:schemeClr w14:val="tx1"/>
            </w14:solidFill>
          </w14:textFill>
        </w:rPr>
      </w:pPr>
      <w:bookmarkStart w:id="30" w:name="第四部分"/>
      <w:r>
        <w:rPr>
          <w:rFonts w:hint="eastAsia" w:ascii="宋体" w:hAnsi="宋体" w:cs="宋体"/>
          <w:b/>
          <w:color w:val="000000" w:themeColor="text1"/>
          <w:sz w:val="36"/>
          <w:szCs w:val="36"/>
          <w14:textFill>
            <w14:solidFill>
              <w14:schemeClr w14:val="tx1"/>
            </w14:solidFill>
          </w14:textFill>
        </w:rPr>
        <w:t>第三部分 采购需求</w:t>
      </w:r>
    </w:p>
    <w:p w14:paraId="156AADA1">
      <w:pPr>
        <w:spacing w:line="360" w:lineRule="auto"/>
        <w:jc w:val="left"/>
        <w:outlineLvl w:val="1"/>
        <w:rPr>
          <w:rFonts w:ascii="宋体" w:hAnsi="宋体" w:cs="宋体"/>
          <w:b/>
          <w:sz w:val="24"/>
        </w:rPr>
      </w:pPr>
      <w:r>
        <w:rPr>
          <w:rFonts w:hint="eastAsia" w:ascii="宋体" w:hAnsi="宋体" w:cs="宋体"/>
          <w:b/>
          <w:sz w:val="24"/>
        </w:rPr>
        <w:t>一、项目概况</w:t>
      </w:r>
    </w:p>
    <w:p w14:paraId="33B2DF99">
      <w:pPr>
        <w:adjustRightInd/>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为师生提供高速、稳定、安全可靠的校园网，进行教学AB楼、现教南北楼、教学科研综合楼、卫生所、河长大厦、体育馆、后勤综合楼、工程训练中心、机电实训楼等有线无线网络设备更新升级。</w:t>
      </w:r>
    </w:p>
    <w:p w14:paraId="45EB5EEC">
      <w:pPr>
        <w:spacing w:line="360" w:lineRule="auto"/>
        <w:jc w:val="left"/>
        <w:outlineLvl w:val="1"/>
        <w:rPr>
          <w:rFonts w:ascii="宋体" w:hAnsi="宋体" w:cs="宋体"/>
          <w:b/>
          <w:sz w:val="24"/>
        </w:rPr>
      </w:pPr>
      <w:bookmarkStart w:id="31" w:name="OLE_LINK5"/>
      <w:r>
        <w:rPr>
          <w:rFonts w:hint="eastAsia" w:ascii="宋体" w:hAnsi="宋体" w:cs="宋体"/>
          <w:b/>
          <w:sz w:val="24"/>
        </w:rPr>
        <w:t>二、采购清单</w:t>
      </w:r>
    </w:p>
    <w:tbl>
      <w:tblPr>
        <w:tblStyle w:val="6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293"/>
        <w:gridCol w:w="6030"/>
        <w:gridCol w:w="615"/>
        <w:gridCol w:w="663"/>
      </w:tblGrid>
      <w:tr w14:paraId="03F9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66" w:type="pct"/>
            <w:vAlign w:val="center"/>
          </w:tcPr>
          <w:p w14:paraId="31028384">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697" w:type="pct"/>
            <w:vAlign w:val="center"/>
          </w:tcPr>
          <w:p w14:paraId="5E09986A">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货物名称</w:t>
            </w:r>
          </w:p>
        </w:tc>
        <w:tc>
          <w:tcPr>
            <w:tcW w:w="3246" w:type="pct"/>
            <w:vAlign w:val="center"/>
          </w:tcPr>
          <w:p w14:paraId="4FF11707">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主要技术参数及配置要求</w:t>
            </w:r>
          </w:p>
        </w:tc>
        <w:tc>
          <w:tcPr>
            <w:tcW w:w="331" w:type="pct"/>
            <w:vAlign w:val="center"/>
          </w:tcPr>
          <w:p w14:paraId="2BF7E2DC">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数量</w:t>
            </w:r>
          </w:p>
        </w:tc>
        <w:tc>
          <w:tcPr>
            <w:tcW w:w="357" w:type="pct"/>
            <w:vAlign w:val="center"/>
          </w:tcPr>
          <w:p w14:paraId="521467A9">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单位</w:t>
            </w:r>
          </w:p>
        </w:tc>
      </w:tr>
      <w:tr w14:paraId="78E2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6" w:type="pct"/>
            <w:vAlign w:val="center"/>
          </w:tcPr>
          <w:p w14:paraId="7E8F1ABC">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1</w:t>
            </w:r>
          </w:p>
        </w:tc>
        <w:tc>
          <w:tcPr>
            <w:tcW w:w="697" w:type="pct"/>
            <w:vAlign w:val="center"/>
          </w:tcPr>
          <w:p w14:paraId="18DFADAC">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24口交换机</w:t>
            </w:r>
          </w:p>
        </w:tc>
        <w:tc>
          <w:tcPr>
            <w:tcW w:w="3246" w:type="pct"/>
            <w:vAlign w:val="center"/>
          </w:tcPr>
          <w:p w14:paraId="164AC7CD">
            <w:pPr>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1、交换容量≥1.36Tbps，转发性能≥290Mpps</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★2、固化10/100/1000M以太网端口≥24，固化1G/10G SFP+接口≥4个，配置模块化双电源、</w:t>
            </w:r>
            <w:r>
              <w:rPr>
                <w:rFonts w:hint="eastAsia"/>
              </w:rPr>
              <w:t>≥</w:t>
            </w:r>
            <w:r>
              <w:rPr>
                <w:rFonts w:hint="eastAsia" w:asciiTheme="minorEastAsia" w:hAnsiTheme="minorEastAsia" w:eastAsiaTheme="minorEastAsia" w:cstheme="minorEastAsia"/>
                <w:color w:val="000000"/>
                <w:kern w:val="0"/>
                <w:sz w:val="24"/>
              </w:rPr>
              <w:t>2个万兆单模模块、</w:t>
            </w:r>
            <w:r>
              <w:rPr>
                <w:rFonts w:hint="eastAsia"/>
              </w:rPr>
              <w:t>≥</w:t>
            </w:r>
            <w:r>
              <w:rPr>
                <w:rFonts w:hint="eastAsia" w:asciiTheme="minorEastAsia" w:hAnsiTheme="minorEastAsia" w:eastAsiaTheme="minorEastAsia" w:cstheme="minorEastAsia"/>
                <w:color w:val="000000"/>
                <w:kern w:val="0"/>
                <w:sz w:val="24"/>
              </w:rPr>
              <w:t>2个万兆多模模块</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3、支持CPU保护功能，限制非法报文对CPU的攻击，保护交换机在各种环境下稳定工作</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4、支持专门基础网络保护机制，支持限制用户向网络中发送数据包的速率，对有攻击行为的用户进行隔离，保证设备和整网的安全稳定运行</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5、支持IPv4和IPv6的静态路由、RIP/RIPng、OSPFv2/OSPFv3等三层路由协议</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6、支持ITU-TG.8032国际公有环网协议ERPS，并且链路故障的收敛时间≤50ms</w:t>
            </w:r>
          </w:p>
          <w:p w14:paraId="45723B6D">
            <w:pPr>
              <w:adjustRightInd/>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Cs/>
                <w:sz w:val="24"/>
              </w:rPr>
              <w:t>7、提供不少于五年原厂质保</w:t>
            </w:r>
          </w:p>
        </w:tc>
        <w:tc>
          <w:tcPr>
            <w:tcW w:w="331" w:type="pct"/>
            <w:vAlign w:val="center"/>
          </w:tcPr>
          <w:p w14:paraId="4742D311">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43</w:t>
            </w:r>
          </w:p>
        </w:tc>
        <w:tc>
          <w:tcPr>
            <w:tcW w:w="357" w:type="pct"/>
            <w:vAlign w:val="center"/>
          </w:tcPr>
          <w:p w14:paraId="5376D396">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台</w:t>
            </w:r>
          </w:p>
        </w:tc>
      </w:tr>
      <w:tr w14:paraId="689A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366" w:type="pct"/>
            <w:vAlign w:val="center"/>
          </w:tcPr>
          <w:p w14:paraId="410E3476">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2</w:t>
            </w:r>
          </w:p>
        </w:tc>
        <w:tc>
          <w:tcPr>
            <w:tcW w:w="697" w:type="pct"/>
            <w:vAlign w:val="center"/>
          </w:tcPr>
          <w:p w14:paraId="6EA16414">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48口交换机</w:t>
            </w:r>
          </w:p>
        </w:tc>
        <w:tc>
          <w:tcPr>
            <w:tcW w:w="3246" w:type="pct"/>
            <w:vAlign w:val="center"/>
          </w:tcPr>
          <w:p w14:paraId="63198DCC">
            <w:pPr>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1、交换容量≥1.36Tbps，转发性能≥550Mpps</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★2、固化10/100/1000M以太网端口≥48，固化1G/10G SFP+接口≥4个，配置模块化双电源，</w:t>
            </w:r>
            <w:r>
              <w:rPr>
                <w:rFonts w:hint="eastAsia"/>
              </w:rPr>
              <w:t>≥</w:t>
            </w:r>
            <w:r>
              <w:rPr>
                <w:rFonts w:hint="eastAsia" w:asciiTheme="minorEastAsia" w:hAnsiTheme="minorEastAsia" w:eastAsiaTheme="minorEastAsia" w:cstheme="minorEastAsia"/>
                <w:color w:val="000000"/>
                <w:kern w:val="0"/>
                <w:sz w:val="24"/>
              </w:rPr>
              <w:t>2个万兆单模模块、</w:t>
            </w:r>
            <w:r>
              <w:rPr>
                <w:rFonts w:hint="eastAsia"/>
              </w:rPr>
              <w:t>≥</w:t>
            </w:r>
            <w:r>
              <w:rPr>
                <w:rFonts w:hint="eastAsia" w:asciiTheme="minorEastAsia" w:hAnsiTheme="minorEastAsia" w:eastAsiaTheme="minorEastAsia" w:cstheme="minorEastAsia"/>
                <w:color w:val="000000"/>
                <w:kern w:val="0"/>
                <w:sz w:val="24"/>
              </w:rPr>
              <w:t>2个万兆多模模块</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3、支持CPU保护功能，限制非法报文对CPU的攻击，保护交换机在各种环境下稳定工作</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4、支持专门基础网络保护机制，支持限制用户向网络中发送数据包的速率，对有攻击行为的用户进行隔离，保证设备和整网的安全稳定运行</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5、支持IPv4和IPv6的静态路由、RIP/RIPng、OSPFv2/OSPFv3等三层路由协议</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6、支持ITU-TG.8032国际公有环网协议ERPS，并且链路故障的收敛时间≤50ms</w:t>
            </w:r>
          </w:p>
          <w:p w14:paraId="5E39DE90">
            <w:pPr>
              <w:adjustRightInd/>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7、提供不少于五年原厂质保</w:t>
            </w:r>
          </w:p>
        </w:tc>
        <w:tc>
          <w:tcPr>
            <w:tcW w:w="331" w:type="pct"/>
            <w:vAlign w:val="center"/>
          </w:tcPr>
          <w:p w14:paraId="1EA0683F">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30</w:t>
            </w:r>
          </w:p>
        </w:tc>
        <w:tc>
          <w:tcPr>
            <w:tcW w:w="357" w:type="pct"/>
            <w:vAlign w:val="center"/>
          </w:tcPr>
          <w:p w14:paraId="6B34DC60">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台</w:t>
            </w:r>
          </w:p>
        </w:tc>
      </w:tr>
      <w:tr w14:paraId="34C0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6" w:type="pct"/>
            <w:vAlign w:val="center"/>
          </w:tcPr>
          <w:p w14:paraId="378D8C64">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3</w:t>
            </w:r>
          </w:p>
        </w:tc>
        <w:tc>
          <w:tcPr>
            <w:tcW w:w="697" w:type="pct"/>
            <w:vAlign w:val="center"/>
          </w:tcPr>
          <w:p w14:paraId="7360A9A2">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8口poe交换机</w:t>
            </w:r>
          </w:p>
        </w:tc>
        <w:tc>
          <w:tcPr>
            <w:tcW w:w="3246" w:type="pct"/>
            <w:vAlign w:val="center"/>
          </w:tcPr>
          <w:p w14:paraId="69774455">
            <w:pPr>
              <w:widowControl/>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1、交换容量≥672Gbps，包转发率≥126Mpps</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★2、固化10/100/1000M以太网电口≥8个，1G/2.5G/5G以太网电口≥2个，1G/10G SFP+光接口≥2个，配置</w:t>
            </w:r>
            <w:r>
              <w:rPr>
                <w:rFonts w:hint="eastAsia"/>
              </w:rPr>
              <w:t>≥</w:t>
            </w:r>
            <w:r>
              <w:rPr>
                <w:rFonts w:hint="eastAsia" w:asciiTheme="minorEastAsia" w:hAnsiTheme="minorEastAsia" w:eastAsiaTheme="minorEastAsia" w:cstheme="minorEastAsia"/>
                <w:color w:val="000000"/>
                <w:kern w:val="0"/>
                <w:sz w:val="24"/>
              </w:rPr>
              <w:t>2个万兆单模模块</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3、支持放入400mm*300mm*100mm的标准弱电箱中部署，保障室内环境的美观</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4、要求所投产品支持POE和POE+远程供电，POE供电功率为125W</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5、为保障要求设备采用静音设计</w:t>
            </w:r>
          </w:p>
          <w:p w14:paraId="65B22493">
            <w:pPr>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6、支持IPv4和IPv6的静态路由、RIP/RIPng、OSPFv2/OSPFv3等三层路由协议</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★7、要求与本次招标无线AP无缝兼容</w:t>
            </w:r>
          </w:p>
          <w:p w14:paraId="537F7EF6">
            <w:pPr>
              <w:adjustRightInd/>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8、</w:t>
            </w:r>
            <w:r>
              <w:rPr>
                <w:rFonts w:hint="eastAsia" w:asciiTheme="minorEastAsia" w:hAnsiTheme="minorEastAsia" w:eastAsiaTheme="minorEastAsia" w:cstheme="minorEastAsia"/>
                <w:bCs/>
                <w:sz w:val="24"/>
              </w:rPr>
              <w:t>提供不少于五年原厂质保</w:t>
            </w:r>
          </w:p>
        </w:tc>
        <w:tc>
          <w:tcPr>
            <w:tcW w:w="331" w:type="pct"/>
            <w:vAlign w:val="center"/>
          </w:tcPr>
          <w:p w14:paraId="72A5C7B5">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4</w:t>
            </w:r>
          </w:p>
        </w:tc>
        <w:tc>
          <w:tcPr>
            <w:tcW w:w="357" w:type="pct"/>
            <w:vAlign w:val="center"/>
          </w:tcPr>
          <w:p w14:paraId="790C68AA">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台</w:t>
            </w:r>
          </w:p>
        </w:tc>
      </w:tr>
      <w:tr w14:paraId="4CAB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6" w:type="pct"/>
            <w:vAlign w:val="center"/>
          </w:tcPr>
          <w:p w14:paraId="173C801F">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4</w:t>
            </w:r>
          </w:p>
        </w:tc>
        <w:tc>
          <w:tcPr>
            <w:tcW w:w="697" w:type="pct"/>
            <w:vAlign w:val="center"/>
          </w:tcPr>
          <w:p w14:paraId="134B87BC">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2.5G-POE交换机</w:t>
            </w:r>
          </w:p>
        </w:tc>
        <w:tc>
          <w:tcPr>
            <w:tcW w:w="3246" w:type="pct"/>
            <w:vAlign w:val="center"/>
          </w:tcPr>
          <w:p w14:paraId="0094285E">
            <w:pPr>
              <w:widowControl/>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1、交换容量≥1.3Tbps，转发性能≥225Mpps</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★2、固化100M/1G/2.5G 以太网端口≥24，10G/2.5G/1G SFP+光接口≥6个，配置模块化双电源、</w:t>
            </w:r>
            <w:r>
              <w:rPr>
                <w:rFonts w:hint="eastAsia"/>
              </w:rPr>
              <w:t>≥</w:t>
            </w:r>
            <w:r>
              <w:rPr>
                <w:rFonts w:hint="eastAsia" w:asciiTheme="minorEastAsia" w:hAnsiTheme="minorEastAsia" w:eastAsiaTheme="minorEastAsia" w:cstheme="minorEastAsia"/>
                <w:color w:val="000000"/>
                <w:kern w:val="0"/>
                <w:sz w:val="24"/>
              </w:rPr>
              <w:t>3个万兆单模模块、</w:t>
            </w:r>
            <w:r>
              <w:rPr>
                <w:rFonts w:hint="eastAsia"/>
              </w:rPr>
              <w:t>≥</w:t>
            </w:r>
            <w:r>
              <w:rPr>
                <w:rFonts w:hint="eastAsia" w:asciiTheme="minorEastAsia" w:hAnsiTheme="minorEastAsia" w:eastAsiaTheme="minorEastAsia" w:cstheme="minorEastAsia"/>
                <w:color w:val="000000"/>
                <w:kern w:val="0"/>
                <w:sz w:val="24"/>
              </w:rPr>
              <w:t>3个万兆多模模块</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3、支持PoE/PoE+/PoE++远程供电，PoE++同时可供电端口数≥24个</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4、支持查看PoE供电状态功能的PoE按钮，可查看设备当前的通信状态和供电状态</w:t>
            </w:r>
          </w:p>
          <w:p w14:paraId="7751E993">
            <w:pPr>
              <w:widowControl/>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5、支持IPv4和IPv6的静态路由、RIP/RIPng、OSPFv2/OSPFv3等三层路由协议</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6、要求所投产品静音设计</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★7、要求与本次招标无线AP无缝兼容</w:t>
            </w:r>
          </w:p>
          <w:p w14:paraId="6B8C2E21">
            <w:pPr>
              <w:widowControl/>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8、</w:t>
            </w:r>
            <w:r>
              <w:rPr>
                <w:rFonts w:hint="eastAsia" w:asciiTheme="minorEastAsia" w:hAnsiTheme="minorEastAsia" w:eastAsiaTheme="minorEastAsia" w:cstheme="minorEastAsia"/>
                <w:bCs/>
                <w:sz w:val="24"/>
              </w:rPr>
              <w:t>提供不少于五年原厂质保</w:t>
            </w:r>
          </w:p>
        </w:tc>
        <w:tc>
          <w:tcPr>
            <w:tcW w:w="331" w:type="pct"/>
            <w:vAlign w:val="center"/>
          </w:tcPr>
          <w:p w14:paraId="586D5DEF">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32</w:t>
            </w:r>
          </w:p>
        </w:tc>
        <w:tc>
          <w:tcPr>
            <w:tcW w:w="357" w:type="pct"/>
            <w:vAlign w:val="center"/>
          </w:tcPr>
          <w:p w14:paraId="6BCD9C92">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台</w:t>
            </w:r>
          </w:p>
        </w:tc>
      </w:tr>
      <w:tr w14:paraId="09A3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6" w:type="pct"/>
            <w:vAlign w:val="center"/>
          </w:tcPr>
          <w:p w14:paraId="3EF62C3A">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5</w:t>
            </w:r>
          </w:p>
        </w:tc>
        <w:tc>
          <w:tcPr>
            <w:tcW w:w="697" w:type="pct"/>
            <w:vAlign w:val="center"/>
          </w:tcPr>
          <w:p w14:paraId="1BF8B31D">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汇聚交换机1</w:t>
            </w:r>
          </w:p>
        </w:tc>
        <w:tc>
          <w:tcPr>
            <w:tcW w:w="3246" w:type="pct"/>
            <w:vAlign w:val="center"/>
          </w:tcPr>
          <w:p w14:paraId="06E7D293">
            <w:pPr>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1、交换容量≥2.56Tbps，包转发率≥600Mpps</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2、固化10/100/1000M自适应电口≥24个，1G/10G SFP+光口≥8个，配置模块化双电源、</w:t>
            </w:r>
            <w:r>
              <w:rPr>
                <w:rFonts w:hint="eastAsia"/>
              </w:rPr>
              <w:t>≥</w:t>
            </w:r>
            <w:r>
              <w:rPr>
                <w:rFonts w:hint="eastAsia" w:asciiTheme="minorEastAsia" w:hAnsiTheme="minorEastAsia" w:eastAsiaTheme="minorEastAsia" w:cstheme="minorEastAsia"/>
                <w:color w:val="000000"/>
                <w:kern w:val="0"/>
                <w:sz w:val="24"/>
              </w:rPr>
              <w:t>4个万兆单模模块、</w:t>
            </w:r>
            <w:r>
              <w:rPr>
                <w:rFonts w:hint="eastAsia"/>
              </w:rPr>
              <w:t>≥</w:t>
            </w:r>
            <w:r>
              <w:rPr>
                <w:rFonts w:hint="eastAsia" w:asciiTheme="minorEastAsia" w:hAnsiTheme="minorEastAsia" w:eastAsiaTheme="minorEastAsia" w:cstheme="minorEastAsia"/>
                <w:color w:val="000000"/>
                <w:kern w:val="0"/>
                <w:sz w:val="24"/>
              </w:rPr>
              <w:t>4个万兆多模模块</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3、设备可提供业务扩展槽≥1个</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4、支持RIP/RIPng，OSPFv2/v3，BGP4/4+，IS-ISv4/v6</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5、支持VXLAN二层网桥、VXLAN三层网关，支持EVPN VXLAN</w:t>
            </w:r>
          </w:p>
          <w:p w14:paraId="641AE892">
            <w:pPr>
              <w:adjustRightInd/>
              <w:rPr>
                <w:rFonts w:asciiTheme="minorEastAsia" w:hAnsiTheme="minorEastAsia" w:eastAsiaTheme="minorEastAsia" w:cstheme="minorEastAsia"/>
                <w:b/>
                <w:sz w:val="24"/>
              </w:rPr>
            </w:pPr>
            <w:r>
              <w:rPr>
                <w:rFonts w:asciiTheme="minorEastAsia" w:hAnsiTheme="minorEastAsia" w:eastAsiaTheme="minorEastAsia" w:cstheme="minorEastAsia"/>
                <w:b w:val="0"/>
                <w:bCs/>
                <w:sz w:val="24"/>
              </w:rPr>
              <w:t>6</w:t>
            </w:r>
            <w:r>
              <w:rPr>
                <w:rFonts w:hint="eastAsia" w:asciiTheme="minorEastAsia" w:hAnsiTheme="minorEastAsia" w:eastAsiaTheme="minorEastAsia" w:cstheme="minorEastAsia"/>
                <w:b w:val="0"/>
                <w:bCs/>
                <w:sz w:val="24"/>
              </w:rPr>
              <w:t>、</w:t>
            </w:r>
            <w:r>
              <w:rPr>
                <w:rFonts w:hint="eastAsia" w:asciiTheme="minorEastAsia" w:hAnsiTheme="minorEastAsia" w:eastAsiaTheme="minorEastAsia" w:cstheme="minorEastAsia"/>
                <w:bCs/>
                <w:sz w:val="24"/>
              </w:rPr>
              <w:t>提供不少于五年原厂质保</w:t>
            </w:r>
          </w:p>
        </w:tc>
        <w:tc>
          <w:tcPr>
            <w:tcW w:w="331" w:type="pct"/>
            <w:vAlign w:val="center"/>
          </w:tcPr>
          <w:p w14:paraId="58428BB7">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12</w:t>
            </w:r>
          </w:p>
        </w:tc>
        <w:tc>
          <w:tcPr>
            <w:tcW w:w="357" w:type="pct"/>
            <w:vAlign w:val="center"/>
          </w:tcPr>
          <w:p w14:paraId="3F5572D2">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台</w:t>
            </w:r>
          </w:p>
        </w:tc>
      </w:tr>
      <w:tr w14:paraId="5092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6" w:type="pct"/>
            <w:vAlign w:val="center"/>
          </w:tcPr>
          <w:p w14:paraId="5038CA10">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6</w:t>
            </w:r>
          </w:p>
        </w:tc>
        <w:tc>
          <w:tcPr>
            <w:tcW w:w="697" w:type="pct"/>
            <w:vAlign w:val="center"/>
          </w:tcPr>
          <w:p w14:paraId="23507AC9">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数据中心交换机</w:t>
            </w:r>
          </w:p>
        </w:tc>
        <w:tc>
          <w:tcPr>
            <w:tcW w:w="3246" w:type="pct"/>
            <w:vAlign w:val="center"/>
          </w:tcPr>
          <w:p w14:paraId="0D943912">
            <w:pPr>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1、交换容量≥2.56Tbps，包转发率≥720Mpps</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★2、整机10G接口数≥20，25G接口数量≥4，40G接口数≥2，配置模块化双电源、</w:t>
            </w:r>
            <w:r>
              <w:rPr>
                <w:rFonts w:hint="eastAsia"/>
              </w:rPr>
              <w:t>≥</w:t>
            </w:r>
            <w:r>
              <w:rPr>
                <w:rFonts w:hint="eastAsia" w:asciiTheme="minorEastAsia" w:hAnsiTheme="minorEastAsia" w:eastAsiaTheme="minorEastAsia" w:cstheme="minorEastAsia"/>
                <w:color w:val="000000"/>
                <w:kern w:val="0"/>
                <w:sz w:val="24"/>
              </w:rPr>
              <w:t>12个万兆单模光模块、</w:t>
            </w:r>
            <w:r>
              <w:rPr>
                <w:rFonts w:hint="eastAsia"/>
              </w:rPr>
              <w:t>≥</w:t>
            </w:r>
            <w:r>
              <w:rPr>
                <w:rFonts w:hint="eastAsia" w:asciiTheme="minorEastAsia" w:hAnsiTheme="minorEastAsia" w:eastAsiaTheme="minorEastAsia" w:cstheme="minorEastAsia"/>
                <w:color w:val="000000"/>
                <w:kern w:val="0"/>
                <w:sz w:val="24"/>
              </w:rPr>
              <w:t>12个万兆多模光模块</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3、支持硬件健康状态可视化，可以对风扇状态、电源、温度、板载电压进行监控</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4、支持ITU-TG.8032国际公有环网协议ERPS，并且链路故障的收敛时间≤50ms</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5、设备支持故障隔离技术，用于监测光模块状态，一旦出现故障，可马上识别、并将故障模块隔离，确保不影响其它端口和整机的正常运行</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6、支持RIP，OSPF，BGP，RIPng，OSPFv3，BGP4+协议</w:t>
            </w:r>
          </w:p>
          <w:p w14:paraId="2FC2251A">
            <w:pPr>
              <w:adjustRightInd/>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Cs/>
                <w:sz w:val="24"/>
              </w:rPr>
              <w:t>7、提供不少于五年原厂质保</w:t>
            </w:r>
          </w:p>
        </w:tc>
        <w:tc>
          <w:tcPr>
            <w:tcW w:w="331" w:type="pct"/>
            <w:vAlign w:val="center"/>
          </w:tcPr>
          <w:p w14:paraId="68C8D943">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2</w:t>
            </w:r>
          </w:p>
        </w:tc>
        <w:tc>
          <w:tcPr>
            <w:tcW w:w="357" w:type="pct"/>
            <w:vAlign w:val="center"/>
          </w:tcPr>
          <w:p w14:paraId="198D7665">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台</w:t>
            </w:r>
          </w:p>
        </w:tc>
      </w:tr>
      <w:tr w14:paraId="637D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6" w:type="pct"/>
            <w:vAlign w:val="center"/>
          </w:tcPr>
          <w:p w14:paraId="67D0E3E7">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7</w:t>
            </w:r>
          </w:p>
        </w:tc>
        <w:tc>
          <w:tcPr>
            <w:tcW w:w="697" w:type="pct"/>
            <w:vAlign w:val="center"/>
          </w:tcPr>
          <w:p w14:paraId="4657CF92">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24口万兆光主机</w:t>
            </w:r>
          </w:p>
        </w:tc>
        <w:tc>
          <w:tcPr>
            <w:tcW w:w="3246" w:type="pct"/>
            <w:vAlign w:val="center"/>
          </w:tcPr>
          <w:p w14:paraId="02FBA39F">
            <w:pPr>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1、交换容量≥2.4Tbps， 包转发率≥660Mpps</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★2、整机万兆SFP+光接口≥24个，8个SFP+光口，供电接口≥24个，支持PoE、PoE+、PoE++，每个端口支持最大90W的PoE供电，为了保证设备兼容性，要求供电端口与光口分离设计，配置模块化双电源、一体化理线盒、</w:t>
            </w:r>
            <w:r>
              <w:rPr>
                <w:rFonts w:hint="eastAsia"/>
              </w:rPr>
              <w:t>≥</w:t>
            </w:r>
            <w:r>
              <w:rPr>
                <w:rFonts w:hint="eastAsia" w:asciiTheme="minorEastAsia" w:hAnsiTheme="minorEastAsia" w:eastAsiaTheme="minorEastAsia" w:cstheme="minorEastAsia"/>
                <w:color w:val="000000"/>
                <w:kern w:val="0"/>
                <w:sz w:val="24"/>
              </w:rPr>
              <w:t>8个万兆单模模块</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3、支持光电混合缆传输数据和供电</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4、要求支持对接学校教学区现网全光网管理平台实现供电端口可视化展示，可以展示端口供电情况（包括不仅限于电源开启状态、供电状态、功率、电流、电压），供电端口可视化展示，可以展示光口通讯状态（包括不仅限于接收功率、发送功率、温度、电压、电流），供电链路支持短路保护，当发生短路时，主机可识别短路，并停止供电，当检测短路状态恢复，可再次上电；如所投设备无法对接学校教学区现网全光网管理平台实现以上功能，需另行提供软件平台实现以上功能要求，投标时需做出详细说明</w:t>
            </w:r>
          </w:p>
          <w:p w14:paraId="103A2C67">
            <w:pPr>
              <w:widowControl/>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★5、要求与本次招标无线AP无缝兼容</w:t>
            </w:r>
          </w:p>
          <w:p w14:paraId="3BE8B706">
            <w:pPr>
              <w:adjustRightInd/>
              <w:rPr>
                <w:rFonts w:asciiTheme="minorEastAsia" w:hAnsiTheme="minorEastAsia" w:eastAsiaTheme="minorEastAsia" w:cstheme="minorEastAsia"/>
                <w:b/>
                <w:sz w:val="24"/>
              </w:rPr>
            </w:pPr>
            <w:r>
              <w:rPr>
                <w:rFonts w:asciiTheme="minorEastAsia" w:hAnsiTheme="minorEastAsia" w:eastAsiaTheme="minorEastAsia" w:cstheme="minorEastAsia"/>
                <w:bCs/>
                <w:sz w:val="24"/>
              </w:rPr>
              <w:t>6</w:t>
            </w:r>
            <w:r>
              <w:rPr>
                <w:rFonts w:hint="eastAsia" w:asciiTheme="minorEastAsia" w:hAnsiTheme="minorEastAsia" w:eastAsiaTheme="minorEastAsia" w:cstheme="minorEastAsia"/>
                <w:bCs/>
                <w:sz w:val="24"/>
              </w:rPr>
              <w:t>、提供不少于五年原厂质保</w:t>
            </w:r>
          </w:p>
        </w:tc>
        <w:tc>
          <w:tcPr>
            <w:tcW w:w="331" w:type="pct"/>
            <w:vAlign w:val="center"/>
          </w:tcPr>
          <w:p w14:paraId="729455C4">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3</w:t>
            </w:r>
          </w:p>
        </w:tc>
        <w:tc>
          <w:tcPr>
            <w:tcW w:w="357" w:type="pct"/>
            <w:vAlign w:val="center"/>
          </w:tcPr>
          <w:p w14:paraId="38079429">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台</w:t>
            </w:r>
          </w:p>
        </w:tc>
      </w:tr>
      <w:tr w14:paraId="7CD2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6" w:type="pct"/>
            <w:vAlign w:val="center"/>
          </w:tcPr>
          <w:p w14:paraId="70CC3348">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8</w:t>
            </w:r>
          </w:p>
        </w:tc>
        <w:tc>
          <w:tcPr>
            <w:tcW w:w="697" w:type="pct"/>
            <w:vAlign w:val="center"/>
          </w:tcPr>
          <w:p w14:paraId="0886A3BC">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48口万兆光主机</w:t>
            </w:r>
          </w:p>
        </w:tc>
        <w:tc>
          <w:tcPr>
            <w:tcW w:w="3246" w:type="pct"/>
            <w:vAlign w:val="center"/>
          </w:tcPr>
          <w:p w14:paraId="753DE823">
            <w:pPr>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1、交换容量≥2.4Tbps， 包转发率≥660Mpps</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★2、固化1G/2.5G SFP接口≥40个，1G/2.5G /10G SFP+接口≥8个，25G SFP28接口≥4个，40G QSFP+接口≥2个，支持≥48个供电接口，单供电端口支持PoE、PoE+、PoE++，每个终端支持最大90W的PoE供电，配置模块化双电源、一体化理线盒、</w:t>
            </w:r>
            <w:r>
              <w:rPr>
                <w:rFonts w:hint="eastAsia"/>
              </w:rPr>
              <w:t>≥</w:t>
            </w:r>
            <w:r>
              <w:rPr>
                <w:rFonts w:hint="eastAsia" w:asciiTheme="minorEastAsia" w:hAnsiTheme="minorEastAsia" w:eastAsiaTheme="minorEastAsia" w:cstheme="minorEastAsia"/>
                <w:color w:val="000000"/>
                <w:kern w:val="0"/>
                <w:sz w:val="24"/>
              </w:rPr>
              <w:t>4个万兆单模模块</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3、为了方便PoE供电端口与光电混合缆续接，要求主机固化的PoE供电接口采用集中接口方式</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4、支持光电混合缆传输数据和供电</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5、支持对接现网全光网管理平台实现供电端口可视化展示，可以展示端口供电情况（包括不仅限于电源开启状态、供电状态、功率、电流、电压），供电端口可视化展示，可以展示光口通讯状态（包括不仅限于接收功率、发送功率、温度、电压、电流），供电链路支持短路保护，当发生短路时，主机可识别短路，并停止供电，当检测短路状态恢复，可再次上电；如所投设备无法对接现网全光网管理平台实现以上功能，需另行提供软件平台实现以上功能要求</w:t>
            </w:r>
          </w:p>
          <w:p w14:paraId="6CE247F5">
            <w:pPr>
              <w:widowControl/>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★6、要求与本次招标无线AP无缝兼容</w:t>
            </w:r>
          </w:p>
          <w:p w14:paraId="6250B075">
            <w:pPr>
              <w:adjustRightInd/>
              <w:rPr>
                <w:rFonts w:asciiTheme="minorEastAsia" w:hAnsiTheme="minorEastAsia" w:eastAsiaTheme="minorEastAsia" w:cstheme="minorEastAsia"/>
                <w:b/>
                <w:sz w:val="24"/>
              </w:rPr>
            </w:pPr>
            <w:r>
              <w:rPr>
                <w:rFonts w:asciiTheme="minorEastAsia" w:hAnsiTheme="minorEastAsia" w:eastAsiaTheme="minorEastAsia" w:cstheme="minorEastAsia"/>
                <w:color w:val="000000"/>
                <w:kern w:val="0"/>
                <w:sz w:val="24"/>
              </w:rPr>
              <w:t>7</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bCs/>
                <w:sz w:val="24"/>
              </w:rPr>
              <w:t>提供不少于五年原厂质保</w:t>
            </w:r>
          </w:p>
        </w:tc>
        <w:tc>
          <w:tcPr>
            <w:tcW w:w="331" w:type="pct"/>
            <w:vAlign w:val="center"/>
          </w:tcPr>
          <w:p w14:paraId="5E5363D1">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15</w:t>
            </w:r>
          </w:p>
        </w:tc>
        <w:tc>
          <w:tcPr>
            <w:tcW w:w="357" w:type="pct"/>
            <w:vAlign w:val="center"/>
          </w:tcPr>
          <w:p w14:paraId="6B9D14E6">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台</w:t>
            </w:r>
          </w:p>
        </w:tc>
      </w:tr>
      <w:tr w14:paraId="2D53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6" w:type="pct"/>
            <w:vAlign w:val="center"/>
          </w:tcPr>
          <w:p w14:paraId="2F03672B">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9</w:t>
            </w:r>
          </w:p>
        </w:tc>
        <w:tc>
          <w:tcPr>
            <w:tcW w:w="697" w:type="pct"/>
            <w:vAlign w:val="center"/>
          </w:tcPr>
          <w:p w14:paraId="72388B33">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AP用光电混合缆</w:t>
            </w:r>
          </w:p>
        </w:tc>
        <w:tc>
          <w:tcPr>
            <w:tcW w:w="3246" w:type="pct"/>
            <w:vAlign w:val="center"/>
          </w:tcPr>
          <w:p w14:paraId="7EC7708D">
            <w:pPr>
              <w:widowControl/>
              <w:adjustRightInd/>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1、室内单芯2x0.5mm²单卷线长室内光电混合缆（单卷线缆不少于300米）</w:t>
            </w:r>
          </w:p>
        </w:tc>
        <w:tc>
          <w:tcPr>
            <w:tcW w:w="331" w:type="pct"/>
            <w:vAlign w:val="center"/>
          </w:tcPr>
          <w:p w14:paraId="0C3F87A1">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90</w:t>
            </w:r>
          </w:p>
        </w:tc>
        <w:tc>
          <w:tcPr>
            <w:tcW w:w="357" w:type="pct"/>
            <w:vAlign w:val="center"/>
          </w:tcPr>
          <w:p w14:paraId="6732E277">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卷</w:t>
            </w:r>
          </w:p>
        </w:tc>
      </w:tr>
      <w:tr w14:paraId="6584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6" w:type="pct"/>
            <w:vAlign w:val="center"/>
          </w:tcPr>
          <w:p w14:paraId="3721311B">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10</w:t>
            </w:r>
          </w:p>
        </w:tc>
        <w:tc>
          <w:tcPr>
            <w:tcW w:w="697" w:type="pct"/>
            <w:vAlign w:val="center"/>
          </w:tcPr>
          <w:p w14:paraId="7376944E">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AP端模块</w:t>
            </w:r>
          </w:p>
        </w:tc>
        <w:tc>
          <w:tcPr>
            <w:tcW w:w="3246" w:type="pct"/>
            <w:vAlign w:val="center"/>
          </w:tcPr>
          <w:p w14:paraId="2839715C">
            <w:pPr>
              <w:widowControl/>
              <w:adjustRightInd/>
              <w:rPr>
                <w:rFonts w:asciiTheme="minorEastAsia" w:hAnsiTheme="minorEastAsia" w:eastAsiaTheme="minorEastAsia" w:cstheme="minorEastAsia"/>
                <w:b w:val="0"/>
                <w:color w:val="000000"/>
                <w:kern w:val="0"/>
                <w:sz w:val="24"/>
              </w:rPr>
            </w:pPr>
            <w:r>
              <w:rPr>
                <w:rFonts w:hint="eastAsia" w:asciiTheme="minorEastAsia" w:hAnsiTheme="minorEastAsia" w:eastAsiaTheme="minorEastAsia" w:cstheme="minorEastAsia"/>
                <w:color w:val="000000"/>
                <w:kern w:val="0"/>
                <w:sz w:val="24"/>
              </w:rPr>
              <w:t>光模块-SFP 2.5GBIDI光模块-TX1550/RX1310-工业级，3km，LC，要求与本次招标无线AP无缝兼容，</w:t>
            </w:r>
            <w:r>
              <w:rPr>
                <w:rFonts w:hint="eastAsia" w:asciiTheme="minorEastAsia" w:hAnsiTheme="minorEastAsia" w:eastAsiaTheme="minorEastAsia" w:cstheme="minorEastAsia"/>
                <w:bCs/>
                <w:sz w:val="24"/>
              </w:rPr>
              <w:t>提供不少于五年原厂质保</w:t>
            </w:r>
          </w:p>
        </w:tc>
        <w:tc>
          <w:tcPr>
            <w:tcW w:w="331" w:type="pct"/>
            <w:vAlign w:val="center"/>
          </w:tcPr>
          <w:p w14:paraId="6BFD9D3B">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650</w:t>
            </w:r>
          </w:p>
        </w:tc>
        <w:tc>
          <w:tcPr>
            <w:tcW w:w="357" w:type="pct"/>
            <w:vAlign w:val="center"/>
          </w:tcPr>
          <w:p w14:paraId="6AA0310B">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个</w:t>
            </w:r>
          </w:p>
        </w:tc>
      </w:tr>
      <w:tr w14:paraId="4250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6" w:type="pct"/>
            <w:vAlign w:val="center"/>
          </w:tcPr>
          <w:p w14:paraId="6F0B9149">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11</w:t>
            </w:r>
          </w:p>
        </w:tc>
        <w:tc>
          <w:tcPr>
            <w:tcW w:w="697" w:type="pct"/>
            <w:vAlign w:val="center"/>
          </w:tcPr>
          <w:p w14:paraId="0F13DFF3">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主机端模块</w:t>
            </w:r>
          </w:p>
        </w:tc>
        <w:tc>
          <w:tcPr>
            <w:tcW w:w="3246" w:type="pct"/>
            <w:vAlign w:val="center"/>
          </w:tcPr>
          <w:p w14:paraId="79932895">
            <w:pPr>
              <w:widowControl/>
              <w:adjustRightInd/>
              <w:rPr>
                <w:rFonts w:asciiTheme="minorEastAsia" w:hAnsiTheme="minorEastAsia" w:eastAsiaTheme="minorEastAsia" w:cstheme="minorEastAsia"/>
                <w:b w:val="0"/>
                <w:color w:val="000000"/>
                <w:kern w:val="0"/>
                <w:sz w:val="24"/>
              </w:rPr>
            </w:pPr>
            <w:r>
              <w:rPr>
                <w:rFonts w:hint="eastAsia" w:asciiTheme="minorEastAsia" w:hAnsiTheme="minorEastAsia" w:eastAsiaTheme="minorEastAsia" w:cstheme="minorEastAsia"/>
                <w:color w:val="000000"/>
                <w:kern w:val="0"/>
                <w:sz w:val="24"/>
              </w:rPr>
              <w:t>光模块-SFP 2.5GBIDI光模块-TX1310/RX1550-工业级，3km，LC，要求与本次招标无线AP无缝兼容，</w:t>
            </w:r>
            <w:r>
              <w:rPr>
                <w:rFonts w:hint="eastAsia" w:asciiTheme="minorEastAsia" w:hAnsiTheme="minorEastAsia" w:eastAsiaTheme="minorEastAsia" w:cstheme="minorEastAsia"/>
                <w:bCs/>
                <w:sz w:val="24"/>
              </w:rPr>
              <w:t>提供不少于五年原厂质保</w:t>
            </w:r>
          </w:p>
        </w:tc>
        <w:tc>
          <w:tcPr>
            <w:tcW w:w="331" w:type="pct"/>
            <w:vAlign w:val="center"/>
          </w:tcPr>
          <w:p w14:paraId="5ABA72E7">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650</w:t>
            </w:r>
          </w:p>
        </w:tc>
        <w:tc>
          <w:tcPr>
            <w:tcW w:w="357" w:type="pct"/>
            <w:vAlign w:val="center"/>
          </w:tcPr>
          <w:p w14:paraId="6AF90CBE">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个</w:t>
            </w:r>
          </w:p>
        </w:tc>
      </w:tr>
      <w:tr w14:paraId="3393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6" w:type="pct"/>
            <w:vAlign w:val="center"/>
          </w:tcPr>
          <w:p w14:paraId="56759D50">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12</w:t>
            </w:r>
          </w:p>
        </w:tc>
        <w:tc>
          <w:tcPr>
            <w:tcW w:w="697" w:type="pct"/>
            <w:vAlign w:val="center"/>
          </w:tcPr>
          <w:p w14:paraId="20AD2588">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放装AP</w:t>
            </w:r>
          </w:p>
        </w:tc>
        <w:tc>
          <w:tcPr>
            <w:tcW w:w="3246" w:type="pct"/>
            <w:vAlign w:val="center"/>
          </w:tcPr>
          <w:p w14:paraId="21D28498">
            <w:pPr>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★1、支持802.11be标准，采用双射频设计，整机空间流≥4条，整机最大接入速率≥3.57Gbps</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2、支持2.5G以太网接口≥1个，支持5G光口≥1个，含盘线底盒</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3、支持蓝牙5.3</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4、要求本次所投无线AP可被我校教学区无线控制器统一管理，实现无线配置统一下发、无线版本统一升级；如所投无线AP无法被我校教学区无线控制器统一管理，投标时需另行提供2台无线控制器，单台所提供无线控制器需满足：12个千兆电口，12个万兆光口，2个40G光口，整机集中转发模式下最大可管理不少于10000个无线AP，配置双电源、2048个无线管理授权</w:t>
            </w:r>
          </w:p>
          <w:p w14:paraId="7BF0548C">
            <w:pPr>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5、配置1个SDN全光网运维平台管理授权，实现无线配置自动备份，无线智能自动化网优，无线状态可视化，无线用户策略随行功能；如所投设备无法被我校教学区现有SDN全光网运维平台统一纳管，投标时需额外提供SDN软件平台进行全功能替换，配置不少于500台网络设备管控分析授权，不少于1200台无线AP管控分析授权，业务策略随行授权，网络智能分析授权，不少于50000哑终端准入分析授权</w:t>
            </w:r>
          </w:p>
          <w:p w14:paraId="5B8DD0ED">
            <w:pPr>
              <w:adjustRightInd/>
              <w:rPr>
                <w:rFonts w:asciiTheme="minorEastAsia" w:hAnsiTheme="minorEastAsia" w:eastAsiaTheme="minorEastAsia" w:cstheme="minorEastAsia"/>
                <w:b/>
                <w:sz w:val="24"/>
              </w:rPr>
            </w:pPr>
            <w:r>
              <w:rPr>
                <w:rFonts w:asciiTheme="minorEastAsia" w:hAnsiTheme="minorEastAsia" w:eastAsiaTheme="minorEastAsia" w:cstheme="minorEastAsia"/>
                <w:color w:val="000000"/>
                <w:kern w:val="0"/>
                <w:sz w:val="24"/>
              </w:rPr>
              <w:t>6</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bCs/>
                <w:sz w:val="24"/>
              </w:rPr>
              <w:t>提供不少于五年原厂质保</w:t>
            </w:r>
          </w:p>
        </w:tc>
        <w:tc>
          <w:tcPr>
            <w:tcW w:w="331" w:type="pct"/>
            <w:vAlign w:val="center"/>
          </w:tcPr>
          <w:p w14:paraId="2FE271FB">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375</w:t>
            </w:r>
          </w:p>
        </w:tc>
        <w:tc>
          <w:tcPr>
            <w:tcW w:w="357" w:type="pct"/>
            <w:vAlign w:val="center"/>
          </w:tcPr>
          <w:p w14:paraId="616AF24E">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台</w:t>
            </w:r>
          </w:p>
        </w:tc>
      </w:tr>
      <w:tr w14:paraId="7312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6" w:type="pct"/>
            <w:vAlign w:val="center"/>
          </w:tcPr>
          <w:p w14:paraId="53205D88">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13</w:t>
            </w:r>
          </w:p>
        </w:tc>
        <w:tc>
          <w:tcPr>
            <w:tcW w:w="697" w:type="pct"/>
            <w:vAlign w:val="center"/>
          </w:tcPr>
          <w:p w14:paraId="3DFC5D15">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高密AP1</w:t>
            </w:r>
          </w:p>
        </w:tc>
        <w:tc>
          <w:tcPr>
            <w:tcW w:w="3246" w:type="pct"/>
            <w:vAlign w:val="center"/>
          </w:tcPr>
          <w:p w14:paraId="7B2DB7E1">
            <w:pPr>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★1、支持802.11be标准，采用三射频设计，整机空间流≥12条，整机最大无线速率≥12Gbps</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2、支持1个10G以太网电口和1个1G以太网电口，支持10G光口≥1个，含盘线底盒</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3、支持蓝牙5.3</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4、要求本次所投无线AP可被我校教学区无线控制器统一管理，实现无线配置统一下发、无线版本统一升级；如所投无线AP无法被我校教学区无线控制器统一管理，投标时需另行提供2台无线控制器，单台所提供无线控制器需满足：12个千兆电口，12个万兆光口，2个40G光口，整机集中转发模式下最大可管理不少于10000个无线AP，配置双电源、2048个无线管理授权</w:t>
            </w:r>
          </w:p>
          <w:p w14:paraId="4154D06A">
            <w:pPr>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5、配置1个SDN全光网运维平台管理授权，实现无线配置自动备份，无线智能自动化网优，无线状态可视化，无线用户策略随行功能；如所投设备无法被我校教学区现有SDN全光网运维平台统一纳管，投标时需额外提供SDN软件平台进行全功能替换，配置不少于500台网络设备管控分析授权，不少于1200台无线AP管控分析授权，业务策略随行授权，网络智能分析授权，不少于50000哑终端准入分析授权</w:t>
            </w:r>
          </w:p>
          <w:p w14:paraId="6A44B7BC">
            <w:pPr>
              <w:adjustRightInd/>
              <w:rPr>
                <w:rFonts w:asciiTheme="minorEastAsia" w:hAnsiTheme="minorEastAsia" w:eastAsiaTheme="minorEastAsia" w:cstheme="minorEastAsia"/>
                <w:b/>
                <w:sz w:val="24"/>
              </w:rPr>
            </w:pPr>
            <w:r>
              <w:rPr>
                <w:rFonts w:asciiTheme="minorEastAsia" w:hAnsiTheme="minorEastAsia" w:eastAsiaTheme="minorEastAsia" w:cstheme="minorEastAsia"/>
                <w:color w:val="000000"/>
                <w:kern w:val="0"/>
                <w:sz w:val="24"/>
              </w:rPr>
              <w:t>6</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bCs/>
                <w:sz w:val="24"/>
              </w:rPr>
              <w:t>提供不少于五年原厂质保</w:t>
            </w:r>
          </w:p>
        </w:tc>
        <w:tc>
          <w:tcPr>
            <w:tcW w:w="331" w:type="pct"/>
            <w:vAlign w:val="center"/>
          </w:tcPr>
          <w:p w14:paraId="7AAB34AD">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210</w:t>
            </w:r>
          </w:p>
        </w:tc>
        <w:tc>
          <w:tcPr>
            <w:tcW w:w="357" w:type="pct"/>
            <w:vAlign w:val="center"/>
          </w:tcPr>
          <w:p w14:paraId="36E01286">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台</w:t>
            </w:r>
          </w:p>
        </w:tc>
      </w:tr>
      <w:tr w14:paraId="39B8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6" w:type="pct"/>
            <w:vAlign w:val="center"/>
          </w:tcPr>
          <w:p w14:paraId="6C2C54E3">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14</w:t>
            </w:r>
          </w:p>
        </w:tc>
        <w:tc>
          <w:tcPr>
            <w:tcW w:w="697" w:type="pct"/>
            <w:vAlign w:val="center"/>
          </w:tcPr>
          <w:p w14:paraId="74C8DF3B">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高密AP2</w:t>
            </w:r>
          </w:p>
        </w:tc>
        <w:tc>
          <w:tcPr>
            <w:tcW w:w="3246" w:type="pct"/>
            <w:vAlign w:val="center"/>
          </w:tcPr>
          <w:p w14:paraId="5B1B8BC1">
            <w:pPr>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★1、支持802.11be标准，采用三射频设计，整机空间流≥8条，整机最大无线速率≥6.45Gbps</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2、支持5GHz内外置天线切换，要求本次配置双天线</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3、为满足高密环境部署，内置多档天线切换可实现天线切换抗干扰能力提升。</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4、支持1个5G以太网电口和1个1G以太网电口，支持10G光口≥1个，含盘线底盒</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5、支持蓝牙5.3</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6、要求本次所投无线AP可被我校教学区无线控制器统一管理，实现无线配置统一下发、无线版本统一升级；如所投无线AP无法被我校教学区无线控制器统一管理，投标时需另行提供2台无线控制器，单台所提供无线控制器需满足：12个千兆电口，12个万兆光口，2个40G光口，整机集中转发模式下最大可管理不少于10000个无线AP，配置双电源、2048个无线管理授权</w:t>
            </w:r>
          </w:p>
          <w:p w14:paraId="2D85ED9A">
            <w:pPr>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7、配置1个SDN全光网运维平台管理授权，实现无线配置自动备份，无线智能自动化网优，无线状态可视化，无线用户策略随行功能；如所投设备无法被我校教学区现有SDN全光网运维平台统一纳管，投标时需额外提供SDN软件平台进行全功能替换，配置不少于500台网络设备管控分析授权，不少于1200台无线AP管控分析授权，业务策略随行授权，网络智能分析授权，不少于不少于50000哑终端准入分析授权</w:t>
            </w:r>
          </w:p>
          <w:p w14:paraId="76E2CF8D">
            <w:pPr>
              <w:adjustRightInd/>
              <w:rPr>
                <w:rFonts w:asciiTheme="minorEastAsia" w:hAnsiTheme="minorEastAsia" w:eastAsiaTheme="minorEastAsia" w:cstheme="minorEastAsia"/>
                <w:b/>
                <w:sz w:val="24"/>
              </w:rPr>
            </w:pPr>
            <w:r>
              <w:rPr>
                <w:rFonts w:asciiTheme="minorEastAsia" w:hAnsiTheme="minorEastAsia" w:eastAsiaTheme="minorEastAsia" w:cstheme="minorEastAsia"/>
                <w:color w:val="000000"/>
                <w:kern w:val="0"/>
                <w:sz w:val="24"/>
              </w:rPr>
              <w:t>8</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bCs/>
                <w:sz w:val="24"/>
              </w:rPr>
              <w:t>提供不少于五年原厂质保</w:t>
            </w:r>
          </w:p>
        </w:tc>
        <w:tc>
          <w:tcPr>
            <w:tcW w:w="331" w:type="pct"/>
            <w:vAlign w:val="center"/>
          </w:tcPr>
          <w:p w14:paraId="7F0693F4">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16</w:t>
            </w:r>
          </w:p>
        </w:tc>
        <w:tc>
          <w:tcPr>
            <w:tcW w:w="357" w:type="pct"/>
            <w:vAlign w:val="center"/>
          </w:tcPr>
          <w:p w14:paraId="4ADA7FDB">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台</w:t>
            </w:r>
          </w:p>
        </w:tc>
      </w:tr>
      <w:tr w14:paraId="071F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6" w:type="pct"/>
            <w:vAlign w:val="center"/>
          </w:tcPr>
          <w:p w14:paraId="0811BED9">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15</w:t>
            </w:r>
          </w:p>
        </w:tc>
        <w:tc>
          <w:tcPr>
            <w:tcW w:w="697" w:type="pct"/>
            <w:vAlign w:val="center"/>
          </w:tcPr>
          <w:p w14:paraId="5DC7E25A">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面板AP</w:t>
            </w:r>
          </w:p>
        </w:tc>
        <w:tc>
          <w:tcPr>
            <w:tcW w:w="3246" w:type="pct"/>
            <w:vAlign w:val="center"/>
          </w:tcPr>
          <w:p w14:paraId="0648A030">
            <w:pPr>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★1、支持802.11be标准，采用双射频设计，整机空间流≥4条，整机最大接入速率≥3.57Gbps</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2、面板型AP，支持嵌入86面板安装方式</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3、2.5G以太网电口上联口≥1个，1G以太网电口下联口≥4个</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4、支持蓝牙5.3</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5、要求本次所投无线AP可被我校教学区无线控制器统一管理，实现无线配置统一下发、无线版本统一升级；如所投无线AP无法被我校教学区无线控制器统一管理，投标时需另行提供2台无线控制器，单台所提供无线控制器需满足：12个千兆电口，12个万兆光口，2个40G光口，整机集中转发模式下最大可管理不少于10000个无线AP，配置双电源、2048个无线管理授权</w:t>
            </w:r>
          </w:p>
          <w:p w14:paraId="2BE55137">
            <w:pPr>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5、配置1个SDN全光网运维平台管理授权，实现无线配置自动备份，无线智能自动化网优，无线状态可视化，无线用户策略随行功能；如所投设备无法被我校教学区现有SDN全光网运维平台统一纳管，投标时需额外提供SDN软件平台进行全功能替换，配置不少于500台网络设备管控分析授权，不少于1200台无线AP管控分析授权，业务策略随行授权，网络智能分析授权，不少于50000哑终端准入分析授权</w:t>
            </w:r>
          </w:p>
          <w:p w14:paraId="01C8DBC3">
            <w:pPr>
              <w:adjustRightInd/>
              <w:rPr>
                <w:rFonts w:asciiTheme="minorEastAsia" w:hAnsiTheme="minorEastAsia" w:eastAsiaTheme="minorEastAsia" w:cstheme="minorEastAsia"/>
                <w:b/>
                <w:sz w:val="24"/>
              </w:rPr>
            </w:pPr>
            <w:r>
              <w:rPr>
                <w:rFonts w:asciiTheme="minorEastAsia" w:hAnsiTheme="minorEastAsia" w:eastAsiaTheme="minorEastAsia" w:cstheme="minorEastAsia"/>
                <w:color w:val="000000"/>
                <w:kern w:val="0"/>
                <w:sz w:val="24"/>
              </w:rPr>
              <w:t>6</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bCs/>
                <w:sz w:val="24"/>
              </w:rPr>
              <w:t>提供不少于五年原厂质保</w:t>
            </w:r>
          </w:p>
        </w:tc>
        <w:tc>
          <w:tcPr>
            <w:tcW w:w="331" w:type="pct"/>
            <w:vAlign w:val="center"/>
          </w:tcPr>
          <w:p w14:paraId="7C93584A">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380</w:t>
            </w:r>
          </w:p>
        </w:tc>
        <w:tc>
          <w:tcPr>
            <w:tcW w:w="357" w:type="pct"/>
            <w:vAlign w:val="center"/>
          </w:tcPr>
          <w:p w14:paraId="471239ED">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台</w:t>
            </w:r>
          </w:p>
        </w:tc>
      </w:tr>
      <w:tr w14:paraId="516D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6" w:type="pct"/>
            <w:vAlign w:val="center"/>
          </w:tcPr>
          <w:p w14:paraId="45EAD2F6">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16</w:t>
            </w:r>
          </w:p>
        </w:tc>
        <w:tc>
          <w:tcPr>
            <w:tcW w:w="697" w:type="pct"/>
            <w:vAlign w:val="center"/>
          </w:tcPr>
          <w:p w14:paraId="405138FD">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光面板AP</w:t>
            </w:r>
          </w:p>
        </w:tc>
        <w:tc>
          <w:tcPr>
            <w:tcW w:w="3246" w:type="pct"/>
            <w:vAlign w:val="center"/>
          </w:tcPr>
          <w:p w14:paraId="43498F54">
            <w:pPr>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★1、支持802.11be标准，采用双射频设计，整机空间流≥4条，整机最大接入速率≥3.57Gbps</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2、面板型AP，支持嵌入86面板安装方式</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3、2.5G光口上联口≥1个，1G以太网电口下联口≥4个，含盘线底盒</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4、支持蓝牙5.3</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5、要求本次所投无线AP可被我校教学区无线控制器统一管理，实现无线配置统一下发、无线版本统一升级；如所投无线AP无法被我校教学区无线控制器统一管理，投标时需另行提供2台无线控制器，单台所提供无线控制器需满足：12个千兆电口，12个万兆光口，2个40G光口，整机集中转发模式下最大可管理不少于10000个无线AP，配置双电源、2048个无线管理授权</w:t>
            </w:r>
          </w:p>
          <w:p w14:paraId="4EEFDCFB">
            <w:pPr>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6、配置1个SDN全光网运维平台管理授权，实现无线配置自动备份，无线智能自动化网优，无线状态可视化，无线用户策略随行功能；如所投设备无法被我校教学区现有SDN全光网运维平台统一纳管，投标时需额外提供SDN软件平台进行全功能替换，配置不少于500台网络设备管控分析授权，不少于1200台无线AP管控分析授权，业务策略随行授权，网络智能分析授权，不少于50000哑终端准入分析授权</w:t>
            </w:r>
          </w:p>
          <w:p w14:paraId="6968F0D3">
            <w:pPr>
              <w:adjustRightInd/>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7、</w:t>
            </w:r>
            <w:r>
              <w:rPr>
                <w:rFonts w:hint="eastAsia" w:asciiTheme="minorEastAsia" w:hAnsiTheme="minorEastAsia" w:eastAsiaTheme="minorEastAsia" w:cstheme="minorEastAsia"/>
                <w:bCs/>
                <w:sz w:val="24"/>
              </w:rPr>
              <w:t>提供不少于五年原厂质保</w:t>
            </w:r>
          </w:p>
        </w:tc>
        <w:tc>
          <w:tcPr>
            <w:tcW w:w="331" w:type="pct"/>
            <w:vAlign w:val="center"/>
          </w:tcPr>
          <w:p w14:paraId="496563EC">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115</w:t>
            </w:r>
          </w:p>
        </w:tc>
        <w:tc>
          <w:tcPr>
            <w:tcW w:w="357" w:type="pct"/>
            <w:vAlign w:val="center"/>
          </w:tcPr>
          <w:p w14:paraId="2F9BF39F">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台</w:t>
            </w:r>
          </w:p>
        </w:tc>
      </w:tr>
      <w:tr w14:paraId="7366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6" w:type="pct"/>
            <w:vAlign w:val="center"/>
          </w:tcPr>
          <w:p w14:paraId="43B03BFF">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17</w:t>
            </w:r>
          </w:p>
        </w:tc>
        <w:tc>
          <w:tcPr>
            <w:tcW w:w="697" w:type="pct"/>
            <w:vAlign w:val="center"/>
          </w:tcPr>
          <w:p w14:paraId="6132DE5B">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室外AP1</w:t>
            </w:r>
          </w:p>
        </w:tc>
        <w:tc>
          <w:tcPr>
            <w:tcW w:w="3246" w:type="pct"/>
            <w:vAlign w:val="center"/>
          </w:tcPr>
          <w:p w14:paraId="4E18D86A">
            <w:pPr>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★1、支持802.11be标准，采用双射频设计，整机4条空间流，整机最大无线接入速率≥3.5Gbps</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2、室外型AP，内置定向天线设计，含安装支架</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3、支持2.5G有线接口≥1个，支持2.5G光口≥1个</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4、支持内置蓝牙5.3</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5、要求本次所投无线AP可被我校教学区无线控制器统一管理，实现无线配置统一下发、无线版本统一升级；如所投无线AP无法被我校教学区无线控制器统一管理，投标时需另行提供2台无线控制器，单台所提供无线控制器需满足：12个千兆电口，12个万兆光口，2个40G光口，整机集中转发模式下最大可管理不少于10000个无线AP，配置双电源、2048个无线管理授权</w:t>
            </w:r>
          </w:p>
          <w:p w14:paraId="7AFEF782">
            <w:pPr>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6、配置1个SDN全光网运维平台管理授权，实现无线配置自动备份，无线智能自动化网优，无线状态可视化，无线用户策略随行功能；如所投设备无法被我校教学区现有SDN全光网运维平台统一纳管，投标时需额外提供SDN软件平台进行全功能替换，配置不少于500台网络设备管控分析授权，不少于1200台无线AP管控分析授权，业务策略随行授权，网络智能分析授权，不少于50000哑终端准入分析授权</w:t>
            </w:r>
          </w:p>
          <w:p w14:paraId="600274B5">
            <w:pPr>
              <w:adjustRightInd/>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7、</w:t>
            </w:r>
            <w:r>
              <w:rPr>
                <w:rFonts w:hint="eastAsia" w:asciiTheme="minorEastAsia" w:hAnsiTheme="minorEastAsia" w:eastAsiaTheme="minorEastAsia" w:cstheme="minorEastAsia"/>
                <w:bCs/>
                <w:sz w:val="24"/>
              </w:rPr>
              <w:t>提供不少于五年原厂质保</w:t>
            </w:r>
          </w:p>
        </w:tc>
        <w:tc>
          <w:tcPr>
            <w:tcW w:w="331" w:type="pct"/>
            <w:vAlign w:val="center"/>
          </w:tcPr>
          <w:p w14:paraId="74575638">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14</w:t>
            </w:r>
          </w:p>
        </w:tc>
        <w:tc>
          <w:tcPr>
            <w:tcW w:w="357" w:type="pct"/>
            <w:vAlign w:val="center"/>
          </w:tcPr>
          <w:p w14:paraId="5697D14B">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台</w:t>
            </w:r>
          </w:p>
        </w:tc>
      </w:tr>
      <w:tr w14:paraId="3599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6" w:type="pct"/>
            <w:vAlign w:val="center"/>
          </w:tcPr>
          <w:p w14:paraId="72BC3154">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18</w:t>
            </w:r>
          </w:p>
        </w:tc>
        <w:tc>
          <w:tcPr>
            <w:tcW w:w="697" w:type="pct"/>
            <w:vAlign w:val="center"/>
          </w:tcPr>
          <w:p w14:paraId="175F831F">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室外AP2</w:t>
            </w:r>
          </w:p>
        </w:tc>
        <w:tc>
          <w:tcPr>
            <w:tcW w:w="3246" w:type="pct"/>
            <w:vAlign w:val="center"/>
          </w:tcPr>
          <w:p w14:paraId="5396A2A8">
            <w:pPr>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★1、支持802.11be标准，采用双射频设计，整机4条空间流，整机最大无线接入速率≥3.5Gbps</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2、室外型AP，内置全向天线设计，含安装支架</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3、支持2.5G有线接口≥1个，支持2.5G光口≥1个</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4、支持内置蓝牙5.3</w:t>
            </w:r>
            <w:r>
              <w:rPr>
                <w:rFonts w:hint="eastAsia" w:asciiTheme="minorEastAsia" w:hAnsiTheme="minorEastAsia" w:eastAsiaTheme="minorEastAsia" w:cstheme="minorEastAsia"/>
                <w:color w:val="000000"/>
                <w:kern w:val="0"/>
                <w:sz w:val="24"/>
              </w:rPr>
              <w:br w:type="textWrapping"/>
            </w:r>
            <w:r>
              <w:rPr>
                <w:rFonts w:hint="eastAsia" w:asciiTheme="minorEastAsia" w:hAnsiTheme="minorEastAsia" w:eastAsiaTheme="minorEastAsia" w:cstheme="minorEastAsia"/>
                <w:color w:val="000000"/>
                <w:kern w:val="0"/>
                <w:sz w:val="24"/>
              </w:rPr>
              <w:t>★5、要求本次所投无线AP可被我校教学区无线控制器统一管理，实现无线配置统一下发、无线版本统一升级；如所投无线AP无法被我校教学区无线控制器统一管理，投标时需另行提供2台无线控制器，单台所提供无线控制器需满足：12个千兆电口，12个万兆光口，2个40G光口，整机集中转发模式下最大可管理不少于10000个无线AP，配置双电源、2048个无线管理授权</w:t>
            </w:r>
          </w:p>
          <w:p w14:paraId="589C626F">
            <w:pPr>
              <w:adjustRightInd/>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6、配置1个SDN全光网运维平台管理授权，实现无线配置自动备份，无线智能自动化网优，无线状态可视化，无线用户策略随行功能；如所投设备无法被我校教学区现有SDN全光网运维平台统一纳管，投标时需额外提供SDN软件平台进行全功能替换，配置不少于500台网络设备管控分析授权，不少于1200台无线AP管控分析授权，业务策略随行授权，网络智能分析授权，不少于50000哑终端准入分析授权</w:t>
            </w:r>
          </w:p>
          <w:p w14:paraId="113C154D">
            <w:pPr>
              <w:adjustRightInd/>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7、</w:t>
            </w:r>
            <w:r>
              <w:rPr>
                <w:rFonts w:hint="eastAsia" w:asciiTheme="minorEastAsia" w:hAnsiTheme="minorEastAsia" w:eastAsiaTheme="minorEastAsia" w:cstheme="minorEastAsia"/>
                <w:bCs/>
                <w:sz w:val="24"/>
              </w:rPr>
              <w:t>提供不少于五年原厂质保</w:t>
            </w:r>
          </w:p>
        </w:tc>
        <w:tc>
          <w:tcPr>
            <w:tcW w:w="331" w:type="pct"/>
            <w:vAlign w:val="center"/>
          </w:tcPr>
          <w:p w14:paraId="729E22B7">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17</w:t>
            </w:r>
          </w:p>
        </w:tc>
        <w:tc>
          <w:tcPr>
            <w:tcW w:w="357" w:type="pct"/>
            <w:vAlign w:val="center"/>
          </w:tcPr>
          <w:p w14:paraId="73E10FA4">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台</w:t>
            </w:r>
          </w:p>
        </w:tc>
      </w:tr>
      <w:tr w14:paraId="1B1D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6" w:type="pct"/>
            <w:vAlign w:val="center"/>
          </w:tcPr>
          <w:p w14:paraId="103F4CBD">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19</w:t>
            </w:r>
          </w:p>
        </w:tc>
        <w:tc>
          <w:tcPr>
            <w:tcW w:w="697" w:type="pct"/>
            <w:vAlign w:val="center"/>
          </w:tcPr>
          <w:p w14:paraId="61B95A83">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弱电改造及实施</w:t>
            </w:r>
          </w:p>
        </w:tc>
        <w:tc>
          <w:tcPr>
            <w:tcW w:w="3246" w:type="pct"/>
            <w:vAlign w:val="center"/>
          </w:tcPr>
          <w:p w14:paraId="38F7DFE3">
            <w:pPr>
              <w:widowControl/>
              <w:adjustRightInd/>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1、本次改造教室采用高密AP，实验室采用高密/放装AP、公共区域采用放装AP，小办公室采用面板AP，</w:t>
            </w:r>
            <w:r>
              <w:rPr>
                <w:rFonts w:hint="eastAsia" w:asciiTheme="minorEastAsia" w:hAnsiTheme="minorEastAsia" w:eastAsiaTheme="minorEastAsia" w:cstheme="minorEastAsia"/>
                <w:sz w:val="24"/>
              </w:rPr>
              <w:t>室外采用定向或者全向AP覆盖指定区域</w:t>
            </w:r>
            <w:r>
              <w:rPr>
                <w:rFonts w:hint="eastAsia" w:asciiTheme="minorEastAsia" w:hAnsiTheme="minorEastAsia" w:eastAsiaTheme="minorEastAsia" w:cstheme="minorEastAsia"/>
                <w:kern w:val="0"/>
                <w:sz w:val="24"/>
              </w:rPr>
              <w:t>。结合各功能用房功能、空间大小、人数、室外环境等因素合理配置AP数量，室外覆盖必要需采用立杆覆盖点位。</w:t>
            </w:r>
            <w:r>
              <w:rPr>
                <w:rFonts w:hint="eastAsia" w:asciiTheme="minorEastAsia" w:hAnsiTheme="minorEastAsia" w:cstheme="minorEastAsia"/>
                <w:kern w:val="0"/>
                <w:sz w:val="24"/>
              </w:rPr>
              <w:t>投标人</w:t>
            </w:r>
            <w:r>
              <w:rPr>
                <w:rFonts w:hint="eastAsia" w:asciiTheme="minorEastAsia" w:hAnsiTheme="minorEastAsia" w:eastAsiaTheme="minorEastAsia" w:cstheme="minorEastAsia"/>
                <w:kern w:val="0"/>
                <w:sz w:val="24"/>
              </w:rPr>
              <w:t>在实施前需出具详细的AP布点方案。</w:t>
            </w:r>
          </w:p>
          <w:p w14:paraId="54F7A2D7">
            <w:pPr>
              <w:widowControl/>
              <w:adjustRightInd/>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2、所采用的光缆、光纤、网线等综合布线材料均为国内主流知名品牌。</w:t>
            </w:r>
          </w:p>
          <w:p w14:paraId="6E7F36B3">
            <w:pPr>
              <w:pStyle w:val="23"/>
              <w:autoSpaceDE/>
              <w:autoSpaceDN/>
              <w:adjustRightInd/>
              <w:spacing w:line="240" w:lineRule="auto"/>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光电混合链路要求：</w:t>
            </w:r>
          </w:p>
          <w:p w14:paraId="38211109">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次改造采用全光网实现全光入室，无线AP采用光电混合缆连接，楼宇汇聚链路利旧，光纤需采用热熔方式，机房端需采用机柜上架安装，光电混合缆入室需采用光缆终端盒成端安装，含光纤熔接、电源线成端等。光电混合缆需原厂配套提供，含光纤熔接及电源线成端等；</w:t>
            </w:r>
          </w:p>
          <w:p w14:paraId="27D09751">
            <w:pPr>
              <w:pStyle w:val="23"/>
              <w:autoSpaceDE/>
              <w:autoSpaceDN/>
              <w:adjustRightInd/>
              <w:spacing w:line="240" w:lineRule="auto"/>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3、弱电机房要求：</w:t>
            </w:r>
            <w:r>
              <w:rPr>
                <w:rFonts w:hint="eastAsia" w:asciiTheme="minorEastAsia" w:hAnsiTheme="minorEastAsia" w:eastAsiaTheme="minorEastAsia" w:cstheme="minorEastAsia"/>
                <w:szCs w:val="24"/>
              </w:rPr>
              <w:t>现教南北楼、工程训练中心、后勤综合楼各新设置一弱电机房，机房采用24芯光缆与原弱电间机房互联，每个弱电机房配置不少于一个网络机柜，机柜空间不少于42U，机柜前后门需采用网孔门；相应弱电机房需要安装门禁、温湿度感应器并接入原有门禁系统（原有门禁品牌新开普）；机柜需配置双路PDU电源管理器，单个PDU总输入不小于16A、不少于8位10A输出，需结合弱电机房供电负载对机房配电系统进行规范化改造施工。</w:t>
            </w:r>
          </w:p>
          <w:p w14:paraId="5E3A0653">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4、网络机柜：前后门高密网孔门，约600*600*2000，优质冷轧钢板，方孔条 2.0mm，其它1.2mm；满足交换机、配线架、理线器等设备的安装要求。</w:t>
            </w:r>
          </w:p>
          <w:p w14:paraId="4788576B">
            <w:pPr>
              <w:pStyle w:val="23"/>
              <w:autoSpaceDE/>
              <w:autoSpaceDN/>
              <w:adjustRightInd/>
              <w:spacing w:line="240" w:lineRule="auto"/>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5、配套管线要求：</w:t>
            </w:r>
            <w:r>
              <w:rPr>
                <w:rFonts w:hint="eastAsia" w:asciiTheme="minorEastAsia" w:hAnsiTheme="minorEastAsia" w:eastAsiaTheme="minorEastAsia" w:cstheme="minorEastAsia"/>
                <w:szCs w:val="24"/>
              </w:rPr>
              <w:t>网线、光纤、光电混合缆、电源线等均需通过桥架、线管、线槽等隐蔽施工，不得出现线缆裸露在外的情况。</w:t>
            </w:r>
          </w:p>
          <w:p w14:paraId="08567377">
            <w:pPr>
              <w:pStyle w:val="23"/>
              <w:autoSpaceDE/>
              <w:autoSpaceDN/>
              <w:adjustRightInd/>
              <w:spacing w:line="240" w:lineRule="auto"/>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6、施工要求：</w:t>
            </w:r>
            <w:r>
              <w:rPr>
                <w:rFonts w:hint="eastAsia" w:asciiTheme="minorEastAsia" w:hAnsiTheme="minorEastAsia" w:eastAsiaTheme="minorEastAsia" w:cstheme="minorEastAsia"/>
                <w:szCs w:val="24"/>
              </w:rPr>
              <w:t>原桥架盖板的拆卸、复原以及施工过程中可能出现的损坏维修；对原装修吊顶的拆除与复原以及施工过程中可能出现的损坏维修；每根线路都需打标签、标记链路两端信息；布线需要符合规范及学校相关要求，无法进入弱电桥架的网络线路均需要进行隐蔽套管，并需对施工工程中破损部分进行修复。</w:t>
            </w:r>
          </w:p>
          <w:p w14:paraId="33B44B8E">
            <w:pPr>
              <w:pStyle w:val="23"/>
              <w:autoSpaceDE/>
              <w:autoSpaceDN/>
              <w:adjustRightInd/>
              <w:spacing w:line="240" w:lineRule="auto"/>
              <w:rPr>
                <w:b/>
              </w:rPr>
            </w:pPr>
            <w:r>
              <w:rPr>
                <w:rFonts w:hint="eastAsia" w:asciiTheme="minorEastAsia" w:hAnsiTheme="minorEastAsia" w:eastAsiaTheme="minorEastAsia" w:cstheme="minorEastAsia"/>
                <w:kern w:val="0"/>
                <w:szCs w:val="24"/>
              </w:rPr>
              <w:t>7、其他要求：</w:t>
            </w:r>
            <w:r>
              <w:rPr>
                <w:rFonts w:hint="eastAsia" w:asciiTheme="minorEastAsia" w:hAnsiTheme="minorEastAsia" w:eastAsiaTheme="minorEastAsia" w:cstheme="minorEastAsia"/>
                <w:szCs w:val="24"/>
              </w:rPr>
              <w:t>投标人报价须涵盖本项目建设所需所有设备、配件及相关辅材的采购、运输、安装、调试、试运行等所有相关费用。</w:t>
            </w:r>
          </w:p>
        </w:tc>
        <w:tc>
          <w:tcPr>
            <w:tcW w:w="331" w:type="pct"/>
            <w:vAlign w:val="center"/>
          </w:tcPr>
          <w:p w14:paraId="74AA2220">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1</w:t>
            </w:r>
          </w:p>
        </w:tc>
        <w:tc>
          <w:tcPr>
            <w:tcW w:w="357" w:type="pct"/>
            <w:vAlign w:val="center"/>
          </w:tcPr>
          <w:p w14:paraId="3ED39C15">
            <w:pPr>
              <w:adjustRightInd/>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color w:val="000000"/>
                <w:kern w:val="0"/>
                <w:sz w:val="24"/>
              </w:rPr>
              <w:t>项</w:t>
            </w:r>
          </w:p>
        </w:tc>
      </w:tr>
      <w:bookmarkEnd w:id="31"/>
    </w:tbl>
    <w:p w14:paraId="5BAD1320">
      <w:pPr>
        <w:spacing w:line="360" w:lineRule="auto"/>
        <w:jc w:val="left"/>
        <w:outlineLvl w:val="1"/>
        <w:rPr>
          <w:rFonts w:ascii="宋体" w:hAnsi="宋体" w:cs="宋体"/>
          <w:b/>
          <w:sz w:val="24"/>
        </w:rPr>
      </w:pPr>
      <w:r>
        <w:rPr>
          <w:rFonts w:hint="eastAsia" w:ascii="宋体" w:hAnsi="宋体" w:cs="宋体"/>
          <w:b/>
          <w:sz w:val="24"/>
        </w:rPr>
        <w:t>三、商务要求（技术要求里另有注明的以技术要求为准）</w:t>
      </w:r>
    </w:p>
    <w:tbl>
      <w:tblPr>
        <w:tblStyle w:val="62"/>
        <w:tblW w:w="8330"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00"/>
        <w:gridCol w:w="6930"/>
      </w:tblGrid>
      <w:tr w14:paraId="34392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400" w:type="dxa"/>
            <w:tcBorders>
              <w:top w:val="single" w:color="auto" w:sz="4" w:space="0"/>
              <w:bottom w:val="single" w:color="auto" w:sz="4" w:space="0"/>
              <w:right w:val="single" w:color="auto" w:sz="4" w:space="0"/>
            </w:tcBorders>
            <w:vAlign w:val="center"/>
          </w:tcPr>
          <w:p w14:paraId="511C470E">
            <w:pPr>
              <w:adjustRightInd/>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质保期</w:t>
            </w:r>
          </w:p>
        </w:tc>
        <w:tc>
          <w:tcPr>
            <w:tcW w:w="6930" w:type="dxa"/>
            <w:tcBorders>
              <w:top w:val="single" w:color="auto" w:sz="4" w:space="0"/>
              <w:left w:val="single" w:color="auto" w:sz="4" w:space="0"/>
              <w:bottom w:val="single" w:color="auto" w:sz="4" w:space="0"/>
            </w:tcBorders>
            <w:vAlign w:val="center"/>
          </w:tcPr>
          <w:p w14:paraId="1C6F36FE">
            <w:pPr>
              <w:adjustRightInd/>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自项目验收合格之日起</w:t>
            </w:r>
            <w:r>
              <w:rPr>
                <w:rFonts w:hint="eastAsia" w:asciiTheme="minorEastAsia" w:hAnsiTheme="minorEastAsia" w:eastAsiaTheme="minorEastAsia" w:cstheme="minorEastAsia"/>
                <w:sz w:val="24"/>
                <w:u w:val="single"/>
              </w:rPr>
              <w:t xml:space="preserve"> 五 </w:t>
            </w:r>
            <w:r>
              <w:rPr>
                <w:rFonts w:hint="eastAsia" w:asciiTheme="minorEastAsia" w:hAnsiTheme="minorEastAsia" w:eastAsiaTheme="minorEastAsia" w:cstheme="minorEastAsia"/>
                <w:sz w:val="24"/>
              </w:rPr>
              <w:t>年。</w:t>
            </w:r>
          </w:p>
        </w:tc>
      </w:tr>
      <w:tr w14:paraId="4FE6D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00" w:type="dxa"/>
            <w:tcBorders>
              <w:top w:val="single" w:color="auto" w:sz="4" w:space="0"/>
              <w:bottom w:val="single" w:color="auto" w:sz="4" w:space="0"/>
              <w:right w:val="single" w:color="auto" w:sz="4" w:space="0"/>
            </w:tcBorders>
            <w:vAlign w:val="center"/>
          </w:tcPr>
          <w:p w14:paraId="5DF59100">
            <w:pPr>
              <w:adjustRightInd/>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服务标准</w:t>
            </w:r>
          </w:p>
        </w:tc>
        <w:tc>
          <w:tcPr>
            <w:tcW w:w="6930" w:type="dxa"/>
            <w:tcBorders>
              <w:top w:val="single" w:color="auto" w:sz="4" w:space="0"/>
              <w:left w:val="single" w:color="auto" w:sz="4" w:space="0"/>
              <w:bottom w:val="single" w:color="auto" w:sz="4" w:space="0"/>
            </w:tcBorders>
            <w:vAlign w:val="center"/>
          </w:tcPr>
          <w:p w14:paraId="3BBFA3D8">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1.质保期内因不能排除的故障而影响工作的情况每发生一次，其质保期相应延长60天，质保期内因设备本身缺陷造成各种故障应由</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免费予以更换。</w:t>
            </w:r>
          </w:p>
          <w:p w14:paraId="3D8FCAD9">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2.质保期内，应每年度对设备进行一次总体检测维护，确保设备运行正常。</w:t>
            </w:r>
          </w:p>
          <w:p w14:paraId="7393F631">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3.质保期满后，仅收取零配件成本费用，免人工费、差旅费，所涉及软件终身免费升级。</w:t>
            </w:r>
          </w:p>
          <w:p w14:paraId="65F27D02">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4.质保所需费用须计入项目总报价中。</w:t>
            </w:r>
          </w:p>
        </w:tc>
      </w:tr>
      <w:tr w14:paraId="1AC4E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00" w:type="dxa"/>
            <w:tcBorders>
              <w:top w:val="single" w:color="auto" w:sz="4" w:space="0"/>
              <w:bottom w:val="single" w:color="auto" w:sz="4" w:space="0"/>
              <w:right w:val="single" w:color="auto" w:sz="4" w:space="0"/>
            </w:tcBorders>
            <w:vAlign w:val="center"/>
          </w:tcPr>
          <w:p w14:paraId="687BC857">
            <w:pPr>
              <w:adjustRightInd/>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实施团队要求</w:t>
            </w:r>
          </w:p>
        </w:tc>
        <w:tc>
          <w:tcPr>
            <w:tcW w:w="6930" w:type="dxa"/>
            <w:tcBorders>
              <w:top w:val="single" w:color="auto" w:sz="4" w:space="0"/>
              <w:left w:val="single" w:color="auto" w:sz="4" w:space="0"/>
              <w:bottom w:val="single" w:color="auto" w:sz="4" w:space="0"/>
            </w:tcBorders>
            <w:vAlign w:val="center"/>
          </w:tcPr>
          <w:p w14:paraId="549BAFCF">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1.为保证系统正常运行，设备试运行不少于一个月，期间须提供原厂认证工程师驻场服务；</w:t>
            </w:r>
          </w:p>
          <w:p w14:paraId="6D192AAF">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2.施工团队须具备相应的专业技能，核心技术人员（如布线工程师、设备调试工程师）须提供相关技能证书或培训证明，确保具备完成本项目的技术能力。</w:t>
            </w:r>
          </w:p>
        </w:tc>
      </w:tr>
      <w:tr w14:paraId="79B91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00" w:type="dxa"/>
            <w:tcBorders>
              <w:top w:val="single" w:color="auto" w:sz="4" w:space="0"/>
              <w:bottom w:val="single" w:color="auto" w:sz="4" w:space="0"/>
              <w:right w:val="single" w:color="auto" w:sz="4" w:space="0"/>
            </w:tcBorders>
            <w:vAlign w:val="center"/>
          </w:tcPr>
          <w:p w14:paraId="2DE72612">
            <w:pPr>
              <w:adjustRightInd/>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服务效率</w:t>
            </w:r>
          </w:p>
        </w:tc>
        <w:tc>
          <w:tcPr>
            <w:tcW w:w="6930" w:type="dxa"/>
            <w:tcBorders>
              <w:top w:val="single" w:color="auto" w:sz="4" w:space="0"/>
              <w:left w:val="single" w:color="auto" w:sz="4" w:space="0"/>
              <w:bottom w:val="single" w:color="auto" w:sz="4" w:space="0"/>
            </w:tcBorders>
            <w:vAlign w:val="center"/>
          </w:tcPr>
          <w:p w14:paraId="09F66C38">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提供5分钟响应，2小时内到达现场，4小时解决问题。在12小时不能修复的须提供同型号备机供用户使用。对所有软件、设备进行现场安装调试，并对所有软件实行五年免费升级。</w:t>
            </w:r>
          </w:p>
        </w:tc>
      </w:tr>
      <w:tr w14:paraId="2F644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00" w:type="dxa"/>
            <w:tcBorders>
              <w:top w:val="single" w:color="auto" w:sz="4" w:space="0"/>
              <w:bottom w:val="single" w:color="auto" w:sz="4" w:space="0"/>
              <w:right w:val="single" w:color="auto" w:sz="4" w:space="0"/>
            </w:tcBorders>
            <w:vAlign w:val="center"/>
          </w:tcPr>
          <w:p w14:paraId="57FF9B5A">
            <w:pPr>
              <w:adjustRightInd/>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培训要求</w:t>
            </w:r>
          </w:p>
        </w:tc>
        <w:tc>
          <w:tcPr>
            <w:tcW w:w="6930" w:type="dxa"/>
            <w:tcBorders>
              <w:top w:val="single" w:color="auto" w:sz="4" w:space="0"/>
              <w:left w:val="single" w:color="auto" w:sz="4" w:space="0"/>
              <w:bottom w:val="single" w:color="auto" w:sz="4" w:space="0"/>
            </w:tcBorders>
            <w:vAlign w:val="center"/>
          </w:tcPr>
          <w:p w14:paraId="2E0ECB7D">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应编制相关设备使用指导手册或说明书，提供针对教学操作人员、维护人员的培训内容及方案，直至能熟练、安全地操作、正确的维护。</w:t>
            </w:r>
          </w:p>
          <w:p w14:paraId="7A7BB8FF">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应为</w:t>
            </w: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rPr>
              <w:t>名以上操作人员提供免费的操作指导及日常维护培训：</w:t>
            </w:r>
          </w:p>
          <w:p w14:paraId="23D6A6F2">
            <w:pPr>
              <w:adjustRightInd/>
              <w:rPr>
                <w:rFonts w:asciiTheme="minorEastAsia" w:hAnsiTheme="minorEastAsia" w:eastAsiaTheme="minorEastAsia" w:cstheme="minorEastAsia"/>
                <w:sz w:val="24"/>
              </w:rPr>
            </w:pP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应对采购人的操作人员、维修人员免费进行培训。</w:t>
            </w:r>
          </w:p>
          <w:p w14:paraId="19D8279E">
            <w:pPr>
              <w:adjustRightInd/>
              <w:rPr>
                <w:rFonts w:asciiTheme="minorEastAsia" w:hAnsiTheme="minorEastAsia" w:eastAsiaTheme="minorEastAsia" w:cstheme="minorEastAsia"/>
                <w:sz w:val="24"/>
              </w:rPr>
            </w:pP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应提供相应的培训计划。</w:t>
            </w:r>
          </w:p>
          <w:p w14:paraId="7E1F9B88">
            <w:pPr>
              <w:adjustRightInd/>
              <w:rPr>
                <w:rFonts w:asciiTheme="minorEastAsia" w:hAnsiTheme="minorEastAsia" w:eastAsiaTheme="minorEastAsia" w:cstheme="minorEastAsia"/>
                <w:sz w:val="24"/>
              </w:rPr>
            </w:pP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应对上述内容的实现方式、地点、人数、时间在投标文件中详细说明。</w:t>
            </w:r>
          </w:p>
          <w:p w14:paraId="5BE87DE3">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3.培训相关费用含在报价中。</w:t>
            </w:r>
          </w:p>
        </w:tc>
      </w:tr>
      <w:tr w14:paraId="4ED04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00" w:type="dxa"/>
            <w:tcBorders>
              <w:top w:val="single" w:color="auto" w:sz="4" w:space="0"/>
              <w:bottom w:val="single" w:color="auto" w:sz="4" w:space="0"/>
              <w:right w:val="single" w:color="auto" w:sz="4" w:space="0"/>
            </w:tcBorders>
            <w:vAlign w:val="center"/>
          </w:tcPr>
          <w:p w14:paraId="02E40066">
            <w:pPr>
              <w:adjustRightInd/>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交货地点</w:t>
            </w:r>
          </w:p>
        </w:tc>
        <w:tc>
          <w:tcPr>
            <w:tcW w:w="6930" w:type="dxa"/>
            <w:tcBorders>
              <w:top w:val="single" w:color="auto" w:sz="4" w:space="0"/>
              <w:left w:val="single" w:color="auto" w:sz="4" w:space="0"/>
              <w:bottom w:val="single" w:color="auto" w:sz="4" w:space="0"/>
            </w:tcBorders>
            <w:vAlign w:val="center"/>
          </w:tcPr>
          <w:p w14:paraId="5357765F">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采购人要求的指定地点。</w:t>
            </w:r>
          </w:p>
        </w:tc>
      </w:tr>
      <w:tr w14:paraId="7DFB2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00" w:type="dxa"/>
            <w:tcBorders>
              <w:top w:val="single" w:color="auto" w:sz="4" w:space="0"/>
              <w:bottom w:val="single" w:color="auto" w:sz="4" w:space="0"/>
              <w:right w:val="single" w:color="auto" w:sz="4" w:space="0"/>
            </w:tcBorders>
            <w:vAlign w:val="center"/>
          </w:tcPr>
          <w:p w14:paraId="4A90FFE9">
            <w:pPr>
              <w:adjustRightInd/>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验收标准</w:t>
            </w:r>
          </w:p>
        </w:tc>
        <w:tc>
          <w:tcPr>
            <w:tcW w:w="6930" w:type="dxa"/>
            <w:tcBorders>
              <w:top w:val="single" w:color="auto" w:sz="4" w:space="0"/>
              <w:left w:val="single" w:color="auto" w:sz="4" w:space="0"/>
              <w:bottom w:val="single" w:color="auto" w:sz="4" w:space="0"/>
            </w:tcBorders>
            <w:vAlign w:val="center"/>
          </w:tcPr>
          <w:p w14:paraId="0E9ED94F">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1.验收由业务归口部门或采购人负责实施；</w:t>
            </w:r>
          </w:p>
          <w:p w14:paraId="4CE104D1">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2.验收依据：</w:t>
            </w:r>
          </w:p>
          <w:p w14:paraId="340123CC">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2.1合同、招标文件、投标文件；</w:t>
            </w:r>
          </w:p>
          <w:p w14:paraId="25B3C331">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提供的技术规格、经采购人认可的合同货物的有效检验文件；</w:t>
            </w:r>
          </w:p>
          <w:p w14:paraId="539C56E7">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投标文件中提供的经采购人认可的合同货物的验收标准（符合中国有关的国家、地方、行业标准）和检测办法及相应检测手段。</w:t>
            </w:r>
          </w:p>
          <w:p w14:paraId="76FC0ED1">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应派员在所供货物到采购人处时进行到货验收，有需要时能联系产品制造商到场共同验收，若发现任何损坏及质量问题，</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负责妥善处理直至采购人满意，由此产生的费用由</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承担。</w:t>
            </w:r>
          </w:p>
          <w:p w14:paraId="533689EC">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4.验收合格的条件：</w:t>
            </w:r>
          </w:p>
          <w:p w14:paraId="49E670F0">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4.1所供货物符合产品标准和合同的要求；</w:t>
            </w:r>
          </w:p>
          <w:p w14:paraId="7C140961">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4.2在进行测试和验收过程中发现的问题已被解决并得到采购人的认可；</w:t>
            </w:r>
          </w:p>
          <w:p w14:paraId="0F1BD8C9">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4.3合同中规定的所有货物和材料均已交付；</w:t>
            </w:r>
          </w:p>
          <w:p w14:paraId="51748E8B">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4.4所供货物已通过使用单位组织的验收；</w:t>
            </w:r>
          </w:p>
          <w:p w14:paraId="3BD37A96">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4.5所有相关的技术文件及资料均已提交并得到接受。</w:t>
            </w:r>
          </w:p>
        </w:tc>
      </w:tr>
      <w:tr w14:paraId="3E43F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00" w:type="dxa"/>
            <w:tcBorders>
              <w:top w:val="single" w:color="auto" w:sz="4" w:space="0"/>
              <w:bottom w:val="single" w:color="auto" w:sz="4" w:space="0"/>
              <w:right w:val="single" w:color="auto" w:sz="4" w:space="0"/>
            </w:tcBorders>
            <w:vAlign w:val="center"/>
          </w:tcPr>
          <w:p w14:paraId="1DABB270">
            <w:pPr>
              <w:adjustRightInd/>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售后服务</w:t>
            </w:r>
          </w:p>
        </w:tc>
        <w:tc>
          <w:tcPr>
            <w:tcW w:w="6930" w:type="dxa"/>
            <w:tcBorders>
              <w:top w:val="single" w:color="auto" w:sz="4" w:space="0"/>
              <w:left w:val="single" w:color="auto" w:sz="4" w:space="0"/>
              <w:bottom w:val="single" w:color="auto" w:sz="4" w:space="0"/>
            </w:tcBorders>
            <w:vAlign w:val="center"/>
          </w:tcPr>
          <w:p w14:paraId="18BFF96C">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1.质保期外更换零配件按成本价计。</w:t>
            </w:r>
          </w:p>
          <w:p w14:paraId="3CA06F20">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应提供充足的备品备件，以满足采购人维修需求。</w:t>
            </w:r>
          </w:p>
          <w:p w14:paraId="4518BBE8">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设备正常运行需要耗品耗材（或者备品备件）的，产品清单已明确的耗品耗材（或者备品备件）请包含在报价中。投标文件中需提供耗品耗材（或者备品备件）方案，告知采购人一般多长时间更换，后期材料每更换一次经费数额等内容。</w:t>
            </w:r>
          </w:p>
        </w:tc>
      </w:tr>
    </w:tbl>
    <w:p w14:paraId="5E135639">
      <w:pPr>
        <w:spacing w:line="360" w:lineRule="auto"/>
        <w:jc w:val="left"/>
        <w:outlineLvl w:val="1"/>
        <w:rPr>
          <w:rFonts w:ascii="宋体" w:hAnsi="宋体" w:cs="宋体"/>
          <w:b/>
          <w:sz w:val="24"/>
        </w:rPr>
      </w:pPr>
      <w:bookmarkStart w:id="32" w:name="_Toc2674"/>
      <w:bookmarkStart w:id="33" w:name="_Toc45803923"/>
      <w:bookmarkStart w:id="34" w:name="_Toc72421946"/>
      <w:r>
        <w:rPr>
          <w:rFonts w:hint="eastAsia" w:ascii="宋体" w:hAnsi="宋体" w:cs="宋体"/>
          <w:b/>
          <w:sz w:val="24"/>
        </w:rPr>
        <w:t>四、其他要求</w:t>
      </w:r>
      <w:bookmarkEnd w:id="32"/>
      <w:bookmarkEnd w:id="33"/>
      <w:bookmarkEnd w:id="34"/>
    </w:p>
    <w:tbl>
      <w:tblPr>
        <w:tblStyle w:val="6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883"/>
      </w:tblGrid>
      <w:tr w14:paraId="1F59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11A9F39B">
            <w:pPr>
              <w:adjustRightInd/>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根据采购清单完善系统配置</w:t>
            </w:r>
          </w:p>
        </w:tc>
        <w:tc>
          <w:tcPr>
            <w:tcW w:w="6883" w:type="dxa"/>
          </w:tcPr>
          <w:p w14:paraId="78BC896A">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1.投标时，</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根据系统设备清单中的性能指标、技术参数提供投标产品，完善系统配置。</w:t>
            </w:r>
          </w:p>
          <w:p w14:paraId="618B6427">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2.如中标，最终方案经采购人确认通过后方可设施。</w:t>
            </w:r>
          </w:p>
        </w:tc>
      </w:tr>
      <w:tr w14:paraId="43AD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21BE090C">
            <w:pPr>
              <w:adjustRightInd/>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供货要求</w:t>
            </w:r>
          </w:p>
        </w:tc>
        <w:tc>
          <w:tcPr>
            <w:tcW w:w="6883" w:type="dxa"/>
          </w:tcPr>
          <w:p w14:paraId="7CF3D986">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1.本项目所有货物均由</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供应。</w:t>
            </w:r>
          </w:p>
          <w:p w14:paraId="0BDCDC70">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2.所投产品需为原厂全新产品，符合国家、行业技术规范和质量标准。本项目执行的标准、规范如有相关国家标准及规范的，应符合相关国家标准及规范。本项目货物所使用的标准如与</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所执行的标准发生矛盾时，按照较高标准执行，同时</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应在投标文件中加以注明，并附上引用标准和高标准造成成本以及报价差异说明。</w:t>
            </w:r>
          </w:p>
          <w:p w14:paraId="2D28100E">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本次招标的供货除包括上述产品外，还应包括随机的辅助设备、专用电线电缆、随机软件、技术资料（包括操作手册、使用指南、维修指南和含维修网点在内的服务手册等）、设备运行所必需的随机消耗材料，相应的技术服务与质量保证。</w:t>
            </w:r>
          </w:p>
          <w:p w14:paraId="6C239179">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4.本项目的所有软、硬件(如线缆、工具、控制接口硬件模块等，包括未列出而系统实施又必需的软件、硬件)需配齐以构成一套完整实用系统，如有任何遗漏，由</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补齐。</w:t>
            </w:r>
          </w:p>
          <w:p w14:paraId="589A552A">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投标报价中需考虑所有产品包装、运输至采购人指定地点的所有费用，其中运输包括货物到达采购人指定地点后搬运至指定点位所产生的车辆、机械、人员等所有费用。</w:t>
            </w:r>
          </w:p>
          <w:p w14:paraId="24476564">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现场临时堆放的保护由</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负责，如需要他人保管的，相关费用由</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自行承担。</w:t>
            </w:r>
          </w:p>
          <w:p w14:paraId="37DA392B">
            <w:pPr>
              <w:adjustRightInd/>
              <w:rPr>
                <w:rFonts w:asciiTheme="minorEastAsia" w:hAnsiTheme="minorEastAsia" w:eastAsiaTheme="minorEastAsia" w:cstheme="minorEastAsia"/>
                <w:sz w:val="24"/>
              </w:rPr>
            </w:pP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承担。</w:t>
            </w:r>
          </w:p>
          <w:p w14:paraId="33011CDD">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设备包装为使产品不损坏为限在运输过程中造成的损坏均由</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承担，并保证对设备在运输过程中的保护。</w:t>
            </w:r>
          </w:p>
          <w:p w14:paraId="02A691E1">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6.供货时，若提供的设备相关技术参数不符合招标要求、或设备交付后运行三个月内出现任何故障，则</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须无条件重新更换设备，发生故障的设备由</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自行处置。重新更换后的设备仍须再次检测，若仍不符合招标要求，则取消该</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中标资格，并扣除全部履约保证金，重新组织招标。以上所发生的一切费用由该</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自行承担。</w:t>
            </w:r>
          </w:p>
          <w:p w14:paraId="6998CA74">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7.上述所有费用均包含在报价中。</w:t>
            </w:r>
          </w:p>
        </w:tc>
      </w:tr>
      <w:tr w14:paraId="7AB7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5A087DEE">
            <w:pPr>
              <w:adjustRightInd/>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安装调试等要求</w:t>
            </w:r>
          </w:p>
        </w:tc>
        <w:tc>
          <w:tcPr>
            <w:tcW w:w="6883" w:type="dxa"/>
          </w:tcPr>
          <w:p w14:paraId="780BD525">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在规定时间内完成设备的安装调试、功能测试。如在规定的时间内由于</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的原因不能完成相应服务的，</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应承担由此给采购人造成的损失。</w:t>
            </w:r>
          </w:p>
          <w:p w14:paraId="5CEBEB04">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2.安装调试、功能测试应符合国家、地方、本项目行业有关技术规范要求和技术标准。试运转时，所有的软件和硬件必须保证到位。</w:t>
            </w:r>
          </w:p>
          <w:p w14:paraId="4856C8ED">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3.安装调试、功能测试应满足对安装场地和环境的要求。对已完成其他工程的成品保护，若有损坏，应予修复。安装完工，应将现场打扫干净。</w:t>
            </w:r>
          </w:p>
          <w:p w14:paraId="4406C397">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4.安装调试完毕后，如有需要与采购单位现有部分设备正常连接的，需要能在其功能范围内确保现有设备安全、稳定运行。</w:t>
            </w:r>
          </w:p>
          <w:p w14:paraId="0E061B26">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5.上述服务费用包含在报价中。</w:t>
            </w:r>
          </w:p>
        </w:tc>
      </w:tr>
      <w:tr w14:paraId="43B7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5BB24A11">
            <w:pPr>
              <w:adjustRightInd/>
              <w:jc w:val="center"/>
              <w:rPr>
                <w:rFonts w:asciiTheme="minorEastAsia" w:hAnsiTheme="minorEastAsia" w:eastAsiaTheme="minorEastAsia" w:cstheme="minorEastAsia"/>
                <w:sz w:val="24"/>
              </w:rPr>
            </w:pPr>
            <w:bookmarkStart w:id="35" w:name="OLE_LINK2" w:colFirst="0" w:colLast="0"/>
            <w:r>
              <w:rPr>
                <w:rFonts w:hint="eastAsia" w:asciiTheme="minorEastAsia" w:hAnsiTheme="minorEastAsia" w:eastAsiaTheme="minorEastAsia" w:cstheme="minorEastAsia"/>
                <w:sz w:val="24"/>
              </w:rPr>
              <w:t>付款方式</w:t>
            </w:r>
          </w:p>
        </w:tc>
        <w:tc>
          <w:tcPr>
            <w:tcW w:w="6883" w:type="dxa"/>
            <w:vAlign w:val="center"/>
          </w:tcPr>
          <w:p w14:paraId="5E89FC03">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themeColor="text1"/>
                <w:sz w:val="24"/>
                <w14:textFill>
                  <w14:solidFill>
                    <w14:schemeClr w14:val="tx1"/>
                  </w14:solidFill>
                </w14:textFill>
              </w:rPr>
              <w:t>合同生效并具备实施条件后7个工作日内支付合同总额的40%；安装调试完毕，项目实施完成后，进入试运行阶段，试运行时间不少于一个月，期间同步进行决算审计工作，试运行和决算审计完成后进行项目验收，经采购人验收合格后7个工作日内支付剩余合同款。</w:t>
            </w:r>
          </w:p>
        </w:tc>
      </w:tr>
      <w:tr w14:paraId="0445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247713BD">
            <w:pPr>
              <w:adjustRightInd/>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履约保证金</w:t>
            </w:r>
          </w:p>
        </w:tc>
        <w:tc>
          <w:tcPr>
            <w:tcW w:w="6883" w:type="dxa"/>
            <w:vAlign w:val="center"/>
          </w:tcPr>
          <w:p w14:paraId="288DE797">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在合同签订后5个工作日内，</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须支付合同款的1％作为履约保证金，可以银行、保险公司出具的保函形式提交，验收、审计合格后未出现质量问题（非人为原因）10个工作日内无息退还给</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w:t>
            </w:r>
          </w:p>
        </w:tc>
      </w:tr>
      <w:bookmarkEnd w:id="35"/>
    </w:tbl>
    <w:p w14:paraId="35BE294A">
      <w:pPr>
        <w:spacing w:line="360" w:lineRule="auto"/>
        <w:jc w:val="left"/>
        <w:outlineLvl w:val="1"/>
        <w:rPr>
          <w:rFonts w:ascii="宋体" w:hAnsi="宋体" w:cs="宋体"/>
          <w:b/>
          <w:sz w:val="24"/>
        </w:rPr>
      </w:pPr>
      <w:bookmarkStart w:id="36" w:name="_Toc432621837"/>
      <w:bookmarkStart w:id="37" w:name="_Toc417054474"/>
      <w:bookmarkStart w:id="38" w:name="_Toc7858"/>
      <w:bookmarkStart w:id="39" w:name="_Toc18877"/>
      <w:bookmarkStart w:id="40" w:name="_Toc417054391"/>
      <w:r>
        <w:rPr>
          <w:rFonts w:hint="eastAsia" w:ascii="宋体" w:hAnsi="宋体" w:cs="宋体"/>
          <w:b/>
          <w:sz w:val="24"/>
        </w:rPr>
        <w:t>五、</w:t>
      </w:r>
      <w:bookmarkEnd w:id="36"/>
      <w:bookmarkEnd w:id="37"/>
      <w:bookmarkEnd w:id="38"/>
      <w:bookmarkEnd w:id="39"/>
      <w:bookmarkEnd w:id="40"/>
      <w:r>
        <w:rPr>
          <w:rFonts w:hint="eastAsia" w:ascii="宋体" w:hAnsi="宋体" w:cs="宋体"/>
          <w:b/>
          <w:sz w:val="24"/>
        </w:rPr>
        <w:t>重要说明</w:t>
      </w:r>
    </w:p>
    <w:p w14:paraId="361581A9">
      <w:pPr>
        <w:adjustRightIn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必须根据采购人提供的信息予以响应，质量必须达到或高于采购的要求。</w:t>
      </w:r>
    </w:p>
    <w:p w14:paraId="23D8376F">
      <w:pPr>
        <w:adjustRightIn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2.采购文件中的技术参数只是采购人提出的一些原则性参数，并不是详尽的要求，</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有责任完善对提供货物的品牌、参数说明或相关技术规格。</w:t>
      </w:r>
    </w:p>
    <w:p w14:paraId="1EA82474">
      <w:pPr>
        <w:adjustRightIn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提供的货物在使用过程中因质量问题影响采购人的正常使用，要负相应责任，并向采购人赔偿损失，采购人有权向相关管理部门进行投诉。</w:t>
      </w:r>
    </w:p>
    <w:p w14:paraId="4B57AD2B">
      <w:pPr>
        <w:adjustRightInd/>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须保证所提供的产品包括相关附件为相应厂家原装正品，符合国家有关规定。</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须保证所提供产品具有合法的版权或使用权，应由</w:t>
      </w:r>
      <w:r>
        <w:rPr>
          <w:rFonts w:hint="eastAsia" w:asciiTheme="minorEastAsia" w:hAnsiTheme="minorEastAsia" w:cstheme="minorEastAsia"/>
          <w:sz w:val="24"/>
        </w:rPr>
        <w:t>投标人</w:t>
      </w:r>
      <w:r>
        <w:rPr>
          <w:rFonts w:hint="eastAsia" w:asciiTheme="minorEastAsia" w:hAnsiTheme="minorEastAsia" w:eastAsiaTheme="minorEastAsia" w:cstheme="minorEastAsia"/>
          <w:sz w:val="24"/>
        </w:rPr>
        <w:t>负责，采购人和代理机构不承担责任。</w:t>
      </w:r>
    </w:p>
    <w:p w14:paraId="7A575EEC">
      <w:pPr>
        <w:spacing w:line="360" w:lineRule="auto"/>
        <w:jc w:val="left"/>
        <w:outlineLvl w:val="1"/>
        <w:rPr>
          <w:rFonts w:ascii="宋体" w:hAnsi="宋体" w:cs="宋体"/>
          <w:b/>
          <w:color w:val="000000" w:themeColor="text1"/>
          <w:sz w:val="36"/>
          <w:szCs w:val="36"/>
          <w14:textFill>
            <w14:solidFill>
              <w14:schemeClr w14:val="tx1"/>
            </w14:solidFill>
          </w14:textFill>
        </w:rPr>
      </w:pPr>
      <w:r>
        <w:rPr>
          <w:rFonts w:hint="eastAsia" w:ascii="宋体" w:hAnsi="宋体" w:cs="宋体"/>
          <w:b/>
          <w:sz w:val="24"/>
        </w:rPr>
        <w:t>六、本章未尽之处详见“第五部分  拟签订的合同文本”。</w:t>
      </w:r>
      <w:r>
        <w:rPr>
          <w:rFonts w:hint="eastAsia" w:ascii="宋体" w:hAnsi="宋体" w:cs="宋体"/>
          <w:b/>
          <w:color w:val="000000" w:themeColor="text1"/>
          <w:sz w:val="36"/>
          <w:szCs w:val="36"/>
          <w14:textFill>
            <w14:solidFill>
              <w14:schemeClr w14:val="tx1"/>
            </w14:solidFill>
          </w14:textFill>
        </w:rPr>
        <w:br w:type="page"/>
      </w:r>
    </w:p>
    <w:bookmarkEnd w:id="30"/>
    <w:p w14:paraId="62C98284">
      <w:pPr>
        <w:spacing w:line="360" w:lineRule="auto"/>
        <w:jc w:val="center"/>
        <w:outlineLvl w:val="0"/>
        <w:rPr>
          <w:rFonts w:ascii="宋体" w:hAnsi="宋体" w:cs="宋体"/>
          <w:b/>
          <w:color w:val="000000" w:themeColor="text1"/>
          <w:sz w:val="36"/>
          <w:szCs w:val="36"/>
          <w14:textFill>
            <w14:solidFill>
              <w14:schemeClr w14:val="tx1"/>
            </w14:solidFill>
          </w14:textFill>
        </w:rPr>
      </w:pPr>
      <w:bookmarkStart w:id="41" w:name="第五部分"/>
      <w:bookmarkStart w:id="42" w:name="_Toc86217003"/>
      <w:r>
        <w:rPr>
          <w:rFonts w:hint="eastAsia" w:ascii="宋体" w:hAnsi="宋体" w:cs="宋体"/>
          <w:b/>
          <w:color w:val="000000" w:themeColor="text1"/>
          <w:sz w:val="36"/>
          <w:szCs w:val="36"/>
          <w14:textFill>
            <w14:solidFill>
              <w14:schemeClr w14:val="tx1"/>
            </w14:solidFill>
          </w14:textFill>
        </w:rPr>
        <w:t xml:space="preserve">第四部分 </w:t>
      </w:r>
      <w:bookmarkStart w:id="43" w:name="_Toc184312092"/>
      <w:bookmarkEnd w:id="43"/>
      <w:bookmarkStart w:id="44" w:name="_Toc184313263"/>
      <w:bookmarkEnd w:id="44"/>
      <w:bookmarkStart w:id="45" w:name="_Toc184308078"/>
      <w:bookmarkEnd w:id="45"/>
      <w:bookmarkStart w:id="46" w:name="_Toc184313247"/>
      <w:bookmarkEnd w:id="46"/>
      <w:bookmarkStart w:id="47" w:name="_Toc184310338"/>
      <w:bookmarkEnd w:id="47"/>
      <w:bookmarkStart w:id="48" w:name="_Toc184312129"/>
      <w:bookmarkEnd w:id="48"/>
      <w:bookmarkStart w:id="49" w:name="_Toc184314481"/>
      <w:bookmarkEnd w:id="49"/>
      <w:bookmarkStart w:id="50" w:name="_Toc184310342"/>
      <w:bookmarkEnd w:id="50"/>
      <w:bookmarkStart w:id="51" w:name="_Toc184314415"/>
      <w:bookmarkEnd w:id="51"/>
      <w:bookmarkStart w:id="52" w:name="_Toc184313264"/>
      <w:bookmarkEnd w:id="52"/>
      <w:bookmarkStart w:id="53" w:name="_Toc184312088"/>
      <w:bookmarkEnd w:id="53"/>
      <w:bookmarkStart w:id="54" w:name="_Toc184310320"/>
      <w:bookmarkEnd w:id="54"/>
      <w:bookmarkStart w:id="55" w:name="_Toc184308050"/>
      <w:bookmarkEnd w:id="55"/>
      <w:bookmarkStart w:id="56" w:name="_Toc184310283"/>
      <w:bookmarkEnd w:id="56"/>
      <w:bookmarkStart w:id="57" w:name="_Toc184310340"/>
      <w:bookmarkEnd w:id="57"/>
      <w:bookmarkStart w:id="58" w:name="_Toc184314445"/>
      <w:bookmarkEnd w:id="58"/>
      <w:bookmarkStart w:id="59" w:name="_Toc184308101"/>
      <w:bookmarkEnd w:id="59"/>
      <w:bookmarkStart w:id="60" w:name="_Toc184312128"/>
      <w:bookmarkEnd w:id="60"/>
      <w:bookmarkStart w:id="61" w:name="_Toc184308066"/>
      <w:bookmarkEnd w:id="61"/>
      <w:bookmarkStart w:id="62" w:name="_Toc184312081"/>
      <w:bookmarkEnd w:id="62"/>
      <w:bookmarkStart w:id="63" w:name="_Toc184313298"/>
      <w:bookmarkEnd w:id="63"/>
      <w:bookmarkStart w:id="64" w:name="_Toc184308048"/>
      <w:bookmarkEnd w:id="64"/>
      <w:bookmarkStart w:id="65" w:name="_Toc184308076"/>
      <w:bookmarkEnd w:id="65"/>
      <w:bookmarkStart w:id="66" w:name="_Toc184314467"/>
      <w:bookmarkEnd w:id="66"/>
      <w:bookmarkStart w:id="67" w:name="_Toc184310322"/>
      <w:bookmarkEnd w:id="67"/>
      <w:bookmarkStart w:id="68" w:name="_Toc184312094"/>
      <w:bookmarkEnd w:id="68"/>
      <w:bookmarkStart w:id="69" w:name="_Toc184313239"/>
      <w:bookmarkEnd w:id="69"/>
      <w:bookmarkStart w:id="70" w:name="_Toc184308038"/>
      <w:bookmarkEnd w:id="70"/>
      <w:bookmarkStart w:id="71" w:name="_Toc184314459"/>
      <w:bookmarkEnd w:id="71"/>
      <w:bookmarkStart w:id="72" w:name="_Toc184308080"/>
      <w:bookmarkEnd w:id="72"/>
      <w:bookmarkStart w:id="73" w:name="_Toc184308095"/>
      <w:bookmarkEnd w:id="73"/>
      <w:bookmarkStart w:id="74" w:name="_Toc184310299"/>
      <w:bookmarkEnd w:id="74"/>
      <w:bookmarkStart w:id="75" w:name="_Toc184308083"/>
      <w:bookmarkEnd w:id="75"/>
      <w:bookmarkStart w:id="76" w:name="_Toc184314472"/>
      <w:bookmarkEnd w:id="76"/>
      <w:bookmarkStart w:id="77" w:name="_Toc184308085"/>
      <w:bookmarkEnd w:id="77"/>
      <w:bookmarkStart w:id="78" w:name="_Toc184313270"/>
      <w:bookmarkEnd w:id="78"/>
      <w:bookmarkStart w:id="79" w:name="_Toc184312071"/>
      <w:bookmarkEnd w:id="79"/>
      <w:bookmarkStart w:id="80" w:name="_Toc184314464"/>
      <w:bookmarkEnd w:id="80"/>
      <w:bookmarkStart w:id="81" w:name="_Toc184310328"/>
      <w:bookmarkEnd w:id="81"/>
      <w:bookmarkStart w:id="82" w:name="_Toc184313242"/>
      <w:bookmarkEnd w:id="82"/>
      <w:bookmarkStart w:id="83" w:name="_Toc184310288"/>
      <w:bookmarkEnd w:id="83"/>
      <w:bookmarkStart w:id="84" w:name="_Toc184313253"/>
      <w:bookmarkEnd w:id="84"/>
      <w:bookmarkStart w:id="85" w:name="_Toc184310318"/>
      <w:bookmarkEnd w:id="85"/>
      <w:bookmarkStart w:id="86" w:name="_Toc184314473"/>
      <w:bookmarkEnd w:id="86"/>
      <w:bookmarkStart w:id="87" w:name="_Toc184313266"/>
      <w:bookmarkEnd w:id="87"/>
      <w:bookmarkStart w:id="88" w:name="_Toc184308089"/>
      <w:bookmarkEnd w:id="88"/>
      <w:bookmarkStart w:id="89" w:name="_Toc184313269"/>
      <w:bookmarkEnd w:id="89"/>
      <w:bookmarkStart w:id="90" w:name="_Toc184312127"/>
      <w:bookmarkEnd w:id="90"/>
      <w:bookmarkStart w:id="91" w:name="_Toc184312069"/>
      <w:bookmarkEnd w:id="91"/>
      <w:bookmarkStart w:id="92" w:name="_Toc184313238"/>
      <w:bookmarkEnd w:id="92"/>
      <w:bookmarkStart w:id="93" w:name="_Toc184313293"/>
      <w:bookmarkEnd w:id="93"/>
      <w:bookmarkStart w:id="94" w:name="_Toc184314441"/>
      <w:bookmarkEnd w:id="94"/>
      <w:bookmarkStart w:id="95" w:name="_Toc184312114"/>
      <w:bookmarkEnd w:id="95"/>
      <w:bookmarkStart w:id="96" w:name="_Toc184314436"/>
      <w:bookmarkEnd w:id="96"/>
      <w:bookmarkStart w:id="97" w:name="_Toc184308096"/>
      <w:bookmarkEnd w:id="97"/>
      <w:bookmarkStart w:id="98" w:name="_Toc184313249"/>
      <w:bookmarkEnd w:id="98"/>
      <w:bookmarkStart w:id="99" w:name="_Toc184314466"/>
      <w:bookmarkEnd w:id="99"/>
      <w:bookmarkStart w:id="100" w:name="_Toc184314474"/>
      <w:bookmarkEnd w:id="100"/>
      <w:bookmarkStart w:id="101" w:name="_Toc184314440"/>
      <w:bookmarkEnd w:id="101"/>
      <w:bookmarkStart w:id="102" w:name="_Toc184312133"/>
      <w:bookmarkEnd w:id="102"/>
      <w:bookmarkStart w:id="103" w:name="_Toc184310341"/>
      <w:bookmarkEnd w:id="103"/>
      <w:bookmarkStart w:id="104" w:name="_Toc184308107"/>
      <w:bookmarkEnd w:id="104"/>
      <w:bookmarkStart w:id="105" w:name="_Toc184313257"/>
      <w:bookmarkEnd w:id="105"/>
      <w:bookmarkStart w:id="106" w:name="_Toc184312105"/>
      <w:bookmarkEnd w:id="106"/>
      <w:bookmarkStart w:id="107" w:name="_Toc184310275"/>
      <w:bookmarkEnd w:id="107"/>
      <w:bookmarkStart w:id="108" w:name="_Toc184310316"/>
      <w:bookmarkEnd w:id="108"/>
      <w:bookmarkStart w:id="109" w:name="_Toc184312137"/>
      <w:bookmarkEnd w:id="109"/>
      <w:bookmarkStart w:id="110" w:name="_Toc184313288"/>
      <w:bookmarkEnd w:id="110"/>
      <w:bookmarkStart w:id="111" w:name="_Toc184314447"/>
      <w:bookmarkEnd w:id="111"/>
      <w:bookmarkStart w:id="112" w:name="_Toc184312079"/>
      <w:bookmarkEnd w:id="112"/>
      <w:bookmarkStart w:id="113" w:name="_Toc184314477"/>
      <w:bookmarkEnd w:id="113"/>
      <w:bookmarkStart w:id="114" w:name="_Toc184312068"/>
      <w:bookmarkEnd w:id="114"/>
      <w:bookmarkStart w:id="115" w:name="_Toc184308086"/>
      <w:bookmarkEnd w:id="115"/>
      <w:bookmarkStart w:id="116" w:name="_Toc184314470"/>
      <w:bookmarkEnd w:id="116"/>
      <w:bookmarkStart w:id="117" w:name="_Toc184310284"/>
      <w:bookmarkEnd w:id="117"/>
      <w:bookmarkStart w:id="118" w:name="_Toc184312118"/>
      <w:bookmarkEnd w:id="118"/>
      <w:bookmarkStart w:id="119" w:name="_Toc184310323"/>
      <w:bookmarkEnd w:id="119"/>
      <w:bookmarkStart w:id="120" w:name="_Toc184310272"/>
      <w:bookmarkEnd w:id="120"/>
      <w:bookmarkStart w:id="121" w:name="_Toc184314418"/>
      <w:bookmarkEnd w:id="121"/>
      <w:bookmarkStart w:id="122" w:name="_Toc184312109"/>
      <w:bookmarkEnd w:id="122"/>
      <w:bookmarkStart w:id="123" w:name="_Toc184308062"/>
      <w:bookmarkEnd w:id="123"/>
      <w:bookmarkStart w:id="124" w:name="_Toc184312070"/>
      <w:bookmarkEnd w:id="124"/>
      <w:bookmarkStart w:id="125" w:name="_Toc184314432"/>
      <w:bookmarkEnd w:id="125"/>
      <w:bookmarkStart w:id="126" w:name="_Toc184314476"/>
      <w:bookmarkEnd w:id="126"/>
      <w:bookmarkStart w:id="127" w:name="_Toc184310289"/>
      <w:bookmarkEnd w:id="127"/>
      <w:bookmarkStart w:id="128" w:name="_Toc184312124"/>
      <w:bookmarkEnd w:id="128"/>
      <w:bookmarkStart w:id="129" w:name="_Toc184308047"/>
      <w:bookmarkEnd w:id="129"/>
      <w:bookmarkStart w:id="130" w:name="_Toc184308059"/>
      <w:bookmarkEnd w:id="130"/>
      <w:bookmarkStart w:id="131" w:name="_Toc184312083"/>
      <w:bookmarkEnd w:id="131"/>
      <w:bookmarkStart w:id="132" w:name="_Toc184314448"/>
      <w:bookmarkEnd w:id="132"/>
      <w:bookmarkStart w:id="133" w:name="_Toc184313241"/>
      <w:bookmarkEnd w:id="133"/>
      <w:bookmarkStart w:id="134" w:name="_Toc184314446"/>
      <w:bookmarkEnd w:id="134"/>
      <w:bookmarkStart w:id="135" w:name="_Toc184313309"/>
      <w:bookmarkEnd w:id="135"/>
      <w:bookmarkStart w:id="136" w:name="_Toc184310278"/>
      <w:bookmarkEnd w:id="136"/>
      <w:bookmarkStart w:id="137" w:name="_Toc184313273"/>
      <w:bookmarkEnd w:id="137"/>
      <w:bookmarkStart w:id="138" w:name="_Toc184313268"/>
      <w:bookmarkEnd w:id="138"/>
      <w:bookmarkStart w:id="139" w:name="_Toc184308103"/>
      <w:bookmarkEnd w:id="139"/>
      <w:bookmarkStart w:id="140" w:name="_Toc184312095"/>
      <w:bookmarkEnd w:id="140"/>
      <w:bookmarkStart w:id="141" w:name="_Toc184312080"/>
      <w:bookmarkEnd w:id="141"/>
      <w:bookmarkStart w:id="142" w:name="_Toc184314450"/>
      <w:bookmarkEnd w:id="142"/>
      <w:bookmarkStart w:id="143" w:name="_Toc184308088"/>
      <w:bookmarkEnd w:id="143"/>
      <w:bookmarkStart w:id="144" w:name="_Toc184313301"/>
      <w:bookmarkEnd w:id="144"/>
      <w:bookmarkStart w:id="145" w:name="_Toc184312113"/>
      <w:bookmarkEnd w:id="145"/>
      <w:bookmarkStart w:id="146" w:name="_Toc184314439"/>
      <w:bookmarkEnd w:id="146"/>
      <w:bookmarkStart w:id="147" w:name="_Toc184310308"/>
      <w:bookmarkEnd w:id="147"/>
      <w:bookmarkStart w:id="148" w:name="_Toc184312073"/>
      <w:bookmarkEnd w:id="148"/>
      <w:bookmarkStart w:id="149" w:name="_Toc184312117"/>
      <w:bookmarkEnd w:id="149"/>
      <w:bookmarkStart w:id="150" w:name="_Toc184314465"/>
      <w:bookmarkEnd w:id="150"/>
      <w:bookmarkStart w:id="151" w:name="_Toc184312130"/>
      <w:bookmarkEnd w:id="151"/>
      <w:bookmarkStart w:id="152" w:name="_Toc184310298"/>
      <w:bookmarkEnd w:id="152"/>
      <w:bookmarkStart w:id="153" w:name="_Toc184308063"/>
      <w:bookmarkEnd w:id="153"/>
      <w:bookmarkStart w:id="154" w:name="_Toc184313244"/>
      <w:bookmarkEnd w:id="154"/>
      <w:bookmarkStart w:id="155" w:name="_Toc184312110"/>
      <w:bookmarkEnd w:id="155"/>
      <w:bookmarkStart w:id="156" w:name="_Toc184308052"/>
      <w:bookmarkEnd w:id="156"/>
      <w:bookmarkStart w:id="157" w:name="_Toc184312086"/>
      <w:bookmarkEnd w:id="157"/>
      <w:bookmarkStart w:id="158" w:name="_Toc184314413"/>
      <w:bookmarkEnd w:id="158"/>
      <w:bookmarkStart w:id="159" w:name="_Toc184314433"/>
      <w:bookmarkEnd w:id="159"/>
      <w:bookmarkStart w:id="160" w:name="_Toc184308081"/>
      <w:bookmarkEnd w:id="160"/>
      <w:bookmarkStart w:id="161" w:name="_Toc184310339"/>
      <w:bookmarkEnd w:id="161"/>
      <w:bookmarkStart w:id="162" w:name="_Toc184313290"/>
      <w:bookmarkEnd w:id="162"/>
      <w:bookmarkStart w:id="163" w:name="_Toc184314482"/>
      <w:bookmarkEnd w:id="163"/>
      <w:bookmarkStart w:id="164" w:name="_Toc184310329"/>
      <w:bookmarkEnd w:id="164"/>
      <w:bookmarkStart w:id="165" w:name="_Toc184310279"/>
      <w:bookmarkEnd w:id="165"/>
      <w:bookmarkStart w:id="166" w:name="_Toc184313280"/>
      <w:bookmarkEnd w:id="166"/>
      <w:bookmarkStart w:id="167" w:name="_Toc184308097"/>
      <w:bookmarkEnd w:id="167"/>
      <w:bookmarkStart w:id="168" w:name="_Toc184310337"/>
      <w:bookmarkEnd w:id="168"/>
      <w:bookmarkStart w:id="169" w:name="_Toc184314410"/>
      <w:bookmarkEnd w:id="169"/>
      <w:bookmarkStart w:id="170" w:name="_Toc184312131"/>
      <w:bookmarkEnd w:id="170"/>
      <w:bookmarkStart w:id="171" w:name="_Toc184314438"/>
      <w:bookmarkEnd w:id="171"/>
      <w:bookmarkStart w:id="172" w:name="_Toc184314461"/>
      <w:bookmarkEnd w:id="172"/>
      <w:bookmarkStart w:id="173" w:name="_Toc184312075"/>
      <w:bookmarkEnd w:id="173"/>
      <w:bookmarkStart w:id="174" w:name="_Toc184310294"/>
      <w:bookmarkEnd w:id="174"/>
      <w:bookmarkStart w:id="175" w:name="_Toc184310273"/>
      <w:bookmarkEnd w:id="175"/>
      <w:bookmarkStart w:id="176" w:name="_Toc184308099"/>
      <w:bookmarkEnd w:id="176"/>
      <w:bookmarkStart w:id="177" w:name="_Toc184314462"/>
      <w:bookmarkEnd w:id="177"/>
      <w:bookmarkStart w:id="178" w:name="_Toc184313278"/>
      <w:bookmarkEnd w:id="178"/>
      <w:bookmarkStart w:id="179" w:name="_Toc184308090"/>
      <w:bookmarkEnd w:id="179"/>
      <w:bookmarkStart w:id="180" w:name="_Toc184308043"/>
      <w:bookmarkEnd w:id="180"/>
      <w:bookmarkStart w:id="181" w:name="_Toc184313300"/>
      <w:bookmarkEnd w:id="181"/>
      <w:bookmarkStart w:id="182" w:name="_Toc184314456"/>
      <w:bookmarkEnd w:id="182"/>
      <w:bookmarkStart w:id="183" w:name="_Toc184313267"/>
      <w:bookmarkEnd w:id="183"/>
      <w:bookmarkStart w:id="184" w:name="_Toc184310277"/>
      <w:bookmarkEnd w:id="184"/>
      <w:bookmarkStart w:id="185" w:name="_Toc184312090"/>
      <w:bookmarkEnd w:id="185"/>
      <w:bookmarkStart w:id="186" w:name="_Toc184313308"/>
      <w:bookmarkEnd w:id="186"/>
      <w:bookmarkStart w:id="187" w:name="_Toc184308092"/>
      <w:bookmarkEnd w:id="187"/>
      <w:bookmarkStart w:id="188" w:name="_Toc184312132"/>
      <w:bookmarkEnd w:id="188"/>
      <w:bookmarkStart w:id="189" w:name="_Toc184312102"/>
      <w:bookmarkEnd w:id="189"/>
      <w:bookmarkStart w:id="190" w:name="_Toc184313251"/>
      <w:bookmarkEnd w:id="190"/>
      <w:bookmarkStart w:id="191" w:name="_Toc184308068"/>
      <w:bookmarkEnd w:id="191"/>
      <w:bookmarkStart w:id="192" w:name="_Toc184313295"/>
      <w:bookmarkEnd w:id="192"/>
      <w:bookmarkStart w:id="193" w:name="_Toc184314423"/>
      <w:bookmarkEnd w:id="193"/>
      <w:bookmarkStart w:id="194" w:name="_Toc184313306"/>
      <w:bookmarkEnd w:id="194"/>
      <w:bookmarkStart w:id="195" w:name="_Toc184308104"/>
      <w:bookmarkEnd w:id="195"/>
      <w:bookmarkStart w:id="196" w:name="_Toc184314412"/>
      <w:bookmarkEnd w:id="196"/>
      <w:bookmarkStart w:id="197" w:name="_Toc184312085"/>
      <w:bookmarkEnd w:id="197"/>
      <w:bookmarkStart w:id="198" w:name="_Toc184308072"/>
      <w:bookmarkEnd w:id="198"/>
      <w:bookmarkStart w:id="199" w:name="_Toc184313279"/>
      <w:bookmarkEnd w:id="199"/>
      <w:bookmarkStart w:id="200" w:name="_Toc184314457"/>
      <w:bookmarkEnd w:id="200"/>
      <w:bookmarkStart w:id="201" w:name="_Toc184308071"/>
      <w:bookmarkEnd w:id="201"/>
      <w:bookmarkStart w:id="202" w:name="_Toc184310296"/>
      <w:bookmarkEnd w:id="202"/>
      <w:bookmarkStart w:id="203" w:name="_Toc184312107"/>
      <w:bookmarkEnd w:id="203"/>
      <w:bookmarkStart w:id="204" w:name="_Toc184310311"/>
      <w:bookmarkEnd w:id="204"/>
      <w:bookmarkStart w:id="205" w:name="_Toc184313245"/>
      <w:bookmarkEnd w:id="205"/>
      <w:bookmarkStart w:id="206" w:name="_Toc184308056"/>
      <w:bookmarkEnd w:id="206"/>
      <w:bookmarkStart w:id="207" w:name="_Toc184313262"/>
      <w:bookmarkEnd w:id="207"/>
      <w:bookmarkStart w:id="208" w:name="_Toc184310334"/>
      <w:bookmarkEnd w:id="208"/>
      <w:bookmarkStart w:id="209" w:name="_Toc184314469"/>
      <w:bookmarkEnd w:id="209"/>
      <w:bookmarkStart w:id="210" w:name="_Toc184308094"/>
      <w:bookmarkEnd w:id="210"/>
      <w:bookmarkStart w:id="211" w:name="_Toc184308074"/>
      <w:bookmarkEnd w:id="211"/>
      <w:bookmarkStart w:id="212" w:name="_Toc184314435"/>
      <w:bookmarkEnd w:id="212"/>
      <w:bookmarkStart w:id="213" w:name="_Toc184308046"/>
      <w:bookmarkEnd w:id="213"/>
      <w:bookmarkStart w:id="214" w:name="_Toc184312119"/>
      <w:bookmarkEnd w:id="214"/>
      <w:bookmarkStart w:id="215" w:name="_Toc184314416"/>
      <w:bookmarkEnd w:id="215"/>
      <w:bookmarkStart w:id="216" w:name="_Toc184314475"/>
      <w:bookmarkEnd w:id="216"/>
      <w:bookmarkStart w:id="217" w:name="_Toc184312125"/>
      <w:bookmarkEnd w:id="217"/>
      <w:bookmarkStart w:id="218" w:name="_Toc184310287"/>
      <w:bookmarkEnd w:id="218"/>
      <w:bookmarkStart w:id="219" w:name="_Toc184312104"/>
      <w:bookmarkEnd w:id="219"/>
      <w:bookmarkStart w:id="220" w:name="_Toc184314429"/>
      <w:bookmarkEnd w:id="220"/>
      <w:bookmarkStart w:id="221" w:name="_Toc184314443"/>
      <w:bookmarkEnd w:id="221"/>
      <w:bookmarkStart w:id="222" w:name="_Toc184313287"/>
      <w:bookmarkEnd w:id="222"/>
      <w:bookmarkStart w:id="223" w:name="_Toc184313291"/>
      <w:bookmarkEnd w:id="223"/>
      <w:bookmarkStart w:id="224" w:name="_Toc184308082"/>
      <w:bookmarkEnd w:id="224"/>
      <w:bookmarkStart w:id="225" w:name="_Toc184314444"/>
      <w:bookmarkEnd w:id="225"/>
      <w:bookmarkStart w:id="226" w:name="_Toc184308102"/>
      <w:bookmarkEnd w:id="226"/>
      <w:bookmarkStart w:id="227" w:name="_Toc184312103"/>
      <w:bookmarkEnd w:id="227"/>
      <w:bookmarkStart w:id="228" w:name="_Toc184314480"/>
      <w:bookmarkEnd w:id="228"/>
      <w:bookmarkStart w:id="229" w:name="_Toc184310336"/>
      <w:bookmarkEnd w:id="229"/>
      <w:bookmarkStart w:id="230" w:name="_Toc184308051"/>
      <w:bookmarkEnd w:id="230"/>
      <w:bookmarkStart w:id="231" w:name="_Toc184314452"/>
      <w:bookmarkEnd w:id="231"/>
      <w:bookmarkStart w:id="232" w:name="_Toc184314458"/>
      <w:bookmarkEnd w:id="232"/>
      <w:bookmarkStart w:id="233" w:name="_Toc184313289"/>
      <w:bookmarkEnd w:id="233"/>
      <w:bookmarkStart w:id="234" w:name="_Toc184314453"/>
      <w:bookmarkEnd w:id="234"/>
      <w:bookmarkStart w:id="235" w:name="_Toc184308061"/>
      <w:bookmarkEnd w:id="235"/>
      <w:bookmarkStart w:id="236" w:name="_Toc184313255"/>
      <w:bookmarkEnd w:id="236"/>
      <w:bookmarkStart w:id="237" w:name="_Toc184314449"/>
      <w:bookmarkEnd w:id="237"/>
      <w:bookmarkStart w:id="238" w:name="_Toc184312115"/>
      <w:bookmarkEnd w:id="238"/>
      <w:bookmarkStart w:id="239" w:name="_Toc184313294"/>
      <w:bookmarkEnd w:id="239"/>
      <w:bookmarkStart w:id="240" w:name="_Toc184310305"/>
      <w:bookmarkEnd w:id="240"/>
      <w:bookmarkStart w:id="241" w:name="_Toc184310300"/>
      <w:bookmarkEnd w:id="241"/>
      <w:bookmarkStart w:id="242" w:name="_Toc184312111"/>
      <w:bookmarkEnd w:id="242"/>
      <w:bookmarkStart w:id="243" w:name="_Toc184308039"/>
      <w:bookmarkEnd w:id="243"/>
      <w:bookmarkStart w:id="244" w:name="_Toc184308058"/>
      <w:bookmarkEnd w:id="244"/>
      <w:bookmarkStart w:id="245" w:name="_Toc184313254"/>
      <w:bookmarkEnd w:id="245"/>
      <w:bookmarkStart w:id="246" w:name="_Toc184312122"/>
      <w:bookmarkEnd w:id="246"/>
      <w:bookmarkStart w:id="247" w:name="_Toc184313271"/>
      <w:bookmarkEnd w:id="247"/>
      <w:bookmarkStart w:id="248" w:name="_Toc184308065"/>
      <w:bookmarkEnd w:id="248"/>
      <w:bookmarkStart w:id="249" w:name="_Toc184308055"/>
      <w:bookmarkEnd w:id="249"/>
      <w:bookmarkStart w:id="250" w:name="_Toc184308073"/>
      <w:bookmarkEnd w:id="250"/>
      <w:bookmarkStart w:id="251" w:name="_Toc184313299"/>
      <w:bookmarkEnd w:id="251"/>
      <w:bookmarkStart w:id="252" w:name="_Toc184314455"/>
      <w:bookmarkEnd w:id="252"/>
      <w:bookmarkStart w:id="253" w:name="_Toc184308087"/>
      <w:bookmarkEnd w:id="253"/>
      <w:bookmarkStart w:id="254" w:name="_Toc184308075"/>
      <w:bookmarkEnd w:id="254"/>
      <w:bookmarkStart w:id="255" w:name="_Toc184313260"/>
      <w:bookmarkEnd w:id="255"/>
      <w:bookmarkStart w:id="256" w:name="_Toc184314425"/>
      <w:bookmarkEnd w:id="256"/>
      <w:bookmarkStart w:id="257" w:name="_Toc184312072"/>
      <w:bookmarkEnd w:id="257"/>
      <w:bookmarkStart w:id="258" w:name="_Toc184310319"/>
      <w:bookmarkEnd w:id="258"/>
      <w:bookmarkStart w:id="259" w:name="_Toc184313250"/>
      <w:bookmarkEnd w:id="259"/>
      <w:bookmarkStart w:id="260" w:name="_Toc184312101"/>
      <w:bookmarkEnd w:id="260"/>
      <w:bookmarkStart w:id="261" w:name="_Toc184310324"/>
      <w:bookmarkEnd w:id="261"/>
      <w:bookmarkStart w:id="262" w:name="_Toc184310335"/>
      <w:bookmarkEnd w:id="262"/>
      <w:bookmarkStart w:id="263" w:name="_Toc184312084"/>
      <w:bookmarkEnd w:id="263"/>
      <w:bookmarkStart w:id="264" w:name="_Toc184310321"/>
      <w:bookmarkEnd w:id="264"/>
      <w:bookmarkStart w:id="265" w:name="_Toc184310290"/>
      <w:bookmarkEnd w:id="265"/>
      <w:bookmarkStart w:id="266" w:name="_Toc184314426"/>
      <w:bookmarkEnd w:id="266"/>
      <w:bookmarkStart w:id="267" w:name="_Toc184314424"/>
      <w:bookmarkEnd w:id="267"/>
      <w:bookmarkStart w:id="268" w:name="_Toc184308105"/>
      <w:bookmarkEnd w:id="268"/>
      <w:bookmarkStart w:id="269" w:name="_Toc184310302"/>
      <w:bookmarkEnd w:id="269"/>
      <w:bookmarkStart w:id="270" w:name="_Toc184308093"/>
      <w:bookmarkEnd w:id="270"/>
      <w:bookmarkStart w:id="271" w:name="_Toc184308036"/>
      <w:bookmarkEnd w:id="271"/>
      <w:bookmarkStart w:id="272" w:name="_Toc184308040"/>
      <w:bookmarkEnd w:id="272"/>
      <w:bookmarkStart w:id="273" w:name="_Toc184308069"/>
      <w:bookmarkEnd w:id="273"/>
      <w:bookmarkStart w:id="274" w:name="_Toc184313282"/>
      <w:bookmarkEnd w:id="274"/>
      <w:bookmarkStart w:id="275" w:name="_Toc184308042"/>
      <w:bookmarkEnd w:id="275"/>
      <w:bookmarkStart w:id="276" w:name="_Toc184314431"/>
      <w:bookmarkEnd w:id="276"/>
      <w:bookmarkStart w:id="277" w:name="_Toc184314463"/>
      <w:bookmarkEnd w:id="277"/>
      <w:bookmarkStart w:id="278" w:name="_Toc184308053"/>
      <w:bookmarkEnd w:id="278"/>
      <w:bookmarkStart w:id="279" w:name="_Toc184313304"/>
      <w:bookmarkEnd w:id="279"/>
      <w:bookmarkStart w:id="280" w:name="_Toc184310307"/>
      <w:bookmarkEnd w:id="280"/>
      <w:bookmarkStart w:id="281" w:name="_Toc184312099"/>
      <w:bookmarkEnd w:id="281"/>
      <w:bookmarkStart w:id="282" w:name="_Toc184313256"/>
      <w:bookmarkEnd w:id="282"/>
      <w:bookmarkStart w:id="283" w:name="_Toc184313286"/>
      <w:bookmarkEnd w:id="283"/>
      <w:bookmarkStart w:id="284" w:name="_Toc184313275"/>
      <w:bookmarkEnd w:id="284"/>
      <w:bookmarkStart w:id="285" w:name="_Toc184313274"/>
      <w:bookmarkEnd w:id="285"/>
      <w:bookmarkStart w:id="286" w:name="_Toc184314427"/>
      <w:bookmarkEnd w:id="286"/>
      <w:bookmarkStart w:id="287" w:name="_Toc184312135"/>
      <w:bookmarkEnd w:id="287"/>
      <w:bookmarkStart w:id="288" w:name="_Toc184313240"/>
      <w:bookmarkEnd w:id="288"/>
      <w:bookmarkStart w:id="289" w:name="_Toc184312121"/>
      <w:bookmarkEnd w:id="289"/>
      <w:bookmarkStart w:id="290" w:name="_Toc184312100"/>
      <w:bookmarkEnd w:id="290"/>
      <w:bookmarkStart w:id="291" w:name="_Toc184314420"/>
      <w:bookmarkEnd w:id="291"/>
      <w:bookmarkStart w:id="292" w:name="_Toc184308091"/>
      <w:bookmarkEnd w:id="292"/>
      <w:bookmarkStart w:id="293" w:name="_Toc184310304"/>
      <w:bookmarkEnd w:id="293"/>
      <w:bookmarkStart w:id="294" w:name="_Toc184310276"/>
      <w:bookmarkEnd w:id="294"/>
      <w:bookmarkStart w:id="295" w:name="_Toc184310306"/>
      <w:bookmarkEnd w:id="295"/>
      <w:bookmarkStart w:id="296" w:name="_Toc184314479"/>
      <w:bookmarkEnd w:id="296"/>
      <w:bookmarkStart w:id="297" w:name="_Toc184310331"/>
      <w:bookmarkEnd w:id="297"/>
      <w:bookmarkStart w:id="298" w:name="_Toc184313297"/>
      <w:bookmarkEnd w:id="298"/>
      <w:bookmarkStart w:id="299" w:name="_Toc184310333"/>
      <w:bookmarkEnd w:id="299"/>
      <w:bookmarkStart w:id="300" w:name="_Toc184312078"/>
      <w:bookmarkEnd w:id="300"/>
      <w:bookmarkStart w:id="301" w:name="_Toc184312120"/>
      <w:bookmarkEnd w:id="301"/>
      <w:bookmarkStart w:id="302" w:name="_Toc184312097"/>
      <w:bookmarkEnd w:id="302"/>
      <w:bookmarkStart w:id="303" w:name="_Toc184308060"/>
      <w:bookmarkEnd w:id="303"/>
      <w:bookmarkStart w:id="304" w:name="_Toc184308079"/>
      <w:bookmarkEnd w:id="304"/>
      <w:bookmarkStart w:id="305" w:name="_Toc184312067"/>
      <w:bookmarkEnd w:id="305"/>
      <w:bookmarkStart w:id="306" w:name="_Toc184312136"/>
      <w:bookmarkEnd w:id="306"/>
      <w:bookmarkStart w:id="307" w:name="_Toc184308054"/>
      <w:bookmarkEnd w:id="307"/>
      <w:bookmarkStart w:id="308" w:name="_Toc184308108"/>
      <w:bookmarkEnd w:id="308"/>
      <w:bookmarkStart w:id="309" w:name="_Toc184310325"/>
      <w:bookmarkEnd w:id="309"/>
      <w:bookmarkStart w:id="310" w:name="_Toc184308098"/>
      <w:bookmarkEnd w:id="310"/>
      <w:bookmarkStart w:id="311" w:name="_Toc184313310"/>
      <w:bookmarkEnd w:id="311"/>
      <w:bookmarkStart w:id="312" w:name="_Toc184310314"/>
      <w:bookmarkEnd w:id="312"/>
      <w:bookmarkStart w:id="313" w:name="_Toc184308041"/>
      <w:bookmarkEnd w:id="313"/>
      <w:bookmarkStart w:id="314" w:name="_Toc184312096"/>
      <w:bookmarkEnd w:id="314"/>
      <w:bookmarkStart w:id="315" w:name="_Toc184313302"/>
      <w:bookmarkEnd w:id="315"/>
      <w:bookmarkStart w:id="316" w:name="_Toc184313261"/>
      <w:bookmarkEnd w:id="316"/>
      <w:bookmarkStart w:id="317" w:name="_Toc184308084"/>
      <w:bookmarkEnd w:id="317"/>
      <w:bookmarkStart w:id="318" w:name="_Toc184308067"/>
      <w:bookmarkEnd w:id="318"/>
      <w:bookmarkStart w:id="319" w:name="_Toc184312074"/>
      <w:bookmarkEnd w:id="319"/>
      <w:bookmarkStart w:id="320" w:name="_Toc184312123"/>
      <w:bookmarkEnd w:id="320"/>
      <w:bookmarkStart w:id="321" w:name="_Toc184314471"/>
      <w:bookmarkEnd w:id="321"/>
      <w:bookmarkStart w:id="322" w:name="_Toc184312087"/>
      <w:bookmarkEnd w:id="322"/>
      <w:bookmarkStart w:id="323" w:name="_Toc184314468"/>
      <w:bookmarkEnd w:id="323"/>
      <w:bookmarkStart w:id="324" w:name="_Toc184312089"/>
      <w:bookmarkEnd w:id="324"/>
      <w:bookmarkStart w:id="325" w:name="_Toc184314437"/>
      <w:bookmarkEnd w:id="325"/>
      <w:bookmarkStart w:id="326" w:name="_Toc184312139"/>
      <w:bookmarkEnd w:id="326"/>
      <w:bookmarkStart w:id="327" w:name="_Toc184313272"/>
      <w:bookmarkEnd w:id="327"/>
      <w:bookmarkStart w:id="328" w:name="_Toc184313252"/>
      <w:bookmarkEnd w:id="328"/>
      <w:bookmarkStart w:id="329" w:name="_Toc184313248"/>
      <w:bookmarkEnd w:id="329"/>
      <w:bookmarkStart w:id="330" w:name="_Toc184308077"/>
      <w:bookmarkEnd w:id="330"/>
      <w:bookmarkStart w:id="331" w:name="_Toc184314478"/>
      <w:bookmarkEnd w:id="331"/>
      <w:bookmarkStart w:id="332" w:name="_Toc184314411"/>
      <w:bookmarkEnd w:id="332"/>
      <w:bookmarkStart w:id="333" w:name="_Toc184310327"/>
      <w:bookmarkEnd w:id="333"/>
      <w:bookmarkStart w:id="334" w:name="_Toc184312098"/>
      <w:bookmarkEnd w:id="334"/>
      <w:bookmarkStart w:id="335" w:name="_Toc184310332"/>
      <w:bookmarkEnd w:id="335"/>
      <w:bookmarkStart w:id="336" w:name="_Toc184310301"/>
      <w:bookmarkEnd w:id="336"/>
      <w:bookmarkStart w:id="337" w:name="_Toc184313281"/>
      <w:bookmarkEnd w:id="337"/>
      <w:bookmarkStart w:id="338" w:name="_Toc184310292"/>
      <w:bookmarkEnd w:id="338"/>
      <w:bookmarkStart w:id="339" w:name="_Toc184312116"/>
      <w:bookmarkEnd w:id="339"/>
      <w:bookmarkStart w:id="340" w:name="_Toc184314419"/>
      <w:bookmarkEnd w:id="340"/>
      <w:bookmarkStart w:id="341" w:name="_Toc184313305"/>
      <w:bookmarkEnd w:id="341"/>
      <w:bookmarkStart w:id="342" w:name="_Toc184313277"/>
      <w:bookmarkEnd w:id="342"/>
      <w:bookmarkStart w:id="343" w:name="_Toc184314454"/>
      <w:bookmarkEnd w:id="343"/>
      <w:bookmarkStart w:id="344" w:name="_Toc184310282"/>
      <w:bookmarkEnd w:id="344"/>
      <w:bookmarkStart w:id="345" w:name="_Toc184310309"/>
      <w:bookmarkEnd w:id="345"/>
      <w:bookmarkStart w:id="346" w:name="_Toc184313259"/>
      <w:bookmarkEnd w:id="346"/>
      <w:bookmarkStart w:id="347" w:name="_Toc184308049"/>
      <w:bookmarkEnd w:id="347"/>
      <w:bookmarkStart w:id="348" w:name="_Toc184312134"/>
      <w:bookmarkEnd w:id="348"/>
      <w:bookmarkStart w:id="349" w:name="_Toc184310291"/>
      <w:bookmarkEnd w:id="349"/>
      <w:bookmarkStart w:id="350" w:name="_Toc184310280"/>
      <w:bookmarkEnd w:id="350"/>
      <w:bookmarkStart w:id="351" w:name="_Toc184310313"/>
      <w:bookmarkEnd w:id="351"/>
      <w:bookmarkStart w:id="352" w:name="_Toc184310293"/>
      <w:bookmarkEnd w:id="352"/>
      <w:bookmarkStart w:id="353" w:name="_Toc184310326"/>
      <w:bookmarkEnd w:id="353"/>
      <w:bookmarkStart w:id="354" w:name="_Toc184313243"/>
      <w:bookmarkEnd w:id="354"/>
      <w:bookmarkStart w:id="355" w:name="_Toc184312108"/>
      <w:bookmarkEnd w:id="355"/>
      <w:bookmarkStart w:id="356" w:name="_Toc184314451"/>
      <w:bookmarkEnd w:id="356"/>
      <w:bookmarkStart w:id="357" w:name="_Toc184314460"/>
      <w:bookmarkEnd w:id="357"/>
      <w:bookmarkStart w:id="358" w:name="_Toc184314434"/>
      <w:bookmarkEnd w:id="358"/>
      <w:bookmarkStart w:id="359" w:name="_Toc184308057"/>
      <w:bookmarkEnd w:id="359"/>
      <w:bookmarkStart w:id="360" w:name="_Toc184310310"/>
      <w:bookmarkEnd w:id="360"/>
      <w:bookmarkStart w:id="361" w:name="_Toc184310312"/>
      <w:bookmarkEnd w:id="361"/>
      <w:bookmarkStart w:id="362" w:name="_Toc184310330"/>
      <w:bookmarkEnd w:id="362"/>
      <w:bookmarkStart w:id="363" w:name="_Toc184308044"/>
      <w:bookmarkEnd w:id="363"/>
      <w:bookmarkStart w:id="364" w:name="_Toc184310274"/>
      <w:bookmarkEnd w:id="364"/>
      <w:bookmarkStart w:id="365" w:name="_Toc184312138"/>
      <w:bookmarkEnd w:id="365"/>
      <w:bookmarkStart w:id="366" w:name="_Toc184308100"/>
      <w:bookmarkEnd w:id="366"/>
      <w:bookmarkStart w:id="367" w:name="_Toc184312112"/>
      <w:bookmarkEnd w:id="367"/>
      <w:bookmarkStart w:id="368" w:name="_Toc184314442"/>
      <w:bookmarkEnd w:id="368"/>
      <w:bookmarkStart w:id="369" w:name="_Toc184314421"/>
      <w:bookmarkEnd w:id="369"/>
      <w:bookmarkStart w:id="370" w:name="_Toc184308070"/>
      <w:bookmarkEnd w:id="370"/>
      <w:bookmarkStart w:id="371" w:name="_Toc184313284"/>
      <w:bookmarkEnd w:id="371"/>
      <w:bookmarkStart w:id="372" w:name="_Toc184310297"/>
      <w:bookmarkEnd w:id="372"/>
      <w:bookmarkStart w:id="373" w:name="_Toc184312077"/>
      <w:bookmarkEnd w:id="373"/>
      <w:bookmarkStart w:id="374" w:name="_Toc184313258"/>
      <w:bookmarkEnd w:id="374"/>
      <w:bookmarkStart w:id="375" w:name="_Toc184313265"/>
      <w:bookmarkEnd w:id="375"/>
      <w:bookmarkStart w:id="376" w:name="_Toc184312093"/>
      <w:bookmarkEnd w:id="376"/>
      <w:bookmarkStart w:id="377" w:name="_Toc184314428"/>
      <w:bookmarkEnd w:id="377"/>
      <w:bookmarkStart w:id="378" w:name="_Toc184310315"/>
      <w:bookmarkEnd w:id="378"/>
      <w:bookmarkStart w:id="379" w:name="_Toc184308106"/>
      <w:bookmarkEnd w:id="379"/>
      <w:bookmarkStart w:id="380" w:name="_Toc184313285"/>
      <w:bookmarkEnd w:id="380"/>
      <w:bookmarkStart w:id="381" w:name="_Toc184310281"/>
      <w:bookmarkEnd w:id="381"/>
      <w:bookmarkStart w:id="382" w:name="_Toc184313246"/>
      <w:bookmarkEnd w:id="382"/>
      <w:bookmarkStart w:id="383" w:name="_Toc184312126"/>
      <w:bookmarkEnd w:id="383"/>
      <w:bookmarkStart w:id="384" w:name="_Toc184312106"/>
      <w:bookmarkEnd w:id="384"/>
      <w:bookmarkStart w:id="385" w:name="_Toc184313276"/>
      <w:bookmarkEnd w:id="385"/>
      <w:bookmarkStart w:id="386" w:name="_Toc184310317"/>
      <w:bookmarkEnd w:id="386"/>
      <w:bookmarkStart w:id="387" w:name="_Toc184313296"/>
      <w:bookmarkEnd w:id="387"/>
      <w:bookmarkStart w:id="388" w:name="_Toc184313283"/>
      <w:bookmarkEnd w:id="388"/>
      <w:bookmarkStart w:id="389" w:name="_Toc184310343"/>
      <w:bookmarkEnd w:id="389"/>
      <w:bookmarkStart w:id="390" w:name="_Toc184308037"/>
      <w:bookmarkEnd w:id="390"/>
      <w:bookmarkStart w:id="391" w:name="_Toc184312082"/>
      <w:bookmarkEnd w:id="391"/>
      <w:bookmarkStart w:id="392" w:name="_Toc184314422"/>
      <w:bookmarkEnd w:id="392"/>
      <w:bookmarkStart w:id="393" w:name="_Toc184312076"/>
      <w:bookmarkEnd w:id="393"/>
      <w:bookmarkStart w:id="394" w:name="_Toc184310344"/>
      <w:bookmarkEnd w:id="394"/>
      <w:bookmarkStart w:id="395" w:name="_Toc184313292"/>
      <w:bookmarkEnd w:id="395"/>
      <w:bookmarkStart w:id="396" w:name="_Toc184314414"/>
      <w:bookmarkEnd w:id="396"/>
      <w:bookmarkStart w:id="397" w:name="_Toc184308064"/>
      <w:bookmarkEnd w:id="397"/>
      <w:bookmarkStart w:id="398" w:name="_Toc184310286"/>
      <w:bookmarkEnd w:id="398"/>
      <w:bookmarkStart w:id="399" w:name="_Toc184310295"/>
      <w:bookmarkEnd w:id="399"/>
      <w:bookmarkStart w:id="400" w:name="_Toc184314417"/>
      <w:bookmarkEnd w:id="400"/>
      <w:bookmarkStart w:id="401" w:name="_Toc184314430"/>
      <w:bookmarkEnd w:id="401"/>
      <w:bookmarkStart w:id="402" w:name="_Toc184308045"/>
      <w:bookmarkEnd w:id="402"/>
      <w:bookmarkStart w:id="403" w:name="_Toc184313307"/>
      <w:bookmarkEnd w:id="403"/>
      <w:bookmarkStart w:id="404" w:name="_Toc184310285"/>
      <w:bookmarkEnd w:id="404"/>
      <w:bookmarkStart w:id="405" w:name="_Toc184313303"/>
      <w:bookmarkEnd w:id="405"/>
      <w:bookmarkStart w:id="406" w:name="_Toc184312091"/>
      <w:bookmarkEnd w:id="406"/>
      <w:bookmarkStart w:id="407" w:name="_Toc184310303"/>
      <w:bookmarkEnd w:id="407"/>
      <w:r>
        <w:rPr>
          <w:rFonts w:hint="eastAsia" w:ascii="宋体" w:hAnsi="宋体" w:cs="宋体"/>
          <w:b/>
          <w:color w:val="000000" w:themeColor="text1"/>
          <w:sz w:val="36"/>
          <w:szCs w:val="36"/>
          <w14:textFill>
            <w14:solidFill>
              <w14:schemeClr w14:val="tx1"/>
            </w14:solidFill>
          </w14:textFill>
        </w:rPr>
        <w:t>评标办法</w:t>
      </w:r>
    </w:p>
    <w:p w14:paraId="21370617">
      <w:pPr>
        <w:snapToGrid w:val="0"/>
        <w:spacing w:line="360" w:lineRule="auto"/>
        <w:jc w:val="center"/>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评标办法前附表</w:t>
      </w:r>
    </w:p>
    <w:tbl>
      <w:tblPr>
        <w:tblStyle w:val="63"/>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4979"/>
        <w:gridCol w:w="528"/>
        <w:gridCol w:w="1045"/>
        <w:gridCol w:w="1425"/>
      </w:tblGrid>
      <w:tr w14:paraId="49AF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340BC2FD">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4979" w:type="dxa"/>
            <w:vAlign w:val="center"/>
          </w:tcPr>
          <w:p w14:paraId="4B353B8D">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评标标准</w:t>
            </w:r>
          </w:p>
        </w:tc>
        <w:tc>
          <w:tcPr>
            <w:tcW w:w="528" w:type="dxa"/>
            <w:vAlign w:val="center"/>
          </w:tcPr>
          <w:p w14:paraId="5673EE55">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权重</w:t>
            </w:r>
          </w:p>
        </w:tc>
        <w:tc>
          <w:tcPr>
            <w:tcW w:w="1045" w:type="dxa"/>
            <w:vAlign w:val="center"/>
          </w:tcPr>
          <w:p w14:paraId="14E47B2D">
            <w:pPr>
              <w:snapToGrid w:val="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主观分/客观分属性</w:t>
            </w:r>
          </w:p>
        </w:tc>
        <w:tc>
          <w:tcPr>
            <w:tcW w:w="1425" w:type="dxa"/>
          </w:tcPr>
          <w:p w14:paraId="0EA9D49B">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投标文件中评标标准相应的商务技术资料目录*</w:t>
            </w:r>
          </w:p>
        </w:tc>
      </w:tr>
      <w:tr w14:paraId="5698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7FECD5DC">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4979" w:type="dxa"/>
            <w:vAlign w:val="center"/>
          </w:tcPr>
          <w:p w14:paraId="6761F0FA">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投标人自2023年1月1日以来（以合同签订时间为准）类似网络设备供货及布线或网络设备更新改造业绩（以提供的有效合同扫描件为准）：每提供1份合同业绩得1分，最高得3分。</w:t>
            </w:r>
          </w:p>
        </w:tc>
        <w:tc>
          <w:tcPr>
            <w:tcW w:w="528" w:type="dxa"/>
            <w:vAlign w:val="center"/>
          </w:tcPr>
          <w:p w14:paraId="06D5D850">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045" w:type="dxa"/>
            <w:vAlign w:val="center"/>
          </w:tcPr>
          <w:p w14:paraId="0F0BE90E">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客观分</w:t>
            </w:r>
          </w:p>
        </w:tc>
        <w:tc>
          <w:tcPr>
            <w:tcW w:w="1425" w:type="dxa"/>
          </w:tcPr>
          <w:p w14:paraId="1578B20B">
            <w:pPr>
              <w:snapToGrid w:val="0"/>
              <w:jc w:val="center"/>
              <w:rPr>
                <w:rFonts w:asciiTheme="minorEastAsia" w:hAnsiTheme="minorEastAsia" w:eastAsiaTheme="minorEastAsia" w:cstheme="minorEastAsia"/>
                <w:sz w:val="24"/>
              </w:rPr>
            </w:pPr>
          </w:p>
        </w:tc>
      </w:tr>
      <w:tr w14:paraId="4EB3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304FFB64">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4979" w:type="dxa"/>
            <w:vAlign w:val="center"/>
          </w:tcPr>
          <w:p w14:paraId="2593D230">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投标人具有有效的ISO9001质量管理体系认证、ISO20000信息技术服务管理体系认证、ISO27001信息安全管理体系认证，每提供一个得1分；最高得3分。</w:t>
            </w:r>
          </w:p>
          <w:p w14:paraId="32F331D6">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认证范围包括：网络设备的制造或销售或服务或硬件的运行维护服务或信息技术相关服务或信息系统集成相关服务或软件、硬件的运行维护。</w:t>
            </w:r>
          </w:p>
          <w:p w14:paraId="076BF669">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注：提供证书复印件和国家认证认可监督管理委员会官方网站（http://www.cnca.gov.cn/）查询截图并显示有效。</w:t>
            </w:r>
          </w:p>
        </w:tc>
        <w:tc>
          <w:tcPr>
            <w:tcW w:w="528" w:type="dxa"/>
            <w:vAlign w:val="center"/>
          </w:tcPr>
          <w:p w14:paraId="53D8CDC5">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045" w:type="dxa"/>
            <w:vAlign w:val="center"/>
          </w:tcPr>
          <w:p w14:paraId="3F5ADE2D">
            <w:pPr>
              <w:snapToGrid w:val="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客观分</w:t>
            </w:r>
          </w:p>
        </w:tc>
        <w:tc>
          <w:tcPr>
            <w:tcW w:w="1425" w:type="dxa"/>
          </w:tcPr>
          <w:p w14:paraId="1C0A357F">
            <w:pPr>
              <w:snapToGrid w:val="0"/>
              <w:jc w:val="center"/>
              <w:rPr>
                <w:rFonts w:asciiTheme="minorEastAsia" w:hAnsiTheme="minorEastAsia" w:eastAsiaTheme="minorEastAsia" w:cstheme="minorEastAsia"/>
                <w:sz w:val="24"/>
              </w:rPr>
            </w:pPr>
          </w:p>
        </w:tc>
      </w:tr>
      <w:tr w14:paraId="1A6C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2010B3DB">
            <w:pPr>
              <w:snapToGrid w:val="0"/>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4979" w:type="dxa"/>
            <w:vAlign w:val="center"/>
          </w:tcPr>
          <w:p w14:paraId="44AAE6B9">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质保期在满足招标文件要求的基础上每延长一年（延长的可为非原厂质保）得1分，最多得</w:t>
            </w: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分，延长时间不足一年的不计入得分，质保期不满足招标文件要求的投标无效。</w:t>
            </w:r>
          </w:p>
        </w:tc>
        <w:tc>
          <w:tcPr>
            <w:tcW w:w="528" w:type="dxa"/>
            <w:vAlign w:val="center"/>
          </w:tcPr>
          <w:p w14:paraId="1D00294D">
            <w:pPr>
              <w:snapToGrid w:val="0"/>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1045" w:type="dxa"/>
            <w:vAlign w:val="center"/>
          </w:tcPr>
          <w:p w14:paraId="7F6808B4">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客观分</w:t>
            </w:r>
          </w:p>
        </w:tc>
        <w:tc>
          <w:tcPr>
            <w:tcW w:w="1425" w:type="dxa"/>
          </w:tcPr>
          <w:p w14:paraId="6FBC3AFC">
            <w:pPr>
              <w:snapToGrid w:val="0"/>
              <w:jc w:val="center"/>
              <w:rPr>
                <w:rFonts w:asciiTheme="minorEastAsia" w:hAnsiTheme="minorEastAsia" w:eastAsiaTheme="minorEastAsia" w:cstheme="minorEastAsia"/>
                <w:sz w:val="24"/>
              </w:rPr>
            </w:pPr>
          </w:p>
        </w:tc>
      </w:tr>
      <w:tr w14:paraId="6157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58232B50">
            <w:pPr>
              <w:snapToGrid w:val="0"/>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4979" w:type="dxa"/>
            <w:shd w:val="clear" w:color="auto" w:fill="auto"/>
            <w:vAlign w:val="center"/>
          </w:tcPr>
          <w:p w14:paraId="0965E0CC">
            <w:pPr>
              <w:adjustRightInd/>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sz w:val="24"/>
              </w:rPr>
              <w:t>完全满足采购文件《第三部分 采购需求》中的“二、采购清单”主要技术参数及配置要求的得3</w:t>
            </w: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分。标注“★”的技术条款低于技术要求（负偏离）的每项扣1分；其他未标注技术条款低于技术要求（负偏离）的每项扣0.5分。（技术偏离表技术要求中响应规格与技术支持资料不一致的视为负偏离,采购文件要求提供技术支持资料未提供的视为负偏离）。</w:t>
            </w:r>
          </w:p>
        </w:tc>
        <w:tc>
          <w:tcPr>
            <w:tcW w:w="528" w:type="dxa"/>
            <w:vAlign w:val="center"/>
          </w:tcPr>
          <w:p w14:paraId="6426F3BD">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35</w:t>
            </w:r>
          </w:p>
        </w:tc>
        <w:tc>
          <w:tcPr>
            <w:tcW w:w="1045" w:type="dxa"/>
            <w:vAlign w:val="center"/>
          </w:tcPr>
          <w:p w14:paraId="11C3E6BC">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客观分</w:t>
            </w:r>
          </w:p>
        </w:tc>
        <w:tc>
          <w:tcPr>
            <w:tcW w:w="1425" w:type="dxa"/>
          </w:tcPr>
          <w:p w14:paraId="27F7374D">
            <w:pPr>
              <w:snapToGrid w:val="0"/>
              <w:jc w:val="center"/>
              <w:rPr>
                <w:rFonts w:asciiTheme="minorEastAsia" w:hAnsiTheme="minorEastAsia" w:eastAsiaTheme="minorEastAsia" w:cstheme="minorEastAsia"/>
                <w:sz w:val="24"/>
              </w:rPr>
            </w:pPr>
          </w:p>
        </w:tc>
      </w:tr>
      <w:tr w14:paraId="166C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48F690D1">
            <w:pPr>
              <w:snapToGrid w:val="0"/>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4979" w:type="dxa"/>
            <w:shd w:val="clear" w:color="auto" w:fill="auto"/>
            <w:vAlign w:val="center"/>
          </w:tcPr>
          <w:p w14:paraId="361E7C97">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根据投标人所提供方案中与学校现网网络兼容性及适配性情况进行评分。（</w:t>
            </w:r>
            <w:r>
              <w:rPr>
                <w:rFonts w:hint="eastAsia" w:asciiTheme="minorEastAsia" w:hAnsiTheme="minorEastAsia" w:eastAsiaTheme="minorEastAsia" w:cstheme="minorEastAsia"/>
                <w:color w:val="000000"/>
                <w:kern w:val="0"/>
                <w:sz w:val="24"/>
                <w:lang w:bidi="ar"/>
              </w:rPr>
              <w:t>评分范围：</w:t>
            </w: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color w:val="000000"/>
                <w:kern w:val="0"/>
                <w:sz w:val="24"/>
                <w:lang w:bidi="ar"/>
              </w:rPr>
              <w:t>3,2,1,0</w:t>
            </w:r>
            <w:r>
              <w:rPr>
                <w:rFonts w:hint="eastAsia" w:asciiTheme="minorEastAsia" w:hAnsiTheme="minorEastAsia" w:eastAsiaTheme="minorEastAsia" w:cstheme="minorEastAsia"/>
                <w:sz w:val="24"/>
              </w:rPr>
              <w:t>）</w:t>
            </w:r>
          </w:p>
        </w:tc>
        <w:tc>
          <w:tcPr>
            <w:tcW w:w="528" w:type="dxa"/>
            <w:vAlign w:val="center"/>
          </w:tcPr>
          <w:p w14:paraId="4A9E7E74">
            <w:pPr>
              <w:adjustRightInd/>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1045" w:type="dxa"/>
            <w:vAlign w:val="center"/>
          </w:tcPr>
          <w:p w14:paraId="3D65FA90">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主观分</w:t>
            </w:r>
          </w:p>
        </w:tc>
        <w:tc>
          <w:tcPr>
            <w:tcW w:w="1425" w:type="dxa"/>
          </w:tcPr>
          <w:p w14:paraId="0C4A38AA">
            <w:pPr>
              <w:snapToGrid w:val="0"/>
              <w:jc w:val="center"/>
              <w:rPr>
                <w:rFonts w:asciiTheme="minorEastAsia" w:hAnsiTheme="minorEastAsia" w:eastAsiaTheme="minorEastAsia" w:cstheme="minorEastAsia"/>
                <w:sz w:val="24"/>
              </w:rPr>
            </w:pPr>
          </w:p>
        </w:tc>
      </w:tr>
      <w:tr w14:paraId="2B8D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302D9391">
            <w:pPr>
              <w:snapToGrid w:val="0"/>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4979" w:type="dxa"/>
            <w:shd w:val="clear" w:color="auto" w:fill="auto"/>
            <w:vAlign w:val="center"/>
          </w:tcPr>
          <w:p w14:paraId="6EE65ECE">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投标人提供的组织实施方案（包括项目管理体系、进度保证措施、工作程序和步骤、管理和协调方法等）的完整性、科学性、可操作性。（评分范围：3,2,1,0）</w:t>
            </w:r>
          </w:p>
        </w:tc>
        <w:tc>
          <w:tcPr>
            <w:tcW w:w="528" w:type="dxa"/>
            <w:vAlign w:val="center"/>
          </w:tcPr>
          <w:p w14:paraId="22B7FF5B">
            <w:pPr>
              <w:adjustRightInd/>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045" w:type="dxa"/>
            <w:vAlign w:val="center"/>
          </w:tcPr>
          <w:p w14:paraId="229EC81D">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主观分</w:t>
            </w:r>
          </w:p>
        </w:tc>
        <w:tc>
          <w:tcPr>
            <w:tcW w:w="1425" w:type="dxa"/>
          </w:tcPr>
          <w:p w14:paraId="3F36B9A2">
            <w:pPr>
              <w:snapToGrid w:val="0"/>
              <w:jc w:val="center"/>
              <w:rPr>
                <w:rFonts w:asciiTheme="minorEastAsia" w:hAnsiTheme="minorEastAsia" w:eastAsiaTheme="minorEastAsia" w:cstheme="minorEastAsia"/>
                <w:sz w:val="24"/>
              </w:rPr>
            </w:pPr>
          </w:p>
        </w:tc>
      </w:tr>
      <w:tr w14:paraId="7392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4020CF39">
            <w:pPr>
              <w:snapToGrid w:val="0"/>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4979" w:type="dxa"/>
            <w:shd w:val="clear" w:color="auto" w:fill="auto"/>
            <w:vAlign w:val="center"/>
          </w:tcPr>
          <w:p w14:paraId="45BA960C">
            <w:pPr>
              <w:adjustRightInd/>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根据投标人提供的安装、调试方案的合理性、可行性、对采购进度与安装要求的响应情况评分。分值（3,2,1,0）</w:t>
            </w:r>
          </w:p>
        </w:tc>
        <w:tc>
          <w:tcPr>
            <w:tcW w:w="528" w:type="dxa"/>
            <w:vAlign w:val="center"/>
          </w:tcPr>
          <w:p w14:paraId="221B2A1F">
            <w:pPr>
              <w:adjustRightInd/>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045" w:type="dxa"/>
            <w:vAlign w:val="center"/>
          </w:tcPr>
          <w:p w14:paraId="072B9FFC">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主观分</w:t>
            </w:r>
          </w:p>
        </w:tc>
        <w:tc>
          <w:tcPr>
            <w:tcW w:w="1425" w:type="dxa"/>
          </w:tcPr>
          <w:p w14:paraId="2FA54D48">
            <w:pPr>
              <w:snapToGrid w:val="0"/>
              <w:jc w:val="center"/>
              <w:rPr>
                <w:rFonts w:asciiTheme="minorEastAsia" w:hAnsiTheme="minorEastAsia" w:eastAsiaTheme="minorEastAsia" w:cstheme="minorEastAsia"/>
                <w:sz w:val="24"/>
              </w:rPr>
            </w:pPr>
          </w:p>
        </w:tc>
      </w:tr>
      <w:tr w14:paraId="1664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62CB398B">
            <w:pPr>
              <w:snapToGrid w:val="0"/>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8</w:t>
            </w:r>
          </w:p>
        </w:tc>
        <w:tc>
          <w:tcPr>
            <w:tcW w:w="4979" w:type="dxa"/>
            <w:shd w:val="clear" w:color="auto" w:fill="auto"/>
            <w:vAlign w:val="center"/>
          </w:tcPr>
          <w:p w14:paraId="296B758B">
            <w:pPr>
              <w:adjustRightInd/>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根据投标人为本项目提供工程进度计划与工程质量保障措施的合理性、可实施性、可操作性，安全管理措施的合理性、可实施性、可操作性，提供的方案包括但不仅限于安全管理制度及安全管理组织架构、安全生产费和防护用品保障等的具体措施、运输搬运、带电操作等特殊专业操作的安全措施进行综合</w:t>
            </w:r>
            <w:r>
              <w:rPr>
                <w:rFonts w:hint="eastAsia" w:asciiTheme="minorEastAsia" w:hAnsiTheme="minorEastAsia" w:eastAsiaTheme="minorEastAsia" w:cstheme="minorEastAsia"/>
                <w:color w:val="000000"/>
                <w:kern w:val="0"/>
                <w:sz w:val="24"/>
                <w:lang w:val="en-US" w:eastAsia="zh-CN" w:bidi="ar"/>
              </w:rPr>
              <w:t>评审</w:t>
            </w:r>
            <w:r>
              <w:rPr>
                <w:rFonts w:hint="eastAsia" w:asciiTheme="minorEastAsia" w:hAnsiTheme="minorEastAsia" w:eastAsiaTheme="minorEastAsia" w:cstheme="minorEastAsia"/>
                <w:color w:val="000000"/>
                <w:kern w:val="0"/>
                <w:sz w:val="24"/>
                <w:lang w:bidi="ar"/>
              </w:rPr>
              <w:t>。（评分范围：3,2,1,0）</w:t>
            </w:r>
          </w:p>
        </w:tc>
        <w:tc>
          <w:tcPr>
            <w:tcW w:w="528" w:type="dxa"/>
            <w:vAlign w:val="center"/>
          </w:tcPr>
          <w:p w14:paraId="1A892C7E">
            <w:pPr>
              <w:adjustRightInd/>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045" w:type="dxa"/>
            <w:vAlign w:val="center"/>
          </w:tcPr>
          <w:p w14:paraId="1B7C8CD5">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主观分</w:t>
            </w:r>
          </w:p>
        </w:tc>
        <w:tc>
          <w:tcPr>
            <w:tcW w:w="1425" w:type="dxa"/>
          </w:tcPr>
          <w:p w14:paraId="14337D8E">
            <w:pPr>
              <w:snapToGrid w:val="0"/>
              <w:jc w:val="center"/>
              <w:rPr>
                <w:rFonts w:asciiTheme="minorEastAsia" w:hAnsiTheme="minorEastAsia" w:eastAsiaTheme="minorEastAsia" w:cstheme="minorEastAsia"/>
                <w:sz w:val="24"/>
              </w:rPr>
            </w:pPr>
          </w:p>
        </w:tc>
      </w:tr>
      <w:tr w14:paraId="4CD9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4E9C5598">
            <w:pPr>
              <w:snapToGrid w:val="0"/>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9</w:t>
            </w:r>
          </w:p>
        </w:tc>
        <w:tc>
          <w:tcPr>
            <w:tcW w:w="4979" w:type="dxa"/>
            <w:shd w:val="clear" w:color="auto" w:fill="auto"/>
            <w:vAlign w:val="center"/>
          </w:tcPr>
          <w:p w14:paraId="0971CFD7">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投标人提供针对本项目拟派的项目实施团队，拟派项目负责人具有软考高级认证证书或网络设备厂商（锐捷、华为、华三）高级认证证书的得</w:t>
            </w: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rPr>
              <w:t>分；项目团队成员（不包括项目负责人）每一人具有软考中级及以上（计算机软件类、计算机网络类、计算机应用技术类、信息系统类、信息服务类）证书或网络设备厂商（锐捷、华为、华三）中级及以上认证证书的得</w:t>
            </w:r>
            <w:r>
              <w:rPr>
                <w:rFonts w:asciiTheme="minorEastAsia" w:hAnsiTheme="minorEastAsia" w:eastAsiaTheme="minorEastAsia" w:cstheme="minorEastAsia"/>
                <w:sz w:val="24"/>
              </w:rPr>
              <w:t>0.5</w:t>
            </w:r>
            <w:r>
              <w:rPr>
                <w:rFonts w:hint="eastAsia" w:asciiTheme="minorEastAsia" w:hAnsiTheme="minorEastAsia" w:eastAsiaTheme="minorEastAsia" w:cstheme="minorEastAsia"/>
                <w:sz w:val="24"/>
              </w:rPr>
              <w:t>分（最多得</w:t>
            </w: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rPr>
              <w:t>分）。</w:t>
            </w:r>
            <w:r>
              <w:rPr>
                <w:rFonts w:hint="eastAsia" w:ascii="仿宋" w:hAnsi="仿宋" w:cs="仿宋"/>
                <w:b/>
                <w:bCs/>
                <w:color w:val="000000"/>
                <w:kern w:val="0"/>
              </w:rPr>
              <w:t>注：需提供相关证书复印件及近三个月社保证明材料，未提供不得分。</w:t>
            </w:r>
          </w:p>
        </w:tc>
        <w:tc>
          <w:tcPr>
            <w:tcW w:w="528" w:type="dxa"/>
            <w:vAlign w:val="center"/>
          </w:tcPr>
          <w:p w14:paraId="427D5C11">
            <w:pPr>
              <w:adjustRightInd/>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1045" w:type="dxa"/>
            <w:vAlign w:val="center"/>
          </w:tcPr>
          <w:p w14:paraId="297C6382">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客</w:t>
            </w:r>
            <w:r>
              <w:rPr>
                <w:rFonts w:hint="eastAsia" w:asciiTheme="minorEastAsia" w:hAnsiTheme="minorEastAsia" w:eastAsiaTheme="minorEastAsia" w:cstheme="minorEastAsia"/>
                <w:sz w:val="24"/>
              </w:rPr>
              <w:t>观分</w:t>
            </w:r>
          </w:p>
        </w:tc>
        <w:tc>
          <w:tcPr>
            <w:tcW w:w="1425" w:type="dxa"/>
          </w:tcPr>
          <w:p w14:paraId="1675FA9D">
            <w:pPr>
              <w:snapToGrid w:val="0"/>
              <w:jc w:val="center"/>
              <w:rPr>
                <w:rFonts w:asciiTheme="minorEastAsia" w:hAnsiTheme="minorEastAsia" w:eastAsiaTheme="minorEastAsia" w:cstheme="minorEastAsia"/>
                <w:sz w:val="24"/>
              </w:rPr>
            </w:pPr>
          </w:p>
        </w:tc>
      </w:tr>
      <w:tr w14:paraId="0681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6721C66F">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4979" w:type="dxa"/>
            <w:shd w:val="clear" w:color="auto" w:fill="auto"/>
            <w:vAlign w:val="center"/>
          </w:tcPr>
          <w:p w14:paraId="0B3319B6">
            <w:pPr>
              <w:widowControl/>
              <w:jc w:val="left"/>
              <w:textAlignment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kern w:val="0"/>
                <w:sz w:val="24"/>
                <w:lang w:bidi="ar"/>
              </w:rPr>
              <w:t>投标人提供的售后服务方案（包括售后服务承诺、本地化服务能力、服务规章制度、服务响应方案等）的完整性、科学性、合理性、可操作性。（评分范围：3,2,1,0）</w:t>
            </w:r>
          </w:p>
        </w:tc>
        <w:tc>
          <w:tcPr>
            <w:tcW w:w="528" w:type="dxa"/>
            <w:vAlign w:val="center"/>
          </w:tcPr>
          <w:p w14:paraId="48A8BE40">
            <w:pPr>
              <w:adjustRightInd/>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045" w:type="dxa"/>
            <w:vAlign w:val="center"/>
          </w:tcPr>
          <w:p w14:paraId="1AE4D6DC">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主观分</w:t>
            </w:r>
          </w:p>
        </w:tc>
        <w:tc>
          <w:tcPr>
            <w:tcW w:w="1425" w:type="dxa"/>
          </w:tcPr>
          <w:p w14:paraId="1FC67C31">
            <w:pPr>
              <w:snapToGrid w:val="0"/>
              <w:jc w:val="center"/>
              <w:rPr>
                <w:rFonts w:asciiTheme="minorEastAsia" w:hAnsiTheme="minorEastAsia" w:eastAsiaTheme="minorEastAsia" w:cstheme="minorEastAsia"/>
                <w:sz w:val="24"/>
              </w:rPr>
            </w:pPr>
          </w:p>
        </w:tc>
      </w:tr>
      <w:tr w14:paraId="1ED6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7693931A">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4979" w:type="dxa"/>
            <w:shd w:val="clear" w:color="auto" w:fill="auto"/>
            <w:vAlign w:val="center"/>
          </w:tcPr>
          <w:p w14:paraId="4D62F2DC">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投标人提供的培训方案（包括培训目标、培训内容、培训方式、培训时间地点、培训质量管理等）的完整性、针对性。（评分范围：3，2,1,0）</w:t>
            </w:r>
          </w:p>
        </w:tc>
        <w:tc>
          <w:tcPr>
            <w:tcW w:w="528" w:type="dxa"/>
            <w:vAlign w:val="center"/>
          </w:tcPr>
          <w:p w14:paraId="3ED4C0FE">
            <w:pPr>
              <w:adjustRightInd/>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1045" w:type="dxa"/>
            <w:vAlign w:val="center"/>
          </w:tcPr>
          <w:p w14:paraId="76622345">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主观分</w:t>
            </w:r>
          </w:p>
        </w:tc>
        <w:tc>
          <w:tcPr>
            <w:tcW w:w="1425" w:type="dxa"/>
          </w:tcPr>
          <w:p w14:paraId="7105163F">
            <w:pPr>
              <w:snapToGrid w:val="0"/>
              <w:jc w:val="center"/>
              <w:rPr>
                <w:rFonts w:asciiTheme="minorEastAsia" w:hAnsiTheme="minorEastAsia" w:eastAsiaTheme="minorEastAsia" w:cstheme="minorEastAsia"/>
                <w:sz w:val="24"/>
              </w:rPr>
            </w:pPr>
          </w:p>
        </w:tc>
      </w:tr>
      <w:tr w14:paraId="21C6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663CF892">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2</w:t>
            </w:r>
          </w:p>
        </w:tc>
        <w:tc>
          <w:tcPr>
            <w:tcW w:w="4979" w:type="dxa"/>
            <w:vAlign w:val="center"/>
          </w:tcPr>
          <w:p w14:paraId="62717037">
            <w:pPr>
              <w:adjustRightInd/>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配件、附件、备品备件的准备和保障及价格措施。根据配件、附件、备品备件准备充足情况及保障措施可行性、价格的合理性进行综合评审。（评分范围：3，2,1,0）</w:t>
            </w:r>
          </w:p>
        </w:tc>
        <w:tc>
          <w:tcPr>
            <w:tcW w:w="528" w:type="dxa"/>
            <w:vAlign w:val="center"/>
          </w:tcPr>
          <w:p w14:paraId="6EC38642">
            <w:pPr>
              <w:adjustRightInd/>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1045" w:type="dxa"/>
            <w:vAlign w:val="center"/>
          </w:tcPr>
          <w:p w14:paraId="08E56274">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主观分</w:t>
            </w:r>
          </w:p>
        </w:tc>
        <w:tc>
          <w:tcPr>
            <w:tcW w:w="1425" w:type="dxa"/>
          </w:tcPr>
          <w:p w14:paraId="543D4926">
            <w:pPr>
              <w:snapToGrid w:val="0"/>
              <w:jc w:val="center"/>
              <w:rPr>
                <w:rFonts w:asciiTheme="minorEastAsia" w:hAnsiTheme="minorEastAsia" w:eastAsiaTheme="minorEastAsia" w:cstheme="minorEastAsia"/>
                <w:sz w:val="24"/>
              </w:rPr>
            </w:pPr>
          </w:p>
        </w:tc>
      </w:tr>
      <w:tr w14:paraId="0608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7D9FBB4F">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3</w:t>
            </w:r>
          </w:p>
        </w:tc>
        <w:tc>
          <w:tcPr>
            <w:tcW w:w="4979" w:type="dxa"/>
          </w:tcPr>
          <w:p w14:paraId="1BC44FD4">
            <w:pPr>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有效投标报价的最低价作为评标基准价，其最低报价为满分；按［投标报价得分=（评标基准价/投标报价）*30］的计算公式计算。</w:t>
            </w:r>
          </w:p>
          <w:p w14:paraId="033F1A0B">
            <w:pPr>
              <w:ind w:firstLine="480" w:firstLineChars="2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评标过程中，不得去掉报价中的最高报价和最低报价。</w:t>
            </w:r>
          </w:p>
        </w:tc>
        <w:tc>
          <w:tcPr>
            <w:tcW w:w="528" w:type="dxa"/>
            <w:vAlign w:val="center"/>
          </w:tcPr>
          <w:p w14:paraId="70A90E81">
            <w:pPr>
              <w:jc w:val="center"/>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w:t>
            </w:r>
          </w:p>
        </w:tc>
        <w:tc>
          <w:tcPr>
            <w:tcW w:w="1045" w:type="dxa"/>
            <w:vAlign w:val="center"/>
          </w:tcPr>
          <w:p w14:paraId="78B28078">
            <w:pPr>
              <w:jc w:val="center"/>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客观分</w:t>
            </w:r>
          </w:p>
        </w:tc>
        <w:tc>
          <w:tcPr>
            <w:tcW w:w="1425" w:type="dxa"/>
            <w:vAlign w:val="center"/>
          </w:tcPr>
          <w:p w14:paraId="7F4B490E">
            <w:pPr>
              <w:jc w:val="center"/>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bl>
    <w:p w14:paraId="2DA5345D">
      <w:pPr>
        <w:rPr>
          <w:color w:val="000000" w:themeColor="text1"/>
          <w14:textFill>
            <w14:solidFill>
              <w14:schemeClr w14:val="tx1"/>
            </w14:solidFill>
          </w14:textFill>
        </w:rPr>
      </w:pPr>
    </w:p>
    <w:p w14:paraId="6E45473C">
      <w:pPr>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0"/>
          <w:szCs w:val="20"/>
          <w:shd w:val="clear" w:color="auto" w:fill="FFFFFF"/>
          <w14:textFill>
            <w14:solidFill>
              <w14:schemeClr w14:val="tx1"/>
            </w14:solidFill>
          </w14:textFill>
        </w:rPr>
        <w:t> *</w:t>
      </w:r>
      <w:r>
        <w:rPr>
          <w:rFonts w:hint="eastAsia" w:ascii="宋体" w:hAnsi="宋体" w:cs="宋体"/>
          <w:b/>
          <w:color w:val="000000" w:themeColor="text1"/>
          <w:sz w:val="24"/>
          <w14:textFill>
            <w14:solidFill>
              <w14:schemeClr w14:val="tx1"/>
            </w14:solidFill>
          </w14:textFill>
        </w:rPr>
        <w:t>备注：</w:t>
      </w:r>
      <w:r>
        <w:rPr>
          <w:rFonts w:hint="eastAsia" w:ascii="宋体" w:hAnsi="宋体" w:cs="宋体"/>
          <w:color w:val="000000" w:themeColor="text1"/>
          <w:sz w:val="24"/>
          <w14:textFill>
            <w14:solidFill>
              <w14:schemeClr w14:val="tx1"/>
            </w14:solidFill>
          </w14:textFill>
        </w:rPr>
        <w:t>投标人编制投标文件（商务技术文件部分）时，建议按此目录（序号和内容）提供评标标准相应的商务技术资料。 </w:t>
      </w:r>
    </w:p>
    <w:p w14:paraId="58632ABD">
      <w:pPr>
        <w:snapToGrid w:val="0"/>
        <w:spacing w:line="360" w:lineRule="auto"/>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32"/>
          <w14:textFill>
            <w14:solidFill>
              <w14:schemeClr w14:val="tx1"/>
            </w14:solidFill>
          </w14:textFill>
        </w:rPr>
        <w:t>一、评标方法</w:t>
      </w:r>
    </w:p>
    <w:p w14:paraId="2FD298A9">
      <w:pPr>
        <w:adjustRightInd/>
        <w:spacing w:line="360" w:lineRule="auto"/>
        <w:ind w:firstLine="472" w:firstLineChars="196"/>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1.本项目采用综合评分法。</w:t>
      </w:r>
      <w:r>
        <w:rPr>
          <w:rFonts w:hint="eastAsia" w:ascii="宋体" w:hAnsi="宋体" w:cs="宋体"/>
          <w:color w:val="000000" w:themeColor="text1"/>
          <w:kern w:val="0"/>
          <w:sz w:val="24"/>
          <w14:textFill>
            <w14:solidFill>
              <w14:schemeClr w14:val="tx1"/>
            </w14:solidFill>
          </w14:textFill>
        </w:rPr>
        <w:t>综合评分法，是指投标文件满足招标文件全部实质性要求，且按照评审因素的量化指标评审得分最高的投标人为中标候选人的评标方法。</w:t>
      </w:r>
    </w:p>
    <w:p w14:paraId="4C3C33F1">
      <w:pPr>
        <w:adjustRightInd/>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sz w:val="32"/>
          <w14:textFill>
            <w14:solidFill>
              <w14:schemeClr w14:val="tx1"/>
            </w14:solidFill>
          </w14:textFill>
        </w:rPr>
        <w:t>二、评标标准</w:t>
      </w:r>
    </w:p>
    <w:p w14:paraId="68853A59">
      <w:pPr>
        <w:spacing w:line="360" w:lineRule="auto"/>
        <w:ind w:firstLine="472" w:firstLineChars="196"/>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2.评标标准：</w:t>
      </w:r>
      <w:r>
        <w:rPr>
          <w:rFonts w:hint="eastAsia" w:ascii="宋体" w:hAnsi="宋体" w:cs="宋体"/>
          <w:color w:val="000000" w:themeColor="text1"/>
          <w:kern w:val="0"/>
          <w:sz w:val="24"/>
          <w14:textFill>
            <w14:solidFill>
              <w14:schemeClr w14:val="tx1"/>
            </w14:solidFill>
          </w14:textFill>
        </w:rPr>
        <w:t>见评标办法前附表。</w:t>
      </w:r>
    </w:p>
    <w:p w14:paraId="41C48987">
      <w:pPr>
        <w:spacing w:line="360" w:lineRule="auto"/>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三、评标程序</w:t>
      </w:r>
    </w:p>
    <w:p w14:paraId="61C41654">
      <w:pPr>
        <w:spacing w:line="360" w:lineRule="auto"/>
        <w:ind w:firstLine="472" w:firstLineChars="196"/>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3.1符合性审查。</w:t>
      </w:r>
      <w:r>
        <w:rPr>
          <w:rFonts w:hint="eastAsia" w:ascii="宋体" w:hAnsi="宋体" w:cs="宋体"/>
          <w:color w:val="000000" w:themeColor="text1"/>
          <w:kern w:val="0"/>
          <w:sz w:val="24"/>
          <w14:textFill>
            <w14:solidFill>
              <w14:schemeClr w14:val="tx1"/>
            </w14:solidFill>
          </w14:textFill>
        </w:rPr>
        <w:t>评标委员会应当对符合资格的投标人的投标文件进行符合性审查，以确定其是否满足招标文件的实质性要求。不满足招标文件的实质性要求的，投标无效。</w:t>
      </w:r>
    </w:p>
    <w:p w14:paraId="350D7D04">
      <w:pPr>
        <w:spacing w:line="360" w:lineRule="auto"/>
        <w:ind w:firstLine="472" w:firstLineChars="196"/>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3.2 比较与评价。</w:t>
      </w:r>
      <w:r>
        <w:rPr>
          <w:rFonts w:hint="eastAsia" w:ascii="宋体" w:hAnsi="宋体" w:cs="宋体"/>
          <w:color w:val="000000" w:themeColor="text1"/>
          <w:kern w:val="0"/>
          <w:sz w:val="24"/>
          <w14:textFill>
            <w14:solidFill>
              <w14:schemeClr w14:val="tx1"/>
            </w14:solidFill>
          </w14:textFill>
        </w:rPr>
        <w:t>评标委员会应当按照招标文件中规定的评标方法和标准，对符合性审查合格的投标文件进行商务和技术评估，综合比较与评价。</w:t>
      </w:r>
    </w:p>
    <w:p w14:paraId="0C9EEE87">
      <w:pPr>
        <w:spacing w:line="360" w:lineRule="auto"/>
        <w:ind w:firstLine="472" w:firstLineChars="196"/>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3.3汇总商务技术得分。</w:t>
      </w:r>
      <w:r>
        <w:rPr>
          <w:rFonts w:hint="eastAsia" w:ascii="宋体" w:hAnsi="宋体" w:cs="宋体"/>
          <w:color w:val="000000" w:themeColor="text1"/>
          <w:kern w:val="0"/>
          <w:sz w:val="24"/>
          <w14:textFill>
            <w14:solidFill>
              <w14:schemeClr w14:val="tx1"/>
            </w14:solidFill>
          </w14:textFill>
        </w:rPr>
        <w:t>评标委员会各成员应当独立对每个投标人的商务和技术文件进行评价，并汇总商务技术得分情况。</w:t>
      </w:r>
    </w:p>
    <w:p w14:paraId="24C5C23D">
      <w:pPr>
        <w:spacing w:line="360" w:lineRule="auto"/>
        <w:ind w:firstLine="472" w:firstLineChars="196"/>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3.4报价评审。</w:t>
      </w:r>
    </w:p>
    <w:p w14:paraId="200A7CB2">
      <w:pPr>
        <w:pStyle w:val="131"/>
        <w:spacing w:before="0"/>
        <w:ind w:firstLine="508" w:firstLineChars="212"/>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3.4.1投标文件报价出现前后不一致的，按照下列规定修正：</w:t>
      </w:r>
    </w:p>
    <w:p w14:paraId="3C5E3CF0">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3.4.1.1投标文件中开标一览表(报价表)内容与投标文件中相应内容不一致的，以开标一览表(报价表)为准;</w:t>
      </w:r>
    </w:p>
    <w:p w14:paraId="14E32BE1">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3.4.1.2大写金额和小写金额不一致的，以大写金额为准;</w:t>
      </w:r>
    </w:p>
    <w:p w14:paraId="7ED6C79A">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3.4.1.3单价金额小数点或者百分比有明显错位的，以开标一览表的总价为准，并修改单价;</w:t>
      </w:r>
    </w:p>
    <w:p w14:paraId="053E694F">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3.4.1.4总价金额与按单价汇总金额不一致的，以单价金额计算结果为准。</w:t>
      </w:r>
    </w:p>
    <w:p w14:paraId="393801D1">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3.4.1.5同时出现两种以上不一致的，按照3.4.1规定的顺序修正。修正后的报价按照财政部第87号令 《政府采购货物和服务招标投标管理办法》第五十一条第二款的规定经投标人确认后产生约束力。</w:t>
      </w:r>
    </w:p>
    <w:p w14:paraId="53414CE2">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3.4.2投标文件出现不是唯一的、有选择性投标报价的，投标无效。</w:t>
      </w:r>
    </w:p>
    <w:p w14:paraId="1790A32F">
      <w:pPr>
        <w:pStyle w:val="131"/>
        <w:spacing w:before="0"/>
        <w:ind w:firstLine="4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3.4.3投标报价超过招标文件中规定的预算金额或者最</w:t>
      </w:r>
      <w:r>
        <w:rPr>
          <w:rFonts w:hint="eastAsia" w:ascii="宋体" w:hAnsi="宋体" w:cs="宋体"/>
          <w:color w:val="000000" w:themeColor="text1"/>
          <w:kern w:val="0"/>
          <w14:textFill>
            <w14:solidFill>
              <w14:schemeClr w14:val="tx1"/>
            </w14:solidFill>
          </w14:textFill>
        </w:rPr>
        <w:t>高限价的，投标无效。</w:t>
      </w:r>
    </w:p>
    <w:p w14:paraId="60915721">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69B8B78">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3.4.5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69AE2CDD">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3.4.6政府采购评审中出现下列情形之一的，评审委员会应当启动异常低价投标（响应）审查程序：</w:t>
      </w:r>
    </w:p>
    <w:p w14:paraId="3DA805C0">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（1）投标（响应）报价低于全部通过符合性审查供应商投标（响应）报价平均值50%的，即投标（响应）报价＜全部通过符合性审查供应商投标（响应）报价平均值×50%；</w:t>
      </w:r>
    </w:p>
    <w:p w14:paraId="73D5C521">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（2）投标（响应）报价低于通过符合性审查的次低报价供应商投标（响应）报价50%的，即投标（响应）报价＜通过符合性审查的次低报价供应商投标（响应）报价×50%；</w:t>
      </w:r>
    </w:p>
    <w:p w14:paraId="3797B596">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（3）投标（响应）报价低于采购项目最高限价</w:t>
      </w:r>
      <w:r>
        <w:rPr>
          <w:rFonts w:hint="eastAsia" w:ascii="宋体" w:hAnsi="宋体" w:cs="宋体"/>
          <w:color w:val="000000" w:themeColor="text1"/>
          <w:kern w:val="0"/>
          <w:szCs w:val="24"/>
          <w:lang w:val="en-US" w:eastAsia="zh-CN"/>
          <w14:textFill>
            <w14:solidFill>
              <w14:schemeClr w14:val="tx1"/>
            </w14:solidFill>
          </w14:textFill>
        </w:rPr>
        <w:t>45</w:t>
      </w:r>
      <w:r>
        <w:rPr>
          <w:rFonts w:hint="eastAsia" w:ascii="宋体" w:hAnsi="宋体" w:cs="宋体"/>
          <w:color w:val="000000" w:themeColor="text1"/>
          <w:kern w:val="0"/>
          <w:szCs w:val="24"/>
          <w14:textFill>
            <w14:solidFill>
              <w14:schemeClr w14:val="tx1"/>
            </w14:solidFill>
          </w14:textFill>
        </w:rPr>
        <w:t>%的，即投标（响应）报价＜采购项目最高限价×45%；</w:t>
      </w:r>
    </w:p>
    <w:p w14:paraId="08D2F34D">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（4）评审委员会基于专业判断，认为供应商报价过低，有可能影响产品质量或者不能诚信履约的其他情形。</w:t>
      </w:r>
    </w:p>
    <w:p w14:paraId="74438E7C">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相关法律法规对供应商报价有规定的，从其规定。</w:t>
      </w:r>
    </w:p>
    <w:p w14:paraId="2CFA4D8C">
      <w:pPr>
        <w:spacing w:line="360" w:lineRule="auto"/>
        <w:ind w:firstLine="482" w:firstLineChars="200"/>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3.5排序与推荐。</w:t>
      </w:r>
      <w:r>
        <w:rPr>
          <w:rFonts w:hint="eastAsia" w:ascii="宋体" w:hAnsi="宋体" w:cs="宋体"/>
          <w:color w:val="000000" w:themeColor="text1"/>
          <w:kern w:val="0"/>
          <w:sz w:val="24"/>
          <w14:textFill>
            <w14:solidFill>
              <w14:schemeClr w14:val="tx1"/>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本项目推荐的中标候选人数量：</w:t>
      </w:r>
      <w:r>
        <w:rPr>
          <w:rFonts w:hint="eastAsia" w:ascii="宋体" w:hAnsi="宋体" w:cs="宋体"/>
          <w:color w:val="000000" w:themeColor="text1"/>
          <w:kern w:val="0"/>
          <w:sz w:val="24"/>
          <w:u w:val="single"/>
          <w14:textFill>
            <w14:solidFill>
              <w14:schemeClr w14:val="tx1"/>
            </w14:solidFill>
          </w14:textFill>
        </w:rPr>
        <w:t xml:space="preserve"> 1 </w:t>
      </w:r>
      <w:r>
        <w:rPr>
          <w:rFonts w:hint="eastAsia" w:ascii="宋体" w:hAnsi="宋体" w:cs="宋体"/>
          <w:color w:val="000000" w:themeColor="text1"/>
          <w:kern w:val="0"/>
          <w:sz w:val="24"/>
          <w14:textFill>
            <w14:solidFill>
              <w14:schemeClr w14:val="tx1"/>
            </w14:solidFill>
          </w14:textFill>
        </w:rPr>
        <w:t>。</w:t>
      </w:r>
    </w:p>
    <w:p w14:paraId="340D503B">
      <w:pPr>
        <w:spacing w:line="360" w:lineRule="auto"/>
        <w:ind w:firstLine="480"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050B4B63">
      <w:pPr>
        <w:spacing w:line="360" w:lineRule="auto"/>
        <w:ind w:firstLine="472" w:firstLineChars="196"/>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3.6编写评标报告。</w:t>
      </w:r>
      <w:r>
        <w:rPr>
          <w:rFonts w:hint="eastAsia" w:ascii="宋体" w:hAnsi="宋体" w:cs="宋体"/>
          <w:color w:val="000000" w:themeColor="text1"/>
          <w:kern w:val="0"/>
          <w:sz w:val="24"/>
          <w14:textFill>
            <w14:solidFill>
              <w14:schemeClr w14:val="tx1"/>
            </w14:solidFill>
          </w14:textFill>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66AFFB2">
      <w:pPr>
        <w:spacing w:line="360" w:lineRule="auto"/>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四、评标中的其他事项</w:t>
      </w:r>
    </w:p>
    <w:p w14:paraId="761ACAA9">
      <w:pPr>
        <w:pStyle w:val="131"/>
        <w:spacing w:before="0"/>
        <w:ind w:firstLine="472" w:firstLineChars="196"/>
        <w:rPr>
          <w:rFonts w:ascii="宋体" w:hAnsi="宋体" w:cs="宋体"/>
          <w:color w:val="000000" w:themeColor="text1"/>
          <w:kern w:val="0"/>
          <w:szCs w:val="24"/>
          <w14:textFill>
            <w14:solidFill>
              <w14:schemeClr w14:val="tx1"/>
            </w14:solidFill>
          </w14:textFill>
        </w:rPr>
      </w:pPr>
      <w:r>
        <w:rPr>
          <w:rFonts w:hint="eastAsia" w:ascii="宋体" w:hAnsi="宋体" w:cs="宋体"/>
          <w:b/>
          <w:color w:val="000000" w:themeColor="text1"/>
          <w:kern w:val="0"/>
          <w:szCs w:val="24"/>
          <w14:textFill>
            <w14:solidFill>
              <w14:schemeClr w14:val="tx1"/>
            </w14:solidFill>
          </w14:textFill>
        </w:rPr>
        <w:t>4.1投标人澄清、说明或者补正。</w:t>
      </w:r>
      <w:r>
        <w:rPr>
          <w:rFonts w:hint="eastAsia" w:ascii="宋体" w:hAnsi="宋体" w:cs="宋体"/>
          <w:color w:val="000000" w:themeColor="text1"/>
          <w:kern w:val="0"/>
          <w:szCs w:val="24"/>
          <w14:textFill>
            <w14:solidFill>
              <w14:schemeClr w14:val="tx1"/>
            </w14:solidFill>
          </w14:textFill>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A71A1AA">
      <w:pPr>
        <w:pStyle w:val="24"/>
        <w:spacing w:line="360" w:lineRule="auto"/>
        <w:ind w:left="954" w:leftChars="226" w:hanging="479" w:firstLineChars="0"/>
        <w:rPr>
          <w:rFonts w:cs="宋体"/>
          <w:color w:val="000000" w:themeColor="text1"/>
          <w:szCs w:val="21"/>
          <w14:textFill>
            <w14:solidFill>
              <w14:schemeClr w14:val="tx1"/>
            </w14:solidFill>
          </w14:textFill>
        </w:rPr>
      </w:pPr>
      <w:r>
        <w:rPr>
          <w:rFonts w:hint="eastAsia" w:cs="宋体"/>
          <w:b/>
          <w:color w:val="000000" w:themeColor="text1"/>
          <w:kern w:val="0"/>
          <w14:textFill>
            <w14:solidFill>
              <w14:schemeClr w14:val="tx1"/>
            </w14:solidFill>
          </w14:textFill>
        </w:rPr>
        <w:t>4.2投标无效。</w:t>
      </w:r>
      <w:r>
        <w:rPr>
          <w:rFonts w:hint="eastAsia" w:cs="宋体"/>
          <w:color w:val="000000" w:themeColor="text1"/>
          <w:szCs w:val="21"/>
          <w14:textFill>
            <w14:solidFill>
              <w14:schemeClr w14:val="tx1"/>
            </w14:solidFill>
          </w14:textFill>
        </w:rPr>
        <w:t>有下列情形之一的，投标无效：</w:t>
      </w:r>
    </w:p>
    <w:p w14:paraId="574DB777">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4.2.1投标人不具备招标文件中规定的资格要求的（投标人未提供有效的资格文件的，视为投标人不具备招标文件中规定的资格要求）；</w:t>
      </w:r>
    </w:p>
    <w:p w14:paraId="1AFEAF9B">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4.2.2投标文件未按照招标文件要求签署、盖章的；</w:t>
      </w:r>
    </w:p>
    <w:p w14:paraId="1AE68BB0">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4.2.3采购人拟采购的产品属于政府强制采购的节能产品品目清单范围的，投标人相应的投标产品未获得国家确定的认证机构出具的、处于有效期之内的节能产品认证证书的；</w:t>
      </w:r>
    </w:p>
    <w:p w14:paraId="7FBF17BA">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4.2.4投标文件含有采购人不能接受的附加条件的；</w:t>
      </w:r>
    </w:p>
    <w:p w14:paraId="28C667D2">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4.2.5投标文件中承诺的投标有效期少于招标文件中载明的投标有效期的；</w:t>
      </w:r>
    </w:p>
    <w:p w14:paraId="1217D19F">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4.2.6投标文件出现不是唯一的、有选择性投标报价的;</w:t>
      </w:r>
    </w:p>
    <w:p w14:paraId="2A74CE6B">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4.2.7投标报价超过招标文件中规定的预算金额或者最高限价的;</w:t>
      </w:r>
    </w:p>
    <w:p w14:paraId="2D51972F">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4.2.8投标人对根据修正原则修正后的报价不确认的；</w:t>
      </w:r>
    </w:p>
    <w:p w14:paraId="0DC0F37B">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4.2.9投标人提供虚假材料投标的；</w:t>
      </w:r>
    </w:p>
    <w:p w14:paraId="53C3CE69">
      <w:pPr>
        <w:spacing w:line="360" w:lineRule="auto"/>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4.2.10投标人有恶意串通、妨碍其他投标人的竞争行为、损害采购人或者其他投标人的合法权益情形的；</w:t>
      </w:r>
    </w:p>
    <w:p w14:paraId="7BAA63A4">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75D7C96F">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4.2.12投标人仅提交备份投标文件，未在电子交易平台传输递交投标文件的，投标无效；</w:t>
      </w:r>
    </w:p>
    <w:p w14:paraId="4C869EB2">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4.2.13 投标文件不满足招标文件的其它实质性要求的；</w:t>
      </w:r>
    </w:p>
    <w:p w14:paraId="0D0CDF3E">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4.2.14法律、法规、规章（适用本市的）及省级以上规范性文件（适用本市的）规定的其他无效情形。</w:t>
      </w:r>
    </w:p>
    <w:p w14:paraId="33B497BC">
      <w:pPr>
        <w:spacing w:line="360" w:lineRule="auto"/>
        <w:ind w:firstLine="482" w:firstLineChars="200"/>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5.废标。</w:t>
      </w:r>
      <w:r>
        <w:rPr>
          <w:rFonts w:hint="eastAsia" w:ascii="宋体" w:hAnsi="宋体" w:cs="宋体"/>
          <w:color w:val="000000" w:themeColor="text1"/>
          <w:kern w:val="0"/>
          <w:sz w:val="24"/>
          <w14:textFill>
            <w14:solidFill>
              <w14:schemeClr w14:val="tx1"/>
            </w14:solidFill>
          </w14:textFill>
        </w:rPr>
        <w:t>根据《中华人民共和国政府采购法》第三十六条之规定，在采购中，出现下列情形之一的，应予废标：</w:t>
      </w:r>
    </w:p>
    <w:p w14:paraId="79BBFE2B">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5.1符合专业条件的供应商或者对招标文件作实质响应的供应商不足3家的；</w:t>
      </w:r>
    </w:p>
    <w:p w14:paraId="57EB06CB">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5.2出现影响采购公正的违法、违规行为的；</w:t>
      </w:r>
    </w:p>
    <w:p w14:paraId="08C1C04E">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5.3投标人的报价均超过了采购预算，采购人不能支付的；</w:t>
      </w:r>
    </w:p>
    <w:p w14:paraId="235E819C">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5.4因重大变故，采购任务取消的。</w:t>
      </w:r>
    </w:p>
    <w:p w14:paraId="538A4819">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废标后，采购代理机构应当将废标理由通知所有投标人。</w:t>
      </w:r>
    </w:p>
    <w:p w14:paraId="01E1346F">
      <w:pPr>
        <w:spacing w:line="360" w:lineRule="auto"/>
        <w:ind w:firstLine="482" w:firstLineChars="200"/>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6.修改招标文件，重新组织采购活动。</w:t>
      </w:r>
      <w:r>
        <w:rPr>
          <w:rFonts w:hint="eastAsia" w:ascii="宋体" w:hAnsi="宋体" w:cs="宋体"/>
          <w:color w:val="000000" w:themeColor="text1"/>
          <w:kern w:val="0"/>
          <w:sz w:val="24"/>
          <w14:textFill>
            <w14:solidFill>
              <w14:schemeClr w14:val="tx1"/>
            </w14:solidFill>
          </w14:textFill>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3204B480">
      <w:pPr>
        <w:spacing w:line="360" w:lineRule="auto"/>
        <w:ind w:firstLine="482" w:firstLineChars="200"/>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7.重新开展采购。</w:t>
      </w:r>
      <w:r>
        <w:rPr>
          <w:rFonts w:hint="eastAsia" w:ascii="宋体" w:hAnsi="宋体" w:cs="宋体"/>
          <w:color w:val="000000" w:themeColor="text1"/>
          <w:kern w:val="0"/>
          <w:sz w:val="24"/>
          <w14:textFill>
            <w14:solidFill>
              <w14:schemeClr w14:val="tx1"/>
            </w14:solidFill>
          </w14:textFill>
        </w:rPr>
        <w:t>有政府采购法第七十一条、第七十二条规定的违法行为之一，影响或者可能影响中标结果的，依照下列规定处理：</w:t>
      </w:r>
    </w:p>
    <w:p w14:paraId="60BFE045">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7.1未确定中标供应商的，终止本次政府采购活动，重新开展政府采购活动。</w:t>
      </w:r>
    </w:p>
    <w:p w14:paraId="13797F40">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7.2已确定中标供应商但尚未签订政府采购合同的，中标结果无效，从合格的中标候选人中另行确定中标供应商；没有合格的中标候选人的，重新开展政府采购活动。</w:t>
      </w:r>
    </w:p>
    <w:p w14:paraId="6FC088C6">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7.3政府采购合同已签订但尚未履行的，撤销合同，从合格的中标候选人中另行确定中标供应商；没有合格的中标候选人的，重新开展政府采购活动。</w:t>
      </w:r>
    </w:p>
    <w:p w14:paraId="0A6D2C55">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7.4政府采购合同已经履行，给采购人、供应商造成损失的，由责任人承担赔偿责任。</w:t>
      </w:r>
    </w:p>
    <w:p w14:paraId="26316836">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7.5政府采购当事人有其他违反政府采购法或者政府采购法实施条例等法律法规规定的行为，经改正后仍然影响或者可能影响中标结果或者依法被认定为中标无效的，依照7.1-7.4规定处理。</w:t>
      </w:r>
    </w:p>
    <w:p w14:paraId="20F3BF45">
      <w:pPr>
        <w:pStyle w:val="24"/>
        <w:snapToGrid w:val="0"/>
        <w:spacing w:line="360" w:lineRule="auto"/>
        <w:ind w:firstLine="0" w:firstLineChars="0"/>
        <w:rPr>
          <w:rFonts w:cs="宋体"/>
          <w:color w:val="000000" w:themeColor="text1"/>
          <w14:textFill>
            <w14:solidFill>
              <w14:schemeClr w14:val="tx1"/>
            </w14:solidFill>
          </w14:textFill>
        </w:rPr>
      </w:pPr>
    </w:p>
    <w:p w14:paraId="466055EC">
      <w:pP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br w:type="page"/>
      </w:r>
    </w:p>
    <w:p w14:paraId="750C3489">
      <w:pPr>
        <w:spacing w:line="360" w:lineRule="auto"/>
        <w:jc w:val="center"/>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第五部分 拟签订的合同文本</w:t>
      </w:r>
    </w:p>
    <w:p w14:paraId="58EED249">
      <w:pPr>
        <w:spacing w:line="360" w:lineRule="auto"/>
        <w:ind w:left="720" w:leftChars="343" w:firstLine="1807" w:firstLineChars="500"/>
        <w:outlineLvl w:val="9"/>
        <w:rPr>
          <w:rFonts w:ascii="仿宋" w:hAnsi="仿宋" w:eastAsia="仿宋" w:cs="仿宋"/>
          <w:b/>
          <w:sz w:val="36"/>
          <w:szCs w:val="36"/>
        </w:rPr>
      </w:pPr>
      <w:bookmarkStart w:id="408" w:name="_Toc3995"/>
    </w:p>
    <w:p w14:paraId="6AE72EDA">
      <w:pPr>
        <w:spacing w:line="360" w:lineRule="auto"/>
        <w:jc w:val="righ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合同编号：</w:t>
      </w:r>
    </w:p>
    <w:p w14:paraId="41FD50C4">
      <w:pPr>
        <w:spacing w:line="360" w:lineRule="auto"/>
        <w:jc w:val="righ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预算执行确认书号：</w:t>
      </w:r>
    </w:p>
    <w:p w14:paraId="2E103483">
      <w:pPr>
        <w:wordWrap w:val="0"/>
        <w:spacing w:line="360" w:lineRule="auto"/>
        <w:jc w:val="right"/>
        <w:rPr>
          <w:rFonts w:ascii="宋体" w:hAnsi="宋体"/>
        </w:rPr>
      </w:pPr>
    </w:p>
    <w:p w14:paraId="3EBB601B">
      <w:pPr>
        <w:spacing w:line="360" w:lineRule="auto"/>
        <w:rPr>
          <w:rFonts w:ascii="宋体" w:hAnsi="宋体"/>
          <w:b/>
          <w:szCs w:val="21"/>
        </w:rPr>
      </w:pPr>
      <w:r>
        <w:rPr>
          <w:rFonts w:hint="eastAsia" w:ascii="宋体" w:hAnsi="宋体"/>
          <w:b/>
          <w:szCs w:val="21"/>
        </w:rPr>
        <w:t xml:space="preserve">甲方：浙江水利水电学院                   </w:t>
      </w:r>
    </w:p>
    <w:p w14:paraId="3562AF78">
      <w:pPr>
        <w:spacing w:line="360" w:lineRule="auto"/>
        <w:rPr>
          <w:rFonts w:ascii="宋体" w:hAnsi="宋体"/>
          <w:b/>
          <w:szCs w:val="21"/>
        </w:rPr>
      </w:pPr>
      <w:r>
        <w:rPr>
          <w:rFonts w:hint="eastAsia" w:ascii="宋体" w:hAnsi="宋体"/>
          <w:b/>
          <w:szCs w:val="21"/>
        </w:rPr>
        <w:t>乙方：</w:t>
      </w:r>
    </w:p>
    <w:p w14:paraId="25F26942">
      <w:pPr>
        <w:spacing w:line="360" w:lineRule="auto"/>
        <w:rPr>
          <w:rFonts w:ascii="宋体" w:hAnsi="宋体"/>
          <w:b/>
          <w:szCs w:val="21"/>
        </w:rPr>
      </w:pPr>
      <w:r>
        <w:rPr>
          <w:rFonts w:hint="eastAsia" w:ascii="宋体" w:hAnsi="宋体"/>
          <w:b/>
          <w:szCs w:val="21"/>
        </w:rPr>
        <w:t>鉴证方：</w:t>
      </w:r>
    </w:p>
    <w:p w14:paraId="5FBCDA92">
      <w:pPr>
        <w:spacing w:line="360" w:lineRule="auto"/>
        <w:ind w:firstLine="420" w:firstLineChars="200"/>
        <w:rPr>
          <w:rFonts w:ascii="宋体" w:hAnsi="宋体"/>
          <w:szCs w:val="21"/>
        </w:rPr>
      </w:pPr>
      <w:r>
        <w:rPr>
          <w:rFonts w:hint="eastAsia" w:ascii="宋体" w:hAnsi="宋体"/>
          <w:szCs w:val="21"/>
        </w:rPr>
        <w:t>甲方所需的</w:t>
      </w:r>
      <w:r>
        <w:rPr>
          <w:rFonts w:hint="eastAsia" w:ascii="宋体" w:hAnsi="宋体"/>
          <w:szCs w:val="21"/>
          <w:u w:val="single"/>
        </w:rPr>
        <w:t xml:space="preserve">            </w:t>
      </w:r>
      <w:r>
        <w:rPr>
          <w:rFonts w:hint="eastAsia" w:ascii="宋体" w:hAnsi="宋体"/>
          <w:szCs w:val="21"/>
        </w:rPr>
        <w:t xml:space="preserve">采购项目，根据学校委托的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日组织的</w:t>
      </w:r>
      <w:r>
        <w:rPr>
          <w:rFonts w:hint="eastAsia" w:ascii="宋体" w:hAnsi="宋体"/>
          <w:szCs w:val="21"/>
          <w:u w:val="single"/>
        </w:rPr>
        <w:t xml:space="preserve">             项目公开招标 </w:t>
      </w:r>
      <w:r>
        <w:rPr>
          <w:rFonts w:hint="eastAsia" w:ascii="宋体" w:hAnsi="宋体"/>
          <w:szCs w:val="21"/>
        </w:rPr>
        <w:t>结果，经双方协商一致，签订本合同，共同信守。</w:t>
      </w:r>
    </w:p>
    <w:p w14:paraId="6B1A0BD2">
      <w:pPr>
        <w:spacing w:line="360" w:lineRule="auto"/>
        <w:rPr>
          <w:rFonts w:ascii="宋体" w:hAnsi="宋体"/>
          <w:b/>
          <w:szCs w:val="21"/>
        </w:rPr>
      </w:pPr>
      <w:r>
        <w:rPr>
          <w:rFonts w:hint="eastAsia" w:ascii="宋体" w:hAnsi="宋体"/>
          <w:b/>
          <w:szCs w:val="21"/>
        </w:rPr>
        <w:t>第一条 组成本合同的文件</w:t>
      </w:r>
    </w:p>
    <w:p w14:paraId="61446FFF">
      <w:pPr>
        <w:spacing w:line="360" w:lineRule="auto"/>
        <w:ind w:firstLine="420" w:firstLineChars="200"/>
        <w:rPr>
          <w:rFonts w:ascii="宋体" w:hAnsi="宋体"/>
          <w:szCs w:val="21"/>
        </w:rPr>
      </w:pPr>
      <w:r>
        <w:rPr>
          <w:rFonts w:hint="eastAsia" w:ascii="宋体" w:hAnsi="宋体"/>
          <w:szCs w:val="21"/>
        </w:rPr>
        <w:t>下述文件均为本合同的组成部分：</w:t>
      </w:r>
    </w:p>
    <w:p w14:paraId="19897B75">
      <w:pPr>
        <w:spacing w:line="360" w:lineRule="auto"/>
        <w:ind w:firstLine="420" w:firstLineChars="200"/>
        <w:rPr>
          <w:rFonts w:ascii="宋体" w:hAnsi="宋体"/>
          <w:szCs w:val="21"/>
        </w:rPr>
      </w:pPr>
      <w:r>
        <w:rPr>
          <w:rFonts w:hint="eastAsia" w:ascii="宋体" w:hAnsi="宋体"/>
          <w:szCs w:val="21"/>
        </w:rPr>
        <w:t>1、本合同书；2、本项目相关招标、投标、评标文件及承诺等；3、双方有关此采购项目的洽商、变更等书面协议或文件。</w:t>
      </w:r>
    </w:p>
    <w:p w14:paraId="4A51E79C">
      <w:pPr>
        <w:spacing w:line="360" w:lineRule="auto"/>
        <w:rPr>
          <w:rFonts w:ascii="宋体" w:hAnsi="宋体"/>
          <w:b/>
          <w:szCs w:val="21"/>
        </w:rPr>
      </w:pPr>
      <w:r>
        <w:rPr>
          <w:rFonts w:hint="eastAsia" w:ascii="宋体" w:hAnsi="宋体"/>
          <w:b/>
          <w:szCs w:val="21"/>
        </w:rPr>
        <w:t xml:space="preserve">第二条 采购商品清单及价格   </w:t>
      </w:r>
    </w:p>
    <w:p w14:paraId="432F16AD">
      <w:pPr>
        <w:spacing w:line="360" w:lineRule="auto"/>
        <w:ind w:firstLine="420" w:firstLineChars="200"/>
        <w:rPr>
          <w:rFonts w:ascii="宋体" w:hAnsi="宋体"/>
          <w:szCs w:val="21"/>
        </w:rPr>
      </w:pPr>
      <w:r>
        <w:rPr>
          <w:rFonts w:hint="eastAsia" w:ascii="宋体" w:hAnsi="宋体"/>
          <w:position w:val="-2"/>
          <w:szCs w:val="21"/>
        </w:rPr>
        <w:t>设备详细技术指标：详见附件</w:t>
      </w:r>
    </w:p>
    <w:tbl>
      <w:tblPr>
        <w:tblStyle w:val="62"/>
        <w:tblW w:w="9508" w:type="dxa"/>
        <w:tblInd w:w="0" w:type="dxa"/>
        <w:tblLayout w:type="fixed"/>
        <w:tblCellMar>
          <w:top w:w="0" w:type="dxa"/>
          <w:left w:w="108" w:type="dxa"/>
          <w:bottom w:w="0" w:type="dxa"/>
          <w:right w:w="108" w:type="dxa"/>
        </w:tblCellMar>
      </w:tblPr>
      <w:tblGrid>
        <w:gridCol w:w="648"/>
        <w:gridCol w:w="2362"/>
        <w:gridCol w:w="1918"/>
        <w:gridCol w:w="850"/>
        <w:gridCol w:w="2814"/>
        <w:gridCol w:w="916"/>
      </w:tblGrid>
      <w:tr w14:paraId="776DA556">
        <w:tblPrEx>
          <w:tblCellMar>
            <w:top w:w="0" w:type="dxa"/>
            <w:left w:w="108" w:type="dxa"/>
            <w:bottom w:w="0" w:type="dxa"/>
            <w:right w:w="108" w:type="dxa"/>
          </w:tblCellMar>
        </w:tblPrEx>
        <w:trPr>
          <w:trHeight w:val="446" w:hRule="atLeast"/>
        </w:trPr>
        <w:tc>
          <w:tcPr>
            <w:tcW w:w="648" w:type="dxa"/>
            <w:tcBorders>
              <w:top w:val="single" w:color="auto" w:sz="8" w:space="0"/>
              <w:left w:val="single" w:color="auto" w:sz="8" w:space="0"/>
              <w:bottom w:val="single" w:color="auto" w:sz="4" w:space="0"/>
              <w:right w:val="single" w:color="auto" w:sz="4" w:space="0"/>
            </w:tcBorders>
            <w:vAlign w:val="center"/>
          </w:tcPr>
          <w:p w14:paraId="0085BDDF">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2362" w:type="dxa"/>
            <w:tcBorders>
              <w:top w:val="single" w:color="auto" w:sz="8" w:space="0"/>
              <w:left w:val="nil"/>
              <w:bottom w:val="single" w:color="auto" w:sz="4" w:space="0"/>
              <w:right w:val="single" w:color="auto" w:sz="4" w:space="0"/>
            </w:tcBorders>
            <w:vAlign w:val="center"/>
          </w:tcPr>
          <w:p w14:paraId="25D1D161">
            <w:pPr>
              <w:widowControl/>
              <w:spacing w:line="360" w:lineRule="auto"/>
              <w:jc w:val="center"/>
              <w:rPr>
                <w:rFonts w:ascii="宋体" w:hAnsi="宋体" w:cs="宋体"/>
                <w:b/>
                <w:kern w:val="0"/>
                <w:szCs w:val="21"/>
              </w:rPr>
            </w:pPr>
            <w:r>
              <w:rPr>
                <w:rFonts w:hint="eastAsia" w:ascii="宋体" w:hAnsi="宋体" w:cs="宋体"/>
                <w:b/>
                <w:kern w:val="0"/>
                <w:szCs w:val="21"/>
              </w:rPr>
              <w:t>设备名称</w:t>
            </w:r>
          </w:p>
        </w:tc>
        <w:tc>
          <w:tcPr>
            <w:tcW w:w="1918" w:type="dxa"/>
            <w:tcBorders>
              <w:top w:val="single" w:color="auto" w:sz="8" w:space="0"/>
              <w:left w:val="nil"/>
              <w:bottom w:val="single" w:color="auto" w:sz="4" w:space="0"/>
              <w:right w:val="single" w:color="auto" w:sz="4" w:space="0"/>
            </w:tcBorders>
            <w:vAlign w:val="center"/>
          </w:tcPr>
          <w:p w14:paraId="7D5A4702">
            <w:pPr>
              <w:widowControl/>
              <w:spacing w:line="360" w:lineRule="auto"/>
              <w:jc w:val="center"/>
              <w:rPr>
                <w:rFonts w:ascii="宋体" w:hAnsi="宋体" w:cs="宋体"/>
                <w:b/>
                <w:kern w:val="0"/>
                <w:szCs w:val="21"/>
              </w:rPr>
            </w:pPr>
            <w:r>
              <w:rPr>
                <w:rFonts w:hint="eastAsia" w:ascii="宋体" w:hAnsi="宋体" w:cs="宋体"/>
                <w:b/>
                <w:kern w:val="0"/>
                <w:szCs w:val="21"/>
              </w:rPr>
              <w:t>型号和规格</w:t>
            </w:r>
          </w:p>
        </w:tc>
        <w:tc>
          <w:tcPr>
            <w:tcW w:w="850" w:type="dxa"/>
            <w:tcBorders>
              <w:top w:val="single" w:color="auto" w:sz="8" w:space="0"/>
              <w:left w:val="nil"/>
              <w:bottom w:val="single" w:color="auto" w:sz="4" w:space="0"/>
              <w:right w:val="single" w:color="auto" w:sz="4" w:space="0"/>
            </w:tcBorders>
            <w:vAlign w:val="center"/>
          </w:tcPr>
          <w:p w14:paraId="0B631C17">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2814" w:type="dxa"/>
            <w:tcBorders>
              <w:top w:val="single" w:color="auto" w:sz="4" w:space="0"/>
              <w:left w:val="nil"/>
              <w:bottom w:val="single" w:color="auto" w:sz="4" w:space="0"/>
              <w:right w:val="single" w:color="auto" w:sz="4" w:space="0"/>
            </w:tcBorders>
            <w:vAlign w:val="center"/>
          </w:tcPr>
          <w:p w14:paraId="74396011">
            <w:pPr>
              <w:widowControl/>
              <w:spacing w:line="360" w:lineRule="auto"/>
              <w:ind w:left="-21" w:leftChars="-10" w:firstLine="21" w:firstLineChars="10"/>
              <w:jc w:val="center"/>
              <w:rPr>
                <w:rFonts w:ascii="宋体" w:hAnsi="宋体" w:cs="宋体"/>
                <w:b/>
                <w:kern w:val="0"/>
                <w:szCs w:val="21"/>
              </w:rPr>
            </w:pPr>
            <w:r>
              <w:rPr>
                <w:rFonts w:hint="eastAsia" w:ascii="宋体" w:hAnsi="宋体" w:cs="宋体"/>
                <w:b/>
                <w:kern w:val="0"/>
                <w:szCs w:val="21"/>
              </w:rPr>
              <w:t>合计（元）</w:t>
            </w:r>
          </w:p>
        </w:tc>
        <w:tc>
          <w:tcPr>
            <w:tcW w:w="916" w:type="dxa"/>
            <w:tcBorders>
              <w:top w:val="single" w:color="auto" w:sz="8" w:space="0"/>
              <w:left w:val="nil"/>
              <w:bottom w:val="single" w:color="auto" w:sz="4" w:space="0"/>
              <w:right w:val="single" w:color="auto" w:sz="4" w:space="0"/>
            </w:tcBorders>
            <w:vAlign w:val="center"/>
          </w:tcPr>
          <w:p w14:paraId="5827517A">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63CD73B6">
        <w:tblPrEx>
          <w:tblCellMar>
            <w:top w:w="0" w:type="dxa"/>
            <w:left w:w="108" w:type="dxa"/>
            <w:bottom w:w="0" w:type="dxa"/>
            <w:right w:w="108" w:type="dxa"/>
          </w:tblCellMar>
        </w:tblPrEx>
        <w:trPr>
          <w:trHeight w:val="589" w:hRule="atLeast"/>
        </w:trPr>
        <w:tc>
          <w:tcPr>
            <w:tcW w:w="648" w:type="dxa"/>
            <w:tcBorders>
              <w:top w:val="nil"/>
              <w:left w:val="single" w:color="auto" w:sz="8" w:space="0"/>
              <w:bottom w:val="single" w:color="auto" w:sz="4" w:space="0"/>
              <w:right w:val="single" w:color="auto" w:sz="4" w:space="0"/>
            </w:tcBorders>
            <w:vAlign w:val="center"/>
          </w:tcPr>
          <w:p w14:paraId="446CC349">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2362" w:type="dxa"/>
            <w:tcBorders>
              <w:top w:val="nil"/>
              <w:left w:val="nil"/>
              <w:bottom w:val="single" w:color="auto" w:sz="4" w:space="0"/>
              <w:right w:val="single" w:color="auto" w:sz="4" w:space="0"/>
            </w:tcBorders>
          </w:tcPr>
          <w:p w14:paraId="1B8CA8DB">
            <w:pPr>
              <w:pStyle w:val="33"/>
              <w:spacing w:after="156" w:line="460" w:lineRule="exact"/>
              <w:ind w:left="-108"/>
              <w:rPr>
                <w:rFonts w:hAnsi="宋体"/>
              </w:rPr>
            </w:pPr>
          </w:p>
        </w:tc>
        <w:tc>
          <w:tcPr>
            <w:tcW w:w="1918" w:type="dxa"/>
            <w:tcBorders>
              <w:top w:val="nil"/>
              <w:left w:val="nil"/>
              <w:bottom w:val="single" w:color="auto" w:sz="4" w:space="0"/>
              <w:right w:val="single" w:color="auto" w:sz="4" w:space="0"/>
            </w:tcBorders>
            <w:vAlign w:val="center"/>
          </w:tcPr>
          <w:p w14:paraId="7E368B28">
            <w:pPr>
              <w:spacing w:line="540" w:lineRule="exact"/>
              <w:jc w:val="center"/>
              <w:rPr>
                <w:rFonts w:ascii="宋体" w:hAnsi="宋体"/>
                <w:snapToGrid w:val="0"/>
                <w:kern w:val="0"/>
                <w:szCs w:val="21"/>
              </w:rPr>
            </w:pPr>
          </w:p>
        </w:tc>
        <w:tc>
          <w:tcPr>
            <w:tcW w:w="850" w:type="dxa"/>
            <w:tcBorders>
              <w:top w:val="nil"/>
              <w:left w:val="nil"/>
              <w:bottom w:val="single" w:color="auto" w:sz="4" w:space="0"/>
              <w:right w:val="single" w:color="auto" w:sz="4" w:space="0"/>
            </w:tcBorders>
            <w:vAlign w:val="center"/>
          </w:tcPr>
          <w:p w14:paraId="0D85872E">
            <w:pPr>
              <w:pStyle w:val="33"/>
              <w:spacing w:after="156" w:line="460" w:lineRule="exact"/>
              <w:ind w:left="-108"/>
              <w:jc w:val="center"/>
              <w:rPr>
                <w:rFonts w:hAnsi="宋体"/>
              </w:rPr>
            </w:pPr>
          </w:p>
        </w:tc>
        <w:tc>
          <w:tcPr>
            <w:tcW w:w="2814" w:type="dxa"/>
            <w:tcBorders>
              <w:top w:val="single" w:color="auto" w:sz="4" w:space="0"/>
              <w:left w:val="nil"/>
              <w:bottom w:val="single" w:color="auto" w:sz="4" w:space="0"/>
              <w:right w:val="single" w:color="auto" w:sz="4" w:space="0"/>
            </w:tcBorders>
            <w:vAlign w:val="center"/>
          </w:tcPr>
          <w:p w14:paraId="569F96BF">
            <w:pPr>
              <w:pStyle w:val="33"/>
              <w:spacing w:after="156" w:line="460" w:lineRule="exact"/>
              <w:ind w:left="-108"/>
              <w:jc w:val="center"/>
              <w:rPr>
                <w:rFonts w:hAnsi="宋体"/>
              </w:rPr>
            </w:pPr>
          </w:p>
        </w:tc>
        <w:tc>
          <w:tcPr>
            <w:tcW w:w="916" w:type="dxa"/>
            <w:tcBorders>
              <w:top w:val="single" w:color="auto" w:sz="4" w:space="0"/>
              <w:left w:val="nil"/>
              <w:bottom w:val="single" w:color="auto" w:sz="4" w:space="0"/>
              <w:right w:val="single" w:color="auto" w:sz="4" w:space="0"/>
            </w:tcBorders>
            <w:vAlign w:val="center"/>
          </w:tcPr>
          <w:p w14:paraId="43670F94">
            <w:pPr>
              <w:widowControl/>
              <w:spacing w:line="360" w:lineRule="auto"/>
              <w:jc w:val="center"/>
              <w:rPr>
                <w:rFonts w:ascii="宋体" w:hAnsi="宋体" w:cs="宋体"/>
                <w:kern w:val="0"/>
                <w:szCs w:val="21"/>
              </w:rPr>
            </w:pPr>
          </w:p>
        </w:tc>
      </w:tr>
      <w:tr w14:paraId="07C55617">
        <w:tblPrEx>
          <w:tblCellMar>
            <w:top w:w="0" w:type="dxa"/>
            <w:left w:w="108" w:type="dxa"/>
            <w:bottom w:w="0" w:type="dxa"/>
            <w:right w:w="108" w:type="dxa"/>
          </w:tblCellMar>
        </w:tblPrEx>
        <w:trPr>
          <w:trHeight w:val="589" w:hRule="atLeast"/>
        </w:trPr>
        <w:tc>
          <w:tcPr>
            <w:tcW w:w="648" w:type="dxa"/>
            <w:tcBorders>
              <w:top w:val="nil"/>
              <w:left w:val="single" w:color="auto" w:sz="8" w:space="0"/>
              <w:bottom w:val="single" w:color="auto" w:sz="4" w:space="0"/>
              <w:right w:val="single" w:color="auto" w:sz="4" w:space="0"/>
            </w:tcBorders>
            <w:vAlign w:val="center"/>
          </w:tcPr>
          <w:p w14:paraId="5BDCE9E1">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2362" w:type="dxa"/>
            <w:tcBorders>
              <w:top w:val="nil"/>
              <w:left w:val="nil"/>
              <w:bottom w:val="single" w:color="auto" w:sz="4" w:space="0"/>
              <w:right w:val="single" w:color="auto" w:sz="4" w:space="0"/>
            </w:tcBorders>
          </w:tcPr>
          <w:p w14:paraId="450531A2">
            <w:pPr>
              <w:pStyle w:val="33"/>
              <w:spacing w:after="156" w:line="460" w:lineRule="exact"/>
              <w:ind w:left="-108"/>
              <w:rPr>
                <w:rFonts w:hAnsi="宋体"/>
              </w:rPr>
            </w:pPr>
          </w:p>
        </w:tc>
        <w:tc>
          <w:tcPr>
            <w:tcW w:w="1918" w:type="dxa"/>
            <w:tcBorders>
              <w:top w:val="nil"/>
              <w:left w:val="nil"/>
              <w:bottom w:val="single" w:color="auto" w:sz="4" w:space="0"/>
              <w:right w:val="single" w:color="auto" w:sz="4" w:space="0"/>
            </w:tcBorders>
            <w:vAlign w:val="center"/>
          </w:tcPr>
          <w:p w14:paraId="734DE5F8">
            <w:pPr>
              <w:spacing w:line="540" w:lineRule="exact"/>
              <w:jc w:val="center"/>
              <w:rPr>
                <w:rFonts w:ascii="宋体" w:hAnsi="宋体"/>
                <w:snapToGrid w:val="0"/>
                <w:kern w:val="0"/>
                <w:szCs w:val="21"/>
              </w:rPr>
            </w:pPr>
          </w:p>
        </w:tc>
        <w:tc>
          <w:tcPr>
            <w:tcW w:w="850" w:type="dxa"/>
            <w:tcBorders>
              <w:top w:val="nil"/>
              <w:left w:val="nil"/>
              <w:bottom w:val="single" w:color="auto" w:sz="4" w:space="0"/>
              <w:right w:val="single" w:color="auto" w:sz="4" w:space="0"/>
            </w:tcBorders>
            <w:vAlign w:val="center"/>
          </w:tcPr>
          <w:p w14:paraId="0E7C5E4C">
            <w:pPr>
              <w:pStyle w:val="33"/>
              <w:spacing w:after="156" w:line="460" w:lineRule="exact"/>
              <w:ind w:left="-108"/>
              <w:jc w:val="center"/>
              <w:rPr>
                <w:rFonts w:hAnsi="宋体"/>
              </w:rPr>
            </w:pPr>
          </w:p>
        </w:tc>
        <w:tc>
          <w:tcPr>
            <w:tcW w:w="2814" w:type="dxa"/>
            <w:tcBorders>
              <w:top w:val="single" w:color="auto" w:sz="4" w:space="0"/>
              <w:left w:val="nil"/>
              <w:bottom w:val="single" w:color="auto" w:sz="4" w:space="0"/>
              <w:right w:val="single" w:color="auto" w:sz="4" w:space="0"/>
            </w:tcBorders>
            <w:vAlign w:val="center"/>
          </w:tcPr>
          <w:p w14:paraId="543A3F2F">
            <w:pPr>
              <w:pStyle w:val="33"/>
              <w:spacing w:after="156" w:line="460" w:lineRule="exact"/>
              <w:ind w:left="-108"/>
              <w:jc w:val="center"/>
              <w:rPr>
                <w:rFonts w:hAnsi="宋体"/>
              </w:rPr>
            </w:pPr>
          </w:p>
        </w:tc>
        <w:tc>
          <w:tcPr>
            <w:tcW w:w="916" w:type="dxa"/>
            <w:tcBorders>
              <w:top w:val="single" w:color="auto" w:sz="4" w:space="0"/>
              <w:left w:val="nil"/>
              <w:bottom w:val="single" w:color="auto" w:sz="4" w:space="0"/>
              <w:right w:val="single" w:color="auto" w:sz="4" w:space="0"/>
            </w:tcBorders>
            <w:vAlign w:val="center"/>
          </w:tcPr>
          <w:p w14:paraId="5996C30B">
            <w:pPr>
              <w:widowControl/>
              <w:spacing w:line="360" w:lineRule="auto"/>
              <w:jc w:val="center"/>
              <w:rPr>
                <w:rFonts w:ascii="宋体" w:hAnsi="宋体" w:cs="宋体"/>
                <w:kern w:val="0"/>
                <w:szCs w:val="21"/>
              </w:rPr>
            </w:pPr>
          </w:p>
        </w:tc>
      </w:tr>
      <w:tr w14:paraId="254F95BC">
        <w:tblPrEx>
          <w:tblCellMar>
            <w:top w:w="0" w:type="dxa"/>
            <w:left w:w="108" w:type="dxa"/>
            <w:bottom w:w="0" w:type="dxa"/>
            <w:right w:w="108" w:type="dxa"/>
          </w:tblCellMar>
        </w:tblPrEx>
        <w:trPr>
          <w:trHeight w:val="589" w:hRule="atLeast"/>
        </w:trPr>
        <w:tc>
          <w:tcPr>
            <w:tcW w:w="648" w:type="dxa"/>
            <w:tcBorders>
              <w:top w:val="nil"/>
              <w:left w:val="single" w:color="auto" w:sz="8" w:space="0"/>
              <w:bottom w:val="single" w:color="auto" w:sz="4" w:space="0"/>
              <w:right w:val="single" w:color="auto" w:sz="4" w:space="0"/>
            </w:tcBorders>
            <w:vAlign w:val="center"/>
          </w:tcPr>
          <w:p w14:paraId="388462B5">
            <w:pPr>
              <w:widowControl/>
              <w:spacing w:line="360" w:lineRule="auto"/>
              <w:jc w:val="center"/>
              <w:rPr>
                <w:rFonts w:ascii="宋体" w:hAnsi="宋体" w:cs="宋体"/>
                <w:kern w:val="0"/>
                <w:szCs w:val="21"/>
              </w:rPr>
            </w:pPr>
            <w:r>
              <w:rPr>
                <w:rFonts w:hint="eastAsia" w:ascii="宋体" w:hAnsi="宋体" w:cs="宋体"/>
                <w:kern w:val="0"/>
                <w:szCs w:val="21"/>
              </w:rPr>
              <w:t>...</w:t>
            </w:r>
          </w:p>
        </w:tc>
        <w:tc>
          <w:tcPr>
            <w:tcW w:w="2362" w:type="dxa"/>
            <w:tcBorders>
              <w:top w:val="nil"/>
              <w:left w:val="nil"/>
              <w:bottom w:val="single" w:color="auto" w:sz="4" w:space="0"/>
              <w:right w:val="single" w:color="auto" w:sz="4" w:space="0"/>
            </w:tcBorders>
          </w:tcPr>
          <w:p w14:paraId="49CB95FE">
            <w:pPr>
              <w:pStyle w:val="33"/>
              <w:spacing w:after="156" w:line="460" w:lineRule="exact"/>
              <w:ind w:left="-108"/>
              <w:rPr>
                <w:rFonts w:hAnsi="宋体"/>
              </w:rPr>
            </w:pPr>
          </w:p>
        </w:tc>
        <w:tc>
          <w:tcPr>
            <w:tcW w:w="1918" w:type="dxa"/>
            <w:tcBorders>
              <w:top w:val="nil"/>
              <w:left w:val="nil"/>
              <w:bottom w:val="single" w:color="auto" w:sz="4" w:space="0"/>
              <w:right w:val="single" w:color="auto" w:sz="4" w:space="0"/>
            </w:tcBorders>
            <w:vAlign w:val="center"/>
          </w:tcPr>
          <w:p w14:paraId="2245FBC1">
            <w:pPr>
              <w:spacing w:line="540" w:lineRule="exact"/>
              <w:jc w:val="center"/>
              <w:rPr>
                <w:rFonts w:ascii="宋体" w:hAnsi="宋体"/>
                <w:snapToGrid w:val="0"/>
                <w:kern w:val="0"/>
                <w:szCs w:val="21"/>
              </w:rPr>
            </w:pPr>
          </w:p>
        </w:tc>
        <w:tc>
          <w:tcPr>
            <w:tcW w:w="850" w:type="dxa"/>
            <w:tcBorders>
              <w:top w:val="nil"/>
              <w:left w:val="nil"/>
              <w:bottom w:val="single" w:color="auto" w:sz="4" w:space="0"/>
              <w:right w:val="single" w:color="auto" w:sz="4" w:space="0"/>
            </w:tcBorders>
            <w:vAlign w:val="center"/>
          </w:tcPr>
          <w:p w14:paraId="71D7E3B7">
            <w:pPr>
              <w:pStyle w:val="33"/>
              <w:spacing w:after="156" w:line="460" w:lineRule="exact"/>
              <w:ind w:left="-108"/>
              <w:jc w:val="center"/>
              <w:rPr>
                <w:rFonts w:hAnsi="宋体"/>
              </w:rPr>
            </w:pPr>
          </w:p>
        </w:tc>
        <w:tc>
          <w:tcPr>
            <w:tcW w:w="2814" w:type="dxa"/>
            <w:tcBorders>
              <w:top w:val="single" w:color="auto" w:sz="4" w:space="0"/>
              <w:left w:val="nil"/>
              <w:bottom w:val="single" w:color="auto" w:sz="4" w:space="0"/>
              <w:right w:val="single" w:color="auto" w:sz="4" w:space="0"/>
            </w:tcBorders>
            <w:vAlign w:val="center"/>
          </w:tcPr>
          <w:p w14:paraId="0247E410">
            <w:pPr>
              <w:pStyle w:val="33"/>
              <w:spacing w:after="156" w:line="460" w:lineRule="exact"/>
              <w:ind w:left="-108"/>
              <w:jc w:val="center"/>
              <w:rPr>
                <w:rFonts w:hAnsi="宋体"/>
              </w:rPr>
            </w:pPr>
          </w:p>
        </w:tc>
        <w:tc>
          <w:tcPr>
            <w:tcW w:w="916" w:type="dxa"/>
            <w:tcBorders>
              <w:top w:val="single" w:color="auto" w:sz="4" w:space="0"/>
              <w:left w:val="nil"/>
              <w:bottom w:val="single" w:color="auto" w:sz="4" w:space="0"/>
              <w:right w:val="single" w:color="auto" w:sz="4" w:space="0"/>
            </w:tcBorders>
            <w:vAlign w:val="center"/>
          </w:tcPr>
          <w:p w14:paraId="1B04E19A">
            <w:pPr>
              <w:widowControl/>
              <w:spacing w:line="360" w:lineRule="auto"/>
              <w:jc w:val="center"/>
              <w:rPr>
                <w:rFonts w:ascii="宋体" w:hAnsi="宋体" w:cs="宋体"/>
                <w:kern w:val="0"/>
                <w:szCs w:val="21"/>
              </w:rPr>
            </w:pPr>
          </w:p>
        </w:tc>
      </w:tr>
      <w:tr w14:paraId="439746B6">
        <w:tblPrEx>
          <w:tblCellMar>
            <w:top w:w="0" w:type="dxa"/>
            <w:left w:w="108" w:type="dxa"/>
            <w:bottom w:w="0" w:type="dxa"/>
            <w:right w:w="108" w:type="dxa"/>
          </w:tblCellMar>
        </w:tblPrEx>
        <w:trPr>
          <w:trHeight w:val="299" w:hRule="atLeast"/>
        </w:trPr>
        <w:tc>
          <w:tcPr>
            <w:tcW w:w="9508" w:type="dxa"/>
            <w:gridSpan w:val="6"/>
            <w:tcBorders>
              <w:top w:val="single" w:color="auto" w:sz="4" w:space="0"/>
              <w:left w:val="single" w:color="auto" w:sz="8" w:space="0"/>
              <w:bottom w:val="single" w:color="auto" w:sz="4" w:space="0"/>
              <w:right w:val="single" w:color="auto" w:sz="4" w:space="0"/>
            </w:tcBorders>
            <w:vAlign w:val="center"/>
          </w:tcPr>
          <w:p w14:paraId="79300E08">
            <w:pPr>
              <w:widowControl/>
              <w:spacing w:line="360" w:lineRule="auto"/>
              <w:rPr>
                <w:rFonts w:ascii="宋体" w:hAnsi="宋体" w:cs="宋体"/>
                <w:kern w:val="0"/>
                <w:szCs w:val="21"/>
              </w:rPr>
            </w:pPr>
            <w:r>
              <w:rPr>
                <w:rFonts w:hint="eastAsia" w:ascii="宋体" w:hAnsi="宋体" w:cs="宋体"/>
                <w:kern w:val="0"/>
                <w:szCs w:val="21"/>
              </w:rPr>
              <w:t>合计：（大写）</w:t>
            </w:r>
            <w:r>
              <w:rPr>
                <w:rFonts w:hint="eastAsia" w:ascii="宋体" w:hAnsi="宋体" w:cs="宋体"/>
                <w:kern w:val="0"/>
                <w:szCs w:val="21"/>
                <w:u w:val="single"/>
              </w:rPr>
              <w:t xml:space="preserve">      元</w:t>
            </w:r>
            <w:r>
              <w:rPr>
                <w:rFonts w:hint="eastAsia" w:ascii="宋体" w:hAnsi="宋体" w:cs="宋体"/>
                <w:kern w:val="0"/>
                <w:szCs w:val="21"/>
              </w:rPr>
              <w:t>整 （小写）</w:t>
            </w:r>
            <w:r>
              <w:rPr>
                <w:rFonts w:hint="eastAsia" w:ascii="宋体" w:hAnsi="宋体"/>
                <w:szCs w:val="21"/>
              </w:rPr>
              <w:t>￥</w:t>
            </w:r>
            <w:r>
              <w:rPr>
                <w:rFonts w:hint="eastAsia" w:ascii="宋体" w:hAnsi="宋体" w:cs="宋体"/>
                <w:kern w:val="0"/>
                <w:szCs w:val="21"/>
              </w:rPr>
              <w:t>元</w:t>
            </w:r>
          </w:p>
        </w:tc>
      </w:tr>
    </w:tbl>
    <w:p w14:paraId="1D808D0F">
      <w:pPr>
        <w:spacing w:line="360" w:lineRule="auto"/>
        <w:ind w:firstLine="420" w:firstLineChars="200"/>
        <w:rPr>
          <w:rFonts w:ascii="宋体" w:hAnsi="宋体"/>
          <w:szCs w:val="21"/>
        </w:rPr>
      </w:pPr>
      <w:r>
        <w:rPr>
          <w:rFonts w:hint="eastAsia" w:ascii="宋体" w:hAnsi="宋体"/>
          <w:szCs w:val="21"/>
        </w:rPr>
        <w:t>本合同总价包括运抵使用单位的运费、安装调试中所需的配件、辅料、人工费、技术资料</w:t>
      </w:r>
      <w:bookmarkStart w:id="409" w:name="_Hlk199298436"/>
      <w:r>
        <w:rPr>
          <w:rFonts w:hint="eastAsia" w:ascii="宋体" w:hAnsi="宋体"/>
          <w:szCs w:val="21"/>
        </w:rPr>
        <w:t>费、运输保险费、</w:t>
      </w:r>
      <w:bookmarkEnd w:id="409"/>
      <w:r>
        <w:rPr>
          <w:rFonts w:hint="eastAsia" w:ascii="宋体" w:hAnsi="宋体"/>
          <w:szCs w:val="21"/>
        </w:rPr>
        <w:t>技术服务费、人员培训费及其它费用等。</w:t>
      </w:r>
    </w:p>
    <w:p w14:paraId="67B0433A">
      <w:pPr>
        <w:pStyle w:val="33"/>
        <w:spacing w:after="156" w:line="360" w:lineRule="auto"/>
        <w:ind w:firstLine="420" w:firstLineChars="200"/>
        <w:rPr>
          <w:rFonts w:hAnsi="宋体"/>
        </w:rPr>
      </w:pPr>
      <w:r>
        <w:t>在所供商品交付使用时，乙方必须向甲方提供质量保证书、产品说明书、设备技术资料、设备验收资料等必须具备的相关资料和必备的产品附件。</w:t>
      </w:r>
    </w:p>
    <w:p w14:paraId="2DF2A6F4">
      <w:pPr>
        <w:spacing w:line="360" w:lineRule="auto"/>
        <w:rPr>
          <w:rFonts w:ascii="宋体" w:hAnsi="Courier New"/>
          <w:b/>
          <w:bCs/>
          <w:szCs w:val="21"/>
        </w:rPr>
      </w:pPr>
      <w:r>
        <w:rPr>
          <w:rFonts w:ascii="宋体" w:hAnsi="Courier New"/>
          <w:b/>
          <w:bCs/>
          <w:szCs w:val="21"/>
        </w:rPr>
        <w:t>第</w:t>
      </w:r>
      <w:r>
        <w:rPr>
          <w:rFonts w:hint="eastAsia" w:ascii="宋体" w:hAnsi="Courier New"/>
          <w:b/>
          <w:bCs/>
          <w:szCs w:val="21"/>
        </w:rPr>
        <w:t>三</w:t>
      </w:r>
      <w:r>
        <w:rPr>
          <w:rFonts w:ascii="宋体" w:hAnsi="Courier New"/>
          <w:b/>
          <w:bCs/>
          <w:szCs w:val="21"/>
        </w:rPr>
        <w:t>条</w:t>
      </w:r>
      <w:r>
        <w:rPr>
          <w:rFonts w:hint="eastAsia" w:ascii="宋体" w:hAnsi="Courier New"/>
          <w:b/>
          <w:bCs/>
          <w:szCs w:val="21"/>
        </w:rPr>
        <w:t xml:space="preserve"> 质量保证（应根据设备类型和招标文件，注意验收标准的选择）</w:t>
      </w:r>
    </w:p>
    <w:p w14:paraId="50FBAE4A">
      <w:pPr>
        <w:spacing w:line="360" w:lineRule="auto"/>
        <w:ind w:firstLine="472" w:firstLineChars="225"/>
        <w:rPr>
          <w:rFonts w:ascii="宋体" w:hAnsi="宋体"/>
          <w:szCs w:val="21"/>
        </w:rPr>
      </w:pPr>
      <w:r>
        <w:rPr>
          <w:rFonts w:hint="eastAsia" w:ascii="宋体" w:hAnsi="宋体"/>
          <w:szCs w:val="21"/>
        </w:rPr>
        <w:t>1、乙方保证所提供的产品在正确、正常使用和维护保养的情况下，具有使甲方满意的使用性能和使用寿命。</w:t>
      </w:r>
    </w:p>
    <w:p w14:paraId="625A29F1">
      <w:pPr>
        <w:spacing w:line="360" w:lineRule="auto"/>
        <w:ind w:firstLine="472" w:firstLineChars="225"/>
        <w:rPr>
          <w:rFonts w:ascii="宋体" w:hAnsi="宋体"/>
          <w:szCs w:val="21"/>
        </w:rPr>
      </w:pPr>
      <w:r>
        <w:rPr>
          <w:rFonts w:hint="eastAsia" w:ascii="宋体" w:hAnsi="宋体"/>
          <w:szCs w:val="21"/>
        </w:rPr>
        <w:t>2、乙方保证为甲方提供完全符合设备型号规定及配置要求的产品，满足技术、质量、规格、性能要求。</w:t>
      </w:r>
    </w:p>
    <w:p w14:paraId="3807F352">
      <w:pPr>
        <w:spacing w:line="360" w:lineRule="auto"/>
        <w:ind w:firstLine="420" w:firstLineChars="200"/>
        <w:rPr>
          <w:rFonts w:ascii="宋体" w:hAnsi="宋体"/>
          <w:szCs w:val="21"/>
        </w:rPr>
      </w:pPr>
      <w:r>
        <w:rPr>
          <w:rFonts w:hint="eastAsia" w:ascii="宋体" w:hAnsi="宋体"/>
          <w:szCs w:val="21"/>
        </w:rPr>
        <w:t>3、乙方保证本合同中所供应的商品是最新生产的符合国家技术规格和质量标准的未经使用的出厂原装合格产品。如发生所供商品与合同不符，甲方（仅甲方）有权拒收或退货，由此产生的一切责任和后果由乙方承担。</w:t>
      </w:r>
    </w:p>
    <w:p w14:paraId="240E526E">
      <w:pPr>
        <w:pStyle w:val="33"/>
        <w:spacing w:after="156" w:line="360" w:lineRule="auto"/>
        <w:ind w:left="-2" w:leftChars="-4" w:hanging="6" w:hangingChars="3"/>
        <w:rPr>
          <w:b/>
          <w:bCs/>
        </w:rPr>
      </w:pPr>
      <w:r>
        <w:rPr>
          <w:b/>
          <w:bCs/>
        </w:rPr>
        <w:t xml:space="preserve">第四条 </w:t>
      </w:r>
      <w:r>
        <w:rPr>
          <w:rFonts w:hint="eastAsia"/>
          <w:b/>
          <w:bCs/>
        </w:rPr>
        <w:t>特别承诺</w:t>
      </w:r>
    </w:p>
    <w:p w14:paraId="547CFDEE">
      <w:pPr>
        <w:pStyle w:val="33"/>
        <w:spacing w:after="156" w:line="360" w:lineRule="auto"/>
        <w:ind w:left="-8" w:leftChars="-4" w:firstLine="315" w:firstLineChars="150"/>
      </w:pPr>
      <w:r>
        <w:t>乙方</w:t>
      </w:r>
      <w:r>
        <w:rPr>
          <w:rFonts w:hint="eastAsia"/>
        </w:rPr>
        <w:t>承诺本合同内提供的设备或技术不存在任何第三方对于设备或技术所有权、抵押权、设备操作、系统升级等可能使甲方权利遭受不利影响的任何障碍。乙方所提供的货物或任何一部分均不会侵犯任何第三方的知识产权。如因第三方指控，造成甲方权利受损，乙方应赔偿甲方的全部损失。</w:t>
      </w:r>
    </w:p>
    <w:p w14:paraId="5A268799">
      <w:pPr>
        <w:pStyle w:val="33"/>
        <w:spacing w:after="156" w:line="360" w:lineRule="auto"/>
        <w:ind w:left="-2" w:leftChars="-4" w:hanging="6" w:hangingChars="3"/>
        <w:rPr>
          <w:b/>
          <w:bCs/>
        </w:rPr>
      </w:pPr>
      <w:r>
        <w:rPr>
          <w:b/>
          <w:bCs/>
        </w:rPr>
        <w:t>第五条 交货时间、地点</w:t>
      </w:r>
    </w:p>
    <w:p w14:paraId="132CE741">
      <w:pPr>
        <w:pStyle w:val="33"/>
        <w:spacing w:after="156" w:line="360" w:lineRule="auto"/>
        <w:ind w:left="-8" w:leftChars="-4" w:firstLine="411" w:firstLineChars="196"/>
        <w:rPr>
          <w:b/>
          <w:bCs/>
        </w:rPr>
      </w:pPr>
      <w:r>
        <w:t>乙方在合同签定后</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日前</w:t>
      </w:r>
      <w:r>
        <w:t>将货物按时、安全的运至甲方指定地点</w:t>
      </w:r>
      <w:r>
        <w:rPr>
          <w:rFonts w:hint="eastAsia"/>
        </w:rPr>
        <w:t xml:space="preserve">，并于 </w:t>
      </w:r>
      <w:r>
        <w:t xml:space="preserve">   </w:t>
      </w:r>
      <w:r>
        <w:rPr>
          <w:rFonts w:hint="eastAsia"/>
        </w:rPr>
        <w:t xml:space="preserve">年 </w:t>
      </w:r>
      <w:r>
        <w:t xml:space="preserve">  </w:t>
      </w:r>
      <w:r>
        <w:rPr>
          <w:rFonts w:hint="eastAsia"/>
        </w:rPr>
        <w:t xml:space="preserve">月 </w:t>
      </w:r>
      <w:r>
        <w:t xml:space="preserve">   </w:t>
      </w:r>
      <w:r>
        <w:rPr>
          <w:rFonts w:hint="eastAsia"/>
        </w:rPr>
        <w:t>日前完成安装、调试</w:t>
      </w:r>
      <w:r>
        <w:t>。</w:t>
      </w:r>
    </w:p>
    <w:p w14:paraId="3CB066F4">
      <w:pPr>
        <w:pStyle w:val="33"/>
        <w:spacing w:after="156" w:line="360" w:lineRule="auto"/>
        <w:ind w:left="-2" w:leftChars="-4" w:hanging="6" w:hangingChars="3"/>
      </w:pPr>
      <w:r>
        <w:rPr>
          <w:b/>
          <w:bCs/>
        </w:rPr>
        <w:t>第六条 验收</w:t>
      </w:r>
    </w:p>
    <w:p w14:paraId="566A7D46">
      <w:pPr>
        <w:spacing w:line="360" w:lineRule="auto"/>
        <w:ind w:firstLine="472" w:firstLineChars="22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 甲方对乙方提交的货物依据</w:t>
      </w:r>
      <w:r>
        <w:rPr>
          <w:rFonts w:hint="eastAsia" w:ascii="宋体" w:hAnsi="宋体"/>
          <w:color w:val="000000" w:themeColor="text1"/>
          <w:szCs w:val="21"/>
          <w14:textFill>
            <w14:solidFill>
              <w14:schemeClr w14:val="tx1"/>
            </w14:solidFill>
          </w14:textFill>
        </w:rPr>
        <w:t>公开招标文件</w:t>
      </w:r>
      <w:r>
        <w:rPr>
          <w:rFonts w:ascii="宋体" w:hAnsi="宋体"/>
          <w:color w:val="000000" w:themeColor="text1"/>
          <w:szCs w:val="21"/>
          <w14:textFill>
            <w14:solidFill>
              <w14:schemeClr w14:val="tx1"/>
            </w14:solidFill>
          </w14:textFill>
        </w:rPr>
        <w:t>上的技术规格要求和国家有关质量标准进行现场初步验收，外观、说明书符合相关文件技术要求的，给予签收，初步验收不合格的不予签收。</w:t>
      </w:r>
    </w:p>
    <w:p w14:paraId="4E54D014">
      <w:pPr>
        <w:spacing w:line="360" w:lineRule="auto"/>
        <w:ind w:firstLine="472" w:firstLineChars="22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 乙方交货前应对产品</w:t>
      </w:r>
      <w:r>
        <w:rPr>
          <w:rFonts w:hint="eastAsia" w:ascii="宋体" w:hAnsi="宋体"/>
          <w:color w:val="000000" w:themeColor="text1"/>
          <w:szCs w:val="21"/>
          <w14:textFill>
            <w14:solidFill>
              <w14:schemeClr w14:val="tx1"/>
            </w14:solidFill>
          </w14:textFill>
        </w:rPr>
        <w:t>做</w:t>
      </w:r>
      <w:r>
        <w:rPr>
          <w:rFonts w:ascii="宋体" w:hAnsi="宋体"/>
          <w:color w:val="000000" w:themeColor="text1"/>
          <w:szCs w:val="21"/>
          <w14:textFill>
            <w14:solidFill>
              <w14:schemeClr w14:val="tx1"/>
            </w14:solidFill>
          </w14:textFill>
        </w:rPr>
        <w:t>出全面检查和对验收文件进行整理，并列出清单，作为甲方收货验收和使用的技术条件依据，检验的结果应随货物交甲方。</w:t>
      </w:r>
    </w:p>
    <w:p w14:paraId="26BF6D74">
      <w:pPr>
        <w:spacing w:line="360" w:lineRule="auto"/>
        <w:ind w:firstLine="472" w:firstLineChars="225"/>
        <w:rPr>
          <w:rFonts w:ascii="宋体" w:hAnsi="宋体"/>
          <w:szCs w:val="21"/>
        </w:rPr>
      </w:pPr>
      <w:r>
        <w:rPr>
          <w:rFonts w:ascii="宋体" w:hAnsi="宋体"/>
          <w:szCs w:val="21"/>
        </w:rPr>
        <w:t>3. 甲方对乙方提供的货物在使用前进行调试时，乙方需负责安装并培训甲方的使用操作人员，并协助甲方一起调试，直到符合技术要求，甲方才做最终验收。</w:t>
      </w:r>
    </w:p>
    <w:p w14:paraId="18D6BAFB">
      <w:pPr>
        <w:spacing w:line="360" w:lineRule="auto"/>
        <w:ind w:firstLine="472" w:firstLineChars="225"/>
        <w:rPr>
          <w:rFonts w:ascii="宋体" w:hAnsi="宋体"/>
          <w:szCs w:val="21"/>
        </w:rPr>
      </w:pPr>
      <w:r>
        <w:rPr>
          <w:rFonts w:ascii="宋体" w:hAnsi="宋体"/>
          <w:szCs w:val="21"/>
        </w:rPr>
        <w:t>4. 对技术复杂的货物，甲方应请国家认可的专业检测机构参与初步验收及最终验收，并由其出具质量检测报告。</w:t>
      </w:r>
    </w:p>
    <w:p w14:paraId="00CFFFBC">
      <w:pPr>
        <w:spacing w:line="360" w:lineRule="auto"/>
        <w:ind w:firstLine="472" w:firstLineChars="225"/>
        <w:rPr>
          <w:rFonts w:ascii="宋体" w:hAnsi="宋体"/>
          <w:szCs w:val="21"/>
        </w:rPr>
      </w:pPr>
      <w:r>
        <w:rPr>
          <w:rFonts w:ascii="宋体" w:hAnsi="宋体"/>
          <w:szCs w:val="21"/>
        </w:rPr>
        <w:t>5. 验收时乙方必须在现场，验收完毕后作出验收结果报告。</w:t>
      </w:r>
    </w:p>
    <w:p w14:paraId="46928CE3">
      <w:pPr>
        <w:spacing w:line="360" w:lineRule="auto"/>
        <w:ind w:firstLine="472" w:firstLineChars="225"/>
        <w:rPr>
          <w:rFonts w:ascii="宋体" w:hAnsi="宋体"/>
          <w:szCs w:val="21"/>
        </w:rPr>
      </w:pPr>
      <w:r>
        <w:rPr>
          <w:rFonts w:ascii="宋体" w:hAnsi="宋体"/>
          <w:szCs w:val="21"/>
        </w:rPr>
        <w:t>6.</w:t>
      </w:r>
      <w:r>
        <w:rPr>
          <w:rFonts w:hint="eastAsia" w:ascii="宋体" w:hAnsi="宋体"/>
          <w:szCs w:val="21"/>
        </w:rPr>
        <w:t xml:space="preserve"> 甲方对设备质量有重大异议，乙</w:t>
      </w:r>
      <w:r>
        <w:rPr>
          <w:rFonts w:ascii="宋体" w:hAnsi="宋体"/>
          <w:szCs w:val="21"/>
        </w:rPr>
        <w:t>方</w:t>
      </w:r>
      <w:r>
        <w:rPr>
          <w:rFonts w:hint="eastAsia" w:ascii="宋体" w:hAnsi="宋体"/>
          <w:szCs w:val="21"/>
        </w:rPr>
        <w:t>应当</w:t>
      </w:r>
      <w:r>
        <w:rPr>
          <w:rFonts w:ascii="宋体" w:hAnsi="宋体"/>
          <w:szCs w:val="21"/>
        </w:rPr>
        <w:t>同意</w:t>
      </w:r>
      <w:r>
        <w:rPr>
          <w:rFonts w:hint="eastAsia" w:ascii="宋体" w:hAnsi="宋体"/>
          <w:szCs w:val="21"/>
        </w:rPr>
        <w:t>由甲方将设备</w:t>
      </w:r>
      <w:r>
        <w:rPr>
          <w:rFonts w:ascii="宋体" w:hAnsi="宋体"/>
          <w:szCs w:val="21"/>
        </w:rPr>
        <w:t>提</w:t>
      </w:r>
      <w:r>
        <w:rPr>
          <w:rFonts w:hint="eastAsia" w:ascii="宋体" w:hAnsi="宋体"/>
          <w:szCs w:val="21"/>
        </w:rPr>
        <w:t>交</w:t>
      </w:r>
      <w:r>
        <w:rPr>
          <w:rFonts w:ascii="宋体" w:hAnsi="宋体"/>
          <w:szCs w:val="21"/>
        </w:rPr>
        <w:t>国家法定检测机构鉴定，如检测结果证明产品无质量问题，由甲方承担检测费用；如检测结果证明产品有质量问题，由乙方承担检测费用，同时乙方同意甲方无条件退货并</w:t>
      </w:r>
      <w:r>
        <w:rPr>
          <w:rFonts w:hint="eastAsia" w:ascii="宋体" w:hAnsi="宋体"/>
          <w:szCs w:val="21"/>
        </w:rPr>
        <w:t>按照第九条第5款支付违约</w:t>
      </w:r>
      <w:r>
        <w:rPr>
          <w:rFonts w:ascii="宋体" w:hAnsi="宋体"/>
          <w:szCs w:val="21"/>
        </w:rPr>
        <w:t>赔偿金。</w:t>
      </w:r>
    </w:p>
    <w:p w14:paraId="7F33C624">
      <w:pPr>
        <w:spacing w:line="360" w:lineRule="auto"/>
        <w:ind w:firstLine="472" w:firstLineChars="225"/>
        <w:rPr>
          <w:rFonts w:ascii="宋体" w:hAnsi="宋体"/>
          <w:szCs w:val="21"/>
        </w:rPr>
      </w:pPr>
      <w:r>
        <w:rPr>
          <w:rFonts w:ascii="宋体" w:hAnsi="宋体"/>
          <w:szCs w:val="21"/>
        </w:rPr>
        <w:t>7. 验收合格与否以甲方验收报告为准。</w:t>
      </w:r>
    </w:p>
    <w:p w14:paraId="00454B0B">
      <w:pPr>
        <w:spacing w:line="360" w:lineRule="auto"/>
        <w:rPr>
          <w:rFonts w:ascii="宋体" w:hAnsi="宋体"/>
          <w:b/>
          <w:bCs/>
          <w:color w:val="000000" w:themeColor="text1"/>
          <w:szCs w:val="21"/>
          <w14:textFill>
            <w14:solidFill>
              <w14:schemeClr w14:val="tx1"/>
            </w14:solidFill>
          </w14:textFill>
        </w:rPr>
      </w:pPr>
      <w:r>
        <w:rPr>
          <w:rFonts w:ascii="宋体" w:hAnsi="Courier New"/>
          <w:b/>
          <w:bCs/>
          <w:szCs w:val="21"/>
        </w:rPr>
        <w:t>第</w:t>
      </w:r>
      <w:r>
        <w:rPr>
          <w:rFonts w:hint="eastAsia" w:ascii="宋体" w:hAnsi="Courier New"/>
          <w:b/>
          <w:bCs/>
          <w:szCs w:val="21"/>
        </w:rPr>
        <w:t>七</w:t>
      </w:r>
      <w:r>
        <w:rPr>
          <w:rFonts w:ascii="宋体" w:hAnsi="Courier New"/>
          <w:b/>
          <w:bCs/>
          <w:szCs w:val="21"/>
        </w:rPr>
        <w:t>条</w:t>
      </w:r>
      <w:r>
        <w:rPr>
          <w:rFonts w:hint="eastAsia" w:ascii="宋体" w:hAnsi="Courier New"/>
          <w:b/>
          <w:bCs/>
          <w:szCs w:val="21"/>
        </w:rPr>
        <w:t xml:space="preserve"> 货款的支付</w:t>
      </w:r>
    </w:p>
    <w:p w14:paraId="7D5C9120">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合同总额为人民币</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元整（小写：￥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合同生效并具备实施条件后7个工作日内甲方支付乙方合同总额的40%；乙方安装调试完毕，项目实施完成后，进入试运行阶段，试运行时间不少于一个月，期间同步进行决算审计工作，试运行和决算审计完成后进行项目验收，经甲方验收合格后7个工作日内向乙方支付剩余合同款。</w:t>
      </w:r>
    </w:p>
    <w:p w14:paraId="6338784D">
      <w:pPr>
        <w:spacing w:line="360" w:lineRule="auto"/>
        <w:ind w:firstLine="422" w:firstLineChars="200"/>
        <w:rPr>
          <w:rFonts w:ascii="宋体" w:hAnsi="宋体"/>
          <w:b/>
          <w:color w:val="FF0000"/>
          <w:szCs w:val="21"/>
          <w:highlight w:val="yellow"/>
        </w:rPr>
      </w:pPr>
      <w:r>
        <w:rPr>
          <w:rFonts w:hint="eastAsia" w:ascii="宋体" w:hAnsi="宋体"/>
          <w:b/>
          <w:szCs w:val="21"/>
        </w:rPr>
        <w:t>在合同签订后5个工作日内，乙方须支付合同款的1％作为履约保证金，可以银行、保险公司出具的保函形式提交，即人民币</w:t>
      </w:r>
      <w:r>
        <w:rPr>
          <w:rFonts w:hint="eastAsia" w:ascii="宋体" w:hAnsi="宋体"/>
          <w:b/>
          <w:szCs w:val="21"/>
          <w:u w:val="single"/>
        </w:rPr>
        <w:t xml:space="preserve">    </w:t>
      </w:r>
      <w:r>
        <w:rPr>
          <w:rFonts w:hint="eastAsia" w:ascii="宋体" w:hAnsi="宋体"/>
          <w:b/>
          <w:szCs w:val="21"/>
        </w:rPr>
        <w:t>元整（小写：￥</w:t>
      </w:r>
      <w:r>
        <w:rPr>
          <w:rFonts w:hint="eastAsia" w:ascii="宋体" w:hAnsi="宋体"/>
          <w:b/>
          <w:szCs w:val="21"/>
          <w:u w:val="single"/>
        </w:rPr>
        <w:t xml:space="preserve">   </w:t>
      </w:r>
      <w:r>
        <w:rPr>
          <w:rFonts w:hint="eastAsia" w:ascii="宋体" w:hAnsi="宋体"/>
          <w:b/>
          <w:szCs w:val="21"/>
        </w:rPr>
        <w:t>元），验收、审计合格后未出现质量问题（非人为原因）10个工作日内甲方无息退还给乙方。</w:t>
      </w:r>
    </w:p>
    <w:p w14:paraId="086C1DFC">
      <w:pPr>
        <w:spacing w:line="360" w:lineRule="auto"/>
        <w:rPr>
          <w:rFonts w:ascii="宋体" w:hAnsi="Courier New"/>
          <w:b/>
          <w:bCs/>
          <w:szCs w:val="21"/>
        </w:rPr>
      </w:pPr>
      <w:r>
        <w:rPr>
          <w:rFonts w:ascii="宋体" w:hAnsi="Courier New"/>
          <w:b/>
          <w:bCs/>
          <w:szCs w:val="21"/>
        </w:rPr>
        <w:t>第</w:t>
      </w:r>
      <w:r>
        <w:rPr>
          <w:rFonts w:hint="eastAsia" w:ascii="宋体" w:hAnsi="Courier New"/>
          <w:b/>
          <w:bCs/>
          <w:szCs w:val="21"/>
        </w:rPr>
        <w:t>八</w:t>
      </w:r>
      <w:r>
        <w:rPr>
          <w:rFonts w:ascii="宋体" w:hAnsi="Courier New"/>
          <w:b/>
          <w:bCs/>
          <w:szCs w:val="21"/>
        </w:rPr>
        <w:t>条</w:t>
      </w:r>
      <w:r>
        <w:rPr>
          <w:rFonts w:hint="eastAsia" w:ascii="宋体" w:hAnsi="Courier New"/>
          <w:b/>
          <w:bCs/>
          <w:szCs w:val="21"/>
        </w:rPr>
        <w:t xml:space="preserve"> 合同修改</w:t>
      </w:r>
    </w:p>
    <w:p w14:paraId="36C6F143">
      <w:pPr>
        <w:spacing w:line="360" w:lineRule="auto"/>
        <w:ind w:firstLine="472" w:firstLineChars="225"/>
        <w:rPr>
          <w:rFonts w:ascii="宋体" w:hAnsi="宋体"/>
          <w:szCs w:val="21"/>
        </w:rPr>
      </w:pPr>
      <w:r>
        <w:rPr>
          <w:rFonts w:hint="eastAsia" w:ascii="宋体" w:hAnsi="宋体"/>
          <w:szCs w:val="21"/>
        </w:rPr>
        <w:t>1、甲方、乙方的任何一方对合同内容提出修改，均应以书面形式通知对方，并达成由双方签署的补充协议。</w:t>
      </w:r>
    </w:p>
    <w:p w14:paraId="09227155">
      <w:pPr>
        <w:spacing w:line="360" w:lineRule="auto"/>
        <w:ind w:firstLine="472" w:firstLineChars="225"/>
        <w:rPr>
          <w:rFonts w:ascii="宋体" w:hAnsi="宋体"/>
          <w:szCs w:val="21"/>
        </w:rPr>
      </w:pPr>
      <w:r>
        <w:rPr>
          <w:rFonts w:hint="eastAsia" w:ascii="宋体" w:hAnsi="宋体"/>
          <w:szCs w:val="21"/>
        </w:rPr>
        <w:t>2、除非甲方对产品的规格和涉及价格因素的技术参数等提出修改，乙方不得对合同价格提出修改要求。</w:t>
      </w:r>
    </w:p>
    <w:p w14:paraId="09628321">
      <w:pPr>
        <w:spacing w:line="360" w:lineRule="auto"/>
        <w:rPr>
          <w:rFonts w:ascii="宋体" w:hAnsi="Courier New"/>
          <w:b/>
          <w:bCs/>
          <w:szCs w:val="21"/>
        </w:rPr>
      </w:pPr>
      <w:r>
        <w:rPr>
          <w:rFonts w:ascii="宋体" w:hAnsi="Courier New"/>
          <w:b/>
          <w:bCs/>
          <w:szCs w:val="21"/>
        </w:rPr>
        <w:t>第</w:t>
      </w:r>
      <w:r>
        <w:rPr>
          <w:rFonts w:hint="eastAsia" w:ascii="宋体" w:hAnsi="Courier New"/>
          <w:b/>
          <w:bCs/>
          <w:szCs w:val="21"/>
        </w:rPr>
        <w:t>九</w:t>
      </w:r>
      <w:r>
        <w:rPr>
          <w:rFonts w:ascii="宋体" w:hAnsi="Courier New"/>
          <w:b/>
          <w:bCs/>
          <w:szCs w:val="21"/>
        </w:rPr>
        <w:t>条</w:t>
      </w:r>
      <w:r>
        <w:rPr>
          <w:rFonts w:hint="eastAsia" w:ascii="宋体" w:hAnsi="Courier New"/>
          <w:b/>
          <w:bCs/>
          <w:szCs w:val="21"/>
        </w:rPr>
        <w:t xml:space="preserve"> 违约责任</w:t>
      </w:r>
    </w:p>
    <w:p w14:paraId="234D33C6">
      <w:pPr>
        <w:spacing w:line="360" w:lineRule="auto"/>
        <w:ind w:firstLine="472" w:firstLineChars="225"/>
        <w:rPr>
          <w:rFonts w:ascii="宋体" w:hAnsi="宋体"/>
          <w:szCs w:val="21"/>
        </w:rPr>
      </w:pPr>
      <w:r>
        <w:rPr>
          <w:rFonts w:hint="eastAsia" w:ascii="宋体" w:hAnsi="宋体"/>
          <w:szCs w:val="21"/>
        </w:rPr>
        <w:t>1、逾期交货：</w:t>
      </w:r>
    </w:p>
    <w:p w14:paraId="63C801E7">
      <w:pPr>
        <w:spacing w:line="360" w:lineRule="auto"/>
        <w:ind w:firstLine="472" w:firstLineChars="225"/>
        <w:rPr>
          <w:rFonts w:ascii="宋体" w:hAnsi="宋体"/>
          <w:szCs w:val="21"/>
        </w:rPr>
      </w:pPr>
      <w:r>
        <w:rPr>
          <w:rFonts w:hint="eastAsia" w:ascii="宋体" w:hAnsi="宋体"/>
          <w:szCs w:val="21"/>
        </w:rPr>
        <w:t>乙方逾期履行合同的，自逾期之日起，向甲方每日偿付合同总价万分之三的滞纳金；逾期30日不能交付的,应向甲方支付合同总价</w:t>
      </w:r>
      <w:r>
        <w:rPr>
          <w:rFonts w:ascii="宋体" w:hAnsi="宋体"/>
          <w:szCs w:val="21"/>
        </w:rPr>
        <w:t>2</w:t>
      </w:r>
      <w:r>
        <w:rPr>
          <w:rFonts w:hint="eastAsia" w:ascii="宋体" w:hAnsi="宋体"/>
          <w:szCs w:val="21"/>
        </w:rPr>
        <w:t>%的违约金,并且不再退还履约保证金；同时甲方有权解除合同（经甲方、乙方双方协商同意延长交付期和经双方友好协商同意更改或终止合同且无需罚款者不在此列）。</w:t>
      </w:r>
    </w:p>
    <w:p w14:paraId="0AFDE5FE">
      <w:pPr>
        <w:spacing w:line="360" w:lineRule="auto"/>
        <w:ind w:firstLine="472" w:firstLineChars="225"/>
        <w:rPr>
          <w:rFonts w:ascii="宋体" w:hAnsi="宋体"/>
          <w:szCs w:val="21"/>
        </w:rPr>
      </w:pPr>
      <w:r>
        <w:rPr>
          <w:rFonts w:hint="eastAsia" w:ascii="宋体" w:hAnsi="宋体"/>
          <w:szCs w:val="21"/>
        </w:rPr>
        <w:t>2、甲方无正当理由拒付货款的，应向乙方偿付合同总价2%的违约金。</w:t>
      </w:r>
    </w:p>
    <w:p w14:paraId="496D0A67">
      <w:pPr>
        <w:spacing w:line="360" w:lineRule="auto"/>
        <w:ind w:firstLine="472" w:firstLineChars="225"/>
        <w:rPr>
          <w:rFonts w:ascii="宋体" w:hAnsi="宋体"/>
          <w:szCs w:val="21"/>
        </w:rPr>
      </w:pPr>
      <w:r>
        <w:rPr>
          <w:rFonts w:hint="eastAsia" w:ascii="宋体" w:hAnsi="宋体"/>
          <w:szCs w:val="21"/>
        </w:rPr>
        <w:t>3、乙方不能履行承诺提供服务的，每核实一次，扣履约保证金的20%，二次以上的，不再退还履约保证金。</w:t>
      </w:r>
    </w:p>
    <w:p w14:paraId="7734F60B">
      <w:pPr>
        <w:spacing w:line="360" w:lineRule="auto"/>
        <w:ind w:firstLine="472" w:firstLineChars="225"/>
        <w:rPr>
          <w:rFonts w:ascii="宋体" w:hAnsi="宋体"/>
          <w:szCs w:val="21"/>
        </w:rPr>
      </w:pPr>
      <w:r>
        <w:rPr>
          <w:rFonts w:hint="eastAsia" w:ascii="宋体" w:hAnsi="宋体"/>
          <w:szCs w:val="21"/>
        </w:rPr>
        <w:t>4、如验收不能达到质量功能（性能）标准，合同商品由乙方在验收后一周内运离安装地点，所需费用由乙方承担。如乙方在30日内不处理（搬走）合同商品，视为乙方放弃该商品，甲方有权自行处置（包括废物处理）。同时，乙方要支付给甲方总货款的20％作为违约赔偿金。</w:t>
      </w:r>
    </w:p>
    <w:p w14:paraId="45D00207">
      <w:pPr>
        <w:spacing w:line="360" w:lineRule="auto"/>
        <w:ind w:firstLine="472" w:firstLineChars="225"/>
        <w:rPr>
          <w:rFonts w:ascii="宋体" w:hAnsi="宋体"/>
          <w:szCs w:val="21"/>
        </w:rPr>
      </w:pPr>
      <w:r>
        <w:rPr>
          <w:rFonts w:hint="eastAsia" w:ascii="宋体" w:hAnsi="宋体"/>
          <w:szCs w:val="21"/>
        </w:rPr>
        <w:t>5、乙方所交的货物品种、型号、规格、技术参数、质量不符合合同规定及</w:t>
      </w:r>
      <w:r>
        <w:rPr>
          <w:rFonts w:hint="eastAsia" w:ascii="宋体" w:hAnsi="宋体"/>
          <w:color w:val="000000" w:themeColor="text1"/>
          <w:szCs w:val="21"/>
          <w14:textFill>
            <w14:solidFill>
              <w14:schemeClr w14:val="tx1"/>
            </w14:solidFill>
          </w14:textFill>
        </w:rPr>
        <w:t>公开招标文</w:t>
      </w:r>
      <w:r>
        <w:rPr>
          <w:rFonts w:hint="eastAsia" w:ascii="宋体" w:hAnsi="宋体"/>
          <w:szCs w:val="21"/>
        </w:rPr>
        <w:t>件规定标准的，甲方有权拒收该货物，乙方愿意更换货物但逾期交货的，按乙方逾期交货处理。乙方拒绝更换货物的，甲方可单方面解除合同。</w:t>
      </w:r>
    </w:p>
    <w:p w14:paraId="57EA8E19">
      <w:pPr>
        <w:spacing w:line="360" w:lineRule="auto"/>
        <w:rPr>
          <w:rFonts w:ascii="宋体" w:hAnsi="Courier New"/>
          <w:b/>
          <w:bCs/>
          <w:szCs w:val="21"/>
        </w:rPr>
      </w:pPr>
      <w:r>
        <w:rPr>
          <w:rFonts w:ascii="宋体" w:hAnsi="Courier New"/>
          <w:b/>
          <w:bCs/>
          <w:szCs w:val="21"/>
        </w:rPr>
        <w:t>第</w:t>
      </w:r>
      <w:r>
        <w:rPr>
          <w:rFonts w:hint="eastAsia" w:ascii="宋体" w:hAnsi="Courier New"/>
          <w:b/>
          <w:bCs/>
          <w:szCs w:val="21"/>
        </w:rPr>
        <w:t>十</w:t>
      </w:r>
      <w:r>
        <w:rPr>
          <w:rFonts w:ascii="宋体" w:hAnsi="Courier New"/>
          <w:b/>
          <w:bCs/>
          <w:szCs w:val="21"/>
        </w:rPr>
        <w:t>条</w:t>
      </w:r>
      <w:r>
        <w:rPr>
          <w:rFonts w:hint="eastAsia" w:ascii="宋体" w:hAnsi="Courier New"/>
          <w:b/>
          <w:bCs/>
          <w:szCs w:val="21"/>
        </w:rPr>
        <w:t xml:space="preserve"> 争议的解决</w:t>
      </w:r>
    </w:p>
    <w:p w14:paraId="5C5A40D4">
      <w:pPr>
        <w:spacing w:line="360" w:lineRule="auto"/>
        <w:ind w:firstLine="472" w:firstLineChars="225"/>
        <w:rPr>
          <w:rFonts w:ascii="宋体" w:hAnsi="宋体"/>
          <w:szCs w:val="21"/>
        </w:rPr>
      </w:pPr>
      <w:r>
        <w:rPr>
          <w:rFonts w:hint="eastAsia" w:ascii="宋体" w:hAnsi="宋体"/>
          <w:szCs w:val="21"/>
        </w:rPr>
        <w:t>凡有关本合同或执行本合同中发生的争端，甲、乙双方应通过友好协商，妥善解决。如通过协商仍不能解决时，将合同争议事项</w:t>
      </w:r>
      <w:r>
        <w:rPr>
          <w:rFonts w:ascii="宋体" w:hAnsi="宋体"/>
          <w:szCs w:val="21"/>
        </w:rPr>
        <w:t>提交</w:t>
      </w:r>
      <w:r>
        <w:rPr>
          <w:rFonts w:hint="eastAsia" w:ascii="宋体" w:hAnsi="宋体"/>
          <w:szCs w:val="21"/>
        </w:rPr>
        <w:t>杭州</w:t>
      </w:r>
      <w:r>
        <w:rPr>
          <w:rFonts w:ascii="宋体" w:hAnsi="宋体"/>
          <w:szCs w:val="21"/>
        </w:rPr>
        <w:t>仲裁委员会进行仲裁。仲裁裁决是终局的，对</w:t>
      </w:r>
      <w:r>
        <w:rPr>
          <w:rFonts w:hint="eastAsia" w:ascii="宋体" w:hAnsi="宋体"/>
          <w:szCs w:val="21"/>
        </w:rPr>
        <w:t>双方</w:t>
      </w:r>
      <w:r>
        <w:rPr>
          <w:rFonts w:ascii="宋体" w:hAnsi="宋体"/>
          <w:szCs w:val="21"/>
        </w:rPr>
        <w:t>方均有约束力</w:t>
      </w:r>
      <w:r>
        <w:rPr>
          <w:rFonts w:hint="eastAsia" w:ascii="宋体" w:hAnsi="宋体"/>
          <w:szCs w:val="21"/>
        </w:rPr>
        <w:t>。</w:t>
      </w:r>
    </w:p>
    <w:p w14:paraId="0D75E680">
      <w:pPr>
        <w:spacing w:line="360" w:lineRule="auto"/>
        <w:ind w:firstLine="472" w:firstLineChars="225"/>
        <w:rPr>
          <w:rFonts w:ascii="宋体" w:hAnsi="宋体"/>
          <w:szCs w:val="21"/>
        </w:rPr>
      </w:pPr>
      <w:r>
        <w:rPr>
          <w:rFonts w:hint="eastAsia" w:ascii="宋体" w:hAnsi="宋体"/>
          <w:szCs w:val="21"/>
        </w:rPr>
        <w:t>在仲裁期间，除正在进行仲裁的部分外，本合同其他部分应继续执行。</w:t>
      </w:r>
    </w:p>
    <w:p w14:paraId="7F187C09">
      <w:pPr>
        <w:spacing w:line="360" w:lineRule="auto"/>
        <w:rPr>
          <w:rFonts w:ascii="宋体" w:hAnsi="宋体"/>
          <w:b/>
          <w:szCs w:val="21"/>
        </w:rPr>
      </w:pPr>
      <w:r>
        <w:rPr>
          <w:rFonts w:ascii="宋体" w:hAnsi="Courier New"/>
          <w:b/>
          <w:bCs/>
          <w:szCs w:val="21"/>
        </w:rPr>
        <w:t>第</w:t>
      </w:r>
      <w:r>
        <w:rPr>
          <w:rFonts w:hint="eastAsia" w:ascii="宋体" w:hAnsi="Courier New"/>
          <w:b/>
          <w:bCs/>
          <w:szCs w:val="21"/>
        </w:rPr>
        <w:t>十一</w:t>
      </w:r>
      <w:r>
        <w:rPr>
          <w:rFonts w:ascii="宋体" w:hAnsi="Courier New"/>
          <w:b/>
          <w:bCs/>
          <w:szCs w:val="21"/>
        </w:rPr>
        <w:t>条</w:t>
      </w:r>
      <w:r>
        <w:rPr>
          <w:rFonts w:hint="eastAsia" w:ascii="宋体" w:hAnsi="Courier New"/>
          <w:b/>
          <w:bCs/>
          <w:szCs w:val="21"/>
        </w:rPr>
        <w:t xml:space="preserve"> 售后服务</w:t>
      </w:r>
    </w:p>
    <w:p w14:paraId="695B66AB">
      <w:pPr>
        <w:spacing w:line="360" w:lineRule="auto"/>
        <w:ind w:firstLine="315" w:firstLineChars="150"/>
        <w:rPr>
          <w:rFonts w:ascii="宋体" w:hAnsi="宋体"/>
          <w:szCs w:val="21"/>
        </w:rPr>
      </w:pPr>
      <w:r>
        <w:rPr>
          <w:rFonts w:hint="eastAsia" w:ascii="宋体" w:hAnsi="宋体"/>
          <w:szCs w:val="21"/>
        </w:rPr>
        <w:t>1、乙方负责设备的安装、调试等服务。</w:t>
      </w:r>
    </w:p>
    <w:p w14:paraId="727EA2A2">
      <w:pPr>
        <w:spacing w:line="360" w:lineRule="auto"/>
        <w:ind w:firstLine="315" w:firstLineChars="150"/>
        <w:rPr>
          <w:rFonts w:ascii="宋体" w:hAnsi="宋体"/>
          <w:szCs w:val="21"/>
        </w:rPr>
      </w:pPr>
      <w:r>
        <w:rPr>
          <w:rFonts w:hint="eastAsia" w:ascii="宋体" w:hAnsi="宋体"/>
          <w:szCs w:val="21"/>
        </w:rPr>
        <w:t>2、乙方售后服务责任人的电话需保证畅通，更换号码或责任人必须及时通知甲方。售后服务电话需响应及时，一般性问题立即答复，如仪器发生故障，5分钟内响应，2小时内到达现场，4小时解决问题。售后服务（责任人）联系电话：</w:t>
      </w:r>
    </w:p>
    <w:p w14:paraId="7F320BFF">
      <w:pPr>
        <w:tabs>
          <w:tab w:val="left" w:pos="1680"/>
        </w:tabs>
        <w:spacing w:line="360" w:lineRule="auto"/>
        <w:ind w:firstLine="315" w:firstLineChars="150"/>
        <w:rPr>
          <w:rFonts w:ascii="宋体" w:hAnsi="宋体"/>
          <w:szCs w:val="21"/>
        </w:rPr>
      </w:pPr>
      <w:r>
        <w:rPr>
          <w:rFonts w:hint="eastAsia" w:ascii="宋体" w:hAnsi="宋体"/>
          <w:szCs w:val="21"/>
        </w:rPr>
        <w:t>3、保修期内，如果由于非人为原因出现故障，需在1个工作日内给予修复（运输时间除外），如由于零配件不足，无法在规定时间内修复的，需免费提供满足甲方要求的代用机，直至修好为止。</w:t>
      </w:r>
    </w:p>
    <w:p w14:paraId="3E032C40">
      <w:pPr>
        <w:tabs>
          <w:tab w:val="left" w:pos="1680"/>
        </w:tabs>
        <w:spacing w:line="360" w:lineRule="auto"/>
        <w:ind w:firstLine="315" w:firstLineChars="150"/>
        <w:rPr>
          <w:rFonts w:ascii="宋体" w:hAnsi="宋体"/>
          <w:szCs w:val="21"/>
        </w:rPr>
      </w:pPr>
      <w:r>
        <w:rPr>
          <w:rFonts w:hint="eastAsia" w:ascii="宋体" w:hAnsi="宋体"/>
          <w:szCs w:val="21"/>
        </w:rPr>
        <w:t>4、乙方免费提升系统软件的版本。</w:t>
      </w:r>
    </w:p>
    <w:p w14:paraId="1AC55B69">
      <w:pPr>
        <w:spacing w:line="360" w:lineRule="auto"/>
        <w:ind w:firstLine="315" w:firstLineChars="150"/>
        <w:rPr>
          <w:rFonts w:ascii="宋体" w:hAnsi="宋体"/>
          <w:szCs w:val="21"/>
        </w:rPr>
      </w:pPr>
      <w:r>
        <w:rPr>
          <w:rFonts w:hint="eastAsia" w:ascii="宋体" w:hAnsi="宋体"/>
          <w:szCs w:val="21"/>
        </w:rPr>
        <w:t>5、设备质保期为</w:t>
      </w:r>
      <w:r>
        <w:rPr>
          <w:rFonts w:hint="eastAsia" w:ascii="宋体" w:hAnsi="宋体"/>
          <w:szCs w:val="21"/>
          <w:u w:val="single"/>
        </w:rPr>
        <w:t xml:space="preserve">   </w:t>
      </w:r>
      <w:r>
        <w:rPr>
          <w:rFonts w:hint="eastAsia" w:ascii="宋体" w:hAnsi="宋体"/>
          <w:szCs w:val="21"/>
        </w:rPr>
        <w:t>年，</w:t>
      </w:r>
      <w:r>
        <w:rPr>
          <w:rFonts w:ascii="宋体" w:hAnsi="宋体"/>
          <w:szCs w:val="21"/>
        </w:rPr>
        <w:t>设备保修期</w:t>
      </w:r>
      <w:r>
        <w:rPr>
          <w:rFonts w:hint="eastAsia" w:ascii="宋体" w:hAnsi="宋体"/>
          <w:szCs w:val="21"/>
        </w:rPr>
        <w:t>内免费维修。保修期满后，乙方仍提供维修服务，以成本价收取维修费用</w:t>
      </w:r>
      <w:r>
        <w:rPr>
          <w:rFonts w:ascii="宋体" w:hAnsi="宋体"/>
          <w:szCs w:val="21"/>
        </w:rPr>
        <w:t>。</w:t>
      </w:r>
    </w:p>
    <w:p w14:paraId="20507B8D">
      <w:pPr>
        <w:spacing w:line="360" w:lineRule="auto"/>
        <w:rPr>
          <w:rFonts w:ascii="宋体" w:hAnsi="Courier New"/>
          <w:b/>
          <w:bCs/>
          <w:szCs w:val="21"/>
        </w:rPr>
      </w:pPr>
      <w:r>
        <w:rPr>
          <w:rFonts w:ascii="宋体" w:hAnsi="Courier New"/>
          <w:b/>
          <w:bCs/>
          <w:szCs w:val="21"/>
        </w:rPr>
        <w:t>第</w:t>
      </w:r>
      <w:r>
        <w:rPr>
          <w:rFonts w:hint="eastAsia" w:ascii="宋体" w:hAnsi="Courier New"/>
          <w:b/>
          <w:bCs/>
          <w:szCs w:val="21"/>
        </w:rPr>
        <w:t>十二</w:t>
      </w:r>
      <w:r>
        <w:rPr>
          <w:rFonts w:ascii="宋体" w:hAnsi="Courier New"/>
          <w:b/>
          <w:bCs/>
          <w:szCs w:val="21"/>
        </w:rPr>
        <w:t>条</w:t>
      </w:r>
      <w:r>
        <w:rPr>
          <w:rFonts w:hint="eastAsia" w:ascii="宋体" w:hAnsi="Courier New"/>
          <w:b/>
          <w:bCs/>
          <w:szCs w:val="21"/>
        </w:rPr>
        <w:t xml:space="preserve"> 合同的生效</w:t>
      </w:r>
    </w:p>
    <w:p w14:paraId="4AA090BC">
      <w:pPr>
        <w:spacing w:line="360" w:lineRule="auto"/>
        <w:ind w:firstLine="472" w:firstLineChars="225"/>
        <w:rPr>
          <w:rFonts w:ascii="宋体" w:hAnsi="宋体"/>
          <w:szCs w:val="21"/>
        </w:rPr>
      </w:pPr>
      <w:r>
        <w:rPr>
          <w:rFonts w:hint="eastAsia" w:ascii="宋体" w:hAnsi="宋体"/>
          <w:szCs w:val="21"/>
        </w:rPr>
        <w:t>1、本合同经甲方、乙方、鉴证方法定代表人或其委托人签字，加盖三方公章生效。</w:t>
      </w:r>
    </w:p>
    <w:p w14:paraId="0CDD6533">
      <w:pPr>
        <w:spacing w:line="360" w:lineRule="auto"/>
        <w:ind w:firstLine="472" w:firstLineChars="225"/>
        <w:rPr>
          <w:rFonts w:ascii="宋体" w:hAnsi="宋体"/>
          <w:szCs w:val="21"/>
        </w:rPr>
      </w:pPr>
      <w:r>
        <w:rPr>
          <w:rFonts w:hint="eastAsia" w:ascii="宋体" w:hAnsi="宋体"/>
          <w:szCs w:val="21"/>
        </w:rPr>
        <w:t>2、本合同一式陆份，甲方肆份，乙方壹份，鉴证方壹份。</w:t>
      </w:r>
    </w:p>
    <w:p w14:paraId="24801465">
      <w:pPr>
        <w:spacing w:line="360" w:lineRule="auto"/>
        <w:rPr>
          <w:rFonts w:ascii="宋体" w:hAnsi="Courier New"/>
          <w:b/>
          <w:bCs/>
          <w:szCs w:val="21"/>
        </w:rPr>
      </w:pPr>
      <w:r>
        <w:rPr>
          <w:rFonts w:ascii="宋体" w:hAnsi="Courier New"/>
          <w:b/>
          <w:bCs/>
          <w:szCs w:val="21"/>
        </w:rPr>
        <w:t>第</w:t>
      </w:r>
      <w:r>
        <w:rPr>
          <w:rFonts w:hint="eastAsia" w:ascii="宋体" w:hAnsi="Courier New"/>
          <w:b/>
          <w:bCs/>
          <w:szCs w:val="21"/>
        </w:rPr>
        <w:t>十三</w:t>
      </w:r>
      <w:r>
        <w:rPr>
          <w:rFonts w:ascii="宋体" w:hAnsi="Courier New"/>
          <w:b/>
          <w:bCs/>
          <w:szCs w:val="21"/>
        </w:rPr>
        <w:t>条</w:t>
      </w:r>
      <w:r>
        <w:rPr>
          <w:rFonts w:hint="eastAsia" w:ascii="宋体" w:hAnsi="Courier New"/>
          <w:b/>
          <w:bCs/>
          <w:szCs w:val="21"/>
        </w:rPr>
        <w:t xml:space="preserve"> 其它</w:t>
      </w:r>
    </w:p>
    <w:p w14:paraId="609B2960">
      <w:pPr>
        <w:spacing w:line="360" w:lineRule="auto"/>
        <w:ind w:firstLine="472" w:firstLineChars="225"/>
        <w:rPr>
          <w:rFonts w:ascii="宋体" w:hAnsi="宋体"/>
          <w:szCs w:val="21"/>
        </w:rPr>
      </w:pPr>
      <w:r>
        <w:rPr>
          <w:rFonts w:hint="eastAsia" w:ascii="宋体" w:hAnsi="宋体"/>
          <w:szCs w:val="21"/>
        </w:rPr>
        <w:t>1、所供商品发生质量、售后服务等问题时，乙方应按本合同规定及产品质量保证书所作承诺办理。必要时双方可签订相应的书面处理协议。</w:t>
      </w:r>
    </w:p>
    <w:p w14:paraId="3B8F3B0A">
      <w:pPr>
        <w:spacing w:line="360" w:lineRule="auto"/>
        <w:ind w:firstLine="472" w:firstLineChars="225"/>
        <w:rPr>
          <w:rFonts w:ascii="宋体" w:hAnsi="宋体"/>
        </w:rPr>
      </w:pPr>
      <w:r>
        <w:rPr>
          <w:rFonts w:hint="eastAsia" w:ascii="宋体" w:hAnsi="宋体"/>
          <w:szCs w:val="21"/>
        </w:rPr>
        <w:t>2、本合同所涉各使用</w:t>
      </w:r>
      <w:bookmarkStart w:id="410" w:name="OLE_LINK1"/>
      <w:r>
        <w:rPr>
          <w:rFonts w:hint="eastAsia" w:ascii="宋体" w:hAnsi="宋体"/>
          <w:szCs w:val="21"/>
        </w:rPr>
        <w:t>部门与甲方权利相等，其可直接要求乙方履行本合同及产品质量保证书规定的义务。</w:t>
      </w:r>
    </w:p>
    <w:p w14:paraId="00D8CF72">
      <w:pPr>
        <w:spacing w:line="360" w:lineRule="auto"/>
        <w:rPr>
          <w:rFonts w:ascii="宋体" w:hAnsi="宋体"/>
        </w:rPr>
      </w:pPr>
    </w:p>
    <w:p w14:paraId="189AEF9B">
      <w:pPr>
        <w:spacing w:line="360" w:lineRule="auto"/>
        <w:rPr>
          <w:rFonts w:ascii="宋体" w:hAnsi="宋体"/>
          <w:szCs w:val="21"/>
        </w:rPr>
      </w:pPr>
      <w:r>
        <w:rPr>
          <w:rFonts w:hint="eastAsia" w:ascii="宋体" w:hAnsi="宋体"/>
          <w:szCs w:val="21"/>
        </w:rPr>
        <w:t>甲方（章）：                             乙方（章）：</w:t>
      </w:r>
    </w:p>
    <w:p w14:paraId="0AE6C0B7">
      <w:pPr>
        <w:spacing w:line="360" w:lineRule="auto"/>
        <w:rPr>
          <w:rFonts w:ascii="宋体" w:hAnsi="宋体"/>
          <w:szCs w:val="21"/>
        </w:rPr>
      </w:pPr>
      <w:r>
        <w:rPr>
          <w:rFonts w:hint="eastAsia" w:ascii="宋体" w:hAnsi="宋体"/>
          <w:szCs w:val="21"/>
        </w:rPr>
        <w:t>浙江水利水电学院       　　　　　</w:t>
      </w:r>
    </w:p>
    <w:p w14:paraId="517BDC52">
      <w:pPr>
        <w:spacing w:line="360" w:lineRule="auto"/>
        <w:ind w:firstLine="472" w:firstLineChars="225"/>
        <w:rPr>
          <w:rFonts w:ascii="宋体" w:hAnsi="宋体"/>
          <w:szCs w:val="21"/>
        </w:rPr>
      </w:pPr>
    </w:p>
    <w:p w14:paraId="17C021F3">
      <w:pPr>
        <w:spacing w:line="360" w:lineRule="auto"/>
        <w:rPr>
          <w:rFonts w:ascii="宋体" w:hAnsi="宋体"/>
          <w:szCs w:val="21"/>
        </w:rPr>
      </w:pPr>
      <w:r>
        <w:rPr>
          <w:rFonts w:hint="eastAsia" w:ascii="宋体" w:hAnsi="宋体"/>
          <w:szCs w:val="21"/>
        </w:rPr>
        <w:t>法人（授权）代表：（签字）               法人（授权）代表：（签字）</w:t>
      </w:r>
    </w:p>
    <w:p w14:paraId="40E33581">
      <w:pPr>
        <w:spacing w:line="360" w:lineRule="auto"/>
        <w:ind w:firstLine="472" w:firstLineChars="225"/>
        <w:rPr>
          <w:rFonts w:ascii="宋体" w:hAnsi="宋体"/>
          <w:szCs w:val="21"/>
        </w:rPr>
      </w:pPr>
    </w:p>
    <w:p w14:paraId="6788619D">
      <w:pPr>
        <w:spacing w:line="360" w:lineRule="auto"/>
        <w:rPr>
          <w:rFonts w:ascii="宋体" w:hAnsi="宋体"/>
          <w:szCs w:val="21"/>
        </w:rPr>
      </w:pPr>
      <w:r>
        <w:rPr>
          <w:rFonts w:hint="eastAsia" w:ascii="宋体" w:hAnsi="宋体"/>
          <w:szCs w:val="21"/>
        </w:rPr>
        <w:t xml:space="preserve">地址：浙江省杭州市钱塘区下沙             地址：  </w:t>
      </w:r>
    </w:p>
    <w:p w14:paraId="7615B65F">
      <w:pPr>
        <w:spacing w:line="360" w:lineRule="auto"/>
        <w:rPr>
          <w:rFonts w:ascii="宋体" w:hAnsi="宋体"/>
          <w:szCs w:val="21"/>
        </w:rPr>
      </w:pPr>
      <w:r>
        <w:rPr>
          <w:rFonts w:hint="eastAsia" w:ascii="宋体" w:hAnsi="宋体"/>
          <w:szCs w:val="21"/>
        </w:rPr>
        <w:t xml:space="preserve">      高教园学林街583号</w:t>
      </w:r>
    </w:p>
    <w:p w14:paraId="3A0261C2">
      <w:pPr>
        <w:spacing w:line="360" w:lineRule="auto"/>
        <w:rPr>
          <w:rFonts w:ascii="宋体" w:hAnsi="宋体"/>
          <w:szCs w:val="21"/>
        </w:rPr>
      </w:pPr>
      <w:r>
        <w:rPr>
          <w:rFonts w:hint="eastAsia" w:ascii="宋体" w:hAnsi="宋体"/>
          <w:szCs w:val="21"/>
        </w:rPr>
        <w:t xml:space="preserve">电话：                                  电话：  </w:t>
      </w:r>
    </w:p>
    <w:p w14:paraId="086D2413">
      <w:pPr>
        <w:spacing w:line="360" w:lineRule="auto"/>
        <w:rPr>
          <w:rFonts w:ascii="宋体" w:hAnsi="宋体"/>
          <w:szCs w:val="21"/>
        </w:rPr>
      </w:pPr>
      <w:r>
        <w:rPr>
          <w:rFonts w:hint="eastAsia" w:ascii="宋体" w:hAnsi="宋体"/>
          <w:szCs w:val="21"/>
        </w:rPr>
        <w:t xml:space="preserve">开户行：建行秋涛支行 </w:t>
      </w:r>
    </w:p>
    <w:p w14:paraId="5E0DA326">
      <w:pPr>
        <w:spacing w:line="360" w:lineRule="auto"/>
        <w:rPr>
          <w:rFonts w:ascii="宋体" w:hAnsi="宋体"/>
          <w:szCs w:val="21"/>
        </w:rPr>
      </w:pPr>
      <w:r>
        <w:rPr>
          <w:rFonts w:hint="eastAsia" w:ascii="宋体" w:hAnsi="宋体"/>
          <w:szCs w:val="21"/>
        </w:rPr>
        <w:t xml:space="preserve">帐号：33001616635050005471              帐号：  </w:t>
      </w:r>
    </w:p>
    <w:p w14:paraId="4C38D620">
      <w:pPr>
        <w:spacing w:line="360" w:lineRule="auto"/>
        <w:rPr>
          <w:rFonts w:ascii="宋体" w:hAnsi="宋体"/>
          <w:szCs w:val="21"/>
        </w:rPr>
      </w:pPr>
    </w:p>
    <w:p w14:paraId="3B7B63FD">
      <w:pPr>
        <w:spacing w:line="360" w:lineRule="auto"/>
        <w:rPr>
          <w:rFonts w:ascii="宋体" w:hAnsi="宋体"/>
          <w:szCs w:val="21"/>
        </w:rPr>
      </w:pPr>
      <w:r>
        <w:rPr>
          <w:rFonts w:hint="eastAsia" w:ascii="宋体" w:hAnsi="宋体"/>
          <w:szCs w:val="21"/>
        </w:rPr>
        <w:t>鉴证方（章）：</w:t>
      </w:r>
    </w:p>
    <w:p w14:paraId="07B7BD00">
      <w:pPr>
        <w:spacing w:line="360" w:lineRule="auto"/>
        <w:rPr>
          <w:rFonts w:ascii="宋体" w:hAnsi="宋体"/>
          <w:szCs w:val="21"/>
        </w:rPr>
      </w:pPr>
    </w:p>
    <w:p w14:paraId="2EDA658B">
      <w:pPr>
        <w:spacing w:line="360" w:lineRule="auto"/>
        <w:rPr>
          <w:rFonts w:ascii="宋体" w:hAnsi="宋体"/>
          <w:szCs w:val="21"/>
        </w:rPr>
      </w:pPr>
      <w:r>
        <w:rPr>
          <w:rFonts w:hint="eastAsia" w:ascii="宋体" w:hAnsi="宋体"/>
          <w:szCs w:val="21"/>
        </w:rPr>
        <w:t>法人（授权）代表：（签字）</w:t>
      </w:r>
    </w:p>
    <w:p w14:paraId="0B765659">
      <w:pPr>
        <w:spacing w:line="360" w:lineRule="auto"/>
        <w:rPr>
          <w:rFonts w:ascii="宋体" w:hAnsi="宋体"/>
          <w:szCs w:val="21"/>
        </w:rPr>
      </w:pPr>
    </w:p>
    <w:p w14:paraId="55DB476F">
      <w:pPr>
        <w:spacing w:line="360" w:lineRule="auto"/>
        <w:rPr>
          <w:rFonts w:ascii="宋体" w:hAnsi="宋体"/>
          <w:szCs w:val="21"/>
        </w:rPr>
      </w:pPr>
      <w:r>
        <w:rPr>
          <w:rFonts w:hint="eastAsia" w:ascii="宋体" w:hAnsi="宋体"/>
          <w:szCs w:val="21"/>
        </w:rPr>
        <w:t>地</w:t>
      </w:r>
      <w:bookmarkEnd w:id="410"/>
      <w:r>
        <w:rPr>
          <w:rFonts w:hint="eastAsia" w:ascii="宋体" w:hAnsi="宋体"/>
          <w:szCs w:val="21"/>
        </w:rPr>
        <w:t>址：</w:t>
      </w:r>
    </w:p>
    <w:p w14:paraId="58504284">
      <w:pPr>
        <w:spacing w:line="360" w:lineRule="auto"/>
        <w:rPr>
          <w:rFonts w:ascii="宋体" w:hAnsi="宋体"/>
          <w:szCs w:val="21"/>
        </w:rPr>
      </w:pPr>
    </w:p>
    <w:p w14:paraId="1A14AFF3">
      <w:pPr>
        <w:spacing w:line="360" w:lineRule="auto"/>
        <w:rPr>
          <w:rFonts w:ascii="宋体" w:hAnsi="宋体"/>
          <w:szCs w:val="21"/>
        </w:rPr>
      </w:pPr>
      <w:r>
        <w:rPr>
          <w:rFonts w:hint="eastAsia" w:ascii="宋体" w:hAnsi="宋体"/>
          <w:szCs w:val="21"/>
        </w:rPr>
        <w:t xml:space="preserve">电话： </w:t>
      </w:r>
    </w:p>
    <w:p w14:paraId="26AEC9A2">
      <w:pPr>
        <w:rPr>
          <w:rFonts w:ascii="宋体" w:hAnsi="宋体"/>
          <w:szCs w:val="21"/>
        </w:rPr>
        <w:sectPr>
          <w:pgSz w:w="11906" w:h="16838"/>
          <w:pgMar w:top="1276" w:right="1418" w:bottom="1247" w:left="1418" w:header="851" w:footer="992" w:gutter="0"/>
          <w:cols w:space="720" w:num="1"/>
          <w:titlePg/>
          <w:docGrid w:linePitch="312" w:charSpace="0"/>
        </w:sectPr>
      </w:pPr>
      <w:r>
        <w:rPr>
          <w:rFonts w:hint="eastAsia" w:ascii="宋体" w:hAnsi="宋体"/>
          <w:szCs w:val="21"/>
        </w:rPr>
        <w:t>签订日期： 年   月   日</w:t>
      </w:r>
    </w:p>
    <w:p w14:paraId="7BE0CF89">
      <w:pPr>
        <w:jc w:val="center"/>
        <w:rPr>
          <w:rFonts w:ascii="黑体" w:hAnsi="黑体" w:eastAsia="黑体" w:cs="黑体"/>
          <w:b/>
          <w:bCs/>
        </w:rPr>
      </w:pPr>
      <w:r>
        <w:rPr>
          <w:rFonts w:hint="eastAsia" w:ascii="黑体" w:hAnsi="黑体" w:eastAsia="黑体" w:cs="黑体"/>
          <w:b/>
          <w:bCs/>
          <w:sz w:val="28"/>
          <w:szCs w:val="28"/>
        </w:rPr>
        <w:t>施工现场安全生产责任书</w:t>
      </w:r>
    </w:p>
    <w:p w14:paraId="7A86C097">
      <w:pPr>
        <w:rPr>
          <w:rFonts w:ascii="方正仿宋_GB2312" w:hAnsi="方正仿宋_GB2312" w:eastAsia="方正仿宋_GB2312" w:cs="方正仿宋_GB2312"/>
        </w:rPr>
      </w:pPr>
    </w:p>
    <w:p w14:paraId="1E974A95">
      <w:pPr>
        <w:spacing w:line="400" w:lineRule="exact"/>
        <w:ind w:firstLine="420" w:firstLineChars="200"/>
        <w:jc w:val="left"/>
        <w:rPr>
          <w:rFonts w:ascii="宋体" w:cs="宋体"/>
          <w:szCs w:val="21"/>
        </w:rPr>
      </w:pPr>
      <w:r>
        <w:rPr>
          <w:rFonts w:hint="eastAsia" w:ascii="宋体" w:hAnsi="宋体" w:cs="宋体"/>
          <w:szCs w:val="21"/>
        </w:rPr>
        <w:t>为了加强施工现场的安全施工管理，深入贯彻</w:t>
      </w:r>
      <w:r>
        <w:rPr>
          <w:rFonts w:ascii="宋体" w:hAnsi="宋体" w:cs="宋体"/>
          <w:szCs w:val="21"/>
        </w:rPr>
        <w:t>"</w:t>
      </w:r>
      <w:r>
        <w:rPr>
          <w:rFonts w:hint="eastAsia" w:ascii="宋体" w:hAnsi="宋体" w:cs="宋体"/>
          <w:szCs w:val="21"/>
        </w:rPr>
        <w:t>安全第一，预防为主</w:t>
      </w:r>
      <w:r>
        <w:rPr>
          <w:rFonts w:ascii="宋体" w:hAnsi="宋体" w:cs="宋体"/>
          <w:szCs w:val="21"/>
        </w:rPr>
        <w:t>"</w:t>
      </w:r>
      <w:r>
        <w:rPr>
          <w:rFonts w:hint="eastAsia" w:ascii="宋体" w:hAnsi="宋体" w:cs="宋体"/>
          <w:szCs w:val="21"/>
        </w:rPr>
        <w:t>安全生产方针，依据“谁施工、谁负责”的原则，落实安全生产责任，加强安全生产、文明施工及治安消防管理，切实有效的防止各类事故的发生，保证施工人员在校内施工过程中的人身安全和健康，确保施工顺利进行，根据《中华人民共和国安全生产法》、学校有关安全生产管理规定，结合本校实际情况，就相关项目施工订立本责任书：</w:t>
      </w:r>
    </w:p>
    <w:p w14:paraId="2D14F4FF">
      <w:pPr>
        <w:numPr>
          <w:ilvl w:val="0"/>
          <w:numId w:val="1"/>
        </w:numPr>
        <w:spacing w:line="400" w:lineRule="exact"/>
        <w:ind w:firstLine="422" w:firstLineChars="200"/>
        <w:rPr>
          <w:rFonts w:ascii="宋体" w:cs="宋体"/>
          <w:b/>
          <w:bCs/>
          <w:szCs w:val="21"/>
        </w:rPr>
      </w:pPr>
      <w:r>
        <w:rPr>
          <w:rFonts w:hint="eastAsia" w:ascii="宋体" w:hAnsi="宋体" w:cs="宋体"/>
          <w:b/>
          <w:bCs/>
          <w:szCs w:val="21"/>
        </w:rPr>
        <w:t>施工项目</w:t>
      </w:r>
    </w:p>
    <w:p w14:paraId="18079D53">
      <w:pPr>
        <w:spacing w:line="360" w:lineRule="auto"/>
        <w:ind w:firstLine="422" w:firstLineChars="200"/>
        <w:jc w:val="left"/>
        <w:rPr>
          <w:rFonts w:ascii="宋体" w:hAnsi="宋体" w:cs="宋体"/>
          <w:b/>
          <w:bCs/>
          <w:szCs w:val="21"/>
        </w:rPr>
      </w:pPr>
      <w:r>
        <w:rPr>
          <w:rFonts w:ascii="宋体" w:hAnsi="宋体" w:cs="宋体"/>
          <w:b/>
          <w:bCs/>
          <w:szCs w:val="21"/>
        </w:rPr>
        <w:t>1.</w:t>
      </w:r>
      <w:r>
        <w:rPr>
          <w:rFonts w:hint="eastAsia" w:ascii="宋体" w:hAnsi="宋体" w:cs="宋体"/>
          <w:b/>
          <w:bCs/>
          <w:szCs w:val="21"/>
        </w:rPr>
        <w:t>项目名称：</w:t>
      </w:r>
      <w:r>
        <w:rPr>
          <w:rFonts w:ascii="宋体" w:hAnsi="宋体" w:cs="宋体"/>
          <w:b/>
          <w:bCs/>
          <w:szCs w:val="21"/>
        </w:rPr>
        <w:t xml:space="preserve">___________________________ </w:t>
      </w:r>
    </w:p>
    <w:p w14:paraId="772B45F3">
      <w:pPr>
        <w:spacing w:line="360" w:lineRule="auto"/>
        <w:ind w:firstLine="422" w:firstLineChars="200"/>
        <w:jc w:val="left"/>
        <w:rPr>
          <w:rFonts w:ascii="宋体" w:hAnsi="宋体" w:cs="宋体"/>
          <w:b/>
          <w:bCs/>
          <w:szCs w:val="21"/>
        </w:rPr>
      </w:pPr>
      <w:r>
        <w:rPr>
          <w:rFonts w:ascii="宋体" w:hAnsi="宋体" w:cs="宋体"/>
          <w:b/>
          <w:bCs/>
          <w:szCs w:val="21"/>
        </w:rPr>
        <w:t>2.</w:t>
      </w:r>
      <w:r>
        <w:rPr>
          <w:rFonts w:hint="eastAsia" w:ascii="宋体" w:hAnsi="宋体" w:cs="宋体"/>
          <w:b/>
          <w:bCs/>
          <w:szCs w:val="21"/>
        </w:rPr>
        <w:t>项目地点</w:t>
      </w:r>
      <w:r>
        <w:rPr>
          <w:rFonts w:ascii="宋体" w:hAnsi="宋体" w:cs="宋体"/>
          <w:b/>
          <w:bCs/>
          <w:szCs w:val="21"/>
        </w:rPr>
        <w:t>: ____________________________</w:t>
      </w:r>
    </w:p>
    <w:p w14:paraId="52278272">
      <w:pPr>
        <w:spacing w:line="360" w:lineRule="auto"/>
        <w:ind w:firstLine="422" w:firstLineChars="200"/>
        <w:jc w:val="left"/>
        <w:rPr>
          <w:rFonts w:ascii="宋体" w:hAnsi="宋体" w:cs="宋体"/>
          <w:b/>
          <w:bCs/>
          <w:szCs w:val="21"/>
        </w:rPr>
      </w:pPr>
      <w:r>
        <w:rPr>
          <w:rFonts w:ascii="宋体" w:hAnsi="宋体" w:cs="宋体"/>
          <w:b/>
          <w:bCs/>
          <w:szCs w:val="21"/>
        </w:rPr>
        <w:t>3.</w:t>
      </w:r>
      <w:r>
        <w:rPr>
          <w:rFonts w:hint="eastAsia" w:ascii="宋体" w:hAnsi="宋体" w:cs="宋体"/>
          <w:b/>
          <w:bCs/>
          <w:szCs w:val="21"/>
        </w:rPr>
        <w:t>项目时间</w:t>
      </w:r>
      <w:r>
        <w:rPr>
          <w:rFonts w:ascii="宋体" w:hAnsi="宋体" w:cs="宋体"/>
          <w:b/>
          <w:bCs/>
          <w:szCs w:val="21"/>
        </w:rPr>
        <w:t>: ____________________________</w:t>
      </w:r>
    </w:p>
    <w:p w14:paraId="50C44354">
      <w:pPr>
        <w:numPr>
          <w:ilvl w:val="0"/>
          <w:numId w:val="1"/>
        </w:numPr>
        <w:spacing w:line="400" w:lineRule="exact"/>
        <w:ind w:firstLine="422" w:firstLineChars="200"/>
        <w:rPr>
          <w:rFonts w:ascii="宋体" w:cs="宋体"/>
          <w:b/>
          <w:bCs/>
          <w:szCs w:val="21"/>
        </w:rPr>
      </w:pPr>
      <w:r>
        <w:rPr>
          <w:rFonts w:hint="eastAsia" w:ascii="宋体" w:hAnsi="宋体" w:cs="宋体"/>
          <w:b/>
          <w:bCs/>
          <w:szCs w:val="21"/>
        </w:rPr>
        <w:t>施工单位责任管理目标及承诺</w:t>
      </w:r>
    </w:p>
    <w:p w14:paraId="1457C748">
      <w:pPr>
        <w:spacing w:line="40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承诺在施工期间，严格按浙江水利水电学院的要求，依照国家及省市安全法规定、《建筑施工安全检查标准》，明确安全责任，做好施工安全技术交底，服从浙江水利水电学院相关部门的日常管理和检查。</w:t>
      </w:r>
    </w:p>
    <w:p w14:paraId="0684DFDD">
      <w:pPr>
        <w:spacing w:line="40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承诺对本单位施工人员进行安全教育，有健全的安全管理制度，保证施工人员遵守相关规范，服从浙江水利水电学院现场管理人员的管理。</w:t>
      </w:r>
    </w:p>
    <w:p w14:paraId="328CD86F">
      <w:pPr>
        <w:spacing w:line="40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承诺文明施工，保证现场不出现消防安全事故和工伤事故，设立现场安全负责人。浙江水利水电学院现场监管人员若发现有重大不安全因素时，随时有权要求施工方停工整改，施工方不得继续违章操作强行施工。如因施工发生任何意外或造成人员伤亡，施工方承诺承担完全负责，与浙江水利水电学院无关。需上报当地安监部门及有关部门的安全事故，一切手续由施工方负责处理，无需浙江水利水电学院办理。</w:t>
      </w:r>
    </w:p>
    <w:p w14:paraId="6057E82C">
      <w:pPr>
        <w:spacing w:line="400" w:lineRule="exact"/>
        <w:ind w:firstLine="420" w:firstLineChars="200"/>
        <w:jc w:val="left"/>
        <w:rPr>
          <w:rFonts w:ascii="宋体" w:cs="宋体"/>
          <w:szCs w:val="21"/>
        </w:rPr>
      </w:pPr>
      <w:r>
        <w:rPr>
          <w:rFonts w:ascii="宋体" w:hAnsi="宋体" w:cs="宋体"/>
          <w:szCs w:val="21"/>
        </w:rPr>
        <w:t>4.</w:t>
      </w:r>
      <w:r>
        <w:rPr>
          <w:rFonts w:hint="eastAsia" w:ascii="宋体" w:hAnsi="宋体" w:cs="宋体"/>
          <w:szCs w:val="21"/>
        </w:rPr>
        <w:t>承诺施工期间不影响浙江水利水电学院师生正常教学、工作、生活和学校卫生、环境安全，对本单位施工人员造成的一切不良影响负责。</w:t>
      </w:r>
    </w:p>
    <w:p w14:paraId="2772D5A0">
      <w:pPr>
        <w:spacing w:line="400" w:lineRule="exact"/>
        <w:ind w:firstLine="420" w:firstLineChars="200"/>
        <w:jc w:val="left"/>
        <w:rPr>
          <w:rFonts w:ascii="宋体" w:cs="宋体"/>
          <w:szCs w:val="21"/>
        </w:rPr>
      </w:pPr>
      <w:r>
        <w:rPr>
          <w:rFonts w:ascii="宋体" w:hAnsi="宋体" w:cs="宋体"/>
          <w:szCs w:val="21"/>
        </w:rPr>
        <w:t>5.</w:t>
      </w:r>
      <w:r>
        <w:rPr>
          <w:rFonts w:hint="eastAsia" w:ascii="宋体" w:hAnsi="宋体" w:cs="宋体"/>
          <w:szCs w:val="21"/>
        </w:rPr>
        <w:t>在责任期内的施工过程中，各级部门安全文明检查中合格率达到</w:t>
      </w:r>
      <w:r>
        <w:rPr>
          <w:rFonts w:ascii="宋体" w:hAnsi="宋体" w:cs="宋体"/>
          <w:szCs w:val="21"/>
        </w:rPr>
        <w:t>100%</w:t>
      </w:r>
      <w:r>
        <w:rPr>
          <w:rFonts w:hint="eastAsia" w:ascii="宋体" w:hAnsi="宋体" w:cs="宋体"/>
          <w:szCs w:val="21"/>
        </w:rPr>
        <w:t>，杜绝不良影响。</w:t>
      </w:r>
    </w:p>
    <w:p w14:paraId="7B7A1557">
      <w:pPr>
        <w:spacing w:line="400" w:lineRule="exact"/>
        <w:ind w:firstLine="420" w:firstLineChars="200"/>
        <w:jc w:val="left"/>
        <w:rPr>
          <w:rFonts w:ascii="宋体" w:cs="宋体"/>
          <w:szCs w:val="21"/>
        </w:rPr>
      </w:pPr>
      <w:r>
        <w:rPr>
          <w:rFonts w:ascii="宋体" w:hAnsi="宋体" w:cs="宋体"/>
          <w:szCs w:val="21"/>
        </w:rPr>
        <w:t>6.</w:t>
      </w:r>
      <w:r>
        <w:rPr>
          <w:rFonts w:hint="eastAsia" w:ascii="宋体" w:hAnsi="宋体" w:cs="宋体"/>
          <w:szCs w:val="21"/>
        </w:rPr>
        <w:t>在责任期内，杜绝发生重大事故，包括火灾事故、现场交通事故等。</w:t>
      </w:r>
    </w:p>
    <w:p w14:paraId="1591AFFB">
      <w:pPr>
        <w:spacing w:line="400" w:lineRule="exact"/>
        <w:ind w:firstLine="420" w:firstLineChars="200"/>
        <w:jc w:val="left"/>
        <w:rPr>
          <w:rFonts w:ascii="宋体" w:cs="宋体"/>
          <w:szCs w:val="21"/>
        </w:rPr>
      </w:pPr>
      <w:r>
        <w:rPr>
          <w:rFonts w:ascii="宋体" w:hAnsi="宋体" w:cs="宋体"/>
          <w:szCs w:val="21"/>
        </w:rPr>
        <w:t>7.</w:t>
      </w:r>
      <w:r>
        <w:rPr>
          <w:rFonts w:hint="eastAsia" w:ascii="宋体" w:hAnsi="宋体" w:cs="宋体"/>
          <w:szCs w:val="21"/>
        </w:rPr>
        <w:t>施工过程中有责任在施工单位区域内和作业点做好文明施工，减少施工噪音，施工污染、杜绝扬尘，控制污染源并及时处理，严禁建筑垃圾随意堆放。</w:t>
      </w:r>
    </w:p>
    <w:p w14:paraId="1118EFF3">
      <w:pPr>
        <w:spacing w:line="400" w:lineRule="exact"/>
        <w:ind w:firstLine="420" w:firstLineChars="200"/>
        <w:jc w:val="left"/>
        <w:rPr>
          <w:rFonts w:ascii="宋体" w:cs="宋体"/>
          <w:szCs w:val="21"/>
        </w:rPr>
      </w:pPr>
      <w:r>
        <w:rPr>
          <w:rFonts w:ascii="宋体" w:hAnsi="宋体" w:cs="宋体"/>
          <w:szCs w:val="21"/>
        </w:rPr>
        <w:t>8.</w:t>
      </w:r>
      <w:r>
        <w:rPr>
          <w:rFonts w:hint="eastAsia" w:ascii="宋体" w:hAnsi="宋体" w:cs="宋体"/>
          <w:szCs w:val="21"/>
        </w:rPr>
        <w:t>以人为本，关心员工，努力做好各种疾病和职业病的防治工作，减少或消除各类疾病和职业病的发生。同时现场员工必须正确使用劳动保护用品，特种作业人员必须持证上岗。</w:t>
      </w:r>
    </w:p>
    <w:p w14:paraId="04BA06DC">
      <w:pPr>
        <w:spacing w:line="400" w:lineRule="exact"/>
        <w:ind w:firstLine="420" w:firstLineChars="200"/>
        <w:jc w:val="left"/>
        <w:rPr>
          <w:rFonts w:ascii="宋体" w:cs="宋体"/>
          <w:szCs w:val="21"/>
        </w:rPr>
      </w:pPr>
      <w:r>
        <w:rPr>
          <w:rFonts w:ascii="宋体" w:hAnsi="宋体" w:cs="宋体"/>
          <w:szCs w:val="21"/>
        </w:rPr>
        <w:t>9.</w:t>
      </w:r>
      <w:r>
        <w:rPr>
          <w:rFonts w:hint="eastAsia" w:ascii="宋体" w:hAnsi="宋体" w:cs="宋体"/>
          <w:szCs w:val="21"/>
        </w:rPr>
        <w:t>在责任期限内杜绝发生火灾事故，落实各级消防制度。</w:t>
      </w:r>
    </w:p>
    <w:p w14:paraId="6FA5E7A2">
      <w:pPr>
        <w:spacing w:line="400" w:lineRule="exact"/>
        <w:ind w:firstLine="420" w:firstLineChars="200"/>
        <w:jc w:val="left"/>
        <w:rPr>
          <w:rFonts w:ascii="宋体" w:cs="宋体"/>
          <w:szCs w:val="21"/>
        </w:rPr>
      </w:pPr>
      <w:r>
        <w:rPr>
          <w:rFonts w:ascii="宋体" w:hAnsi="宋体" w:cs="宋体"/>
          <w:szCs w:val="21"/>
        </w:rPr>
        <w:t>10.</w:t>
      </w:r>
      <w:r>
        <w:rPr>
          <w:rFonts w:hint="eastAsia" w:ascii="宋体" w:hAnsi="宋体" w:cs="宋体"/>
          <w:szCs w:val="21"/>
        </w:rPr>
        <w:t>注意和加强内部治安宣传教育管理，杜绝重大治安事件和刑事案件的发生。</w:t>
      </w:r>
    </w:p>
    <w:p w14:paraId="4AB41727">
      <w:pPr>
        <w:spacing w:line="400" w:lineRule="exact"/>
        <w:ind w:firstLine="420" w:firstLineChars="200"/>
        <w:jc w:val="left"/>
        <w:rPr>
          <w:rFonts w:ascii="宋体" w:cs="宋体"/>
          <w:szCs w:val="21"/>
        </w:rPr>
      </w:pPr>
      <w:r>
        <w:rPr>
          <w:rFonts w:ascii="宋体" w:hAnsi="宋体" w:cs="宋体"/>
          <w:szCs w:val="21"/>
        </w:rPr>
        <w:t>11.</w:t>
      </w:r>
      <w:r>
        <w:rPr>
          <w:rFonts w:hint="eastAsia" w:ascii="宋体" w:hAnsi="宋体" w:cs="宋体"/>
          <w:szCs w:val="21"/>
        </w:rPr>
        <w:t>如涉及高空作业，施工单位则需另外签订《高空作业安全施工承诺书》</w:t>
      </w:r>
    </w:p>
    <w:p w14:paraId="79E9232F">
      <w:pPr>
        <w:spacing w:line="400" w:lineRule="exact"/>
        <w:ind w:firstLine="422" w:firstLineChars="200"/>
        <w:rPr>
          <w:rFonts w:ascii="宋体" w:cs="宋体"/>
          <w:b/>
          <w:szCs w:val="21"/>
        </w:rPr>
      </w:pPr>
      <w:r>
        <w:rPr>
          <w:rFonts w:hint="eastAsia" w:ascii="宋体" w:hAnsi="宋体" w:cs="宋体"/>
          <w:b/>
          <w:szCs w:val="21"/>
        </w:rPr>
        <w:t>二、施工单位安全责任</w:t>
      </w:r>
    </w:p>
    <w:p w14:paraId="7FF7B11D">
      <w:pPr>
        <w:spacing w:line="400" w:lineRule="exact"/>
        <w:ind w:firstLine="420" w:firstLineChars="200"/>
        <w:jc w:val="left"/>
        <w:rPr>
          <w:rFonts w:ascii="宋体" w:cs="宋体"/>
          <w:szCs w:val="21"/>
        </w:rPr>
      </w:pPr>
      <w:r>
        <w:rPr>
          <w:rFonts w:hint="eastAsia" w:ascii="宋体" w:hAnsi="宋体" w:cs="宋体"/>
          <w:szCs w:val="21"/>
        </w:rPr>
        <w:t>为了完成上述管理目标，施工单位必须采取有力措施，行使下列职责：</w:t>
      </w:r>
    </w:p>
    <w:p w14:paraId="5C52AD3B">
      <w:pPr>
        <w:spacing w:line="40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施工时是安全生产的直接责任人，必须严格执行甲方的有关安全生产的规定、制度；</w:t>
      </w:r>
      <w:r>
        <w:rPr>
          <w:rFonts w:ascii="宋体" w:cs="宋体"/>
          <w:szCs w:val="21"/>
        </w:rPr>
        <w:t> </w:t>
      </w:r>
    </w:p>
    <w:p w14:paraId="6ACC8879">
      <w:pPr>
        <w:spacing w:line="40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进场施工前向我校相关管理部门提供相应资质证明材料，并负责为所有施工方安装施工人员办理医疗及工伤社会保险，并根据需要为从事高度危险工作的人员购买适当的人身意外伤害保险，在施工过程中如发生人身伤亡事故，由施工方承担全部责任；</w:t>
      </w:r>
    </w:p>
    <w:p w14:paraId="439C7435">
      <w:pPr>
        <w:spacing w:line="40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应对现场安装施工的行为完全负责，施工方安装施工人员不得违章作业，冒险作业，不能疲劳作业，并按规定做好保护工作；</w:t>
      </w:r>
      <w:r>
        <w:rPr>
          <w:rFonts w:ascii="宋体" w:cs="宋体"/>
          <w:szCs w:val="21"/>
        </w:rPr>
        <w:t> </w:t>
      </w:r>
    </w:p>
    <w:p w14:paraId="6422DE9B">
      <w:pPr>
        <w:spacing w:line="400" w:lineRule="exact"/>
        <w:ind w:firstLine="420" w:firstLineChars="200"/>
        <w:jc w:val="left"/>
        <w:rPr>
          <w:rFonts w:ascii="宋体" w:cs="宋体"/>
          <w:szCs w:val="21"/>
        </w:rPr>
      </w:pPr>
      <w:r>
        <w:rPr>
          <w:rFonts w:ascii="宋体" w:hAnsi="宋体" w:cs="宋体"/>
          <w:szCs w:val="21"/>
        </w:rPr>
        <w:t>4.</w:t>
      </w:r>
      <w:r>
        <w:rPr>
          <w:rFonts w:hint="eastAsia" w:ascii="宋体" w:hAnsi="宋体" w:cs="宋体"/>
          <w:szCs w:val="21"/>
        </w:rPr>
        <w:t>在施工现场人员必须有配备齐全的安全防护用品，不能满足安全施工需要时，人员不得进入施工现场；</w:t>
      </w:r>
    </w:p>
    <w:p w14:paraId="28C2D9D8">
      <w:pPr>
        <w:spacing w:line="400" w:lineRule="exact"/>
        <w:ind w:firstLine="420" w:firstLineChars="200"/>
        <w:jc w:val="left"/>
        <w:rPr>
          <w:rFonts w:ascii="宋体" w:cs="宋体"/>
          <w:szCs w:val="21"/>
        </w:rPr>
      </w:pPr>
      <w:r>
        <w:rPr>
          <w:rFonts w:ascii="宋体" w:hAnsi="宋体" w:cs="宋体"/>
          <w:szCs w:val="21"/>
        </w:rPr>
        <w:t>5.</w:t>
      </w:r>
      <w:r>
        <w:rPr>
          <w:rFonts w:hint="eastAsia" w:ascii="宋体" w:hAnsi="宋体" w:cs="宋体"/>
          <w:szCs w:val="21"/>
        </w:rPr>
        <w:t>高空悬空作业必须系好安全带；</w:t>
      </w:r>
      <w:r>
        <w:rPr>
          <w:rFonts w:ascii="宋体" w:cs="宋体"/>
          <w:szCs w:val="21"/>
        </w:rPr>
        <w:t> </w:t>
      </w:r>
    </w:p>
    <w:p w14:paraId="562BFEC5">
      <w:pPr>
        <w:spacing w:line="400" w:lineRule="exact"/>
        <w:ind w:firstLine="420" w:firstLineChars="200"/>
        <w:jc w:val="left"/>
        <w:rPr>
          <w:rFonts w:ascii="宋体" w:cs="宋体"/>
          <w:szCs w:val="21"/>
        </w:rPr>
      </w:pPr>
      <w:r>
        <w:rPr>
          <w:rFonts w:ascii="宋体" w:hAnsi="宋体" w:cs="宋体"/>
          <w:szCs w:val="21"/>
        </w:rPr>
        <w:t>6.</w:t>
      </w:r>
      <w:r>
        <w:rPr>
          <w:rFonts w:hint="eastAsia" w:ascii="宋体" w:hAnsi="宋体" w:cs="宋体"/>
          <w:szCs w:val="21"/>
        </w:rPr>
        <w:t>施工前不得喝酒，在禁止吸烟的区域不得吸烟；</w:t>
      </w:r>
      <w:r>
        <w:rPr>
          <w:rFonts w:ascii="宋体" w:cs="宋体"/>
          <w:szCs w:val="21"/>
        </w:rPr>
        <w:t> </w:t>
      </w:r>
    </w:p>
    <w:p w14:paraId="70D9BA75">
      <w:pPr>
        <w:spacing w:line="400" w:lineRule="exact"/>
        <w:ind w:firstLine="420" w:firstLineChars="200"/>
        <w:jc w:val="left"/>
        <w:rPr>
          <w:rFonts w:ascii="宋体" w:cs="宋体"/>
          <w:szCs w:val="21"/>
        </w:rPr>
      </w:pPr>
      <w:r>
        <w:rPr>
          <w:rFonts w:ascii="宋体" w:hAnsi="宋体" w:cs="宋体"/>
          <w:szCs w:val="21"/>
        </w:rPr>
        <w:t>7.</w:t>
      </w:r>
      <w:r>
        <w:rPr>
          <w:rFonts w:hint="eastAsia" w:ascii="宋体" w:hAnsi="宋体" w:cs="宋体"/>
          <w:szCs w:val="21"/>
        </w:rPr>
        <w:t>现场内不得赤脚，不得穿拖鞋、高跟鞋，高空作业不得穿皮鞋和带钉易滑鞋；</w:t>
      </w:r>
      <w:r>
        <w:rPr>
          <w:rFonts w:ascii="宋体" w:cs="宋体"/>
          <w:szCs w:val="21"/>
        </w:rPr>
        <w:t> </w:t>
      </w:r>
    </w:p>
    <w:p w14:paraId="6BD3141C">
      <w:pPr>
        <w:spacing w:line="400" w:lineRule="exact"/>
        <w:ind w:firstLine="420" w:firstLineChars="200"/>
        <w:jc w:val="left"/>
        <w:rPr>
          <w:rFonts w:ascii="宋体" w:cs="宋体"/>
          <w:szCs w:val="21"/>
        </w:rPr>
      </w:pPr>
      <w:r>
        <w:rPr>
          <w:rFonts w:ascii="宋体" w:hAnsi="宋体" w:cs="宋体"/>
          <w:szCs w:val="21"/>
        </w:rPr>
        <w:t>8.</w:t>
      </w:r>
      <w:r>
        <w:rPr>
          <w:rFonts w:hint="eastAsia" w:ascii="宋体" w:hAnsi="宋体" w:cs="宋体"/>
          <w:szCs w:val="21"/>
        </w:rPr>
        <w:t>施工现场应设安全防护设施，采用护栏、挡板及警示禁行标志；如工程过程中存在洞、坑、沟等危险部位，除采用防护设施外，还应采用木板、毛竹片或钢板等对危险部位进行有效覆盖，防止跌落；未经甲方管理人员批准，不得随便拆除已架设的安全防护设施及安全装置和安全标牌；</w:t>
      </w:r>
    </w:p>
    <w:p w14:paraId="1BB76EE2">
      <w:pPr>
        <w:spacing w:line="400" w:lineRule="exact"/>
        <w:ind w:firstLine="420" w:firstLineChars="200"/>
        <w:jc w:val="left"/>
        <w:rPr>
          <w:rFonts w:ascii="宋体" w:cs="宋体"/>
          <w:szCs w:val="21"/>
        </w:rPr>
      </w:pPr>
      <w:r>
        <w:rPr>
          <w:rFonts w:ascii="宋体" w:hAnsi="宋体" w:cs="宋体"/>
          <w:szCs w:val="21"/>
        </w:rPr>
        <w:t>9.</w:t>
      </w:r>
      <w:r>
        <w:rPr>
          <w:rFonts w:hint="eastAsia" w:ascii="宋体" w:hAnsi="宋体" w:cs="宋体"/>
          <w:szCs w:val="21"/>
        </w:rPr>
        <w:t>不得私自乱接乱拉电线，保护工地上临时用电电缆及配电箱的完好，不得用材料、工具等压砸电缆电线，确保用电安全；</w:t>
      </w:r>
    </w:p>
    <w:p w14:paraId="67259F8D">
      <w:pPr>
        <w:spacing w:line="400" w:lineRule="exact"/>
        <w:ind w:firstLine="420" w:firstLineChars="200"/>
        <w:jc w:val="left"/>
        <w:rPr>
          <w:rFonts w:ascii="宋体" w:cs="宋体"/>
          <w:szCs w:val="21"/>
        </w:rPr>
      </w:pPr>
      <w:r>
        <w:rPr>
          <w:rFonts w:ascii="宋体" w:hAnsi="宋体" w:cs="宋体"/>
          <w:szCs w:val="21"/>
        </w:rPr>
        <w:t>10.</w:t>
      </w:r>
      <w:r>
        <w:rPr>
          <w:rFonts w:hint="eastAsia" w:ascii="宋体" w:hAnsi="宋体" w:cs="宋体"/>
          <w:szCs w:val="21"/>
        </w:rPr>
        <w:t>不得在施工现场烧火，不得违反用电、明火作业、易燃易爆物品等安全管理制度</w:t>
      </w:r>
      <w:r>
        <w:rPr>
          <w:rFonts w:ascii="宋体" w:cs="宋体"/>
          <w:szCs w:val="21"/>
        </w:rPr>
        <w:t> </w:t>
      </w:r>
    </w:p>
    <w:p w14:paraId="2966E10E">
      <w:pPr>
        <w:spacing w:line="400" w:lineRule="exact"/>
        <w:ind w:firstLine="420" w:firstLineChars="200"/>
        <w:jc w:val="left"/>
        <w:rPr>
          <w:rFonts w:ascii="宋体" w:cs="宋体"/>
          <w:szCs w:val="21"/>
        </w:rPr>
      </w:pPr>
      <w:r>
        <w:rPr>
          <w:rFonts w:ascii="宋体" w:hAnsi="宋体" w:cs="宋体"/>
          <w:szCs w:val="21"/>
        </w:rPr>
        <w:t>11.</w:t>
      </w:r>
      <w:r>
        <w:rPr>
          <w:rFonts w:hint="eastAsia" w:ascii="宋体" w:hAnsi="宋体" w:cs="宋体"/>
          <w:szCs w:val="21"/>
        </w:rPr>
        <w:t>不得从高处向下抛扔任何物资、材料，堆放时不得超过支撑限重的</w:t>
      </w:r>
      <w:r>
        <w:rPr>
          <w:rFonts w:ascii="宋体" w:hAnsi="宋体" w:cs="宋体"/>
          <w:szCs w:val="21"/>
        </w:rPr>
        <w:t>70%</w:t>
      </w:r>
      <w:r>
        <w:rPr>
          <w:rFonts w:hint="eastAsia" w:ascii="宋体" w:hAnsi="宋体" w:cs="宋体"/>
          <w:szCs w:val="21"/>
        </w:rPr>
        <w:t>；</w:t>
      </w:r>
    </w:p>
    <w:p w14:paraId="6AD4A116">
      <w:pPr>
        <w:spacing w:line="400" w:lineRule="exact"/>
        <w:ind w:firstLine="420" w:firstLineChars="200"/>
        <w:jc w:val="left"/>
        <w:rPr>
          <w:rFonts w:ascii="宋体" w:cs="宋体"/>
          <w:szCs w:val="21"/>
        </w:rPr>
      </w:pPr>
      <w:r>
        <w:rPr>
          <w:rFonts w:ascii="宋体" w:hAnsi="宋体" w:cs="宋体"/>
          <w:szCs w:val="21"/>
        </w:rPr>
        <w:t>12.</w:t>
      </w:r>
      <w:r>
        <w:rPr>
          <w:rFonts w:hint="eastAsia" w:ascii="宋体" w:hAnsi="宋体" w:cs="宋体"/>
          <w:szCs w:val="21"/>
        </w:rPr>
        <w:t>不得在高处临边一米范围内堆放活动材料；</w:t>
      </w:r>
    </w:p>
    <w:p w14:paraId="7A34C25F">
      <w:pPr>
        <w:spacing w:line="400" w:lineRule="exact"/>
        <w:ind w:firstLine="420" w:firstLineChars="200"/>
        <w:jc w:val="left"/>
        <w:rPr>
          <w:rFonts w:ascii="宋体" w:cs="宋体"/>
          <w:szCs w:val="21"/>
        </w:rPr>
      </w:pPr>
      <w:r>
        <w:rPr>
          <w:rFonts w:ascii="宋体" w:hAnsi="宋体" w:cs="宋体"/>
          <w:szCs w:val="21"/>
        </w:rPr>
        <w:t>13.</w:t>
      </w:r>
      <w:r>
        <w:rPr>
          <w:rFonts w:hint="eastAsia" w:ascii="宋体" w:hAnsi="宋体" w:cs="宋体"/>
          <w:szCs w:val="21"/>
        </w:rPr>
        <w:t>不得在操作面上及高处临边竖立放置工具和线材；</w:t>
      </w:r>
    </w:p>
    <w:p w14:paraId="5511C09B">
      <w:pPr>
        <w:spacing w:line="400" w:lineRule="exact"/>
        <w:ind w:firstLine="420" w:firstLineChars="200"/>
        <w:jc w:val="left"/>
        <w:rPr>
          <w:rFonts w:ascii="宋体" w:cs="宋体"/>
          <w:szCs w:val="21"/>
        </w:rPr>
      </w:pPr>
      <w:r>
        <w:rPr>
          <w:rFonts w:ascii="宋体" w:hAnsi="宋体" w:cs="宋体"/>
          <w:szCs w:val="21"/>
        </w:rPr>
        <w:t>14.</w:t>
      </w:r>
      <w:r>
        <w:rPr>
          <w:rFonts w:hint="eastAsia" w:ascii="宋体" w:hAnsi="宋体" w:cs="宋体"/>
          <w:szCs w:val="21"/>
        </w:rPr>
        <w:t>使用电动工具，必须按操作规程和说明书要求正确佩戴防护用品；</w:t>
      </w:r>
    </w:p>
    <w:p w14:paraId="2516CB28">
      <w:pPr>
        <w:spacing w:line="400" w:lineRule="exact"/>
        <w:ind w:firstLine="420" w:firstLineChars="200"/>
        <w:jc w:val="left"/>
        <w:rPr>
          <w:rFonts w:ascii="宋体" w:cs="宋体"/>
          <w:szCs w:val="21"/>
        </w:rPr>
      </w:pPr>
      <w:r>
        <w:rPr>
          <w:rFonts w:ascii="宋体" w:hAnsi="宋体" w:cs="宋体"/>
          <w:szCs w:val="21"/>
        </w:rPr>
        <w:t>15.</w:t>
      </w:r>
      <w:r>
        <w:rPr>
          <w:rFonts w:hint="eastAsia" w:ascii="宋体" w:hAnsi="宋体" w:cs="宋体"/>
          <w:szCs w:val="21"/>
        </w:rPr>
        <w:t>施工过程中必须严格遵守安全操作规程；</w:t>
      </w:r>
    </w:p>
    <w:p w14:paraId="767C96FE">
      <w:pPr>
        <w:spacing w:line="400" w:lineRule="exact"/>
        <w:ind w:firstLine="420" w:firstLineChars="200"/>
        <w:jc w:val="left"/>
        <w:rPr>
          <w:rFonts w:ascii="宋体" w:cs="宋体"/>
          <w:szCs w:val="21"/>
        </w:rPr>
      </w:pPr>
      <w:r>
        <w:rPr>
          <w:rFonts w:ascii="宋体" w:hAnsi="宋体" w:cs="宋体"/>
          <w:szCs w:val="21"/>
        </w:rPr>
        <w:t>16.</w:t>
      </w:r>
      <w:r>
        <w:rPr>
          <w:rFonts w:hint="eastAsia" w:ascii="宋体" w:hAnsi="宋体" w:cs="宋体"/>
          <w:szCs w:val="21"/>
        </w:rPr>
        <w:t>不应疲劳作业，不得在操作面上及楼层上睡觉；</w:t>
      </w:r>
    </w:p>
    <w:p w14:paraId="24B989D5">
      <w:pPr>
        <w:spacing w:line="400" w:lineRule="exact"/>
        <w:ind w:firstLine="420" w:firstLineChars="200"/>
        <w:jc w:val="left"/>
        <w:rPr>
          <w:rFonts w:ascii="宋体" w:cs="宋体"/>
          <w:szCs w:val="21"/>
        </w:rPr>
      </w:pPr>
      <w:r>
        <w:rPr>
          <w:rFonts w:ascii="宋体" w:hAnsi="宋体" w:cs="宋体"/>
          <w:szCs w:val="21"/>
        </w:rPr>
        <w:t>17.</w:t>
      </w:r>
      <w:r>
        <w:rPr>
          <w:rFonts w:hint="eastAsia" w:ascii="宋体" w:hAnsi="宋体" w:cs="宋体"/>
          <w:szCs w:val="21"/>
        </w:rPr>
        <w:t>不得在道路广场等公共场合搅拌水泥、混凝土、制作各类预制件，如场地狭小，确需在公共场合施工，必须及时清理，恢复地面原貌。</w:t>
      </w:r>
    </w:p>
    <w:p w14:paraId="7CE97815">
      <w:pPr>
        <w:spacing w:line="400" w:lineRule="exact"/>
        <w:ind w:firstLine="420" w:firstLineChars="200"/>
        <w:jc w:val="left"/>
        <w:rPr>
          <w:rFonts w:ascii="宋体" w:cs="宋体"/>
          <w:szCs w:val="21"/>
        </w:rPr>
      </w:pPr>
      <w:r>
        <w:rPr>
          <w:rFonts w:ascii="宋体" w:hAnsi="宋体" w:cs="宋体"/>
          <w:szCs w:val="21"/>
        </w:rPr>
        <w:t>18.</w:t>
      </w:r>
      <w:r>
        <w:rPr>
          <w:rFonts w:hint="eastAsia" w:ascii="宋体" w:hAnsi="宋体" w:cs="宋体"/>
          <w:szCs w:val="21"/>
        </w:rPr>
        <w:t>现场所有的材料应统一摆放整齐，且不得放置在道路、广场等公共场合，保证校园环境整洁。</w:t>
      </w:r>
    </w:p>
    <w:p w14:paraId="23B0B751">
      <w:pPr>
        <w:spacing w:line="400" w:lineRule="exact"/>
        <w:ind w:firstLine="420" w:firstLineChars="200"/>
        <w:jc w:val="left"/>
        <w:rPr>
          <w:rFonts w:ascii="宋体" w:cs="宋体"/>
          <w:szCs w:val="21"/>
        </w:rPr>
      </w:pPr>
      <w:r>
        <w:rPr>
          <w:rFonts w:ascii="宋体" w:hAnsi="宋体" w:cs="宋体"/>
          <w:szCs w:val="21"/>
        </w:rPr>
        <w:t>19.</w:t>
      </w:r>
      <w:r>
        <w:rPr>
          <w:rFonts w:hint="eastAsia" w:ascii="宋体" w:hAnsi="宋体" w:cs="宋体"/>
          <w:szCs w:val="21"/>
        </w:rPr>
        <w:t>工程施工过程中所产生的建筑垃圾应采取袋装，不得放置在道路、广场等公共场合，同时建筑垃圾应及时清理，做到人走场清，建筑垃圾最长堆放时间不得超过</w:t>
      </w:r>
      <w:r>
        <w:rPr>
          <w:rFonts w:ascii="宋体" w:hAnsi="宋体" w:cs="宋体"/>
          <w:szCs w:val="21"/>
        </w:rPr>
        <w:t>48</w:t>
      </w:r>
      <w:r>
        <w:rPr>
          <w:rFonts w:hint="eastAsia" w:ascii="宋体" w:hAnsi="宋体" w:cs="宋体"/>
          <w:szCs w:val="21"/>
        </w:rPr>
        <w:t>小时。</w:t>
      </w:r>
    </w:p>
    <w:p w14:paraId="4D75514D">
      <w:pPr>
        <w:spacing w:line="400" w:lineRule="exact"/>
        <w:ind w:firstLine="420" w:firstLineChars="200"/>
        <w:jc w:val="left"/>
        <w:rPr>
          <w:rFonts w:ascii="宋体" w:cs="宋体"/>
          <w:szCs w:val="21"/>
        </w:rPr>
      </w:pPr>
      <w:r>
        <w:rPr>
          <w:rFonts w:ascii="宋体" w:hAnsi="宋体" w:cs="宋体"/>
          <w:szCs w:val="21"/>
        </w:rPr>
        <w:t>20.</w:t>
      </w:r>
      <w:r>
        <w:rPr>
          <w:rFonts w:hint="eastAsia" w:ascii="宋体" w:hAnsi="宋体" w:cs="宋体"/>
          <w:szCs w:val="21"/>
        </w:rPr>
        <w:t>施工单位有责任保护学校财产物品，施工过程中不得拆卸校园内公共设施，如确因工程实际需要，须对其移除或拆卸，应报建设单位同意或与建设单位协商处理。工程结束后，应及时复原公共设施。对擅自损坏、拆卸、移动所造成的后果要承担主要责任。</w:t>
      </w:r>
    </w:p>
    <w:p w14:paraId="28BCDDA0">
      <w:pPr>
        <w:spacing w:line="400" w:lineRule="exact"/>
        <w:ind w:firstLine="420" w:firstLineChars="200"/>
        <w:jc w:val="left"/>
        <w:rPr>
          <w:rFonts w:ascii="宋体" w:cs="宋体"/>
          <w:szCs w:val="21"/>
        </w:rPr>
      </w:pPr>
      <w:r>
        <w:rPr>
          <w:rFonts w:ascii="宋体" w:hAnsi="宋体" w:cs="宋体"/>
          <w:szCs w:val="21"/>
        </w:rPr>
        <w:t>21.</w:t>
      </w:r>
      <w:r>
        <w:rPr>
          <w:rFonts w:hint="eastAsia" w:ascii="宋体" w:hAnsi="宋体" w:cs="宋体"/>
          <w:szCs w:val="21"/>
        </w:rPr>
        <w:t>如工程项目地点在绿化范围内，施工单位施工前三天应告知建设单位绿化相关人员，上报在施工范围内可能损害到的绿化植物数量、品种等，在施工前一天应在建设单位绿化人员指导下完成施工范围内绿化的移除工作；施工单位完成施工项目之后，在</w:t>
      </w:r>
      <w:r>
        <w:rPr>
          <w:rFonts w:ascii="宋体" w:hAnsi="宋体" w:cs="宋体"/>
          <w:szCs w:val="21"/>
        </w:rPr>
        <w:t>3</w:t>
      </w:r>
      <w:r>
        <w:rPr>
          <w:rFonts w:hint="eastAsia" w:ascii="宋体" w:hAnsi="宋体" w:cs="宋体"/>
          <w:szCs w:val="21"/>
        </w:rPr>
        <w:t>天时间内完成绿化的复原工作，相关的种植技术问题及时与建设单位绿化工作人员商榷已保证绿植的成活率，不能擅自复原，需要另行采购绿植所产生的费用由施工单位承担。</w:t>
      </w:r>
    </w:p>
    <w:p w14:paraId="708F171E">
      <w:pPr>
        <w:spacing w:line="400" w:lineRule="exact"/>
        <w:ind w:firstLine="420" w:firstLineChars="200"/>
        <w:jc w:val="left"/>
        <w:rPr>
          <w:rFonts w:ascii="宋体" w:cs="宋体"/>
          <w:szCs w:val="21"/>
        </w:rPr>
      </w:pPr>
      <w:r>
        <w:rPr>
          <w:rFonts w:ascii="宋体" w:hAnsi="宋体" w:cs="宋体"/>
          <w:szCs w:val="21"/>
        </w:rPr>
        <w:t>22.</w:t>
      </w:r>
      <w:r>
        <w:rPr>
          <w:rFonts w:hint="eastAsia" w:ascii="宋体" w:hAnsi="宋体" w:cs="宋体"/>
          <w:szCs w:val="21"/>
        </w:rPr>
        <w:t>对人身安全健康存在威胁工程（如电焊、切割、油漆工程等），必须在我校相关管理部门指定地点施工作业，不得在人员密集的办公、学习、生活区、公共场地施工；如确因工程实际需要，必须在上述场合施工，应报管理部门同意，且避开人员办公时间施工作业。</w:t>
      </w:r>
    </w:p>
    <w:p w14:paraId="3C76CB7E">
      <w:pPr>
        <w:spacing w:line="400" w:lineRule="exact"/>
        <w:ind w:firstLine="420" w:firstLineChars="200"/>
        <w:jc w:val="left"/>
        <w:rPr>
          <w:rFonts w:ascii="宋体" w:cs="宋体"/>
          <w:szCs w:val="21"/>
        </w:rPr>
      </w:pPr>
      <w:r>
        <w:rPr>
          <w:rFonts w:ascii="宋体" w:hAnsi="宋体" w:cs="宋体"/>
          <w:szCs w:val="21"/>
        </w:rPr>
        <w:t>23.</w:t>
      </w:r>
      <w:r>
        <w:rPr>
          <w:rFonts w:hint="eastAsia" w:ascii="宋体" w:hAnsi="宋体" w:cs="宋体"/>
          <w:szCs w:val="21"/>
        </w:rPr>
        <w:t>把好现场安全防护用品、设备、设施安全使用关，严禁不合格产品进入施工现场。</w:t>
      </w:r>
    </w:p>
    <w:p w14:paraId="34696256">
      <w:pPr>
        <w:spacing w:line="400" w:lineRule="exact"/>
        <w:ind w:firstLine="420" w:firstLineChars="200"/>
        <w:jc w:val="left"/>
        <w:rPr>
          <w:rFonts w:ascii="宋体" w:cs="宋体"/>
          <w:szCs w:val="21"/>
        </w:rPr>
      </w:pPr>
      <w:r>
        <w:rPr>
          <w:rFonts w:ascii="宋体" w:hAnsi="宋体" w:cs="宋体"/>
          <w:szCs w:val="21"/>
        </w:rPr>
        <w:t>24.</w:t>
      </w:r>
      <w:r>
        <w:rPr>
          <w:rFonts w:hint="eastAsia" w:ascii="宋体" w:hAnsi="宋体" w:cs="宋体"/>
          <w:szCs w:val="21"/>
        </w:rPr>
        <w:t>做好本单位施工区域和作业点的安全生产、文明施工工作，并服从建设单位统一布置安排。</w:t>
      </w:r>
    </w:p>
    <w:p w14:paraId="49EE549C">
      <w:pPr>
        <w:spacing w:line="400" w:lineRule="exact"/>
        <w:ind w:firstLine="420" w:firstLineChars="200"/>
        <w:jc w:val="left"/>
        <w:rPr>
          <w:rFonts w:ascii="宋体" w:cs="宋体"/>
          <w:szCs w:val="21"/>
        </w:rPr>
      </w:pPr>
      <w:r>
        <w:rPr>
          <w:rFonts w:ascii="宋体" w:hAnsi="宋体" w:cs="宋体"/>
          <w:szCs w:val="21"/>
        </w:rPr>
        <w:t>25.</w:t>
      </w:r>
      <w:r>
        <w:rPr>
          <w:rFonts w:hint="eastAsia" w:ascii="宋体" w:hAnsi="宋体" w:cs="宋体"/>
          <w:szCs w:val="21"/>
        </w:rPr>
        <w:t>施工方人员进入校内楼栋应服从学校相关人员（宿管员及楼宇管理员等）管理，不得随意翻阅室内任何物品，如室内发生失窃事件，应积极配合相关人员检查。</w:t>
      </w:r>
    </w:p>
    <w:p w14:paraId="5730B691">
      <w:pPr>
        <w:spacing w:line="400" w:lineRule="exact"/>
        <w:ind w:firstLine="420" w:firstLineChars="200"/>
        <w:jc w:val="left"/>
        <w:rPr>
          <w:rFonts w:ascii="宋体" w:cs="宋体"/>
          <w:szCs w:val="21"/>
        </w:rPr>
      </w:pPr>
      <w:r>
        <w:rPr>
          <w:rFonts w:ascii="宋体" w:hAnsi="宋体" w:cs="宋体"/>
          <w:szCs w:val="21"/>
        </w:rPr>
        <w:t>26.</w:t>
      </w:r>
      <w:r>
        <w:rPr>
          <w:rFonts w:hint="eastAsia" w:ascii="宋体" w:hAnsi="宋体" w:cs="宋体"/>
          <w:szCs w:val="21"/>
        </w:rPr>
        <w:t>施工方人员如需进入楼层作业，应事先提供当天现场作业人员相关证件（身份证复印件、劳动合同复印件等），报甲方备案，并及时办理所需相关证件。</w:t>
      </w:r>
    </w:p>
    <w:p w14:paraId="02D8C6F9">
      <w:pPr>
        <w:spacing w:line="400" w:lineRule="exact"/>
        <w:ind w:firstLine="420" w:firstLineChars="200"/>
        <w:jc w:val="left"/>
        <w:rPr>
          <w:rFonts w:ascii="宋体" w:cs="宋体"/>
          <w:szCs w:val="21"/>
        </w:rPr>
      </w:pPr>
      <w:r>
        <w:rPr>
          <w:rFonts w:ascii="宋体" w:hAnsi="宋体" w:cs="宋体"/>
          <w:szCs w:val="21"/>
        </w:rPr>
        <w:t>27.</w:t>
      </w:r>
      <w:r>
        <w:rPr>
          <w:rFonts w:hint="eastAsia" w:ascii="宋体" w:hAnsi="宋体" w:cs="宋体"/>
          <w:szCs w:val="21"/>
        </w:rPr>
        <w:t>施工方人员进出校内楼栋应积极配合学校相关人员检查：如包裹口袋、工具箱（盒）、器械等。</w:t>
      </w:r>
    </w:p>
    <w:p w14:paraId="51560051">
      <w:pPr>
        <w:spacing w:line="400" w:lineRule="exact"/>
        <w:ind w:firstLine="420" w:firstLineChars="200"/>
        <w:jc w:val="left"/>
        <w:rPr>
          <w:rFonts w:ascii="宋体" w:cs="宋体"/>
          <w:szCs w:val="21"/>
        </w:rPr>
      </w:pPr>
      <w:r>
        <w:rPr>
          <w:rFonts w:ascii="宋体" w:hAnsi="宋体" w:cs="宋体"/>
          <w:szCs w:val="21"/>
        </w:rPr>
        <w:t>28.</w:t>
      </w:r>
      <w:r>
        <w:rPr>
          <w:rFonts w:hint="eastAsia" w:ascii="宋体" w:hAnsi="宋体" w:cs="宋体"/>
          <w:szCs w:val="21"/>
        </w:rPr>
        <w:t>施工方人员如需进入校内楼栋施工，应提前三个工作日向建设方报备，不得擅自进入楼内施工。</w:t>
      </w:r>
    </w:p>
    <w:p w14:paraId="6B5716AA">
      <w:pPr>
        <w:spacing w:line="400" w:lineRule="exact"/>
        <w:ind w:firstLine="420" w:firstLineChars="200"/>
        <w:jc w:val="left"/>
        <w:rPr>
          <w:rFonts w:ascii="宋体" w:cs="宋体"/>
          <w:szCs w:val="21"/>
        </w:rPr>
      </w:pPr>
      <w:r>
        <w:rPr>
          <w:rFonts w:ascii="宋体" w:hAnsi="宋体" w:cs="宋体"/>
          <w:szCs w:val="21"/>
        </w:rPr>
        <w:t>29.</w:t>
      </w:r>
      <w:r>
        <w:rPr>
          <w:rFonts w:hint="eastAsia" w:ascii="宋体" w:hAnsi="宋体" w:cs="宋体"/>
          <w:szCs w:val="21"/>
        </w:rPr>
        <w:t>安全问题包括不仅限于上述情况，如有未尽详细事宜，参照国家法律法规的有关条款执行。</w:t>
      </w:r>
    </w:p>
    <w:p w14:paraId="070D768A">
      <w:pPr>
        <w:spacing w:line="400" w:lineRule="exact"/>
        <w:rPr>
          <w:rFonts w:ascii="宋体" w:cs="宋体"/>
          <w:b/>
          <w:szCs w:val="21"/>
        </w:rPr>
      </w:pPr>
      <w:r>
        <w:rPr>
          <w:rFonts w:hint="eastAsia" w:ascii="宋体" w:hAnsi="宋体" w:cs="宋体"/>
          <w:b/>
          <w:szCs w:val="21"/>
        </w:rPr>
        <w:t>三、处罚条款</w:t>
      </w:r>
    </w:p>
    <w:p w14:paraId="2A894C7F">
      <w:pPr>
        <w:spacing w:line="40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发生重伤和死亡事故，应由甲方主管部门牵头，双方参加，组成事故调查组，查清事故原因，分清事故责任，提出对事故的处理意见，并按有关规定及时向有上级报告；</w:t>
      </w:r>
      <w:r>
        <w:rPr>
          <w:rFonts w:ascii="宋体" w:cs="宋体"/>
          <w:szCs w:val="21"/>
        </w:rPr>
        <w:t> </w:t>
      </w:r>
    </w:p>
    <w:p w14:paraId="70487F19">
      <w:pPr>
        <w:spacing w:line="40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由于施工方没有尽到自身安全责任，造成重大安全事故，主要和相关责任者已触及刑律的，报检察院或劳动监督部门处理；</w:t>
      </w:r>
    </w:p>
    <w:p w14:paraId="2840CF8E">
      <w:pPr>
        <w:spacing w:line="40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施工方安装施工人员违章违纪作业造成安全事故的，施工方负全部责任，并由施工方事故责任者承担造成的经济损失和刑事责任；</w:t>
      </w:r>
      <w:r>
        <w:rPr>
          <w:rFonts w:ascii="宋体" w:cs="宋体"/>
          <w:szCs w:val="21"/>
        </w:rPr>
        <w:t> </w:t>
      </w:r>
    </w:p>
    <w:p w14:paraId="59673C99">
      <w:pPr>
        <w:spacing w:line="400" w:lineRule="exact"/>
        <w:ind w:firstLine="420" w:firstLineChars="200"/>
        <w:jc w:val="left"/>
        <w:rPr>
          <w:rFonts w:ascii="宋体" w:cs="宋体"/>
          <w:szCs w:val="21"/>
        </w:rPr>
      </w:pPr>
      <w:r>
        <w:rPr>
          <w:rFonts w:ascii="宋体" w:hAnsi="宋体" w:cs="宋体"/>
          <w:szCs w:val="21"/>
        </w:rPr>
        <w:t>4.</w:t>
      </w:r>
      <w:r>
        <w:rPr>
          <w:rFonts w:hint="eastAsia" w:ascii="宋体" w:hAnsi="宋体" w:cs="宋体"/>
          <w:szCs w:val="21"/>
        </w:rPr>
        <w:t>施工现场发生安全事故，导致重大伤亡的，相关赔偿责任全部由施工方承担。</w:t>
      </w:r>
      <w:r>
        <w:rPr>
          <w:rFonts w:ascii="宋体" w:cs="宋体"/>
          <w:szCs w:val="21"/>
        </w:rPr>
        <w:t> </w:t>
      </w:r>
    </w:p>
    <w:p w14:paraId="688C9465">
      <w:pPr>
        <w:spacing w:line="400" w:lineRule="exact"/>
        <w:ind w:firstLine="420" w:firstLineChars="200"/>
        <w:jc w:val="left"/>
        <w:rPr>
          <w:rFonts w:ascii="宋体" w:cs="宋体"/>
          <w:szCs w:val="21"/>
        </w:rPr>
      </w:pPr>
      <w:r>
        <w:rPr>
          <w:rFonts w:ascii="宋体" w:hAnsi="宋体" w:cs="宋体"/>
          <w:szCs w:val="21"/>
        </w:rPr>
        <w:t>5.</w:t>
      </w:r>
      <w:r>
        <w:rPr>
          <w:rFonts w:hint="eastAsia" w:ascii="宋体" w:hAnsi="宋体" w:cs="宋体"/>
          <w:szCs w:val="21"/>
        </w:rPr>
        <w:t>如因施工方或施工方安装施工人员过错给学校造成损失，由施工方负责向校方赔偿，校方有权直接从施工方工程款中将相关损失赔偿款进行抵扣。</w:t>
      </w:r>
    </w:p>
    <w:p w14:paraId="7425C639">
      <w:pPr>
        <w:spacing w:line="400" w:lineRule="exact"/>
        <w:ind w:firstLine="420" w:firstLineChars="200"/>
        <w:jc w:val="left"/>
        <w:rPr>
          <w:rFonts w:ascii="宋体" w:cs="宋体"/>
          <w:szCs w:val="21"/>
        </w:rPr>
      </w:pPr>
      <w:r>
        <w:rPr>
          <w:rFonts w:ascii="宋体" w:hAnsi="宋体" w:cs="宋体"/>
          <w:szCs w:val="21"/>
        </w:rPr>
        <w:t>6.</w:t>
      </w:r>
      <w:r>
        <w:rPr>
          <w:rFonts w:hint="eastAsia" w:ascii="宋体" w:hAnsi="宋体" w:cs="宋体"/>
          <w:szCs w:val="21"/>
        </w:rPr>
        <w:t>如施工方未经建设方允许，擅自进入楼内施工，需承担因此造成的经济损失和刑事责任，且建设方保留追究责任的权利。</w:t>
      </w:r>
    </w:p>
    <w:p w14:paraId="6832693F">
      <w:pPr>
        <w:spacing w:line="400" w:lineRule="exact"/>
        <w:ind w:firstLine="420" w:firstLineChars="200"/>
        <w:jc w:val="left"/>
        <w:rPr>
          <w:rFonts w:ascii="宋体" w:cs="宋体"/>
          <w:szCs w:val="21"/>
        </w:rPr>
      </w:pPr>
      <w:r>
        <w:rPr>
          <w:rFonts w:ascii="宋体" w:hAnsi="宋体" w:cs="宋体"/>
          <w:szCs w:val="21"/>
        </w:rPr>
        <w:t>7.</w:t>
      </w:r>
      <w:r>
        <w:rPr>
          <w:rFonts w:hint="eastAsia" w:ascii="宋体" w:hAnsi="宋体" w:cs="宋体"/>
          <w:szCs w:val="21"/>
        </w:rPr>
        <w:t>在施工中产生严重安全问题，将被列入黑名单，禁止进入我校进行任何施工。</w:t>
      </w:r>
    </w:p>
    <w:p w14:paraId="70FC8F7E">
      <w:pPr>
        <w:spacing w:line="400" w:lineRule="exact"/>
        <w:ind w:firstLine="422" w:firstLineChars="200"/>
        <w:rPr>
          <w:rFonts w:ascii="宋体" w:cs="宋体"/>
          <w:szCs w:val="21"/>
        </w:rPr>
      </w:pPr>
      <w:r>
        <w:rPr>
          <w:rFonts w:hint="eastAsia" w:ascii="宋体" w:hAnsi="宋体" w:cs="宋体"/>
          <w:b/>
          <w:szCs w:val="21"/>
        </w:rPr>
        <w:t>三、本承诺书是浙江水利水电学院对外来施工安全监管的有效证明文件，是合同的附件，具有法律效力。</w:t>
      </w:r>
    </w:p>
    <w:p w14:paraId="2419CD69">
      <w:pPr>
        <w:spacing w:line="400" w:lineRule="exact"/>
        <w:ind w:firstLine="422" w:firstLineChars="200"/>
        <w:rPr>
          <w:rFonts w:ascii="宋体" w:cs="宋体"/>
          <w:b/>
          <w:szCs w:val="21"/>
        </w:rPr>
      </w:pPr>
      <w:r>
        <w:rPr>
          <w:rFonts w:hint="eastAsia" w:ascii="宋体" w:hAnsi="宋体" w:cs="宋体"/>
          <w:b/>
          <w:szCs w:val="21"/>
        </w:rPr>
        <w:t>四、本协议自签订之日起生效，一式两份，双方各执一份。</w:t>
      </w:r>
    </w:p>
    <w:p w14:paraId="0CE9F9B5">
      <w:pPr>
        <w:spacing w:line="400" w:lineRule="exact"/>
        <w:rPr>
          <w:rFonts w:ascii="方正仿宋_GB2312" w:hAnsi="方正仿宋_GB2312" w:eastAsia="方正仿宋_GB2312" w:cs="方正仿宋_GB2312"/>
          <w:b/>
          <w:sz w:val="24"/>
        </w:rPr>
      </w:pPr>
    </w:p>
    <w:p w14:paraId="071D4FF3">
      <w:pPr>
        <w:ind w:firstLine="4410" w:firstLineChars="2100"/>
        <w:rPr>
          <w:rFonts w:ascii="宋体" w:cs="宋体"/>
          <w:szCs w:val="21"/>
        </w:rPr>
      </w:pPr>
      <w:r>
        <w:rPr>
          <w:rFonts w:hint="eastAsia" w:ascii="宋体" w:hAnsi="宋体" w:cs="宋体"/>
          <w:szCs w:val="21"/>
        </w:rPr>
        <w:t>施工单位（盖章）：</w:t>
      </w:r>
    </w:p>
    <w:p w14:paraId="0A90E3CA">
      <w:pPr>
        <w:rPr>
          <w:rFonts w:ascii="宋体" w:cs="宋体"/>
          <w:szCs w:val="21"/>
        </w:rPr>
      </w:pPr>
    </w:p>
    <w:p w14:paraId="737F6CEF">
      <w:pPr>
        <w:spacing w:line="440" w:lineRule="exact"/>
        <w:jc w:val="right"/>
        <w:rPr>
          <w:rFonts w:ascii="宋体" w:hAnsi="Courier New" w:cs="Arial"/>
          <w:szCs w:val="21"/>
        </w:rPr>
      </w:pPr>
      <w:r>
        <w:rPr>
          <w:rFonts w:hint="eastAsia" w:ascii="宋体" w:hAnsi="宋体" w:cs="宋体"/>
          <w:szCs w:val="21"/>
        </w:rPr>
        <w:t>负责人（签字或盖章）：</w:t>
      </w:r>
      <w:r>
        <w:rPr>
          <w:rFonts w:ascii="宋体" w:hAnsi="宋体" w:cs="宋体"/>
          <w:szCs w:val="21"/>
        </w:rPr>
        <w:t>________</w:t>
      </w:r>
    </w:p>
    <w:p w14:paraId="321E6E37">
      <w:pPr>
        <w:widowControl/>
        <w:adjustRightInd/>
        <w:jc w:val="left"/>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br w:type="page"/>
      </w:r>
    </w:p>
    <w:p w14:paraId="71975D1E">
      <w:pPr>
        <w:rPr>
          <w:rFonts w:ascii="宋体" w:hAnsi="宋体" w:cs="宋体"/>
          <w:b/>
          <w:color w:val="000000" w:themeColor="text1"/>
          <w:sz w:val="24"/>
          <w14:textFill>
            <w14:solidFill>
              <w14:schemeClr w14:val="tx1"/>
            </w14:solidFill>
          </w14:textFill>
        </w:rPr>
      </w:pPr>
    </w:p>
    <w:p w14:paraId="61CF109A">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廉洁协议书</w:t>
      </w:r>
    </w:p>
    <w:p w14:paraId="5FBCD922">
      <w:pPr>
        <w:snapToGrid w:val="0"/>
        <w:ind w:firstLine="480"/>
        <w:rPr>
          <w:rFonts w:ascii="宋体" w:hAnsi="宋体" w:cs="宋体"/>
          <w:color w:val="000000" w:themeColor="text1"/>
          <w:sz w:val="24"/>
          <w14:textFill>
            <w14:solidFill>
              <w14:schemeClr w14:val="tx1"/>
            </w14:solidFill>
          </w14:textFill>
        </w:rPr>
      </w:pPr>
    </w:p>
    <w:p w14:paraId="6AE2CA7C">
      <w:pPr>
        <w:snapToGrid w:val="0"/>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甲方：浙江水利水电学院</w:t>
      </w:r>
    </w:p>
    <w:p w14:paraId="197EEEC9">
      <w:pPr>
        <w:snapToGrid w:val="0"/>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乙方：</w:t>
      </w:r>
    </w:p>
    <w:p w14:paraId="359B52B0">
      <w:pPr>
        <w:snapToGrid w:val="0"/>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p w14:paraId="22BFF039">
      <w:pPr>
        <w:snapToGrid w:val="0"/>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为了保持廉政自律的工作作风，防止各种不正当行为的发生，根据国家和省市有关廉政建设的各项规定，结合项目的特点，订立本协议如下：</w:t>
      </w:r>
    </w:p>
    <w:p w14:paraId="386F7CB8">
      <w:pPr>
        <w:snapToGrid w:val="0"/>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一、甲乙双方应当自觉遵守关于廉政建设的各项规定。</w:t>
      </w:r>
    </w:p>
    <w:p w14:paraId="281079A9">
      <w:pPr>
        <w:snapToGrid w:val="0"/>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二、甲方及其工作人员不得以任何形式向乙方索要和收受回扣等好处费。</w:t>
      </w:r>
    </w:p>
    <w:p w14:paraId="1B180191">
      <w:pPr>
        <w:snapToGrid w:val="0"/>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三、甲方工作人员应当保持与乙方的正常业务交往，不得接受乙方的现金、有价证券和贵重物品，不得在乙方报销任何应有个人支付的费用。</w:t>
      </w:r>
    </w:p>
    <w:p w14:paraId="0300E1DC">
      <w:pPr>
        <w:snapToGrid w:val="0"/>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四、甲方工作人员不得参加可能对公正执行公务有影响的宴请和娱乐活动。</w:t>
      </w:r>
    </w:p>
    <w:p w14:paraId="53E561A7">
      <w:pPr>
        <w:snapToGrid w:val="0"/>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五、甲方工作人员不得要求接受乙方为其住房装修、婚丧嫁娶、家属和子女的工作安排以及出国等提供方便。</w:t>
      </w:r>
    </w:p>
    <w:p w14:paraId="21E02E5F">
      <w:pPr>
        <w:snapToGrid w:val="0"/>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六、甲方工作人员不得向乙方介绍家属或者亲友从事与甲方项目有关的经济活动。</w:t>
      </w:r>
    </w:p>
    <w:p w14:paraId="305FAFCE">
      <w:pPr>
        <w:snapToGrid w:val="0"/>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七、乙方应当通过正常途径开展业务工作，不得为获取某些不正当利益而向甲方工作人员赠送礼金、有价证券和贵重物品等。</w:t>
      </w:r>
    </w:p>
    <w:p w14:paraId="61E83BA3">
      <w:pPr>
        <w:snapToGrid w:val="0"/>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八、乙方不得为谋取私利擅自与甲方工作人员进行私下商谈或者达成默契。</w:t>
      </w:r>
    </w:p>
    <w:p w14:paraId="2544D932">
      <w:pPr>
        <w:snapToGrid w:val="0"/>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九、乙方不得以洽谈业务、签订经济合同为借口，邀请甲方工作人员外出旅游和进入高档娱乐性场所。</w:t>
      </w:r>
    </w:p>
    <w:p w14:paraId="5D4D2C1A">
      <w:pPr>
        <w:snapToGrid w:val="0"/>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十、乙方不得为甲方和个人购置或者提供通信工具、家电、高档办公用品等物品。</w:t>
      </w:r>
    </w:p>
    <w:p w14:paraId="74A1D296">
      <w:pPr>
        <w:snapToGrid w:val="0"/>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一、乙方如发现甲方工作人员有违反上述协议者，应向甲方领导或者甲方上级单位举报。甲方不得找任何借口对乙方进行报复。甲方对举报属实和严格遵守廉政协议的乙方，在同等条件下给予承接后续项目的优先邀请投标权。</w:t>
      </w:r>
    </w:p>
    <w:p w14:paraId="7F18A8F8">
      <w:pPr>
        <w:snapToGrid w:val="0"/>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二、甲方发现乙方有违反本协议或者采用不正当的手段行贿甲方工作人员，甲方根据具体情节和造成的后果追究乙方合同造价1%—5%的违约金，由此给甲方造成的损失均由乙方承担，乙方用不正当手段获取的非法所得由甲方单位予以追缴。</w:t>
      </w:r>
    </w:p>
    <w:p w14:paraId="70172242">
      <w:pPr>
        <w:snapToGrid w:val="0"/>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十三、严格执行中纪委下发的中纪发〔2007〕7号《中共中央纪委关于严格禁止利用职务上的便利谋取不正当利益的若干规定》。</w:t>
      </w:r>
    </w:p>
    <w:p w14:paraId="428A3B08">
      <w:pPr>
        <w:snapToGrid w:val="0"/>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十四、本廉政协议作为合同的附件，与合同具有同等法律效力，经协议双方签署后立即生效。</w:t>
      </w:r>
    </w:p>
    <w:p w14:paraId="4C0781E4">
      <w:pPr>
        <w:snapToGrid w:val="0"/>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十五、本协议一式两份，甲、乙双方各执一份。</w:t>
      </w:r>
    </w:p>
    <w:p w14:paraId="570ED574">
      <w:pPr>
        <w:snapToGrid w:val="0"/>
        <w:ind w:firstLine="480"/>
        <w:rPr>
          <w:rFonts w:ascii="宋体" w:hAnsi="宋体" w:cs="宋体"/>
          <w:color w:val="000000" w:themeColor="text1"/>
          <w:sz w:val="24"/>
          <w14:textFill>
            <w14:solidFill>
              <w14:schemeClr w14:val="tx1"/>
            </w14:solidFill>
          </w14:textFill>
        </w:rPr>
      </w:pPr>
    </w:p>
    <w:p w14:paraId="6F1FA3DF">
      <w:pPr>
        <w:snapToGrid w:val="0"/>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甲方（公章）：                           乙方（公章）：</w:t>
      </w:r>
    </w:p>
    <w:p w14:paraId="2BDE8EF6">
      <w:pPr>
        <w:snapToGrid w:val="0"/>
        <w:ind w:firstLine="480"/>
        <w:rPr>
          <w:rFonts w:ascii="宋体" w:hAnsi="宋体" w:cs="宋体"/>
          <w:color w:val="000000" w:themeColor="text1"/>
          <w:sz w:val="24"/>
          <w14:textFill>
            <w14:solidFill>
              <w14:schemeClr w14:val="tx1"/>
            </w14:solidFill>
          </w14:textFill>
        </w:rPr>
      </w:pPr>
    </w:p>
    <w:p w14:paraId="141F2B0B">
      <w:pPr>
        <w:snapToGrid w:val="0"/>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                           法定代表人：</w:t>
      </w:r>
    </w:p>
    <w:p w14:paraId="0AC2F6E7">
      <w:pPr>
        <w:snapToGrid w:val="0"/>
        <w:ind w:firstLine="480"/>
        <w:rPr>
          <w:rFonts w:ascii="宋体" w:hAnsi="宋体" w:cs="宋体"/>
          <w:color w:val="000000" w:themeColor="text1"/>
          <w:sz w:val="24"/>
          <w14:textFill>
            <w14:solidFill>
              <w14:schemeClr w14:val="tx1"/>
            </w14:solidFill>
          </w14:textFill>
        </w:rPr>
      </w:pPr>
    </w:p>
    <w:p w14:paraId="7486AE58">
      <w:pPr>
        <w:snapToGrid w:val="0"/>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或委托代理人：                         或委托代理人：</w:t>
      </w:r>
    </w:p>
    <w:p w14:paraId="6DDB492C">
      <w:pPr>
        <w:snapToGrid w:val="0"/>
        <w:ind w:firstLine="480"/>
        <w:rPr>
          <w:rFonts w:ascii="宋体" w:hAnsi="宋体" w:cs="宋体"/>
          <w:color w:val="000000" w:themeColor="text1"/>
          <w:sz w:val="24"/>
          <w14:textFill>
            <w14:solidFill>
              <w14:schemeClr w14:val="tx1"/>
            </w14:solidFill>
          </w14:textFill>
        </w:rPr>
      </w:pPr>
    </w:p>
    <w:p w14:paraId="109309B5">
      <w:pPr>
        <w:snapToGrid w:val="0"/>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年月日                            年月日</w:t>
      </w:r>
    </w:p>
    <w:p w14:paraId="73E82DCE">
      <w:pPr>
        <w:pStyle w:val="27"/>
        <w:ind w:left="840" w:hanging="420"/>
        <w:rPr>
          <w:color w:val="000000" w:themeColor="text1"/>
          <w14:textFill>
            <w14:solidFill>
              <w14:schemeClr w14:val="tx1"/>
            </w14:solidFill>
          </w14:textFill>
        </w:rPr>
        <w:sectPr>
          <w:headerReference r:id="rId7" w:type="default"/>
          <w:footerReference r:id="rId8" w:type="default"/>
          <w:pgSz w:w="11906" w:h="16838"/>
          <w:pgMar w:top="1440" w:right="1800" w:bottom="1440" w:left="1800" w:header="851" w:footer="992" w:gutter="0"/>
          <w:cols w:space="425" w:num="1"/>
          <w:docGrid w:type="lines" w:linePitch="312" w:charSpace="0"/>
        </w:sectPr>
      </w:pPr>
    </w:p>
    <w:bookmarkEnd w:id="408"/>
    <w:p w14:paraId="2D323BDC">
      <w:pPr>
        <w:spacing w:line="360" w:lineRule="auto"/>
        <w:jc w:val="center"/>
        <w:outlineLvl w:val="0"/>
        <w:rPr>
          <w:rFonts w:ascii="宋体" w:hAnsi="宋体" w:cs="宋体"/>
          <w:b/>
          <w:color w:val="000000" w:themeColor="text1"/>
          <w:sz w:val="36"/>
          <w:szCs w:val="20"/>
          <w14:textFill>
            <w14:solidFill>
              <w14:schemeClr w14:val="tx1"/>
            </w14:solidFill>
          </w14:textFill>
        </w:rPr>
      </w:pPr>
      <w:r>
        <w:rPr>
          <w:rFonts w:hint="eastAsia" w:ascii="宋体" w:hAnsi="宋体" w:cs="宋体"/>
          <w:b/>
          <w:color w:val="000000" w:themeColor="text1"/>
          <w:sz w:val="36"/>
          <w:szCs w:val="20"/>
          <w14:textFill>
            <w14:solidFill>
              <w14:schemeClr w14:val="tx1"/>
            </w14:solidFill>
          </w14:textFill>
        </w:rPr>
        <w:t>第六部分</w:t>
      </w:r>
      <w:bookmarkEnd w:id="41"/>
      <w:r>
        <w:rPr>
          <w:rFonts w:hint="eastAsia" w:ascii="宋体" w:hAnsi="宋体" w:cs="宋体"/>
          <w:b/>
          <w:color w:val="000000" w:themeColor="text1"/>
          <w:sz w:val="36"/>
          <w:szCs w:val="20"/>
          <w14:textFill>
            <w14:solidFill>
              <w14:schemeClr w14:val="tx1"/>
            </w14:solidFill>
          </w14:textFill>
        </w:rPr>
        <w:t xml:space="preserve"> </w:t>
      </w:r>
      <w:bookmarkEnd w:id="42"/>
      <w:r>
        <w:rPr>
          <w:rFonts w:hint="eastAsia" w:ascii="宋体" w:hAnsi="宋体" w:cs="宋体"/>
          <w:b/>
          <w:color w:val="000000" w:themeColor="text1"/>
          <w:sz w:val="36"/>
          <w:szCs w:val="20"/>
          <w14:textFill>
            <w14:solidFill>
              <w14:schemeClr w14:val="tx1"/>
            </w14:solidFill>
          </w14:textFill>
        </w:rPr>
        <w:t>应提交的有关格式范例</w:t>
      </w:r>
    </w:p>
    <w:p w14:paraId="7B2F42DB">
      <w:pPr>
        <w:spacing w:line="360" w:lineRule="auto"/>
        <w:jc w:val="center"/>
        <w:rPr>
          <w:rFonts w:ascii="宋体" w:hAnsi="宋体" w:cs="宋体"/>
          <w:b/>
          <w:color w:val="000000" w:themeColor="text1"/>
          <w:kern w:val="0"/>
          <w:sz w:val="36"/>
          <w:szCs w:val="36"/>
          <w14:textFill>
            <w14:solidFill>
              <w14:schemeClr w14:val="tx1"/>
            </w14:solidFill>
          </w14:textFill>
        </w:rPr>
      </w:pPr>
    </w:p>
    <w:p w14:paraId="5F24C6E4">
      <w:pPr>
        <w:spacing w:line="360" w:lineRule="auto"/>
        <w:jc w:val="center"/>
        <w:outlineLvl w:val="1"/>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资格文件部分</w:t>
      </w:r>
    </w:p>
    <w:p w14:paraId="20EEF212">
      <w:pPr>
        <w:spacing w:line="360" w:lineRule="auto"/>
        <w:jc w:val="center"/>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目录</w:t>
      </w:r>
    </w:p>
    <w:p w14:paraId="09C95CD5">
      <w:pPr>
        <w:spacing w:line="360" w:lineRule="auto"/>
        <w:jc w:val="center"/>
        <w:rPr>
          <w:rFonts w:ascii="宋体" w:hAnsi="宋体" w:cs="宋体"/>
          <w:b/>
          <w:color w:val="000000" w:themeColor="text1"/>
          <w:kern w:val="0"/>
          <w:sz w:val="36"/>
          <w:szCs w:val="36"/>
          <w14:textFill>
            <w14:solidFill>
              <w14:schemeClr w14:val="tx1"/>
            </w14:solidFill>
          </w14:textFill>
        </w:rPr>
      </w:pPr>
    </w:p>
    <w:p w14:paraId="0CFB0504">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（1）符合参加政府采购活动应当具备的一般条件的承诺函……………（页码）</w:t>
      </w:r>
    </w:p>
    <w:p w14:paraId="14FC0F52">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（2）联合协议</w:t>
      </w:r>
      <w:r>
        <w:rPr>
          <w:rFonts w:hint="eastAsia" w:ascii="宋体" w:hAnsi="宋体" w:cs="宋体"/>
          <w:color w:val="000000" w:themeColor="text1"/>
          <w:sz w:val="24"/>
          <w14:textFill>
            <w14:solidFill>
              <w14:schemeClr w14:val="tx1"/>
            </w14:solidFill>
          </w14:textFill>
        </w:rPr>
        <w:t>………………………………………………………………（页码）</w:t>
      </w:r>
    </w:p>
    <w:p w14:paraId="24E47E5A">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）落实政府采购政策需满足的资格要求………………………………（页码）</w:t>
      </w:r>
    </w:p>
    <w:p w14:paraId="6CD01A0F">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）本项目的特定资格要求………………………………………………（页码）</w:t>
      </w:r>
    </w:p>
    <w:p w14:paraId="0684A9B7">
      <w:pPr>
        <w:snapToGrid w:val="0"/>
        <w:spacing w:line="360" w:lineRule="auto"/>
        <w:ind w:firstLine="480" w:firstLineChars="200"/>
        <w:rPr>
          <w:rFonts w:ascii="宋体" w:hAnsi="宋体" w:cs="宋体"/>
          <w:color w:val="000000" w:themeColor="text1"/>
          <w:sz w:val="24"/>
          <w14:textFill>
            <w14:solidFill>
              <w14:schemeClr w14:val="tx1"/>
            </w14:solidFill>
          </w14:textFill>
        </w:rPr>
      </w:pPr>
    </w:p>
    <w:p w14:paraId="2A6F7320">
      <w:pPr>
        <w:spacing w:line="360" w:lineRule="auto"/>
        <w:ind w:firstLine="480" w:firstLineChars="200"/>
        <w:rPr>
          <w:rFonts w:ascii="宋体" w:hAnsi="宋体" w:cs="宋体"/>
          <w:color w:val="000000" w:themeColor="text1"/>
          <w:sz w:val="24"/>
          <w14:textFill>
            <w14:solidFill>
              <w14:schemeClr w14:val="tx1"/>
            </w14:solidFill>
          </w14:textFill>
        </w:rPr>
      </w:pPr>
    </w:p>
    <w:p w14:paraId="10A05B75">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br w:type="page"/>
      </w:r>
      <w:r>
        <w:rPr>
          <w:rFonts w:hint="eastAsia" w:ascii="宋体" w:hAnsi="宋体" w:cs="宋体"/>
          <w:b/>
          <w:color w:val="000000" w:themeColor="text1"/>
          <w:kern w:val="0"/>
          <w:sz w:val="32"/>
          <w:szCs w:val="32"/>
          <w14:textFill>
            <w14:solidFill>
              <w14:schemeClr w14:val="tx1"/>
            </w14:solidFill>
          </w14:textFill>
        </w:rPr>
        <w:t>一、符合参加政府采购活动应当具备的一般条件的承诺函</w:t>
      </w:r>
    </w:p>
    <w:p w14:paraId="72E16042">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浙江水利水电学院、浙江豪圣建设项目管理有限公司：</w:t>
      </w:r>
    </w:p>
    <w:p w14:paraId="4B36AC20">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我方参与钱塘校区弱电设备改造工程（三期）【招标编号：</w:t>
      </w:r>
      <w:r>
        <w:rPr>
          <w:rFonts w:hint="eastAsia" w:ascii="宋体" w:hAnsi="宋体" w:cs="宋体"/>
          <w:color w:val="000000" w:themeColor="text1"/>
          <w:sz w:val="24"/>
          <w:lang w:eastAsia="zh-CN"/>
          <w14:textFill>
            <w14:solidFill>
              <w14:schemeClr w14:val="tx1"/>
            </w14:solidFill>
          </w14:textFill>
        </w:rPr>
        <w:t>330000263030350000163-HSZB-2026-373</w:t>
      </w:r>
      <w:r>
        <w:rPr>
          <w:rFonts w:hint="eastAsia" w:ascii="宋体" w:hAnsi="宋体" w:cs="宋体"/>
          <w:color w:val="000000" w:themeColor="text1"/>
          <w:sz w:val="24"/>
          <w14:textFill>
            <w14:solidFill>
              <w14:schemeClr w14:val="tx1"/>
            </w14:solidFill>
          </w14:textFill>
        </w:rPr>
        <w:t>】政府采购活动，郑重承诺：</w:t>
      </w:r>
    </w:p>
    <w:p w14:paraId="0B76340D">
      <w:pPr>
        <w:snapToGrid w:val="0"/>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（一）具备《中华人民共和国政府采购法》第二十二条第一款规定的条件：</w:t>
      </w:r>
    </w:p>
    <w:p w14:paraId="50B783D4">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1、具有独立承担民事责任的能力；</w:t>
      </w:r>
    </w:p>
    <w:p w14:paraId="2B494332">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2、具有良好的商业信誉和健全的财务会计制度； </w:t>
      </w:r>
    </w:p>
    <w:p w14:paraId="34A38D36">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3、具有履行合同所必需的设备和专业技术能力；</w:t>
      </w:r>
    </w:p>
    <w:p w14:paraId="016D255D">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4、有依法缴纳税收和社会保障资金的良好记录；</w:t>
      </w:r>
    </w:p>
    <w:p w14:paraId="533F24F8">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5、参加政府采购活动前三年内，在经营活动中没有重大违法记录；</w:t>
      </w:r>
    </w:p>
    <w:p w14:paraId="387A232D">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6、具有法律、行政法规规定的其他条件。</w:t>
      </w:r>
    </w:p>
    <w:p w14:paraId="40A43590">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（二）未被信用中国（www.creditchina.gov.cn)、中国政府采购网（www.ccgp.gov.cn）列入失信被执行人、重大税收违法案件当事人名单、政府采购严重违法失信行为记录名单。</w:t>
      </w:r>
    </w:p>
    <w:p w14:paraId="76A7A256">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（三）不存在以下情况：</w:t>
      </w:r>
    </w:p>
    <w:p w14:paraId="180BB2F5">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1、单位负责人为同一人或者存在直接控股、管理关系的不同供应商参加同一合同项下的政府采购活动的；</w:t>
      </w:r>
    </w:p>
    <w:p w14:paraId="13DD2245">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2、为采购项目提供整体设计、规范编制或者项目管理、监理、检测等服务后再参加该采购项目的其他采购活动的。</w:t>
      </w:r>
    </w:p>
    <w:p w14:paraId="25786C90">
      <w:pPr>
        <w:snapToGrid w:val="0"/>
        <w:spacing w:line="360" w:lineRule="auto"/>
        <w:ind w:firstLine="5520" w:firstLineChars="23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投标人名称(电子签名)：</w:t>
      </w:r>
    </w:p>
    <w:p w14:paraId="17E98C55">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75B95F4F">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638A5002">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4C2C55BC">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5BE1F48C">
      <w:pPr>
        <w:rPr>
          <w:rFonts w:ascii="宋体" w:hAnsi="宋体" w:cs="宋体"/>
          <w:color w:val="000000" w:themeColor="text1"/>
          <w14:textFill>
            <w14:solidFill>
              <w14:schemeClr w14:val="tx1"/>
            </w14:solidFill>
          </w14:textFill>
        </w:rPr>
      </w:pPr>
    </w:p>
    <w:p w14:paraId="066F843E">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7F30E8C8">
      <w:pP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br w:type="page"/>
      </w:r>
    </w:p>
    <w:p w14:paraId="125F2B95">
      <w:pPr>
        <w:widowControl/>
        <w:spacing w:line="360" w:lineRule="auto"/>
        <w:ind w:firstLine="643" w:firstLineChars="20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二、联合协议（如果有）</w:t>
      </w:r>
    </w:p>
    <w:p w14:paraId="6817AE65">
      <w:pPr>
        <w:widowControl/>
        <w:spacing w:line="360" w:lineRule="auto"/>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[以联合体形式投标的，提供联合协议（附件5）；本项目不接受联合体投标或者投标人不以联合体形式投标的，则不需要提供]</w:t>
      </w:r>
    </w:p>
    <w:p w14:paraId="6F8A4C87">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27A6D034">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458E29CA">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三、落实政府采购政策需满足的资格要求</w:t>
      </w:r>
    </w:p>
    <w:p w14:paraId="79E60E7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（根据招标公告落实政府采购政策需满足的资格要求选择提供相应的材料；未要求的，无需提供）</w:t>
      </w:r>
    </w:p>
    <w:p w14:paraId="09C69EAA">
      <w:pPr>
        <w:snapToGrid w:val="0"/>
        <w:spacing w:before="50" w:after="50" w:line="360" w:lineRule="auto"/>
        <w:ind w:firstLine="472" w:firstLineChars="196"/>
        <w:jc w:val="left"/>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A</w:t>
      </w:r>
      <w:r>
        <w:rPr>
          <w:rFonts w:hint="eastAsia" w:ascii="宋体" w:hAnsi="宋体" w:cs="宋体"/>
          <w:color w:val="000000" w:themeColor="text1"/>
          <w:sz w:val="24"/>
          <w14:textFill>
            <w14:solidFill>
              <w14:schemeClr w14:val="tx1"/>
            </w14:solidFill>
          </w14:textFill>
        </w:rPr>
        <w:t>.专门面向中小企业，货物全部由符合政策要求的中小企业（或小微企业）制造的，提供相应的中小企业声明函（附件</w:t>
      </w: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 xml:space="preserve">）。 </w:t>
      </w:r>
    </w:p>
    <w:p w14:paraId="23C19DBA">
      <w:pPr>
        <w:widowControl/>
        <w:spacing w:line="360" w:lineRule="auto"/>
        <w:ind w:firstLine="480"/>
        <w:jc w:val="left"/>
        <w:rPr>
          <w:rFonts w:ascii="宋体" w:hAnsi="宋体" w:cs="宋体"/>
          <w:color w:val="000000" w:themeColor="text1"/>
          <w:sz w:val="24"/>
          <w14:textFill>
            <w14:solidFill>
              <w14:schemeClr w14:val="tx1"/>
            </w14:solidFill>
          </w14:textFill>
        </w:rPr>
      </w:pPr>
    </w:p>
    <w:p w14:paraId="55CCA45D">
      <w:pPr>
        <w:widowControl/>
        <w:spacing w:line="360" w:lineRule="auto"/>
        <w:ind w:firstLine="472" w:firstLineChars="196"/>
        <w:jc w:val="left"/>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B.</w:t>
      </w:r>
      <w:r>
        <w:rPr>
          <w:rFonts w:hint="eastAsia" w:ascii="宋体" w:hAnsi="宋体" w:cs="宋体"/>
          <w:color w:val="000000" w:themeColor="text1"/>
          <w:sz w:val="24"/>
          <w14:textFill>
            <w14:solidFill>
              <w14:schemeClr w14:val="tx1"/>
            </w14:solidFill>
          </w14:textFill>
        </w:rPr>
        <w:t>要求以联合体形式参加的，提供联合协议（附件</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）和中小企业声明函（附件</w:t>
      </w: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），联合协议中中小企业合同金额应当达到招标公告载明的比例；如果供应商本身提供所有标的均由中小企业制造的，</w:t>
      </w:r>
      <w:r>
        <w:rPr>
          <w:rFonts w:hint="eastAsia" w:ascii="宋体" w:hAnsi="宋体" w:cs="宋体"/>
          <w:color w:val="000000" w:themeColor="text1"/>
          <w:spacing w:val="8"/>
          <w:kern w:val="0"/>
          <w:sz w:val="24"/>
          <w14:textFill>
            <w14:solidFill>
              <w14:schemeClr w14:val="tx1"/>
            </w14:solidFill>
          </w14:textFill>
        </w:rPr>
        <w:t>并相应达到了前述比例要求，</w:t>
      </w:r>
      <w:r>
        <w:rPr>
          <w:rFonts w:hint="eastAsia" w:ascii="宋体" w:hAnsi="宋体" w:cs="宋体"/>
          <w:color w:val="000000" w:themeColor="text1"/>
          <w:sz w:val="24"/>
          <w14:textFill>
            <w14:solidFill>
              <w14:schemeClr w14:val="tx1"/>
            </w14:solidFill>
          </w14:textFill>
        </w:rPr>
        <w:t>视同符合了资格条件，无需再与其他中小企业组成联合体参加政府采购活动，无需提供联合协议。</w:t>
      </w:r>
    </w:p>
    <w:p w14:paraId="26CA5BAE">
      <w:pPr>
        <w:snapToGrid w:val="0"/>
        <w:spacing w:before="50" w:after="50"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14:paraId="3C2BD829">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C、</w:t>
      </w:r>
      <w:r>
        <w:rPr>
          <w:rFonts w:hint="eastAsia" w:ascii="宋体" w:hAnsi="宋体" w:cs="宋体"/>
          <w:color w:val="000000" w:themeColor="text1"/>
          <w:sz w:val="24"/>
          <w14:textFill>
            <w14:solidFill>
              <w14:schemeClr w14:val="tx1"/>
            </w14:solidFill>
          </w14:textFill>
        </w:rPr>
        <w:t>要求合同分包的，提供分包意向协议（附件6）和中小企业声明函（附件</w:t>
      </w: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），分包意向协议中中小企业合同金额应当达到招标公告载明的比例；如果供应商本身提供所有标的均由中小企业制造的，</w:t>
      </w:r>
      <w:r>
        <w:rPr>
          <w:rFonts w:hint="eastAsia" w:ascii="宋体" w:hAnsi="宋体" w:cs="宋体"/>
          <w:color w:val="000000" w:themeColor="text1"/>
          <w:spacing w:val="8"/>
          <w:kern w:val="0"/>
          <w:sz w:val="24"/>
          <w14:textFill>
            <w14:solidFill>
              <w14:schemeClr w14:val="tx1"/>
            </w14:solidFill>
          </w14:textFill>
        </w:rPr>
        <w:t>并相应达到了前述比例要求，</w:t>
      </w:r>
      <w:r>
        <w:rPr>
          <w:rFonts w:hint="eastAsia" w:ascii="宋体" w:hAnsi="宋体" w:cs="宋体"/>
          <w:color w:val="000000" w:themeColor="text1"/>
          <w:sz w:val="24"/>
          <w14:textFill>
            <w14:solidFill>
              <w14:schemeClr w14:val="tx1"/>
            </w14:solidFill>
          </w14:textFill>
        </w:rPr>
        <w:t>视同符合了资格条件，无需再向中小企业分包，无需提供分包意向协议。</w:t>
      </w:r>
    </w:p>
    <w:p w14:paraId="79106E57">
      <w:pPr>
        <w:widowControl/>
        <w:spacing w:line="360" w:lineRule="auto"/>
        <w:ind w:left="150"/>
        <w:jc w:val="center"/>
        <w:rPr>
          <w:rFonts w:ascii="宋体" w:hAnsi="宋体" w:cs="宋体"/>
          <w:b/>
          <w:color w:val="000000" w:themeColor="text1"/>
          <w:kern w:val="0"/>
          <w:sz w:val="32"/>
          <w:szCs w:val="32"/>
          <w14:textFill>
            <w14:solidFill>
              <w14:schemeClr w14:val="tx1"/>
            </w14:solidFill>
          </w14:textFill>
        </w:rPr>
      </w:pPr>
    </w:p>
    <w:p w14:paraId="0665EA75">
      <w:pPr>
        <w:widowControl/>
        <w:spacing w:line="360" w:lineRule="auto"/>
        <w:ind w:left="15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四、本项目的特定资格要求</w:t>
      </w:r>
    </w:p>
    <w:p w14:paraId="0EE03EE2">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（根据招标公告本项目的特定资格要求提供相应的材料；未要求的，无需提供）</w:t>
      </w:r>
    </w:p>
    <w:p w14:paraId="4BD9164E">
      <w:pPr>
        <w:rPr>
          <w:rFonts w:ascii="宋体" w:hAnsi="宋体" w:cs="宋体"/>
          <w:color w:val="000000" w:themeColor="text1"/>
          <w14:textFill>
            <w14:solidFill>
              <w14:schemeClr w14:val="tx1"/>
            </w14:solidFill>
          </w14:textFill>
        </w:rPr>
      </w:pPr>
    </w:p>
    <w:p w14:paraId="62397CA2">
      <w:pPr>
        <w:widowControl/>
        <w:adjustRightInd/>
        <w:jc w:val="left"/>
        <w:rPr>
          <w:rFonts w:ascii="宋体" w:hAnsi="宋体" w:cs="宋体"/>
          <w:b/>
          <w:color w:val="000000" w:themeColor="text1"/>
          <w:kern w:val="0"/>
          <w:sz w:val="32"/>
          <w:szCs w:val="32"/>
          <w14:textFill>
            <w14:solidFill>
              <w14:schemeClr w14:val="tx1"/>
            </w14:solidFill>
          </w14:textFill>
        </w:rPr>
      </w:pPr>
      <w:r>
        <w:rPr>
          <w:rFonts w:ascii="宋体" w:hAnsi="宋体" w:cs="宋体"/>
          <w:b/>
          <w:color w:val="000000" w:themeColor="text1"/>
          <w:kern w:val="0"/>
          <w:sz w:val="32"/>
          <w:szCs w:val="32"/>
          <w14:textFill>
            <w14:solidFill>
              <w14:schemeClr w14:val="tx1"/>
            </w14:solidFill>
          </w14:textFill>
        </w:rPr>
        <w:br w:type="page"/>
      </w:r>
    </w:p>
    <w:p w14:paraId="526F4BEF">
      <w:pPr>
        <w:spacing w:line="360" w:lineRule="auto"/>
        <w:ind w:right="420"/>
        <w:jc w:val="center"/>
        <w:outlineLvl w:val="1"/>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商务技术文件部分</w:t>
      </w:r>
    </w:p>
    <w:p w14:paraId="12C0FE0C">
      <w:pPr>
        <w:spacing w:line="360" w:lineRule="auto"/>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目录</w:t>
      </w:r>
    </w:p>
    <w:p w14:paraId="10DECD42">
      <w:pPr>
        <w:snapToGrid w:val="0"/>
        <w:spacing w:line="360" w:lineRule="auto"/>
        <w:ind w:left="479" w:leftChars="228"/>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（1）投标函</w:t>
      </w:r>
      <w:r>
        <w:rPr>
          <w:rFonts w:hint="eastAsia" w:ascii="宋体" w:hAnsi="宋体" w:cs="宋体"/>
          <w:color w:val="000000" w:themeColor="text1"/>
          <w14:textFill>
            <w14:solidFill>
              <w14:schemeClr w14:val="tx1"/>
            </w14:solidFill>
          </w14:textFill>
        </w:rPr>
        <w:t>…………………………………………………………………………………（页码）</w:t>
      </w:r>
      <w:r>
        <w:rPr>
          <w:rFonts w:hint="eastAsia" w:ascii="宋体" w:hAnsi="宋体" w:cs="宋体"/>
          <w:color w:val="000000" w:themeColor="text1"/>
          <w:sz w:val="24"/>
          <w14:textFill>
            <w14:solidFill>
              <w14:schemeClr w14:val="tx1"/>
            </w14:solidFill>
          </w14:textFill>
        </w:rPr>
        <w:t>（2）授权委托书或法定代表人（单位负责人、自然人本人）身份证明</w:t>
      </w:r>
      <w:r>
        <w:rPr>
          <w:rFonts w:hint="eastAsia" w:ascii="宋体" w:hAnsi="宋体" w:cs="宋体"/>
          <w:color w:val="000000" w:themeColor="text1"/>
          <w14:textFill>
            <w14:solidFill>
              <w14:schemeClr w14:val="tx1"/>
            </w14:solidFill>
          </w14:textFill>
        </w:rPr>
        <w:t>………（页码）</w:t>
      </w:r>
    </w:p>
    <w:p w14:paraId="4E75079C">
      <w:pPr>
        <w:snapToGrid w:val="0"/>
        <w:spacing w:line="360" w:lineRule="auto"/>
        <w:ind w:left="479" w:leftChars="228"/>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）分包意向协议</w:t>
      </w:r>
      <w:r>
        <w:rPr>
          <w:rFonts w:hint="eastAsia" w:ascii="宋体" w:hAnsi="宋体" w:cs="宋体"/>
          <w:color w:val="000000" w:themeColor="text1"/>
          <w14:textFill>
            <w14:solidFill>
              <w14:schemeClr w14:val="tx1"/>
            </w14:solidFill>
          </w14:textFill>
        </w:rPr>
        <w:t>…………………………………………………………………………（页码）</w:t>
      </w:r>
    </w:p>
    <w:p w14:paraId="7AB1D312">
      <w:pPr>
        <w:snapToGrid w:val="0"/>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）符合性审查资料</w:t>
      </w:r>
      <w:r>
        <w:rPr>
          <w:rFonts w:hint="eastAsia" w:ascii="宋体" w:hAnsi="宋体" w:cs="宋体"/>
          <w:color w:val="000000" w:themeColor="text1"/>
          <w14:textFill>
            <w14:solidFill>
              <w14:schemeClr w14:val="tx1"/>
            </w14:solidFill>
          </w14:textFill>
        </w:rPr>
        <w:t>………………………………………………………………………（页码）</w:t>
      </w:r>
    </w:p>
    <w:p w14:paraId="12FB4CDB">
      <w:pPr>
        <w:snapToGrid w:val="0"/>
        <w:spacing w:line="360" w:lineRule="auto"/>
        <w:ind w:left="479" w:leftChars="228"/>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）评标标准相应的商务技术资料</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……………（页码）</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）投标标的清单</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……………（页码）</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）商务技术偏离表</w:t>
      </w:r>
      <w:r>
        <w:rPr>
          <w:rFonts w:hint="eastAsia" w:ascii="宋体" w:hAnsi="宋体" w:cs="宋体"/>
          <w:color w:val="000000" w:themeColor="text1"/>
          <w14:textFill>
            <w14:solidFill>
              <w14:schemeClr w14:val="tx1"/>
            </w14:solidFill>
          </w14:textFill>
        </w:rPr>
        <w:t>………………………………………………………………………（页码）</w:t>
      </w:r>
    </w:p>
    <w:p w14:paraId="4DC03604">
      <w:pPr>
        <w:snapToGrid w:val="0"/>
        <w:spacing w:line="360" w:lineRule="auto"/>
        <w:ind w:left="479" w:leftChars="228"/>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w:t>
      </w:r>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lang w:val="zh-CN"/>
          <w14:textFill>
            <w14:solidFill>
              <w14:schemeClr w14:val="tx1"/>
            </w14:solidFill>
          </w14:textFill>
        </w:rPr>
        <w:t>）政府采购供应商廉洁自律承诺书</w:t>
      </w:r>
      <w:r>
        <w:rPr>
          <w:rFonts w:hint="eastAsia" w:ascii="宋体" w:hAnsi="宋体" w:cs="宋体"/>
          <w:color w:val="000000" w:themeColor="text1"/>
          <w14:textFill>
            <w14:solidFill>
              <w14:schemeClr w14:val="tx1"/>
            </w14:solidFill>
          </w14:textFill>
        </w:rPr>
        <w:t>…………………………………………………（页码）</w:t>
      </w:r>
    </w:p>
    <w:p w14:paraId="61E503BA">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29CCF354">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369FA18D">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2505755E">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5D745423">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52CCBD5F">
      <w:pPr>
        <w:snapToGrid w:val="0"/>
        <w:spacing w:line="360" w:lineRule="auto"/>
        <w:jc w:val="center"/>
        <w:rPr>
          <w:rFonts w:ascii="宋体" w:hAnsi="宋体" w:cs="宋体"/>
          <w:b/>
          <w:color w:val="000000" w:themeColor="text1"/>
          <w:kern w:val="0"/>
          <w:sz w:val="32"/>
          <w:szCs w:val="32"/>
          <w14:textFill>
            <w14:solidFill>
              <w14:schemeClr w14:val="tx1"/>
            </w14:solidFill>
          </w14:textFill>
        </w:rPr>
      </w:pPr>
    </w:p>
    <w:p w14:paraId="1389CC9E">
      <w:pPr>
        <w:snapToGrid w:val="0"/>
        <w:spacing w:line="360" w:lineRule="auto"/>
        <w:jc w:val="center"/>
        <w:rPr>
          <w:rFonts w:ascii="宋体" w:hAnsi="宋体" w:cs="宋体"/>
          <w:b/>
          <w:color w:val="000000" w:themeColor="text1"/>
          <w:kern w:val="0"/>
          <w:sz w:val="32"/>
          <w:szCs w:val="32"/>
          <w14:textFill>
            <w14:solidFill>
              <w14:schemeClr w14:val="tx1"/>
            </w14:solidFill>
          </w14:textFill>
        </w:rPr>
      </w:pPr>
    </w:p>
    <w:p w14:paraId="287B7A7A">
      <w:pPr>
        <w:rPr>
          <w:rFonts w:ascii="宋体" w:hAnsi="宋体" w:cs="宋体"/>
          <w:color w:val="000000" w:themeColor="text1"/>
          <w14:textFill>
            <w14:solidFill>
              <w14:schemeClr w14:val="tx1"/>
            </w14:solidFill>
          </w14:textFill>
        </w:rPr>
      </w:pPr>
    </w:p>
    <w:p w14:paraId="24167330">
      <w:pPr>
        <w:snapToGrid w:val="0"/>
        <w:spacing w:line="360" w:lineRule="auto"/>
        <w:jc w:val="center"/>
        <w:rPr>
          <w:rFonts w:ascii="宋体" w:hAnsi="宋体" w:cs="宋体"/>
          <w:b/>
          <w:color w:val="000000" w:themeColor="text1"/>
          <w:kern w:val="0"/>
          <w:sz w:val="32"/>
          <w:szCs w:val="32"/>
          <w14:textFill>
            <w14:solidFill>
              <w14:schemeClr w14:val="tx1"/>
            </w14:solidFill>
          </w14:textFill>
        </w:rPr>
      </w:pPr>
    </w:p>
    <w:p w14:paraId="0C4DBC40">
      <w:pPr>
        <w:snapToGrid w:val="0"/>
        <w:spacing w:line="360" w:lineRule="auto"/>
        <w:jc w:val="center"/>
        <w:rPr>
          <w:rFonts w:ascii="宋体" w:hAnsi="宋体" w:cs="宋体"/>
          <w:b/>
          <w:color w:val="000000" w:themeColor="text1"/>
          <w:kern w:val="0"/>
          <w:sz w:val="32"/>
          <w:szCs w:val="32"/>
          <w14:textFill>
            <w14:solidFill>
              <w14:schemeClr w14:val="tx1"/>
            </w14:solidFill>
          </w14:textFill>
        </w:rPr>
      </w:pPr>
    </w:p>
    <w:p w14:paraId="1D3BA57D">
      <w:pP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br w:type="page"/>
      </w:r>
    </w:p>
    <w:p w14:paraId="144875C5">
      <w:pPr>
        <w:snapToGrid w:val="0"/>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一、投标</w:t>
      </w:r>
      <w:r>
        <w:rPr>
          <w:rFonts w:hint="eastAsia" w:ascii="宋体" w:hAnsi="宋体" w:cs="宋体"/>
          <w:b/>
          <w:color w:val="000000" w:themeColor="text1"/>
          <w:sz w:val="32"/>
          <w:szCs w:val="32"/>
          <w14:textFill>
            <w14:solidFill>
              <w14:schemeClr w14:val="tx1"/>
            </w14:solidFill>
          </w14:textFill>
        </w:rPr>
        <w:t>函</w:t>
      </w:r>
    </w:p>
    <w:p w14:paraId="3ADAB360">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浙江水利水电学院、浙江豪圣建设项目管理有限公司：</w:t>
      </w:r>
    </w:p>
    <w:p w14:paraId="7320352D">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我方参加你方组织的钱塘校区弱电设备改造工程（三期）【招标编号：</w:t>
      </w:r>
      <w:r>
        <w:rPr>
          <w:rFonts w:hint="eastAsia" w:ascii="宋体" w:hAnsi="宋体" w:cs="宋体"/>
          <w:color w:val="000000" w:themeColor="text1"/>
          <w:sz w:val="24"/>
          <w:lang w:eastAsia="zh-CN"/>
          <w14:textFill>
            <w14:solidFill>
              <w14:schemeClr w14:val="tx1"/>
            </w14:solidFill>
          </w14:textFill>
        </w:rPr>
        <w:t>330000263030350000163-HSZB-2026-373</w:t>
      </w:r>
      <w:r>
        <w:rPr>
          <w:rFonts w:hint="eastAsia" w:ascii="宋体" w:hAnsi="宋体" w:cs="宋体"/>
          <w:color w:val="000000" w:themeColor="text1"/>
          <w:sz w:val="24"/>
          <w14:textFill>
            <w14:solidFill>
              <w14:schemeClr w14:val="tx1"/>
            </w14:solidFill>
          </w14:textFill>
        </w:rPr>
        <w:t>】招标的有关活动，并对此项目进行投标。为此：</w:t>
      </w:r>
    </w:p>
    <w:p w14:paraId="35A4EE3E">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1、我方承诺投标有效期从提交投标文件的截止之日起</w:t>
      </w:r>
      <w:r>
        <w:rPr>
          <w:rFonts w:hint="eastAsia" w:ascii="宋体" w:hAnsi="宋体" w:cs="宋体"/>
          <w:color w:val="000000" w:themeColor="text1"/>
          <w:sz w:val="24"/>
          <w:u w:val="single"/>
          <w14:textFill>
            <w14:solidFill>
              <w14:schemeClr w14:val="tx1"/>
            </w14:solidFill>
          </w14:textFill>
        </w:rPr>
        <w:t xml:space="preserve"> 90 </w:t>
      </w:r>
      <w:r>
        <w:rPr>
          <w:rFonts w:hint="eastAsia" w:ascii="宋体" w:hAnsi="宋体" w:cs="宋体"/>
          <w:color w:val="000000" w:themeColor="text1"/>
          <w:sz w:val="24"/>
          <w14:textFill>
            <w14:solidFill>
              <w14:schemeClr w14:val="tx1"/>
            </w14:solidFill>
          </w14:textFill>
        </w:rPr>
        <w:t>天（不少于90天）</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本投标文件在投标有效期满之前均具有约束力。</w:t>
      </w:r>
    </w:p>
    <w:p w14:paraId="135493C6">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2、我方的投标文件包括以下内容：</w:t>
      </w:r>
    </w:p>
    <w:p w14:paraId="2EB5BED7">
      <w:pPr>
        <w:snapToGrid w:val="0"/>
        <w:spacing w:line="360" w:lineRule="auto"/>
        <w:ind w:left="210" w:leftChars="1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2.1资格文件：</w:t>
      </w:r>
    </w:p>
    <w:p w14:paraId="0D670285">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2.1.1承诺函；</w:t>
      </w:r>
    </w:p>
    <w:p w14:paraId="43D85593">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w:t>
      </w:r>
      <w:r>
        <w:rPr>
          <w:rFonts w:hint="eastAsia" w:ascii="宋体" w:hAnsi="宋体" w:cs="宋体"/>
          <w:snapToGrid w:val="0"/>
          <w:color w:val="000000" w:themeColor="text1"/>
          <w:kern w:val="28"/>
          <w:sz w:val="24"/>
          <w:szCs w:val="20"/>
          <w14:textFill>
            <w14:solidFill>
              <w14:schemeClr w14:val="tx1"/>
            </w14:solidFill>
          </w14:textFill>
        </w:rPr>
        <w:t>联合协议（如果有)；</w:t>
      </w:r>
    </w:p>
    <w:p w14:paraId="5D57B727">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.1.3</w:t>
      </w:r>
      <w:r>
        <w:rPr>
          <w:rFonts w:hint="eastAsia" w:ascii="宋体" w:hAnsi="宋体" w:cs="宋体"/>
          <w:color w:val="000000" w:themeColor="text1"/>
          <w:sz w:val="24"/>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14:textFill>
            <w14:solidFill>
              <w14:schemeClr w14:val="tx1"/>
            </w14:solidFill>
          </w14:textFill>
        </w:rPr>
        <w:t>（如果有）</w:t>
      </w:r>
      <w:r>
        <w:rPr>
          <w:rFonts w:hint="eastAsia" w:ascii="宋体" w:hAnsi="宋体" w:cs="宋体"/>
          <w:color w:val="000000" w:themeColor="text1"/>
          <w:sz w:val="24"/>
          <w14:textFill>
            <w14:solidFill>
              <w14:schemeClr w14:val="tx1"/>
            </w14:solidFill>
          </w14:textFill>
        </w:rPr>
        <w:t>；</w:t>
      </w:r>
    </w:p>
    <w:p w14:paraId="091A2957">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本项目的特定资格要求</w:t>
      </w:r>
      <w:r>
        <w:rPr>
          <w:rFonts w:hint="eastAsia" w:ascii="宋体" w:hAnsi="宋体" w:cs="宋体"/>
          <w:snapToGrid w:val="0"/>
          <w:color w:val="000000" w:themeColor="text1"/>
          <w:kern w:val="28"/>
          <w:sz w:val="24"/>
          <w:szCs w:val="20"/>
          <w14:textFill>
            <w14:solidFill>
              <w14:schemeClr w14:val="tx1"/>
            </w14:solidFill>
          </w14:textFill>
        </w:rPr>
        <w:t>（如果有）</w:t>
      </w:r>
      <w:r>
        <w:rPr>
          <w:rFonts w:hint="eastAsia" w:ascii="宋体" w:hAnsi="宋体" w:cs="宋体"/>
          <w:color w:val="000000" w:themeColor="text1"/>
          <w:sz w:val="24"/>
          <w14:textFill>
            <w14:solidFill>
              <w14:schemeClr w14:val="tx1"/>
            </w14:solidFill>
          </w14:textFill>
        </w:rPr>
        <w:t>。</w:t>
      </w:r>
    </w:p>
    <w:p w14:paraId="4BB09DBC">
      <w:pPr>
        <w:snapToGrid w:val="0"/>
        <w:spacing w:line="360" w:lineRule="auto"/>
        <w:ind w:left="210" w:leftChars="100"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商务技术</w:t>
      </w:r>
      <w:r>
        <w:rPr>
          <w:rFonts w:hint="eastAsia" w:ascii="宋体" w:hAnsi="宋体" w:cs="宋体"/>
          <w:color w:val="000000" w:themeColor="text1"/>
          <w:sz w:val="24"/>
          <w:lang w:val="zh-CN"/>
          <w14:textFill>
            <w14:solidFill>
              <w14:schemeClr w14:val="tx1"/>
            </w14:solidFill>
          </w14:textFill>
        </w:rPr>
        <w:t>文件：</w:t>
      </w:r>
    </w:p>
    <w:p w14:paraId="51A018CD">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2.2.1投标函；</w:t>
      </w:r>
      <w:r>
        <w:rPr>
          <w:rFonts w:hint="eastAsia" w:ascii="宋体" w:hAnsi="宋体" w:cs="宋体"/>
          <w:color w:val="000000" w:themeColor="text1"/>
          <w:sz w:val="24"/>
          <w:lang w:val="zh-CN"/>
          <w14:textFill>
            <w14:solidFill>
              <w14:schemeClr w14:val="tx1"/>
            </w14:solidFill>
          </w14:textFill>
        </w:rPr>
        <w:t xml:space="preserve"> </w:t>
      </w:r>
    </w:p>
    <w:p w14:paraId="05E452B5">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2.2.2授权委托书或法定代表人（单位负责人）身份证明；</w:t>
      </w:r>
    </w:p>
    <w:p w14:paraId="2345A240">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分包意向协议</w:t>
      </w:r>
      <w:r>
        <w:rPr>
          <w:rFonts w:hint="eastAsia" w:ascii="宋体" w:hAnsi="宋体" w:cs="宋体"/>
          <w:snapToGrid w:val="0"/>
          <w:color w:val="000000" w:themeColor="text1"/>
          <w:kern w:val="28"/>
          <w:sz w:val="24"/>
          <w:szCs w:val="20"/>
          <w14:textFill>
            <w14:solidFill>
              <w14:schemeClr w14:val="tx1"/>
            </w14:solidFill>
          </w14:textFill>
        </w:rPr>
        <w:t>（如果有）</w:t>
      </w:r>
      <w:r>
        <w:rPr>
          <w:rFonts w:hint="eastAsia" w:ascii="宋体" w:hAnsi="宋体" w:cs="宋体"/>
          <w:color w:val="000000" w:themeColor="text1"/>
          <w:sz w:val="24"/>
          <w14:textFill>
            <w14:solidFill>
              <w14:schemeClr w14:val="tx1"/>
            </w14:solidFill>
          </w14:textFill>
        </w:rPr>
        <w:t>；</w:t>
      </w:r>
    </w:p>
    <w:p w14:paraId="416E4971">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符合性审查资料；</w:t>
      </w:r>
    </w:p>
    <w:p w14:paraId="3F0445DF">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评标标准相应的商务技术资料；</w:t>
      </w:r>
    </w:p>
    <w:p w14:paraId="21F96357">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投标标的清单；</w:t>
      </w:r>
    </w:p>
    <w:p w14:paraId="7764C696">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商务技术偏离表；</w:t>
      </w:r>
    </w:p>
    <w:p w14:paraId="70235B5B">
      <w:pPr>
        <w:snapToGrid w:val="0"/>
        <w:spacing w:line="360" w:lineRule="auto"/>
        <w:ind w:left="420" w:leftChars="200"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w:t>
      </w:r>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lang w:val="zh-CN"/>
          <w14:textFill>
            <w14:solidFill>
              <w14:schemeClr w14:val="tx1"/>
            </w14:solidFill>
          </w14:textFill>
        </w:rPr>
        <w:t>政府采购供应商廉洁自律承诺书；</w:t>
      </w:r>
    </w:p>
    <w:p w14:paraId="17749D6F">
      <w:pPr>
        <w:snapToGrid w:val="0"/>
        <w:spacing w:line="360" w:lineRule="auto"/>
        <w:ind w:left="210" w:leftChars="1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3报价文件</w:t>
      </w:r>
    </w:p>
    <w:p w14:paraId="6FC86A09">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2.3.1开标一览表（报价表）；</w:t>
      </w:r>
    </w:p>
    <w:p w14:paraId="7698DCBE">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2.3.3中小企业声明函（如果有）。</w:t>
      </w:r>
    </w:p>
    <w:p w14:paraId="6159606E">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3、我方承诺除商务技术偏离表列出的偏离外，我方响应招标文件的全部要求。对投标文件中材料的真实性、合法性负责，积极配合采购人、采购代理机构复核投标文件中的资料。</w:t>
      </w:r>
    </w:p>
    <w:p w14:paraId="3CD53C18">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4、如我方中标，我方承诺：</w:t>
      </w:r>
    </w:p>
    <w:p w14:paraId="5B6F4048">
      <w:pPr>
        <w:snapToGrid w:val="0"/>
        <w:spacing w:line="360" w:lineRule="auto"/>
        <w:ind w:left="210" w:leftChars="1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4.1在收到中标通知书后，在中标通知书规定的期限内与你方签订合同； </w:t>
      </w:r>
    </w:p>
    <w:p w14:paraId="5601E2A5">
      <w:pPr>
        <w:snapToGrid w:val="0"/>
        <w:spacing w:line="360" w:lineRule="auto"/>
        <w:ind w:left="210" w:leftChars="1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4.2在签订合同时不向你方提出附加条件； </w:t>
      </w:r>
    </w:p>
    <w:p w14:paraId="2160C1A3">
      <w:pPr>
        <w:snapToGrid w:val="0"/>
        <w:spacing w:line="360" w:lineRule="auto"/>
        <w:ind w:left="210" w:leftChars="1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4.3按照招标文件要求提交履约保证金； </w:t>
      </w:r>
    </w:p>
    <w:p w14:paraId="17F1610F">
      <w:pPr>
        <w:snapToGrid w:val="0"/>
        <w:spacing w:line="360" w:lineRule="auto"/>
        <w:ind w:left="210" w:leftChars="1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4.4在合同约定的期限内完成合同规定的全部义务。 </w:t>
      </w:r>
    </w:p>
    <w:p w14:paraId="222543EF">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0AABE63E">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6、其他补充说明: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7FAC97C2">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投标人名称（电子签名）：                          </w:t>
      </w:r>
    </w:p>
    <w:p w14:paraId="1B46F95F">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0CD969C9">
      <w:pPr>
        <w:snapToGrid w:val="0"/>
        <w:spacing w:line="360" w:lineRule="auto"/>
        <w:ind w:left="420" w:leftChars="200" w:firstLine="4200" w:firstLineChars="1750"/>
        <w:rPr>
          <w:rFonts w:ascii="宋体" w:hAnsi="宋体" w:cs="宋体"/>
          <w:color w:val="000000" w:themeColor="text1"/>
          <w:kern w:val="0"/>
          <w:sz w:val="24"/>
          <w:u w:val="single"/>
          <w14:textFill>
            <w14:solidFill>
              <w14:schemeClr w14:val="tx1"/>
            </w14:solidFill>
          </w14:textFill>
        </w:rPr>
      </w:pPr>
    </w:p>
    <w:p w14:paraId="0BBC074F">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47711985">
      <w:pPr>
        <w:snapToGrid w:val="0"/>
        <w:spacing w:line="360" w:lineRule="auto"/>
        <w:jc w:val="center"/>
        <w:rPr>
          <w:rFonts w:ascii="宋体" w:hAnsi="宋体" w:cs="宋体"/>
          <w:b/>
          <w:color w:val="000000" w:themeColor="text1"/>
          <w:kern w:val="0"/>
          <w:sz w:val="32"/>
          <w:szCs w:val="32"/>
          <w14:textFill>
            <w14:solidFill>
              <w14:schemeClr w14:val="tx1"/>
            </w14:solidFill>
          </w14:textFill>
        </w:rPr>
      </w:pPr>
    </w:p>
    <w:p w14:paraId="58ECE984">
      <w:pPr>
        <w:snapToGrid w:val="0"/>
        <w:spacing w:line="360" w:lineRule="auto"/>
        <w:rPr>
          <w:rFonts w:ascii="宋体" w:hAnsi="宋体" w:cs="宋体"/>
          <w:color w:val="000000" w:themeColor="text1"/>
          <w:sz w:val="24"/>
          <w14:textFill>
            <w14:solidFill>
              <w14:schemeClr w14:val="tx1"/>
            </w14:solidFill>
          </w14:textFill>
        </w:rPr>
      </w:pPr>
    </w:p>
    <w:p w14:paraId="13C763DE">
      <w:pPr>
        <w:jc w:val="center"/>
        <w:rPr>
          <w:rFonts w:ascii="宋体" w:hAnsi="宋体" w:cs="宋体"/>
          <w:b/>
          <w:color w:val="000000" w:themeColor="text1"/>
          <w:kern w:val="0"/>
          <w:sz w:val="32"/>
          <w:szCs w:val="32"/>
          <w14:textFill>
            <w14:solidFill>
              <w14:schemeClr w14:val="tx1"/>
            </w14:solidFill>
          </w14:textFill>
        </w:rPr>
      </w:pPr>
    </w:p>
    <w:p w14:paraId="634EF93D">
      <w:pPr>
        <w:jc w:val="center"/>
        <w:rPr>
          <w:rFonts w:ascii="宋体" w:hAnsi="宋体" w:cs="宋体"/>
          <w:b/>
          <w:color w:val="000000" w:themeColor="text1"/>
          <w:kern w:val="0"/>
          <w:sz w:val="32"/>
          <w:szCs w:val="32"/>
          <w14:textFill>
            <w14:solidFill>
              <w14:schemeClr w14:val="tx1"/>
            </w14:solidFill>
          </w14:textFill>
        </w:rPr>
      </w:pPr>
    </w:p>
    <w:p w14:paraId="67BC7ED6">
      <w:pPr>
        <w:jc w:val="center"/>
        <w:rPr>
          <w:rFonts w:ascii="宋体" w:hAnsi="宋体" w:cs="宋体"/>
          <w:b/>
          <w:color w:val="000000" w:themeColor="text1"/>
          <w:kern w:val="0"/>
          <w:sz w:val="32"/>
          <w:szCs w:val="32"/>
          <w14:textFill>
            <w14:solidFill>
              <w14:schemeClr w14:val="tx1"/>
            </w14:solidFill>
          </w14:textFill>
        </w:rPr>
      </w:pPr>
    </w:p>
    <w:p w14:paraId="455AC43D">
      <w:pPr>
        <w:jc w:val="center"/>
        <w:rPr>
          <w:rFonts w:ascii="宋体" w:hAnsi="宋体" w:cs="宋体"/>
          <w:b/>
          <w:color w:val="000000" w:themeColor="text1"/>
          <w:kern w:val="0"/>
          <w:sz w:val="32"/>
          <w:szCs w:val="32"/>
          <w14:textFill>
            <w14:solidFill>
              <w14:schemeClr w14:val="tx1"/>
            </w14:solidFill>
          </w14:textFill>
        </w:rPr>
      </w:pPr>
    </w:p>
    <w:p w14:paraId="46273299">
      <w:pPr>
        <w:jc w:val="center"/>
        <w:rPr>
          <w:rFonts w:ascii="宋体" w:hAnsi="宋体" w:cs="宋体"/>
          <w:b/>
          <w:color w:val="000000" w:themeColor="text1"/>
          <w:kern w:val="0"/>
          <w:sz w:val="32"/>
          <w:szCs w:val="32"/>
          <w14:textFill>
            <w14:solidFill>
              <w14:schemeClr w14:val="tx1"/>
            </w14:solidFill>
          </w14:textFill>
        </w:rPr>
      </w:pPr>
    </w:p>
    <w:p w14:paraId="68CCFAA3">
      <w:pPr>
        <w:jc w:val="center"/>
        <w:rPr>
          <w:rFonts w:ascii="宋体" w:hAnsi="宋体" w:cs="宋体"/>
          <w:b/>
          <w:color w:val="000000" w:themeColor="text1"/>
          <w:kern w:val="0"/>
          <w:sz w:val="32"/>
          <w:szCs w:val="32"/>
          <w14:textFill>
            <w14:solidFill>
              <w14:schemeClr w14:val="tx1"/>
            </w14:solidFill>
          </w14:textFill>
        </w:rPr>
      </w:pPr>
    </w:p>
    <w:p w14:paraId="1AB81E00">
      <w:pPr>
        <w:jc w:val="center"/>
        <w:rPr>
          <w:rFonts w:ascii="宋体" w:hAnsi="宋体" w:cs="宋体"/>
          <w:b/>
          <w:color w:val="000000" w:themeColor="text1"/>
          <w:kern w:val="0"/>
          <w:sz w:val="32"/>
          <w:szCs w:val="32"/>
          <w14:textFill>
            <w14:solidFill>
              <w14:schemeClr w14:val="tx1"/>
            </w14:solidFill>
          </w14:textFill>
        </w:rPr>
      </w:pPr>
    </w:p>
    <w:p w14:paraId="2463B739">
      <w:pPr>
        <w:jc w:val="center"/>
        <w:rPr>
          <w:rFonts w:ascii="宋体" w:hAnsi="宋体" w:cs="宋体"/>
          <w:b/>
          <w:color w:val="000000" w:themeColor="text1"/>
          <w:kern w:val="0"/>
          <w:sz w:val="32"/>
          <w:szCs w:val="32"/>
          <w14:textFill>
            <w14:solidFill>
              <w14:schemeClr w14:val="tx1"/>
            </w14:solidFill>
          </w14:textFill>
        </w:rPr>
      </w:pPr>
    </w:p>
    <w:p w14:paraId="2078DBA7">
      <w:pPr>
        <w:jc w:val="center"/>
        <w:rPr>
          <w:rFonts w:ascii="宋体" w:hAnsi="宋体" w:cs="宋体"/>
          <w:b/>
          <w:color w:val="000000" w:themeColor="text1"/>
          <w:kern w:val="0"/>
          <w:sz w:val="32"/>
          <w:szCs w:val="32"/>
          <w14:textFill>
            <w14:solidFill>
              <w14:schemeClr w14:val="tx1"/>
            </w14:solidFill>
          </w14:textFill>
        </w:rPr>
      </w:pPr>
    </w:p>
    <w:p w14:paraId="578F5641">
      <w:pPr>
        <w:jc w:val="center"/>
        <w:rPr>
          <w:rFonts w:ascii="宋体" w:hAnsi="宋体" w:cs="宋体"/>
          <w:b/>
          <w:color w:val="000000" w:themeColor="text1"/>
          <w:kern w:val="0"/>
          <w:sz w:val="32"/>
          <w:szCs w:val="32"/>
          <w14:textFill>
            <w14:solidFill>
              <w14:schemeClr w14:val="tx1"/>
            </w14:solidFill>
          </w14:textFill>
        </w:rPr>
      </w:pPr>
    </w:p>
    <w:p w14:paraId="30ECEB7C">
      <w:pPr>
        <w:jc w:val="center"/>
        <w:rPr>
          <w:rFonts w:ascii="宋体" w:hAnsi="宋体" w:cs="宋体"/>
          <w:b/>
          <w:color w:val="000000" w:themeColor="text1"/>
          <w:kern w:val="0"/>
          <w:sz w:val="32"/>
          <w:szCs w:val="32"/>
          <w14:textFill>
            <w14:solidFill>
              <w14:schemeClr w14:val="tx1"/>
            </w14:solidFill>
          </w14:textFill>
        </w:rPr>
      </w:pPr>
    </w:p>
    <w:p w14:paraId="0C12AECB">
      <w:pP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br w:type="page"/>
      </w:r>
    </w:p>
    <w:p w14:paraId="43C864CF">
      <w:pPr>
        <w:jc w:val="center"/>
        <w:rPr>
          <w:rFonts w:ascii="宋体" w:hAnsi="宋体" w:cs="宋体"/>
          <w:b/>
          <w:color w:val="000000" w:themeColor="text1"/>
          <w:kern w:val="0"/>
          <w:sz w:val="32"/>
          <w:szCs w:val="32"/>
          <w:lang w:val="zh-CN"/>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二、授权委托书或法定代表人（单位负责人、自然人本人）身份证明</w:t>
      </w:r>
    </w:p>
    <w:p w14:paraId="79D0227A">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40C794E3">
      <w:pPr>
        <w:snapToGrid w:val="0"/>
        <w:spacing w:line="360" w:lineRule="auto"/>
        <w:ind w:firstLine="2872" w:firstLineChars="894"/>
        <w:rPr>
          <w:rFonts w:ascii="宋体" w:hAnsi="宋体" w:cs="宋体"/>
          <w:color w:val="000000" w:themeColor="text1"/>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授权委托书（适用于非联合体投标）</w:t>
      </w:r>
      <w:r>
        <w:rPr>
          <w:rFonts w:hint="eastAsia" w:ascii="宋体" w:hAnsi="宋体" w:cs="宋体"/>
          <w:color w:val="000000" w:themeColor="text1"/>
          <w14:textFill>
            <w14:solidFill>
              <w14:schemeClr w14:val="tx1"/>
            </w14:solidFill>
          </w14:textFill>
        </w:rPr>
        <w:t xml:space="preserve">                               </w:t>
      </w:r>
    </w:p>
    <w:p w14:paraId="43A797F7">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浙江水利水电学院、浙江豪圣建设项目管理有限公司</w:t>
      </w:r>
      <w:r>
        <w:rPr>
          <w:rFonts w:hint="eastAsia" w:ascii="宋体" w:hAnsi="宋体" w:cs="宋体"/>
          <w:color w:val="000000" w:themeColor="text1"/>
          <w:kern w:val="0"/>
          <w:sz w:val="24"/>
          <w:lang w:val="zh-CN"/>
          <w14:textFill>
            <w14:solidFill>
              <w14:schemeClr w14:val="tx1"/>
            </w14:solidFill>
          </w14:textFill>
        </w:rPr>
        <w:t>：</w:t>
      </w:r>
    </w:p>
    <w:p w14:paraId="0F7DADDC">
      <w:pPr>
        <w:snapToGrid w:val="0"/>
        <w:spacing w:line="360" w:lineRule="auto"/>
        <w:ind w:firstLine="576"/>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现</w:t>
      </w:r>
      <w:r>
        <w:rPr>
          <w:rFonts w:hint="eastAsia" w:ascii="宋体" w:hAnsi="宋体" w:cs="宋体"/>
          <w:color w:val="000000" w:themeColor="text1"/>
          <w:kern w:val="0"/>
          <w:sz w:val="24"/>
          <w:lang w:val="zh-CN"/>
          <w14:textFill>
            <w14:solidFill>
              <w14:schemeClr w14:val="tx1"/>
            </w14:solidFill>
          </w14:textFill>
        </w:rPr>
        <w:t>委托</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（姓名）为我方代理人（身份证号码：</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，手机：</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，所在单位：</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），以我方名义处理</w:t>
      </w:r>
      <w:r>
        <w:rPr>
          <w:rFonts w:hint="eastAsia" w:ascii="宋体" w:hAnsi="宋体" w:cs="宋体"/>
          <w:color w:val="000000" w:themeColor="text1"/>
          <w:sz w:val="24"/>
          <w14:textFill>
            <w14:solidFill>
              <w14:schemeClr w14:val="tx1"/>
            </w14:solidFill>
          </w14:textFill>
        </w:rPr>
        <w:t>钱塘校区弱电设备改造工程（三期）【招标编号：</w:t>
      </w:r>
      <w:r>
        <w:rPr>
          <w:rFonts w:hint="eastAsia" w:ascii="宋体" w:hAnsi="宋体" w:cs="宋体"/>
          <w:color w:val="000000" w:themeColor="text1"/>
          <w:sz w:val="24"/>
          <w:lang w:eastAsia="zh-CN"/>
          <w14:textFill>
            <w14:solidFill>
              <w14:schemeClr w14:val="tx1"/>
            </w14:solidFill>
          </w14:textFill>
        </w:rPr>
        <w:t>330000263030350000163-HSZB-2026-373</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政府采购投标的一切事项，其法律后果由我方承担。</w:t>
      </w:r>
    </w:p>
    <w:p w14:paraId="63837D34">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委托期限</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自</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日起至</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日止。</w:t>
      </w:r>
    </w:p>
    <w:p w14:paraId="46671B24">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特此告知。</w:t>
      </w:r>
    </w:p>
    <w:p w14:paraId="7C891974">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投标人名称(电子签名)：</w:t>
      </w:r>
    </w:p>
    <w:p w14:paraId="32A26E21">
      <w:pPr>
        <w:snapToGrid w:val="0"/>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签发日期：  年  月   日</w:t>
      </w:r>
    </w:p>
    <w:p w14:paraId="1C67AC8D">
      <w:pPr>
        <w:snapToGrid w:val="0"/>
        <w:spacing w:line="360" w:lineRule="auto"/>
        <w:rPr>
          <w:rFonts w:ascii="宋体" w:hAnsi="宋体" w:cs="宋体"/>
          <w:color w:val="000000" w:themeColor="text1"/>
          <w:sz w:val="24"/>
          <w14:textFill>
            <w14:solidFill>
              <w14:schemeClr w14:val="tx1"/>
            </w14:solidFill>
          </w14:textFill>
        </w:rPr>
      </w:pPr>
    </w:p>
    <w:p w14:paraId="5053586A">
      <w:pPr>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 xml:space="preserve">      </w:t>
      </w:r>
      <w:r>
        <w:rPr>
          <w:rFonts w:hint="eastAsia" w:ascii="宋体" w:hAnsi="宋体" w:cs="宋体"/>
          <w:b/>
          <w:color w:val="000000" w:themeColor="text1"/>
          <w:kern w:val="0"/>
          <w:sz w:val="32"/>
          <w:szCs w:val="32"/>
          <w14:textFill>
            <w14:solidFill>
              <w14:schemeClr w14:val="tx1"/>
            </w14:solidFill>
          </w14:textFill>
        </w:rPr>
        <w:t xml:space="preserve"> </w:t>
      </w:r>
      <w:r>
        <w:rPr>
          <w:rFonts w:hint="eastAsia" w:ascii="宋体" w:hAnsi="宋体" w:cs="宋体"/>
          <w:b/>
          <w:color w:val="000000" w:themeColor="text1"/>
          <w:kern w:val="0"/>
          <w:sz w:val="32"/>
          <w:szCs w:val="32"/>
          <w:lang w:val="zh-CN"/>
          <w14:textFill>
            <w14:solidFill>
              <w14:schemeClr w14:val="tx1"/>
            </w14:solidFill>
          </w14:textFill>
        </w:rPr>
        <w:t>授权委托书（适用于联合体投标）</w:t>
      </w:r>
    </w:p>
    <w:p w14:paraId="2873C761">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浙江水利水电学院、浙江豪圣建设项目管理有限公司</w:t>
      </w:r>
      <w:r>
        <w:rPr>
          <w:rFonts w:hint="eastAsia" w:ascii="宋体" w:hAnsi="宋体" w:cs="宋体"/>
          <w:color w:val="000000" w:themeColor="text1"/>
          <w:kern w:val="0"/>
          <w:sz w:val="24"/>
          <w:lang w:val="zh-CN"/>
          <w14:textFill>
            <w14:solidFill>
              <w14:schemeClr w14:val="tx1"/>
            </w14:solidFill>
          </w14:textFill>
        </w:rPr>
        <w:t>：</w:t>
      </w:r>
    </w:p>
    <w:p w14:paraId="7CB4AB27">
      <w:pPr>
        <w:snapToGrid w:val="0"/>
        <w:spacing w:line="360" w:lineRule="auto"/>
        <w:ind w:firstLine="576"/>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现</w:t>
      </w:r>
      <w:r>
        <w:rPr>
          <w:rFonts w:hint="eastAsia" w:ascii="宋体" w:hAnsi="宋体" w:cs="宋体"/>
          <w:color w:val="000000" w:themeColor="text1"/>
          <w:kern w:val="0"/>
          <w:sz w:val="24"/>
          <w:lang w:val="zh-CN"/>
          <w14:textFill>
            <w14:solidFill>
              <w14:schemeClr w14:val="tx1"/>
            </w14:solidFill>
          </w14:textFill>
        </w:rPr>
        <w:t>委托</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（姓名）为我方代理人（身份证号码：</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，手机：</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，所在单位：</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），以我方名义处理</w:t>
      </w:r>
      <w:r>
        <w:rPr>
          <w:rFonts w:hint="eastAsia" w:ascii="宋体" w:hAnsi="宋体" w:cs="宋体"/>
          <w:color w:val="000000" w:themeColor="text1"/>
          <w:sz w:val="24"/>
          <w14:textFill>
            <w14:solidFill>
              <w14:schemeClr w14:val="tx1"/>
            </w14:solidFill>
          </w14:textFill>
        </w:rPr>
        <w:t>钱塘校区弱电设备改造工程（三期）【招标编号：</w:t>
      </w:r>
      <w:r>
        <w:rPr>
          <w:rFonts w:hint="eastAsia" w:ascii="宋体" w:hAnsi="宋体" w:cs="宋体"/>
          <w:color w:val="000000" w:themeColor="text1"/>
          <w:sz w:val="24"/>
          <w:lang w:eastAsia="zh-CN"/>
          <w14:textFill>
            <w14:solidFill>
              <w14:schemeClr w14:val="tx1"/>
            </w14:solidFill>
          </w14:textFill>
        </w:rPr>
        <w:t>330000263030350000163-HSZB-2026-373</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政府采购投标的一切事项，其法律后果由我方承担。</w:t>
      </w:r>
    </w:p>
    <w:p w14:paraId="3A16EBFB">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委托期限</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自</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日起至</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日止。</w:t>
      </w:r>
    </w:p>
    <w:p w14:paraId="1C67DCEB">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特此告知。</w:t>
      </w:r>
    </w:p>
    <w:p w14:paraId="5792E9F4">
      <w:pPr>
        <w:jc w:val="center"/>
        <w:rPr>
          <w:rFonts w:ascii="宋体" w:hAnsi="宋体" w:cs="宋体"/>
          <w:b/>
          <w:color w:val="000000" w:themeColor="text1"/>
          <w:kern w:val="0"/>
          <w:sz w:val="32"/>
          <w:szCs w:val="32"/>
          <w14:textFill>
            <w14:solidFill>
              <w14:schemeClr w14:val="tx1"/>
            </w14:solidFill>
          </w14:textFill>
        </w:rPr>
      </w:pPr>
    </w:p>
    <w:p w14:paraId="3A261387">
      <w:pPr>
        <w:jc w:val="center"/>
        <w:rPr>
          <w:rFonts w:ascii="宋体" w:hAnsi="宋体" w:cs="宋体"/>
          <w:b/>
          <w:color w:val="000000" w:themeColor="text1"/>
          <w:kern w:val="0"/>
          <w:sz w:val="32"/>
          <w:szCs w:val="32"/>
          <w14:textFill>
            <w14:solidFill>
              <w14:schemeClr w14:val="tx1"/>
            </w14:solidFill>
          </w14:textFill>
        </w:rPr>
      </w:pPr>
    </w:p>
    <w:p w14:paraId="61C7EC5F">
      <w:pPr>
        <w:jc w:val="center"/>
        <w:rPr>
          <w:rFonts w:ascii="宋体" w:hAnsi="宋体" w:cs="宋体"/>
          <w:b/>
          <w:color w:val="000000" w:themeColor="text1"/>
          <w:kern w:val="0"/>
          <w:sz w:val="32"/>
          <w:szCs w:val="32"/>
          <w14:textFill>
            <w14:solidFill>
              <w14:schemeClr w14:val="tx1"/>
            </w14:solidFill>
          </w14:textFill>
        </w:rPr>
      </w:pPr>
    </w:p>
    <w:p w14:paraId="4DC3D98B">
      <w:pPr>
        <w:rPr>
          <w:rFonts w:ascii="宋体" w:hAnsi="宋体" w:cs="宋体"/>
          <w:color w:val="000000" w:themeColor="text1"/>
          <w14:textFill>
            <w14:solidFill>
              <w14:schemeClr w14:val="tx1"/>
            </w14:solidFill>
          </w14:textFill>
        </w:rPr>
      </w:pPr>
    </w:p>
    <w:p w14:paraId="6D7D8BF3">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联合体成员名称(电子签名/公章)：</w:t>
      </w:r>
    </w:p>
    <w:p w14:paraId="046EDD0C">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联合体成员名称(电子签名/公章)：</w:t>
      </w:r>
    </w:p>
    <w:p w14:paraId="2C22BAE6">
      <w:pPr>
        <w:snapToGrid w:val="0"/>
        <w:spacing w:line="360" w:lineRule="auto"/>
        <w:ind w:firstLine="5760" w:firstLineChars="240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p>
    <w:p w14:paraId="4B68E378">
      <w:pPr>
        <w:snapToGrid w:val="0"/>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11EB4B3D">
      <w:pPr>
        <w:rPr>
          <w:rFonts w:ascii="宋体" w:hAnsi="宋体" w:cs="宋体"/>
          <w:b/>
          <w:color w:val="000000" w:themeColor="text1"/>
          <w:kern w:val="0"/>
          <w:sz w:val="32"/>
          <w:szCs w:val="32"/>
          <w:lang w:val="zh-CN"/>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br w:type="page"/>
      </w:r>
    </w:p>
    <w:p w14:paraId="0AB21212">
      <w:pPr>
        <w:autoSpaceDE w:val="0"/>
        <w:autoSpaceDN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法定代表人、单位负责人或自然人本人</w:t>
      </w:r>
      <w:r>
        <w:rPr>
          <w:rFonts w:hint="eastAsia" w:ascii="宋体" w:hAnsi="宋体" w:cs="宋体"/>
          <w:b/>
          <w:color w:val="000000" w:themeColor="text1"/>
          <w:sz w:val="30"/>
          <w:szCs w:val="30"/>
          <w14:textFill>
            <w14:solidFill>
              <w14:schemeClr w14:val="tx1"/>
            </w14:solidFill>
          </w14:textFill>
        </w:rPr>
        <w:t>的身份证明（适用于法定代表人、单位负责人或者自然人本人代表投标人参加投标）</w:t>
      </w:r>
    </w:p>
    <w:p w14:paraId="6C6BE4C6">
      <w:pPr>
        <w:pStyle w:val="149"/>
        <w:spacing w:line="360" w:lineRule="auto"/>
        <w:rPr>
          <w:rFonts w:hAnsi="宋体" w:cs="宋体"/>
          <w:bCs/>
          <w:color w:val="000000" w:themeColor="text1"/>
          <w:sz w:val="24"/>
          <w14:textFill>
            <w14:solidFill>
              <w14:schemeClr w14:val="tx1"/>
            </w14:solidFill>
          </w14:textFill>
        </w:rPr>
      </w:pPr>
      <w:r>
        <w:rPr>
          <w:rFonts w:hint="eastAsia" w:hAnsi="宋体" w:cs="宋体"/>
          <w:bCs/>
          <w:color w:val="000000" w:themeColor="text1"/>
          <w:sz w:val="24"/>
          <w14:textFill>
            <w14:solidFill>
              <w14:schemeClr w14:val="tx1"/>
            </w14:solidFill>
          </w14:textFill>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61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2346E87">
            <w:pPr>
              <w:pStyle w:val="149"/>
              <w:adjustRightInd w:val="0"/>
              <w:spacing w:line="360" w:lineRule="auto"/>
              <w:rPr>
                <w:rFonts w:hAnsi="宋体" w:cs="宋体"/>
                <w:bCs/>
                <w:color w:val="000000" w:themeColor="text1"/>
                <w:sz w:val="24"/>
                <w14:textFill>
                  <w14:solidFill>
                    <w14:schemeClr w14:val="tx1"/>
                  </w14:solidFill>
                </w14:textFill>
              </w:rPr>
            </w:pPr>
            <w:r>
              <w:rPr>
                <w:rFonts w:hint="eastAsia" w:hAnsi="宋体" w:cs="宋体"/>
                <w:bCs/>
                <w:color w:val="000000" w:themeColor="text1"/>
                <w:sz w:val="24"/>
                <w14:textFill>
                  <w14:solidFill>
                    <w14:schemeClr w14:val="tx1"/>
                  </w14:solidFill>
                </w14:textFill>
              </w:rPr>
              <w:t>正面：                                 反面：</w:t>
            </w:r>
          </w:p>
          <w:p w14:paraId="3080E86B">
            <w:pPr>
              <w:pStyle w:val="149"/>
              <w:adjustRightInd w:val="0"/>
              <w:spacing w:line="360" w:lineRule="auto"/>
              <w:rPr>
                <w:rFonts w:hAnsi="宋体" w:cs="宋体"/>
                <w:bCs/>
                <w:color w:val="000000" w:themeColor="text1"/>
                <w:sz w:val="24"/>
                <w14:textFill>
                  <w14:solidFill>
                    <w14:schemeClr w14:val="tx1"/>
                  </w14:solidFill>
                </w14:textFill>
              </w:rPr>
            </w:pPr>
          </w:p>
        </w:tc>
      </w:tr>
    </w:tbl>
    <w:p w14:paraId="1246C39F">
      <w:pPr>
        <w:snapToGrid w:val="0"/>
        <w:spacing w:line="360" w:lineRule="auto"/>
        <w:ind w:firstLine="576"/>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w:t>
      </w:r>
    </w:p>
    <w:p w14:paraId="3FCB5D0A">
      <w:pPr>
        <w:snapToGrid w:val="0"/>
        <w:spacing w:line="360" w:lineRule="auto"/>
        <w:ind w:firstLine="576"/>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投标人名称(电子签名)：                              </w:t>
      </w:r>
    </w:p>
    <w:p w14:paraId="77BD1DE6">
      <w:pPr>
        <w:spacing w:line="360" w:lineRule="auto"/>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2D30F585">
      <w:pPr>
        <w:jc w:val="center"/>
        <w:rPr>
          <w:rFonts w:ascii="宋体" w:hAnsi="宋体" w:cs="宋体"/>
          <w:b/>
          <w:color w:val="000000" w:themeColor="text1"/>
          <w:kern w:val="0"/>
          <w:sz w:val="32"/>
          <w:szCs w:val="32"/>
          <w14:textFill>
            <w14:solidFill>
              <w14:schemeClr w14:val="tx1"/>
            </w14:solidFill>
          </w14:textFill>
        </w:rPr>
      </w:pPr>
    </w:p>
    <w:p w14:paraId="4A47B79F">
      <w:pPr>
        <w:jc w:val="center"/>
        <w:rPr>
          <w:rFonts w:ascii="宋体" w:hAnsi="宋体" w:cs="宋体"/>
          <w:b/>
          <w:color w:val="000000" w:themeColor="text1"/>
          <w:kern w:val="0"/>
          <w:sz w:val="32"/>
          <w:szCs w:val="32"/>
          <w14:textFill>
            <w14:solidFill>
              <w14:schemeClr w14:val="tx1"/>
            </w14:solidFill>
          </w14:textFill>
        </w:rPr>
      </w:pPr>
    </w:p>
    <w:p w14:paraId="3C5C3377">
      <w:pPr>
        <w:jc w:val="center"/>
        <w:rPr>
          <w:rFonts w:ascii="宋体" w:hAnsi="宋体" w:cs="宋体"/>
          <w:b/>
          <w:color w:val="000000" w:themeColor="text1"/>
          <w:kern w:val="0"/>
          <w:sz w:val="32"/>
          <w:szCs w:val="32"/>
          <w14:textFill>
            <w14:solidFill>
              <w14:schemeClr w14:val="tx1"/>
            </w14:solidFill>
          </w14:textFill>
        </w:rPr>
      </w:pPr>
    </w:p>
    <w:p w14:paraId="382F3ADE">
      <w:pPr>
        <w:jc w:val="center"/>
        <w:rPr>
          <w:rFonts w:ascii="宋体" w:hAnsi="宋体" w:cs="宋体"/>
          <w:b/>
          <w:color w:val="000000" w:themeColor="text1"/>
          <w:kern w:val="0"/>
          <w:sz w:val="32"/>
          <w:szCs w:val="32"/>
          <w14:textFill>
            <w14:solidFill>
              <w14:schemeClr w14:val="tx1"/>
            </w14:solidFill>
          </w14:textFill>
        </w:rPr>
      </w:pPr>
    </w:p>
    <w:p w14:paraId="06F219F0">
      <w:pPr>
        <w:jc w:val="center"/>
        <w:rPr>
          <w:rFonts w:ascii="宋体" w:hAnsi="宋体" w:cs="宋体"/>
          <w:b/>
          <w:color w:val="000000" w:themeColor="text1"/>
          <w:kern w:val="0"/>
          <w:sz w:val="32"/>
          <w:szCs w:val="32"/>
          <w14:textFill>
            <w14:solidFill>
              <w14:schemeClr w14:val="tx1"/>
            </w14:solidFill>
          </w14:textFill>
        </w:rPr>
      </w:pPr>
    </w:p>
    <w:p w14:paraId="10D9C403">
      <w:pPr>
        <w:jc w:val="center"/>
        <w:rPr>
          <w:rFonts w:ascii="宋体" w:hAnsi="宋体" w:cs="宋体"/>
          <w:b/>
          <w:color w:val="000000" w:themeColor="text1"/>
          <w:kern w:val="0"/>
          <w:sz w:val="32"/>
          <w:szCs w:val="32"/>
          <w14:textFill>
            <w14:solidFill>
              <w14:schemeClr w14:val="tx1"/>
            </w14:solidFill>
          </w14:textFill>
        </w:rPr>
      </w:pPr>
    </w:p>
    <w:p w14:paraId="0D4166EF">
      <w:pPr>
        <w:jc w:val="center"/>
        <w:rPr>
          <w:rFonts w:ascii="宋体" w:hAnsi="宋体" w:cs="宋体"/>
          <w:b/>
          <w:color w:val="000000" w:themeColor="text1"/>
          <w:kern w:val="0"/>
          <w:sz w:val="32"/>
          <w:szCs w:val="32"/>
          <w14:textFill>
            <w14:solidFill>
              <w14:schemeClr w14:val="tx1"/>
            </w14:solidFill>
          </w14:textFill>
        </w:rPr>
      </w:pPr>
    </w:p>
    <w:p w14:paraId="21168903">
      <w:pPr>
        <w:jc w:val="center"/>
        <w:rPr>
          <w:rFonts w:ascii="宋体" w:hAnsi="宋体" w:cs="宋体"/>
          <w:b/>
          <w:color w:val="000000" w:themeColor="text1"/>
          <w:kern w:val="0"/>
          <w:sz w:val="32"/>
          <w:szCs w:val="32"/>
          <w14:textFill>
            <w14:solidFill>
              <w14:schemeClr w14:val="tx1"/>
            </w14:solidFill>
          </w14:textFill>
        </w:rPr>
      </w:pPr>
    </w:p>
    <w:p w14:paraId="7892F5AE">
      <w:pPr>
        <w:jc w:val="center"/>
        <w:rPr>
          <w:rFonts w:ascii="宋体" w:hAnsi="宋体" w:cs="宋体"/>
          <w:b/>
          <w:color w:val="000000" w:themeColor="text1"/>
          <w:kern w:val="0"/>
          <w:sz w:val="32"/>
          <w:szCs w:val="32"/>
          <w14:textFill>
            <w14:solidFill>
              <w14:schemeClr w14:val="tx1"/>
            </w14:solidFill>
          </w14:textFill>
        </w:rPr>
      </w:pPr>
    </w:p>
    <w:p w14:paraId="38E7F9E4">
      <w:pPr>
        <w:jc w:val="center"/>
        <w:rPr>
          <w:rFonts w:ascii="宋体" w:hAnsi="宋体" w:cs="宋体"/>
          <w:b/>
          <w:color w:val="000000" w:themeColor="text1"/>
          <w:kern w:val="0"/>
          <w:sz w:val="32"/>
          <w:szCs w:val="32"/>
          <w14:textFill>
            <w14:solidFill>
              <w14:schemeClr w14:val="tx1"/>
            </w14:solidFill>
          </w14:textFill>
        </w:rPr>
      </w:pPr>
    </w:p>
    <w:p w14:paraId="366A6609">
      <w:pPr>
        <w:snapToGrid w:val="0"/>
        <w:spacing w:line="360" w:lineRule="auto"/>
        <w:ind w:right="480"/>
        <w:rPr>
          <w:rFonts w:ascii="宋体" w:hAnsi="宋体" w:cs="宋体"/>
          <w:b/>
          <w:color w:val="000000" w:themeColor="text1"/>
          <w:kern w:val="0"/>
          <w:sz w:val="32"/>
          <w:szCs w:val="32"/>
          <w14:textFill>
            <w14:solidFill>
              <w14:schemeClr w14:val="tx1"/>
            </w14:solidFill>
          </w14:textFill>
        </w:rPr>
        <w:sectPr>
          <w:headerReference r:id="rId10" w:type="first"/>
          <w:footerReference r:id="rId12" w:type="first"/>
          <w:headerReference r:id="rId9" w:type="default"/>
          <w:footerReference r:id="rId11" w:type="default"/>
          <w:pgSz w:w="11906" w:h="16838"/>
          <w:pgMar w:top="1276" w:right="1418" w:bottom="1247" w:left="1418" w:header="851" w:footer="992" w:gutter="0"/>
          <w:cols w:space="720" w:num="1"/>
          <w:titlePg/>
          <w:docGrid w:linePitch="312" w:charSpace="0"/>
        </w:sectPr>
      </w:pPr>
    </w:p>
    <w:p w14:paraId="2AD948AE">
      <w:pPr>
        <w:snapToGrid w:val="0"/>
        <w:spacing w:line="360" w:lineRule="auto"/>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三、分包意向协议（如果有）</w:t>
      </w:r>
    </w:p>
    <w:p w14:paraId="6CC5F3C8">
      <w:pPr>
        <w:widowControl/>
        <w:spacing w:line="360" w:lineRule="auto"/>
        <w:ind w:firstLine="120" w:firstLineChars="50"/>
        <w:jc w:val="left"/>
        <w:rPr>
          <w:rFonts w:ascii="宋体" w:hAnsi="宋体" w:cs="宋体"/>
          <w:color w:val="000000" w:themeColor="text1"/>
          <w:sz w:val="24"/>
          <w14:textFill>
            <w14:solidFill>
              <w14:schemeClr w14:val="tx1"/>
            </w14:solidFill>
          </w14:textFill>
        </w:rPr>
      </w:pPr>
      <w:bookmarkStart w:id="411" w:name="_Hlk101169080"/>
      <w:r>
        <w:rPr>
          <w:rFonts w:hint="eastAsia" w:ascii="宋体" w:hAnsi="宋体" w:cs="宋体"/>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中标后以分包方式履行合同的，提供分包意向协议(附件6</w:t>
      </w:r>
      <w:r>
        <w:rPr>
          <w:rFonts w:ascii="宋体" w:hAnsi="宋体" w:cs="宋体"/>
          <w:b/>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；采购人不同意分包或者投标人中标后不以分包方式履行合同的，则不需要提供。</w:t>
      </w:r>
      <w:r>
        <w:rPr>
          <w:rFonts w:hint="eastAsia" w:ascii="宋体" w:hAnsi="宋体" w:cs="宋体"/>
          <w:color w:val="000000" w:themeColor="text1"/>
          <w:sz w:val="24"/>
          <w14:textFill>
            <w14:solidFill>
              <w14:schemeClr w14:val="tx1"/>
            </w14:solidFill>
          </w14:textFill>
        </w:rPr>
        <w:t>]</w:t>
      </w:r>
    </w:p>
    <w:bookmarkEnd w:id="411"/>
    <w:p w14:paraId="01261ED2">
      <w:pPr>
        <w:snapToGrid w:val="0"/>
        <w:spacing w:line="360" w:lineRule="auto"/>
        <w:rPr>
          <w:rFonts w:ascii="宋体" w:hAnsi="宋体" w:cs="宋体"/>
          <w:color w:val="000000" w:themeColor="text1"/>
          <w:kern w:val="0"/>
          <w:sz w:val="24"/>
          <w14:textFill>
            <w14:solidFill>
              <w14:schemeClr w14:val="tx1"/>
            </w14:solidFill>
          </w14:textFill>
        </w:rPr>
      </w:pPr>
    </w:p>
    <w:p w14:paraId="2E7905C7">
      <w:pPr>
        <w:jc w:val="center"/>
        <w:rPr>
          <w:rFonts w:ascii="宋体" w:hAnsi="宋体" w:cs="宋体"/>
          <w:b/>
          <w:color w:val="000000" w:themeColor="text1"/>
          <w:kern w:val="0"/>
          <w:sz w:val="32"/>
          <w:szCs w:val="32"/>
          <w14:textFill>
            <w14:solidFill>
              <w14:schemeClr w14:val="tx1"/>
            </w14:solidFill>
          </w14:textFill>
        </w:rPr>
      </w:pPr>
    </w:p>
    <w:p w14:paraId="73DF7291">
      <w:pPr>
        <w:tabs>
          <w:tab w:val="left" w:pos="432"/>
        </w:tabs>
        <w:rPr>
          <w:color w:val="000000" w:themeColor="text1"/>
          <w14:textFill>
            <w14:solidFill>
              <w14:schemeClr w14:val="tx1"/>
            </w14:solidFill>
          </w14:textFill>
        </w:rPr>
      </w:pPr>
    </w:p>
    <w:p w14:paraId="5E3B10C2">
      <w:pPr>
        <w:rPr>
          <w:color w:val="000000" w:themeColor="text1"/>
          <w14:textFill>
            <w14:solidFill>
              <w14:schemeClr w14:val="tx1"/>
            </w14:solidFill>
          </w14:textFill>
        </w:rPr>
      </w:pPr>
    </w:p>
    <w:p w14:paraId="1AFED040">
      <w:pPr>
        <w:tabs>
          <w:tab w:val="left" w:pos="432"/>
        </w:tabs>
        <w:rPr>
          <w:color w:val="000000" w:themeColor="text1"/>
          <w14:textFill>
            <w14:solidFill>
              <w14:schemeClr w14:val="tx1"/>
            </w14:solidFill>
          </w14:textFill>
        </w:rPr>
      </w:pPr>
    </w:p>
    <w:p w14:paraId="3C87DEB3">
      <w:pPr>
        <w:jc w:val="center"/>
        <w:rPr>
          <w:rFonts w:ascii="宋体" w:hAnsi="宋体" w:cs="宋体"/>
          <w:b/>
          <w:color w:val="000000" w:themeColor="text1"/>
          <w:kern w:val="0"/>
          <w:sz w:val="32"/>
          <w:szCs w:val="32"/>
          <w14:textFill>
            <w14:solidFill>
              <w14:schemeClr w14:val="tx1"/>
            </w14:solidFill>
          </w14:textFill>
        </w:rPr>
      </w:pPr>
    </w:p>
    <w:p w14:paraId="43773C63">
      <w:pPr>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四、符合性审查资料</w:t>
      </w:r>
    </w:p>
    <w:p w14:paraId="5054871E">
      <w:pPr>
        <w:jc w:val="center"/>
        <w:rPr>
          <w:rFonts w:ascii="宋体" w:hAnsi="宋体" w:cs="宋体"/>
          <w:b/>
          <w:color w:val="000000" w:themeColor="text1"/>
          <w:kern w:val="0"/>
          <w:sz w:val="32"/>
          <w:szCs w:val="32"/>
          <w14:textFill>
            <w14:solidFill>
              <w14:schemeClr w14:val="tx1"/>
            </w14:solidFill>
          </w14:textFill>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393"/>
        <w:gridCol w:w="2736"/>
        <w:gridCol w:w="1831"/>
      </w:tblGrid>
      <w:tr w14:paraId="3BED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5D06BFB">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4393" w:type="dxa"/>
            <w:vAlign w:val="center"/>
          </w:tcPr>
          <w:p w14:paraId="37CB4D1B">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实质性要求</w:t>
            </w:r>
          </w:p>
        </w:tc>
        <w:tc>
          <w:tcPr>
            <w:tcW w:w="2736" w:type="dxa"/>
            <w:vAlign w:val="center"/>
          </w:tcPr>
          <w:p w14:paraId="0D59E53F">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需要提供的符合性审查资料</w:t>
            </w:r>
          </w:p>
        </w:tc>
        <w:tc>
          <w:tcPr>
            <w:tcW w:w="1831" w:type="dxa"/>
            <w:vAlign w:val="center"/>
          </w:tcPr>
          <w:p w14:paraId="4CBC4C98">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投标文件中的</w:t>
            </w:r>
          </w:p>
          <w:p w14:paraId="6ED35196">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页码位置</w:t>
            </w:r>
          </w:p>
        </w:tc>
      </w:tr>
      <w:tr w14:paraId="6662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E51E6B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393" w:type="dxa"/>
          </w:tcPr>
          <w:p w14:paraId="170BFC74">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投标文件按照招标文件要求签署、盖章。</w:t>
            </w:r>
          </w:p>
        </w:tc>
        <w:tc>
          <w:tcPr>
            <w:tcW w:w="2736" w:type="dxa"/>
            <w:vAlign w:val="center"/>
          </w:tcPr>
          <w:p w14:paraId="41E0B40D">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需要使用电子签名或者签字盖章的投标文件的组成部分</w:t>
            </w:r>
          </w:p>
        </w:tc>
        <w:tc>
          <w:tcPr>
            <w:tcW w:w="1831" w:type="dxa"/>
          </w:tcPr>
          <w:p w14:paraId="64681C41">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p w14:paraId="0910D909">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r w14:paraId="1FE0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B0DC77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393" w:type="dxa"/>
          </w:tcPr>
          <w:p w14:paraId="5AA9E743">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投标文件中承诺的投标有效期不少于招标文件中载明的投标有效期。</w:t>
            </w:r>
          </w:p>
        </w:tc>
        <w:tc>
          <w:tcPr>
            <w:tcW w:w="2736" w:type="dxa"/>
            <w:vAlign w:val="center"/>
          </w:tcPr>
          <w:p w14:paraId="4319D6A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投标函</w:t>
            </w:r>
          </w:p>
        </w:tc>
        <w:tc>
          <w:tcPr>
            <w:tcW w:w="1831" w:type="dxa"/>
          </w:tcPr>
          <w:p w14:paraId="514D5C73">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r w14:paraId="191C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4438BC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393" w:type="dxa"/>
          </w:tcPr>
          <w:p w14:paraId="2E561627">
            <w:pPr>
              <w:rPr>
                <w:rFonts w:ascii="宋体" w:hAnsi="宋体" w:cs="宋体"/>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其他实质性要求1：</w:t>
            </w:r>
          </w:p>
        </w:tc>
        <w:tc>
          <w:tcPr>
            <w:tcW w:w="2736" w:type="dxa"/>
            <w:vMerge w:val="restart"/>
            <w:vAlign w:val="center"/>
          </w:tcPr>
          <w:p w14:paraId="379CAD3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招标文件其它实质性要求相应的材料（“▲” 系指实质性要求条款，招标文件无其它实质性要求的，无需提供）</w:t>
            </w:r>
          </w:p>
        </w:tc>
        <w:tc>
          <w:tcPr>
            <w:tcW w:w="1831" w:type="dxa"/>
          </w:tcPr>
          <w:p w14:paraId="10AEB330">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r w14:paraId="3DD7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CA42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393" w:type="dxa"/>
          </w:tcPr>
          <w:p w14:paraId="4E11ADAD">
            <w:pPr>
              <w:rPr>
                <w:rFonts w:ascii="宋体" w:hAnsi="宋体" w:cs="宋体"/>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其他实质性要求2：</w:t>
            </w:r>
          </w:p>
        </w:tc>
        <w:tc>
          <w:tcPr>
            <w:tcW w:w="2736" w:type="dxa"/>
            <w:vMerge w:val="continue"/>
            <w:vAlign w:val="center"/>
          </w:tcPr>
          <w:p w14:paraId="1740B352">
            <w:pPr>
              <w:rPr>
                <w:rFonts w:ascii="宋体" w:hAnsi="宋体" w:cs="宋体"/>
                <w:color w:val="000000" w:themeColor="text1"/>
                <w:sz w:val="24"/>
                <w14:textFill>
                  <w14:solidFill>
                    <w14:schemeClr w14:val="tx1"/>
                  </w14:solidFill>
                </w14:textFill>
              </w:rPr>
            </w:pPr>
          </w:p>
        </w:tc>
        <w:tc>
          <w:tcPr>
            <w:tcW w:w="1831" w:type="dxa"/>
          </w:tcPr>
          <w:p w14:paraId="282C12BA">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r w14:paraId="0D8F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EF2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4393" w:type="dxa"/>
          </w:tcPr>
          <w:p w14:paraId="32F2E810">
            <w:pPr>
              <w:rPr>
                <w:rFonts w:ascii="宋体" w:hAnsi="宋体" w:cs="宋体"/>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其他实质性要求</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snapToGrid w:val="0"/>
                <w:color w:val="000000" w:themeColor="text1"/>
                <w:sz w:val="24"/>
                <w14:textFill>
                  <w14:solidFill>
                    <w14:schemeClr w14:val="tx1"/>
                  </w14:solidFill>
                </w14:textFill>
              </w:rPr>
              <w:t>：</w:t>
            </w:r>
          </w:p>
        </w:tc>
        <w:tc>
          <w:tcPr>
            <w:tcW w:w="2736" w:type="dxa"/>
            <w:vMerge w:val="continue"/>
            <w:vAlign w:val="center"/>
          </w:tcPr>
          <w:p w14:paraId="2BBD846E">
            <w:pPr>
              <w:rPr>
                <w:rFonts w:ascii="宋体" w:hAnsi="宋体" w:cs="宋体"/>
                <w:color w:val="000000" w:themeColor="text1"/>
                <w:sz w:val="24"/>
                <w14:textFill>
                  <w14:solidFill>
                    <w14:schemeClr w14:val="tx1"/>
                  </w14:solidFill>
                </w14:textFill>
              </w:rPr>
            </w:pPr>
          </w:p>
        </w:tc>
        <w:tc>
          <w:tcPr>
            <w:tcW w:w="1831" w:type="dxa"/>
          </w:tcPr>
          <w:p w14:paraId="208E48E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bl>
    <w:p w14:paraId="57AEE124">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注：1.按本格式和要求提供。</w:t>
      </w:r>
    </w:p>
    <w:p w14:paraId="6B00122B">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2.招标文件中实质性要求必须明确响应。</w:t>
      </w:r>
    </w:p>
    <w:p w14:paraId="7CC5F1A1">
      <w:pPr>
        <w:pStyle w:val="79"/>
        <w:rPr>
          <w:color w:val="000000" w:themeColor="text1"/>
          <w14:textFill>
            <w14:solidFill>
              <w14:schemeClr w14:val="tx1"/>
            </w14:solidFill>
          </w14:textFill>
        </w:rPr>
      </w:pPr>
    </w:p>
    <w:p w14:paraId="50D3B0FD">
      <w:pPr>
        <w:jc w:val="center"/>
        <w:rPr>
          <w:rFonts w:ascii="宋体" w:hAnsi="宋体" w:cs="宋体"/>
          <w:b/>
          <w:color w:val="000000" w:themeColor="text1"/>
          <w:kern w:val="0"/>
          <w:sz w:val="32"/>
          <w:szCs w:val="32"/>
          <w14:textFill>
            <w14:solidFill>
              <w14:schemeClr w14:val="tx1"/>
            </w14:solidFill>
          </w14:textFill>
        </w:rPr>
      </w:pPr>
    </w:p>
    <w:p w14:paraId="6439AB5B">
      <w:pPr>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 xml:space="preserve">            </w:t>
      </w:r>
    </w:p>
    <w:p w14:paraId="136FACE9">
      <w:pP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br w:type="page"/>
      </w:r>
    </w:p>
    <w:p w14:paraId="3E491ADF">
      <w:pPr>
        <w:jc w:val="center"/>
        <w:rPr>
          <w:rFonts w:ascii="宋体" w:hAnsi="宋体" w:cs="宋体"/>
          <w:color w:val="000000" w:themeColor="text1"/>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五、评标标准相应的商务技术资料</w:t>
      </w:r>
    </w:p>
    <w:p w14:paraId="1598A7A5">
      <w:pPr>
        <w:snapToGrid w:val="0"/>
        <w:spacing w:line="360" w:lineRule="auto"/>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A48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74" w:type="dxa"/>
            <w:vAlign w:val="center"/>
          </w:tcPr>
          <w:p w14:paraId="1C64151F">
            <w:pPr>
              <w:snapToGrid w:val="0"/>
              <w:jc w:val="center"/>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序号</w:t>
            </w:r>
          </w:p>
        </w:tc>
        <w:tc>
          <w:tcPr>
            <w:tcW w:w="5465" w:type="dxa"/>
            <w:vAlign w:val="center"/>
          </w:tcPr>
          <w:p w14:paraId="468B183C">
            <w:pPr>
              <w:snapToGrid w:val="0"/>
              <w:jc w:val="center"/>
              <w:rPr>
                <w:rFonts w:ascii="宋体" w:hAnsi="宋体" w:cs="宋体"/>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投标文件中评标标准相应的商务技术资料目录*</w:t>
            </w:r>
          </w:p>
        </w:tc>
        <w:tc>
          <w:tcPr>
            <w:tcW w:w="3046" w:type="dxa"/>
            <w:vAlign w:val="center"/>
          </w:tcPr>
          <w:p w14:paraId="612D84B2">
            <w:pPr>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投标文件中的页码位置</w:t>
            </w:r>
          </w:p>
        </w:tc>
      </w:tr>
      <w:tr w14:paraId="037D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74" w:type="dxa"/>
            <w:vAlign w:val="center"/>
          </w:tcPr>
          <w:p w14:paraId="3B1A46D1">
            <w:pPr>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5465" w:type="dxa"/>
            <w:vAlign w:val="center"/>
          </w:tcPr>
          <w:p w14:paraId="7A1BA42D">
            <w:pPr>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XXX（预先填写）</w:t>
            </w:r>
          </w:p>
        </w:tc>
        <w:tc>
          <w:tcPr>
            <w:tcW w:w="3046" w:type="dxa"/>
            <w:vAlign w:val="center"/>
          </w:tcPr>
          <w:p w14:paraId="117653E7">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见投标文件第</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页</w:t>
            </w:r>
          </w:p>
        </w:tc>
      </w:tr>
      <w:tr w14:paraId="7330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74" w:type="dxa"/>
            <w:vAlign w:val="center"/>
          </w:tcPr>
          <w:p w14:paraId="7FD6C87B">
            <w:pPr>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5465" w:type="dxa"/>
            <w:vAlign w:val="center"/>
          </w:tcPr>
          <w:p w14:paraId="6DD60DE4">
            <w:pPr>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XXX</w:t>
            </w:r>
          </w:p>
        </w:tc>
        <w:tc>
          <w:tcPr>
            <w:tcW w:w="3046" w:type="dxa"/>
            <w:vAlign w:val="center"/>
          </w:tcPr>
          <w:p w14:paraId="47DFE3BB">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见投标文件第</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页</w:t>
            </w:r>
          </w:p>
        </w:tc>
      </w:tr>
      <w:tr w14:paraId="1A1C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74" w:type="dxa"/>
            <w:vAlign w:val="center"/>
          </w:tcPr>
          <w:p w14:paraId="20D9B777">
            <w:pPr>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5465" w:type="dxa"/>
            <w:vAlign w:val="center"/>
          </w:tcPr>
          <w:p w14:paraId="5B6018FC">
            <w:pPr>
              <w:snapToGrid w:val="0"/>
              <w:jc w:val="center"/>
              <w:rPr>
                <w:rFonts w:ascii="宋体" w:hAnsi="宋体" w:cs="宋体"/>
                <w:bCs/>
                <w:color w:val="000000" w:themeColor="text1"/>
                <w:sz w:val="24"/>
                <w14:textFill>
                  <w14:solidFill>
                    <w14:schemeClr w14:val="tx1"/>
                  </w14:solidFill>
                </w14:textFill>
              </w:rPr>
            </w:pPr>
          </w:p>
        </w:tc>
        <w:tc>
          <w:tcPr>
            <w:tcW w:w="3046" w:type="dxa"/>
            <w:vAlign w:val="center"/>
          </w:tcPr>
          <w:p w14:paraId="10AB63B3">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见投标文件第</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页</w:t>
            </w:r>
          </w:p>
        </w:tc>
      </w:tr>
    </w:tbl>
    <w:p w14:paraId="54CAAFB8">
      <w:pPr>
        <w:pStyle w:val="79"/>
        <w:rPr>
          <w:color w:val="000000" w:themeColor="text1"/>
          <w14:textFill>
            <w14:solidFill>
              <w14:schemeClr w14:val="tx1"/>
            </w14:solidFill>
          </w14:textFill>
        </w:rPr>
      </w:pPr>
    </w:p>
    <w:p w14:paraId="7EC41542">
      <w:pPr>
        <w:jc w:val="center"/>
        <w:rPr>
          <w:rFonts w:ascii="宋体" w:hAnsi="宋体" w:cs="宋体"/>
          <w:b/>
          <w:color w:val="000000" w:themeColor="text1"/>
          <w:kern w:val="0"/>
          <w:sz w:val="32"/>
          <w:szCs w:val="32"/>
          <w14:textFill>
            <w14:solidFill>
              <w14:schemeClr w14:val="tx1"/>
            </w14:solidFill>
          </w14:textFill>
        </w:rPr>
      </w:pPr>
    </w:p>
    <w:p w14:paraId="43708900">
      <w:pPr>
        <w:jc w:val="center"/>
        <w:rPr>
          <w:rFonts w:ascii="宋体" w:hAnsi="宋体" w:cs="宋体"/>
          <w:b/>
          <w:color w:val="000000" w:themeColor="text1"/>
          <w:kern w:val="0"/>
          <w:sz w:val="32"/>
          <w:szCs w:val="32"/>
          <w14:textFill>
            <w14:solidFill>
              <w14:schemeClr w14:val="tx1"/>
            </w14:solidFill>
          </w14:textFill>
        </w:rPr>
      </w:pPr>
    </w:p>
    <w:p w14:paraId="4F44A0F0">
      <w:pPr>
        <w:jc w:val="center"/>
        <w:rPr>
          <w:rFonts w:ascii="宋体" w:hAnsi="宋体" w:cs="宋体"/>
          <w:b/>
          <w:color w:val="000000" w:themeColor="text1"/>
          <w:kern w:val="0"/>
          <w:sz w:val="32"/>
          <w:szCs w:val="32"/>
          <w14:textFill>
            <w14:solidFill>
              <w14:schemeClr w14:val="tx1"/>
            </w14:solidFill>
          </w14:textFill>
        </w:rPr>
      </w:pPr>
    </w:p>
    <w:p w14:paraId="16DEEC29">
      <w:pPr>
        <w:ind w:firstLine="2891" w:firstLineChars="90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914"/>
        <w:gridCol w:w="1560"/>
        <w:gridCol w:w="1675"/>
        <w:gridCol w:w="1673"/>
      </w:tblGrid>
      <w:tr w14:paraId="12BC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11693A0">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A2A137A">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名称</w:t>
            </w:r>
          </w:p>
        </w:tc>
        <w:tc>
          <w:tcPr>
            <w:tcW w:w="1914" w:type="dxa"/>
            <w:tcBorders>
              <w:top w:val="single" w:color="auto" w:sz="4" w:space="0"/>
              <w:left w:val="single" w:color="auto" w:sz="4" w:space="0"/>
              <w:bottom w:val="single" w:color="auto" w:sz="4" w:space="0"/>
              <w:right w:val="single" w:color="auto" w:sz="4" w:space="0"/>
            </w:tcBorders>
            <w:vAlign w:val="center"/>
          </w:tcPr>
          <w:p w14:paraId="1B3A0B90">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品牌（如果有）</w:t>
            </w:r>
          </w:p>
        </w:tc>
        <w:tc>
          <w:tcPr>
            <w:tcW w:w="1560" w:type="dxa"/>
            <w:tcBorders>
              <w:top w:val="single" w:color="auto" w:sz="4" w:space="0"/>
              <w:left w:val="single" w:color="auto" w:sz="4" w:space="0"/>
              <w:bottom w:val="single" w:color="auto" w:sz="4" w:space="0"/>
              <w:right w:val="single" w:color="auto" w:sz="4" w:space="0"/>
            </w:tcBorders>
            <w:vAlign w:val="center"/>
          </w:tcPr>
          <w:p w14:paraId="1CDA42E5">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规格型号</w:t>
            </w:r>
          </w:p>
        </w:tc>
        <w:tc>
          <w:tcPr>
            <w:tcW w:w="1675" w:type="dxa"/>
            <w:tcBorders>
              <w:top w:val="single" w:color="auto" w:sz="4" w:space="0"/>
              <w:left w:val="single" w:color="auto" w:sz="4" w:space="0"/>
              <w:bottom w:val="single" w:color="auto" w:sz="4" w:space="0"/>
              <w:right w:val="single" w:color="auto" w:sz="4" w:space="0"/>
            </w:tcBorders>
            <w:vAlign w:val="center"/>
          </w:tcPr>
          <w:p w14:paraId="7C450BC7">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7FE1C128">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w:t>
            </w:r>
          </w:p>
        </w:tc>
      </w:tr>
      <w:tr w14:paraId="4809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69A805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369" w:type="dxa"/>
            <w:tcBorders>
              <w:top w:val="single" w:color="auto" w:sz="4" w:space="0"/>
              <w:left w:val="single" w:color="auto" w:sz="4" w:space="0"/>
              <w:bottom w:val="single" w:color="auto" w:sz="4" w:space="0"/>
              <w:right w:val="single" w:color="auto" w:sz="4" w:space="0"/>
            </w:tcBorders>
            <w:vAlign w:val="center"/>
          </w:tcPr>
          <w:p w14:paraId="003B88A5">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XXX（预先填写）</w:t>
            </w:r>
          </w:p>
        </w:tc>
        <w:tc>
          <w:tcPr>
            <w:tcW w:w="1914" w:type="dxa"/>
            <w:tcBorders>
              <w:top w:val="single" w:color="auto" w:sz="4" w:space="0"/>
              <w:left w:val="single" w:color="auto" w:sz="4" w:space="0"/>
              <w:bottom w:val="single" w:color="auto" w:sz="4" w:space="0"/>
              <w:right w:val="single" w:color="auto" w:sz="4" w:space="0"/>
            </w:tcBorders>
            <w:vAlign w:val="center"/>
          </w:tcPr>
          <w:p w14:paraId="06F5C40A">
            <w:pPr>
              <w:snapToGrid w:val="0"/>
              <w:jc w:val="center"/>
              <w:rPr>
                <w:rFonts w:ascii="宋体" w:hAnsi="宋体" w:cs="宋体"/>
                <w:color w:val="000000" w:themeColor="text1"/>
                <w:sz w:val="24"/>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1D6E598D">
            <w:pPr>
              <w:snapToGrid w:val="0"/>
              <w:jc w:val="center"/>
              <w:rPr>
                <w:rFonts w:ascii="宋体" w:hAnsi="宋体" w:cs="宋体"/>
                <w:color w:val="000000" w:themeColor="text1"/>
                <w:sz w:val="24"/>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14:paraId="2D6E34A1">
            <w:pPr>
              <w:jc w:val="center"/>
              <w:rPr>
                <w:rFonts w:ascii="宋体" w:hAnsi="宋体" w:cs="宋体"/>
                <w:color w:val="000000" w:themeColor="text1"/>
                <w:sz w:val="24"/>
                <w14:textFill>
                  <w14:solidFill>
                    <w14:schemeClr w14:val="tx1"/>
                  </w14:solidFill>
                </w14:textFill>
              </w:rPr>
            </w:pPr>
          </w:p>
        </w:tc>
        <w:tc>
          <w:tcPr>
            <w:tcW w:w="1673" w:type="dxa"/>
            <w:tcBorders>
              <w:top w:val="single" w:color="auto" w:sz="4" w:space="0"/>
              <w:left w:val="single" w:color="auto" w:sz="4" w:space="0"/>
              <w:bottom w:val="single" w:color="auto" w:sz="4" w:space="0"/>
              <w:right w:val="single" w:color="auto" w:sz="4" w:space="0"/>
            </w:tcBorders>
            <w:vAlign w:val="center"/>
          </w:tcPr>
          <w:p w14:paraId="77E5DAD7">
            <w:pPr>
              <w:jc w:val="center"/>
              <w:rPr>
                <w:rFonts w:ascii="宋体" w:hAnsi="宋体" w:cs="宋体"/>
                <w:color w:val="000000" w:themeColor="text1"/>
                <w:sz w:val="24"/>
                <w14:textFill>
                  <w14:solidFill>
                    <w14:schemeClr w14:val="tx1"/>
                  </w14:solidFill>
                </w14:textFill>
              </w:rPr>
            </w:pPr>
          </w:p>
        </w:tc>
      </w:tr>
      <w:tr w14:paraId="1111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B55E4F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369" w:type="dxa"/>
            <w:tcBorders>
              <w:top w:val="single" w:color="auto" w:sz="4" w:space="0"/>
              <w:left w:val="single" w:color="auto" w:sz="4" w:space="0"/>
              <w:bottom w:val="single" w:color="auto" w:sz="4" w:space="0"/>
              <w:right w:val="single" w:color="auto" w:sz="4" w:space="0"/>
            </w:tcBorders>
            <w:vAlign w:val="center"/>
          </w:tcPr>
          <w:p w14:paraId="193D11C0">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XXX</w:t>
            </w:r>
          </w:p>
        </w:tc>
        <w:tc>
          <w:tcPr>
            <w:tcW w:w="1914" w:type="dxa"/>
            <w:tcBorders>
              <w:top w:val="single" w:color="auto" w:sz="4" w:space="0"/>
              <w:left w:val="single" w:color="auto" w:sz="4" w:space="0"/>
              <w:bottom w:val="single" w:color="auto" w:sz="4" w:space="0"/>
              <w:right w:val="single" w:color="auto" w:sz="4" w:space="0"/>
            </w:tcBorders>
            <w:vAlign w:val="center"/>
          </w:tcPr>
          <w:p w14:paraId="56DEB390">
            <w:pPr>
              <w:snapToGrid w:val="0"/>
              <w:jc w:val="center"/>
              <w:rPr>
                <w:rFonts w:ascii="宋体" w:hAnsi="宋体" w:cs="宋体"/>
                <w:color w:val="000000" w:themeColor="text1"/>
                <w:sz w:val="24"/>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389B79B9">
            <w:pPr>
              <w:snapToGrid w:val="0"/>
              <w:jc w:val="center"/>
              <w:rPr>
                <w:rFonts w:ascii="宋体" w:hAnsi="宋体" w:cs="宋体"/>
                <w:color w:val="000000" w:themeColor="text1"/>
                <w:sz w:val="24"/>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14:paraId="3F9982F4">
            <w:pPr>
              <w:jc w:val="center"/>
              <w:rPr>
                <w:rFonts w:ascii="宋体" w:hAnsi="宋体" w:cs="宋体"/>
                <w:color w:val="000000" w:themeColor="text1"/>
                <w:sz w:val="24"/>
                <w14:textFill>
                  <w14:solidFill>
                    <w14:schemeClr w14:val="tx1"/>
                  </w14:solidFill>
                </w14:textFill>
              </w:rPr>
            </w:pPr>
          </w:p>
        </w:tc>
        <w:tc>
          <w:tcPr>
            <w:tcW w:w="1673" w:type="dxa"/>
            <w:tcBorders>
              <w:top w:val="single" w:color="auto" w:sz="4" w:space="0"/>
              <w:left w:val="single" w:color="auto" w:sz="4" w:space="0"/>
              <w:bottom w:val="single" w:color="auto" w:sz="4" w:space="0"/>
              <w:right w:val="single" w:color="auto" w:sz="4" w:space="0"/>
            </w:tcBorders>
            <w:vAlign w:val="center"/>
          </w:tcPr>
          <w:p w14:paraId="7F418ED2">
            <w:pPr>
              <w:jc w:val="center"/>
              <w:rPr>
                <w:rFonts w:ascii="宋体" w:hAnsi="宋体" w:cs="宋体"/>
                <w:color w:val="000000" w:themeColor="text1"/>
                <w:sz w:val="24"/>
                <w14:textFill>
                  <w14:solidFill>
                    <w14:schemeClr w14:val="tx1"/>
                  </w14:solidFill>
                </w14:textFill>
              </w:rPr>
            </w:pPr>
          </w:p>
        </w:tc>
      </w:tr>
      <w:tr w14:paraId="6713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814F61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369" w:type="dxa"/>
            <w:tcBorders>
              <w:top w:val="single" w:color="auto" w:sz="4" w:space="0"/>
              <w:left w:val="single" w:color="auto" w:sz="4" w:space="0"/>
              <w:bottom w:val="single" w:color="auto" w:sz="4" w:space="0"/>
              <w:right w:val="single" w:color="auto" w:sz="4" w:space="0"/>
            </w:tcBorders>
            <w:vAlign w:val="center"/>
          </w:tcPr>
          <w:p w14:paraId="3732DF46">
            <w:pPr>
              <w:snapToGrid w:val="0"/>
              <w:jc w:val="center"/>
              <w:rPr>
                <w:rFonts w:ascii="宋体" w:hAnsi="宋体" w:cs="宋体"/>
                <w:color w:val="000000" w:themeColor="text1"/>
                <w:sz w:val="24"/>
                <w14:textFill>
                  <w14:solidFill>
                    <w14:schemeClr w14:val="tx1"/>
                  </w14:solidFill>
                </w14:textFill>
              </w:rPr>
            </w:pPr>
          </w:p>
        </w:tc>
        <w:tc>
          <w:tcPr>
            <w:tcW w:w="1914" w:type="dxa"/>
            <w:tcBorders>
              <w:top w:val="single" w:color="auto" w:sz="4" w:space="0"/>
              <w:left w:val="single" w:color="auto" w:sz="4" w:space="0"/>
              <w:bottom w:val="single" w:color="auto" w:sz="4" w:space="0"/>
              <w:right w:val="single" w:color="auto" w:sz="4" w:space="0"/>
            </w:tcBorders>
            <w:vAlign w:val="center"/>
          </w:tcPr>
          <w:p w14:paraId="35AC5C5E">
            <w:pPr>
              <w:snapToGrid w:val="0"/>
              <w:jc w:val="center"/>
              <w:rPr>
                <w:rFonts w:ascii="宋体" w:hAnsi="宋体" w:cs="宋体"/>
                <w:color w:val="000000" w:themeColor="text1"/>
                <w:sz w:val="24"/>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3060571E">
            <w:pPr>
              <w:snapToGrid w:val="0"/>
              <w:jc w:val="center"/>
              <w:rPr>
                <w:rFonts w:ascii="宋体" w:hAnsi="宋体" w:cs="宋体"/>
                <w:color w:val="000000" w:themeColor="text1"/>
                <w:sz w:val="24"/>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14:paraId="7AFAF2FC">
            <w:pPr>
              <w:jc w:val="center"/>
              <w:rPr>
                <w:rFonts w:ascii="宋体" w:hAnsi="宋体" w:cs="宋体"/>
                <w:color w:val="000000" w:themeColor="text1"/>
                <w:sz w:val="24"/>
                <w14:textFill>
                  <w14:solidFill>
                    <w14:schemeClr w14:val="tx1"/>
                  </w14:solidFill>
                </w14:textFill>
              </w:rPr>
            </w:pPr>
          </w:p>
        </w:tc>
        <w:tc>
          <w:tcPr>
            <w:tcW w:w="1673" w:type="dxa"/>
            <w:tcBorders>
              <w:top w:val="single" w:color="auto" w:sz="4" w:space="0"/>
              <w:left w:val="single" w:color="auto" w:sz="4" w:space="0"/>
              <w:bottom w:val="single" w:color="auto" w:sz="4" w:space="0"/>
              <w:right w:val="single" w:color="auto" w:sz="4" w:space="0"/>
            </w:tcBorders>
            <w:vAlign w:val="center"/>
          </w:tcPr>
          <w:p w14:paraId="0848ACA1">
            <w:pPr>
              <w:jc w:val="center"/>
              <w:rPr>
                <w:rFonts w:ascii="宋体" w:hAnsi="宋体" w:cs="宋体"/>
                <w:color w:val="000000" w:themeColor="text1"/>
                <w:sz w:val="24"/>
                <w14:textFill>
                  <w14:solidFill>
                    <w14:schemeClr w14:val="tx1"/>
                  </w14:solidFill>
                </w14:textFill>
              </w:rPr>
            </w:pPr>
          </w:p>
        </w:tc>
      </w:tr>
    </w:tbl>
    <w:p w14:paraId="6B4B8443">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4B1DED4F">
      <w:pPr>
        <w:jc w:val="center"/>
        <w:rPr>
          <w:rFonts w:ascii="宋体" w:hAnsi="宋体" w:cs="宋体"/>
          <w:b/>
          <w:color w:val="000000" w:themeColor="text1"/>
          <w:kern w:val="0"/>
          <w:sz w:val="32"/>
          <w:szCs w:val="32"/>
          <w14:textFill>
            <w14:solidFill>
              <w14:schemeClr w14:val="tx1"/>
            </w14:solidFill>
          </w14:textFill>
        </w:rPr>
      </w:pPr>
    </w:p>
    <w:p w14:paraId="5625C9FD">
      <w:pPr>
        <w:jc w:val="center"/>
        <w:rPr>
          <w:rFonts w:ascii="宋体" w:hAnsi="宋体" w:cs="宋体"/>
          <w:b/>
          <w:color w:val="000000" w:themeColor="text1"/>
          <w:kern w:val="0"/>
          <w:sz w:val="32"/>
          <w:szCs w:val="32"/>
          <w14:textFill>
            <w14:solidFill>
              <w14:schemeClr w14:val="tx1"/>
            </w14:solidFill>
          </w14:textFill>
        </w:rPr>
      </w:pPr>
    </w:p>
    <w:p w14:paraId="02C2C408">
      <w:pP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br w:type="page"/>
      </w:r>
    </w:p>
    <w:p w14:paraId="04E72793">
      <w:pPr>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七、商务技术偏离表</w:t>
      </w:r>
    </w:p>
    <w:tbl>
      <w:tblPr>
        <w:tblStyle w:val="6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3612"/>
        <w:gridCol w:w="3479"/>
        <w:gridCol w:w="1252"/>
      </w:tblGrid>
      <w:tr w14:paraId="677B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6" w:type="pct"/>
          </w:tcPr>
          <w:p w14:paraId="32E5DC84">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1945" w:type="pct"/>
          </w:tcPr>
          <w:p w14:paraId="37498192">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招标文件章节及具体内容</w:t>
            </w:r>
          </w:p>
        </w:tc>
        <w:tc>
          <w:tcPr>
            <w:tcW w:w="1873" w:type="pct"/>
          </w:tcPr>
          <w:p w14:paraId="19FC8F87">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投标文件章节及具体内容</w:t>
            </w:r>
          </w:p>
        </w:tc>
        <w:tc>
          <w:tcPr>
            <w:tcW w:w="674" w:type="pct"/>
          </w:tcPr>
          <w:p w14:paraId="091AE2CC">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偏离说明</w:t>
            </w:r>
          </w:p>
        </w:tc>
      </w:tr>
      <w:tr w14:paraId="3C9B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0256D772">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1945" w:type="pct"/>
          </w:tcPr>
          <w:p w14:paraId="5893DEA5">
            <w:pPr>
              <w:jc w:val="center"/>
              <w:rPr>
                <w:rFonts w:ascii="宋体" w:hAnsi="宋体" w:cs="宋体"/>
                <w:b/>
                <w:color w:val="000000" w:themeColor="text1"/>
                <w:kern w:val="0"/>
                <w:sz w:val="32"/>
                <w:szCs w:val="32"/>
                <w14:textFill>
                  <w14:solidFill>
                    <w14:schemeClr w14:val="tx1"/>
                  </w14:solidFill>
                </w14:textFill>
              </w:rPr>
            </w:pPr>
          </w:p>
        </w:tc>
        <w:tc>
          <w:tcPr>
            <w:tcW w:w="1873" w:type="pct"/>
          </w:tcPr>
          <w:p w14:paraId="3BD13C8E">
            <w:pPr>
              <w:jc w:val="center"/>
              <w:rPr>
                <w:rFonts w:ascii="宋体" w:hAnsi="宋体" w:cs="宋体"/>
                <w:b/>
                <w:color w:val="000000" w:themeColor="text1"/>
                <w:kern w:val="0"/>
                <w:sz w:val="32"/>
                <w:szCs w:val="32"/>
                <w14:textFill>
                  <w14:solidFill>
                    <w14:schemeClr w14:val="tx1"/>
                  </w14:solidFill>
                </w14:textFill>
              </w:rPr>
            </w:pPr>
          </w:p>
        </w:tc>
        <w:tc>
          <w:tcPr>
            <w:tcW w:w="674" w:type="pct"/>
          </w:tcPr>
          <w:p w14:paraId="650CF18B">
            <w:pPr>
              <w:jc w:val="center"/>
              <w:rPr>
                <w:rFonts w:ascii="宋体" w:hAnsi="宋体" w:cs="宋体"/>
                <w:b/>
                <w:color w:val="000000" w:themeColor="text1"/>
                <w:kern w:val="0"/>
                <w:sz w:val="32"/>
                <w:szCs w:val="32"/>
                <w14:textFill>
                  <w14:solidFill>
                    <w14:schemeClr w14:val="tx1"/>
                  </w14:solidFill>
                </w14:textFill>
              </w:rPr>
            </w:pPr>
          </w:p>
        </w:tc>
      </w:tr>
      <w:tr w14:paraId="321A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2EB83072">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1945" w:type="pct"/>
          </w:tcPr>
          <w:p w14:paraId="6B2741E1">
            <w:pPr>
              <w:jc w:val="center"/>
              <w:rPr>
                <w:rFonts w:ascii="宋体" w:hAnsi="宋体" w:cs="宋体"/>
                <w:b/>
                <w:color w:val="000000" w:themeColor="text1"/>
                <w:kern w:val="0"/>
                <w:sz w:val="32"/>
                <w:szCs w:val="32"/>
                <w14:textFill>
                  <w14:solidFill>
                    <w14:schemeClr w14:val="tx1"/>
                  </w14:solidFill>
                </w14:textFill>
              </w:rPr>
            </w:pPr>
          </w:p>
        </w:tc>
        <w:tc>
          <w:tcPr>
            <w:tcW w:w="1873" w:type="pct"/>
          </w:tcPr>
          <w:p w14:paraId="5C1744FB">
            <w:pPr>
              <w:jc w:val="center"/>
              <w:rPr>
                <w:rFonts w:ascii="宋体" w:hAnsi="宋体" w:cs="宋体"/>
                <w:b/>
                <w:color w:val="000000" w:themeColor="text1"/>
                <w:kern w:val="0"/>
                <w:sz w:val="32"/>
                <w:szCs w:val="32"/>
                <w14:textFill>
                  <w14:solidFill>
                    <w14:schemeClr w14:val="tx1"/>
                  </w14:solidFill>
                </w14:textFill>
              </w:rPr>
            </w:pPr>
          </w:p>
        </w:tc>
        <w:tc>
          <w:tcPr>
            <w:tcW w:w="674" w:type="pct"/>
          </w:tcPr>
          <w:p w14:paraId="03BE2EEC">
            <w:pPr>
              <w:jc w:val="center"/>
              <w:rPr>
                <w:rFonts w:ascii="宋体" w:hAnsi="宋体" w:cs="宋体"/>
                <w:b/>
                <w:color w:val="000000" w:themeColor="text1"/>
                <w:kern w:val="0"/>
                <w:sz w:val="32"/>
                <w:szCs w:val="32"/>
                <w14:textFill>
                  <w14:solidFill>
                    <w14:schemeClr w14:val="tx1"/>
                  </w14:solidFill>
                </w14:textFill>
              </w:rPr>
            </w:pPr>
          </w:p>
        </w:tc>
      </w:tr>
      <w:tr w14:paraId="2EAF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49AF44E6">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1945" w:type="pct"/>
          </w:tcPr>
          <w:p w14:paraId="63F30D42">
            <w:pPr>
              <w:jc w:val="center"/>
              <w:rPr>
                <w:rFonts w:ascii="宋体" w:hAnsi="宋体" w:cs="宋体"/>
                <w:b/>
                <w:color w:val="000000" w:themeColor="text1"/>
                <w:kern w:val="0"/>
                <w:sz w:val="32"/>
                <w:szCs w:val="32"/>
                <w14:textFill>
                  <w14:solidFill>
                    <w14:schemeClr w14:val="tx1"/>
                  </w14:solidFill>
                </w14:textFill>
              </w:rPr>
            </w:pPr>
          </w:p>
        </w:tc>
        <w:tc>
          <w:tcPr>
            <w:tcW w:w="1873" w:type="pct"/>
          </w:tcPr>
          <w:p w14:paraId="7E5097C8">
            <w:pPr>
              <w:jc w:val="center"/>
              <w:rPr>
                <w:rFonts w:ascii="宋体" w:hAnsi="宋体" w:cs="宋体"/>
                <w:b/>
                <w:color w:val="000000" w:themeColor="text1"/>
                <w:kern w:val="0"/>
                <w:sz w:val="32"/>
                <w:szCs w:val="32"/>
                <w14:textFill>
                  <w14:solidFill>
                    <w14:schemeClr w14:val="tx1"/>
                  </w14:solidFill>
                </w14:textFill>
              </w:rPr>
            </w:pPr>
          </w:p>
        </w:tc>
        <w:tc>
          <w:tcPr>
            <w:tcW w:w="674" w:type="pct"/>
          </w:tcPr>
          <w:p w14:paraId="74DBC8B1">
            <w:pPr>
              <w:jc w:val="center"/>
              <w:rPr>
                <w:rFonts w:ascii="宋体" w:hAnsi="宋体" w:cs="宋体"/>
                <w:b/>
                <w:color w:val="000000" w:themeColor="text1"/>
                <w:kern w:val="0"/>
                <w:sz w:val="32"/>
                <w:szCs w:val="32"/>
                <w14:textFill>
                  <w14:solidFill>
                    <w14:schemeClr w14:val="tx1"/>
                  </w14:solidFill>
                </w14:textFill>
              </w:rPr>
            </w:pPr>
          </w:p>
        </w:tc>
      </w:tr>
    </w:tbl>
    <w:p w14:paraId="10056EB8">
      <w:pPr>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投标人保证：除商务技术偏离表列出的偏离外，投标人响应招标文件的全部要求</w:t>
      </w:r>
    </w:p>
    <w:p w14:paraId="3B754456">
      <w:pPr>
        <w:jc w:val="center"/>
        <w:rPr>
          <w:rFonts w:ascii="宋体" w:hAnsi="宋体" w:cs="宋体"/>
          <w:b/>
          <w:color w:val="000000" w:themeColor="text1"/>
          <w:kern w:val="0"/>
          <w:sz w:val="32"/>
          <w:szCs w:val="32"/>
          <w14:textFill>
            <w14:solidFill>
              <w14:schemeClr w14:val="tx1"/>
            </w14:solidFill>
          </w14:textFill>
        </w:rPr>
      </w:pPr>
    </w:p>
    <w:p w14:paraId="1CCB79A0">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注：1.按本格式和要求提供。</w:t>
      </w:r>
    </w:p>
    <w:p w14:paraId="4505B58F">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2.本表格所反映的偏离情况与“符合性审查资料”、“评标标准相应的商务技术资料”不一致的，以“符合性审查资料”、“评标标准相应的商务技术资料”为准。</w:t>
      </w:r>
    </w:p>
    <w:p w14:paraId="0712FEE7">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3.投标人须保证：除商务技术偏离表列出的偏离外，投标人响应招标文件的全部非实质性要求。</w:t>
      </w:r>
    </w:p>
    <w:p w14:paraId="7EC9901F">
      <w:pPr>
        <w:pStyle w:val="79"/>
        <w:rPr>
          <w:color w:val="000000" w:themeColor="text1"/>
          <w14:textFill>
            <w14:solidFill>
              <w14:schemeClr w14:val="tx1"/>
            </w14:solidFill>
          </w14:textFill>
        </w:rPr>
      </w:pPr>
    </w:p>
    <w:p w14:paraId="15AAFBE9">
      <w:pPr>
        <w:ind w:firstLine="1911" w:firstLineChars="595"/>
        <w:rPr>
          <w:rFonts w:ascii="宋体" w:hAnsi="宋体" w:cs="宋体"/>
          <w:b/>
          <w:bCs/>
          <w:color w:val="000000" w:themeColor="text1"/>
          <w:sz w:val="32"/>
          <w:szCs w:val="32"/>
          <w14:textFill>
            <w14:solidFill>
              <w14:schemeClr w14:val="tx1"/>
            </w14:solidFill>
          </w14:textFill>
        </w:rPr>
      </w:pPr>
    </w:p>
    <w:p w14:paraId="5B8EDCDB">
      <w:pPr>
        <w:ind w:firstLine="1911" w:firstLineChars="595"/>
        <w:rPr>
          <w:rFonts w:ascii="宋体" w:hAnsi="宋体" w:cs="宋体"/>
          <w:b/>
          <w:bCs/>
          <w:color w:val="000000" w:themeColor="text1"/>
          <w:sz w:val="32"/>
          <w:szCs w:val="32"/>
          <w14:textFill>
            <w14:solidFill>
              <w14:schemeClr w14:val="tx1"/>
            </w14:solidFill>
          </w14:textFill>
        </w:rPr>
      </w:pPr>
    </w:p>
    <w:p w14:paraId="12BB94C7">
      <w:pPr>
        <w:ind w:firstLine="1911" w:firstLineChars="595"/>
        <w:rPr>
          <w:rFonts w:ascii="宋体" w:hAnsi="宋体" w:cs="宋体"/>
          <w:b/>
          <w:bCs/>
          <w:color w:val="000000" w:themeColor="text1"/>
          <w:sz w:val="32"/>
          <w:szCs w:val="32"/>
          <w14:textFill>
            <w14:solidFill>
              <w14:schemeClr w14:val="tx1"/>
            </w14:solidFill>
          </w14:textFill>
        </w:rPr>
      </w:pPr>
    </w:p>
    <w:p w14:paraId="41475A41">
      <w:pPr>
        <w:ind w:firstLine="1911" w:firstLineChars="595"/>
        <w:rPr>
          <w:rFonts w:ascii="宋体" w:hAnsi="宋体" w:cs="宋体"/>
          <w:b/>
          <w:bCs/>
          <w:color w:val="000000" w:themeColor="text1"/>
          <w:sz w:val="32"/>
          <w:szCs w:val="32"/>
          <w14:textFill>
            <w14:solidFill>
              <w14:schemeClr w14:val="tx1"/>
            </w14:solidFill>
          </w14:textFill>
        </w:rPr>
      </w:pPr>
    </w:p>
    <w:p w14:paraId="695E3FC9">
      <w:pPr>
        <w:ind w:firstLine="1911" w:firstLineChars="595"/>
        <w:rPr>
          <w:rFonts w:ascii="宋体" w:hAnsi="宋体" w:cs="宋体"/>
          <w:b/>
          <w:bCs/>
          <w:color w:val="000000" w:themeColor="text1"/>
          <w:sz w:val="32"/>
          <w:szCs w:val="32"/>
          <w14:textFill>
            <w14:solidFill>
              <w14:schemeClr w14:val="tx1"/>
            </w14:solidFill>
          </w14:textFill>
        </w:rPr>
      </w:pPr>
    </w:p>
    <w:p w14:paraId="5FC1E97E">
      <w:pPr>
        <w:widowControl/>
        <w:adjustRightInd/>
        <w:jc w:val="left"/>
        <w:rPr>
          <w:rFonts w:ascii="宋体" w:hAnsi="宋体" w:cs="宋体"/>
          <w:b/>
          <w:bCs/>
          <w:color w:val="000000" w:themeColor="text1"/>
          <w:sz w:val="32"/>
          <w:szCs w:val="32"/>
          <w14:textFill>
            <w14:solidFill>
              <w14:schemeClr w14:val="tx1"/>
            </w14:solidFill>
          </w14:textFill>
        </w:rPr>
      </w:pPr>
      <w:r>
        <w:rPr>
          <w:rFonts w:ascii="宋体" w:hAnsi="宋体" w:cs="宋体"/>
          <w:b/>
          <w:bCs/>
          <w:color w:val="000000" w:themeColor="text1"/>
          <w:sz w:val="32"/>
          <w:szCs w:val="32"/>
          <w14:textFill>
            <w14:solidFill>
              <w14:schemeClr w14:val="tx1"/>
            </w14:solidFill>
          </w14:textFill>
        </w:rPr>
        <w:br w:type="page"/>
      </w:r>
    </w:p>
    <w:p w14:paraId="2D27810F">
      <w:pPr>
        <w:ind w:firstLine="1911" w:firstLineChars="595"/>
        <w:rPr>
          <w:rFonts w:ascii="宋体" w:hAnsi="宋体" w:cs="宋体"/>
          <w:b/>
          <w:color w:val="000000" w:themeColor="text1"/>
          <w:kern w:val="0"/>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八</w:t>
      </w:r>
      <w:r>
        <w:rPr>
          <w:rFonts w:hint="eastAsia" w:ascii="宋体" w:hAnsi="宋体" w:cs="宋体"/>
          <w:b/>
          <w:color w:val="000000" w:themeColor="text1"/>
          <w:kern w:val="0"/>
          <w:sz w:val="32"/>
          <w:szCs w:val="32"/>
          <w14:textFill>
            <w14:solidFill>
              <w14:schemeClr w14:val="tx1"/>
            </w14:solidFill>
          </w14:textFill>
        </w:rPr>
        <w:t>、</w:t>
      </w:r>
      <w:r>
        <w:rPr>
          <w:rFonts w:hint="eastAsia" w:ascii="宋体" w:hAnsi="宋体" w:cs="宋体"/>
          <w:b/>
          <w:color w:val="000000" w:themeColor="text1"/>
          <w:kern w:val="0"/>
          <w:sz w:val="32"/>
          <w:szCs w:val="32"/>
          <w:lang w:val="zh-CN"/>
          <w14:textFill>
            <w14:solidFill>
              <w14:schemeClr w14:val="tx1"/>
            </w14:solidFill>
          </w14:textFill>
        </w:rPr>
        <w:t>政府采购供应商廉洁自律承诺书</w:t>
      </w:r>
    </w:p>
    <w:p w14:paraId="5F8EE0B5">
      <w:pPr>
        <w:snapToGrid w:val="0"/>
        <w:spacing w:line="360" w:lineRule="auto"/>
        <w:rPr>
          <w:rFonts w:ascii="宋体" w:hAnsi="宋体" w:cs="宋体"/>
          <w:color w:val="000000" w:themeColor="text1"/>
          <w:sz w:val="24"/>
          <w14:textFill>
            <w14:solidFill>
              <w14:schemeClr w14:val="tx1"/>
            </w14:solidFill>
          </w14:textFill>
        </w:rPr>
      </w:pPr>
    </w:p>
    <w:p w14:paraId="074F6BCE">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浙江水利水电学院、浙江豪圣建设项目管理有限公司</w:t>
      </w:r>
      <w:r>
        <w:rPr>
          <w:rFonts w:hint="eastAsia" w:ascii="宋体" w:hAnsi="宋体" w:cs="宋体"/>
          <w:color w:val="000000" w:themeColor="text1"/>
          <w:kern w:val="0"/>
          <w:sz w:val="24"/>
          <w:lang w:val="zh-CN"/>
          <w14:textFill>
            <w14:solidFill>
              <w14:schemeClr w14:val="tx1"/>
            </w14:solidFill>
          </w14:textFill>
        </w:rPr>
        <w:t>：</w:t>
      </w:r>
    </w:p>
    <w:p w14:paraId="0CE76E78">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我单位响应你</w:t>
      </w:r>
      <w:r>
        <w:rPr>
          <w:rFonts w:hint="eastAsia" w:ascii="宋体" w:hAnsi="宋体" w:cs="宋体"/>
          <w:color w:val="000000" w:themeColor="text1"/>
          <w:sz w:val="24"/>
          <w14:textFill>
            <w14:solidFill>
              <w14:schemeClr w14:val="tx1"/>
            </w14:solidFill>
          </w14:textFill>
        </w:rPr>
        <w:t>单位</w:t>
      </w:r>
      <w:r>
        <w:rPr>
          <w:rFonts w:hint="eastAsia" w:ascii="宋体" w:hAnsi="宋体" w:cs="宋体"/>
          <w:color w:val="000000" w:themeColor="text1"/>
          <w:kern w:val="0"/>
          <w:sz w:val="24"/>
          <w:lang w:val="zh-CN"/>
          <w14:textFill>
            <w14:solidFill>
              <w14:schemeClr w14:val="tx1"/>
            </w14:solidFill>
          </w14:textFill>
        </w:rPr>
        <w:t>项目招标要求参加投标。在这次投标过程中和中标后，我们将严格遵守国家法律法规要求，并郑重承诺：</w:t>
      </w:r>
    </w:p>
    <w:p w14:paraId="2585A0A7">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一、不向项目有关人员及部门赠送礼金礼物、有价证券、回扣以及中介费、介绍费、咨询费等好处费； </w:t>
      </w:r>
    </w:p>
    <w:p w14:paraId="1270DCD8">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二、不为项目有关人员及部门报销应由你方单位或个人支付的费用； </w:t>
      </w:r>
    </w:p>
    <w:p w14:paraId="0ED50A76">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三、不向项目有关人员及部门提供有可能影响公正的宴请和健身娱乐等活动； </w:t>
      </w:r>
    </w:p>
    <w:p w14:paraId="1DFF08FE">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四、不为项目有关人员及部门出国（境）、旅游等提供方便；</w:t>
      </w:r>
    </w:p>
    <w:p w14:paraId="5C08AD9F">
      <w:pPr>
        <w:autoSpaceDE w:val="0"/>
        <w:autoSpaceDN w:val="0"/>
        <w:spacing w:line="360" w:lineRule="auto"/>
        <w:ind w:left="481" w:leftChars="229"/>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五、不为项目有关人员个人装修住房、婚丧嫁娶、配偶子女工作安排等提供</w:t>
      </w:r>
    </w:p>
    <w:p w14:paraId="53F99330">
      <w:pPr>
        <w:autoSpaceDE w:val="0"/>
        <w:autoSpaceDN w:val="0"/>
        <w:spacing w:line="360" w:lineRule="auto"/>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好处；</w:t>
      </w:r>
    </w:p>
    <w:p w14:paraId="28907DE4">
      <w:pPr>
        <w:autoSpaceDE w:val="0"/>
        <w:autoSpaceDN w:val="0"/>
        <w:spacing w:line="360" w:lineRule="auto"/>
        <w:ind w:left="481" w:leftChars="229"/>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六、严格遵守《</w:t>
      </w:r>
      <w:r>
        <w:rPr>
          <w:rFonts w:hint="eastAsia" w:ascii="宋体" w:hAnsi="宋体" w:cs="宋体"/>
          <w:color w:val="000000" w:themeColor="text1"/>
          <w:sz w:val="24"/>
          <w:lang w:val="zh-CN"/>
          <w14:textFill>
            <w14:solidFill>
              <w14:schemeClr w14:val="tx1"/>
            </w14:solidFill>
          </w14:textFill>
        </w:rPr>
        <w:t>中华人民共和国</w:t>
      </w:r>
      <w:r>
        <w:rPr>
          <w:rFonts w:hint="eastAsia" w:ascii="宋体" w:hAnsi="宋体" w:cs="宋体"/>
          <w:color w:val="000000" w:themeColor="text1"/>
          <w:kern w:val="0"/>
          <w:sz w:val="24"/>
          <w:lang w:val="zh-CN"/>
          <w14:textFill>
            <w14:solidFill>
              <w14:schemeClr w14:val="tx1"/>
            </w14:solidFill>
          </w14:textFill>
        </w:rPr>
        <w:t>政府采购法》《</w:t>
      </w:r>
      <w:r>
        <w:rPr>
          <w:rFonts w:hint="eastAsia" w:ascii="宋体" w:hAnsi="宋体" w:cs="宋体"/>
          <w:color w:val="000000" w:themeColor="text1"/>
          <w:sz w:val="24"/>
          <w:lang w:val="zh-CN"/>
          <w14:textFill>
            <w14:solidFill>
              <w14:schemeClr w14:val="tx1"/>
            </w14:solidFill>
          </w14:textFill>
        </w:rPr>
        <w:t>中华人民共和国</w:t>
      </w:r>
      <w:r>
        <w:rPr>
          <w:rFonts w:hint="eastAsia" w:ascii="宋体" w:hAnsi="宋体" w:cs="宋体"/>
          <w:color w:val="000000" w:themeColor="text1"/>
          <w:kern w:val="0"/>
          <w:sz w:val="24"/>
          <w:lang w:val="zh-CN"/>
          <w14:textFill>
            <w14:solidFill>
              <w14:schemeClr w14:val="tx1"/>
            </w14:solidFill>
          </w14:textFill>
        </w:rPr>
        <w:t>招标投标</w:t>
      </w:r>
    </w:p>
    <w:p w14:paraId="4A3A6B6B">
      <w:pPr>
        <w:autoSpaceDE w:val="0"/>
        <w:autoSpaceDN w:val="0"/>
        <w:spacing w:line="360" w:lineRule="auto"/>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法》</w:t>
      </w:r>
      <w:r>
        <w:rPr>
          <w:rFonts w:hint="eastAsia" w:ascii="宋体" w:hAnsi="宋体" w:cs="宋体"/>
          <w:color w:val="000000" w:themeColor="text1"/>
          <w:sz w:val="24"/>
          <w:lang w:val="zh-CN"/>
          <w14:textFill>
            <w14:solidFill>
              <w14:schemeClr w14:val="tx1"/>
            </w14:solidFill>
          </w14:textFill>
        </w:rPr>
        <w:t>《中华人民共和国民法典》</w:t>
      </w:r>
      <w:r>
        <w:rPr>
          <w:rFonts w:hint="eastAsia" w:ascii="宋体" w:hAnsi="宋体" w:cs="宋体"/>
          <w:color w:val="000000" w:themeColor="text1"/>
          <w:kern w:val="0"/>
          <w:sz w:val="24"/>
          <w:lang w:val="zh-CN"/>
          <w14:textFill>
            <w14:solidFill>
              <w14:schemeClr w14:val="tx1"/>
            </w14:solidFill>
          </w14:textFill>
        </w:rPr>
        <w:t xml:space="preserve">等法律法规，诚实守信，合法经营，坚决抵制各种违法违纪行为。 </w:t>
      </w:r>
    </w:p>
    <w:p w14:paraId="3E37CEAC">
      <w:pPr>
        <w:autoSpaceDE w:val="0"/>
        <w:autoSpaceDN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如违反上述承诺，你</w:t>
      </w:r>
      <w:r>
        <w:rPr>
          <w:rFonts w:hint="eastAsia" w:ascii="宋体" w:hAnsi="宋体" w:cs="宋体"/>
          <w:color w:val="000000" w:themeColor="text1"/>
          <w:sz w:val="24"/>
          <w14:textFill>
            <w14:solidFill>
              <w14:schemeClr w14:val="tx1"/>
            </w14:solidFill>
          </w14:textFill>
        </w:rPr>
        <w:t>单位</w:t>
      </w:r>
      <w:r>
        <w:rPr>
          <w:rFonts w:hint="eastAsia" w:ascii="宋体" w:hAnsi="宋体" w:cs="宋体"/>
          <w:color w:val="000000" w:themeColor="text1"/>
          <w:kern w:val="0"/>
          <w:sz w:val="24"/>
          <w:lang w:val="zh-CN"/>
          <w14:textFill>
            <w14:solidFill>
              <w14:schemeClr w14:val="tx1"/>
            </w14:solidFill>
          </w14:textFill>
        </w:rPr>
        <w:t>有权立即取消我单位投标、中标或在建项目的建设资格，有权拒绝我单位在一定时期内进入你</w:t>
      </w:r>
      <w:r>
        <w:rPr>
          <w:rFonts w:hint="eastAsia" w:ascii="宋体" w:hAnsi="宋体" w:cs="宋体"/>
          <w:color w:val="000000" w:themeColor="text1"/>
          <w:sz w:val="24"/>
          <w14:textFill>
            <w14:solidFill>
              <w14:schemeClr w14:val="tx1"/>
            </w14:solidFill>
          </w14:textFill>
        </w:rPr>
        <w:t>单位</w:t>
      </w:r>
      <w:r>
        <w:rPr>
          <w:rFonts w:hint="eastAsia" w:ascii="宋体" w:hAnsi="宋体" w:cs="宋体"/>
          <w:color w:val="000000" w:themeColor="text1"/>
          <w:kern w:val="0"/>
          <w:sz w:val="24"/>
          <w:lang w:val="zh-CN"/>
          <w14:textFill>
            <w14:solidFill>
              <w14:schemeClr w14:val="tx1"/>
            </w14:solidFill>
          </w14:textFill>
        </w:rPr>
        <w:t>进行项目建设或其他经营活动，并通报市财政局。由此引起的相应损失均由我单位承担。</w:t>
      </w:r>
    </w:p>
    <w:p w14:paraId="7E007E6A">
      <w:pPr>
        <w:autoSpaceDE w:val="0"/>
        <w:autoSpaceDN w:val="0"/>
        <w:spacing w:line="360" w:lineRule="auto"/>
        <w:ind w:left="2"/>
        <w:jc w:val="left"/>
        <w:rPr>
          <w:rFonts w:ascii="宋体" w:hAnsi="宋体" w:cs="宋体"/>
          <w:color w:val="000000" w:themeColor="text1"/>
          <w:kern w:val="0"/>
          <w:sz w:val="24"/>
          <w:lang w:val="zh-CN"/>
          <w14:textFill>
            <w14:solidFill>
              <w14:schemeClr w14:val="tx1"/>
            </w14:solidFill>
          </w14:textFill>
        </w:rPr>
      </w:pPr>
    </w:p>
    <w:p w14:paraId="73FE91DB">
      <w:pPr>
        <w:autoSpaceDE w:val="0"/>
        <w:autoSpaceDN w:val="0"/>
        <w:spacing w:line="360" w:lineRule="auto"/>
        <w:ind w:left="2"/>
        <w:jc w:val="left"/>
        <w:rPr>
          <w:rFonts w:ascii="宋体" w:hAnsi="宋体" w:cs="宋体"/>
          <w:color w:val="000000" w:themeColor="text1"/>
          <w:kern w:val="0"/>
          <w:sz w:val="24"/>
          <w:lang w:val="zh-CN"/>
          <w14:textFill>
            <w14:solidFill>
              <w14:schemeClr w14:val="tx1"/>
            </w14:solidFill>
          </w14:textFill>
        </w:rPr>
      </w:pPr>
    </w:p>
    <w:p w14:paraId="082E6763">
      <w:pPr>
        <w:autoSpaceDE w:val="0"/>
        <w:autoSpaceDN w:val="0"/>
        <w:spacing w:line="360" w:lineRule="auto"/>
        <w:ind w:left="2"/>
        <w:jc w:val="left"/>
        <w:rPr>
          <w:rFonts w:ascii="宋体" w:hAnsi="宋体" w:cs="宋体"/>
          <w:color w:val="000000" w:themeColor="text1"/>
          <w:kern w:val="0"/>
          <w:sz w:val="24"/>
          <w:lang w:val="zh-CN"/>
          <w14:textFill>
            <w14:solidFill>
              <w14:schemeClr w14:val="tx1"/>
            </w14:solidFill>
          </w14:textFill>
        </w:rPr>
      </w:pPr>
    </w:p>
    <w:p w14:paraId="7740F8EF">
      <w:pPr>
        <w:autoSpaceDE w:val="0"/>
        <w:autoSpaceDN w:val="0"/>
        <w:spacing w:line="360" w:lineRule="auto"/>
        <w:ind w:left="2" w:leftChars="1" w:right="1120" w:firstLine="4560" w:firstLineChars="19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投标人名称（</w:t>
      </w:r>
      <w:r>
        <w:rPr>
          <w:rFonts w:hint="eastAsia" w:ascii="宋体" w:hAnsi="宋体" w:cs="宋体"/>
          <w:color w:val="000000" w:themeColor="text1"/>
          <w:sz w:val="24"/>
          <w14:textFill>
            <w14:solidFill>
              <w14:schemeClr w14:val="tx1"/>
            </w14:solidFill>
          </w14:textFill>
        </w:rPr>
        <w:t>电子签名</w:t>
      </w:r>
      <w:r>
        <w:rPr>
          <w:rFonts w:hint="eastAsia" w:ascii="宋体" w:hAnsi="宋体" w:cs="宋体"/>
          <w:color w:val="000000" w:themeColor="text1"/>
          <w:kern w:val="0"/>
          <w:sz w:val="24"/>
          <w:lang w:val="zh-CN"/>
          <w14:textFill>
            <w14:solidFill>
              <w14:schemeClr w14:val="tx1"/>
            </w14:solidFill>
          </w14:textFill>
        </w:rPr>
        <w:t xml:space="preserve">）：                                                                                                                                                                                                               </w:t>
      </w:r>
    </w:p>
    <w:p w14:paraId="129ADCF7">
      <w:pPr>
        <w:spacing w:line="360" w:lineRule="auto"/>
        <w:ind w:left="4620" w:leftChars="2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 xml:space="preserve">   年   月   日</w:t>
      </w:r>
    </w:p>
    <w:p w14:paraId="5A1BB82F">
      <w:pPr>
        <w:spacing w:line="360" w:lineRule="auto"/>
        <w:jc w:val="center"/>
        <w:rPr>
          <w:rFonts w:ascii="宋体" w:hAnsi="宋体" w:cs="宋体"/>
          <w:b/>
          <w:bCs/>
          <w:color w:val="000000" w:themeColor="text1"/>
          <w:sz w:val="24"/>
          <w14:textFill>
            <w14:solidFill>
              <w14:schemeClr w14:val="tx1"/>
            </w14:solidFill>
          </w14:textFill>
        </w:rPr>
      </w:pPr>
    </w:p>
    <w:p w14:paraId="7475D5B6">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6794A3DF">
      <w:pPr>
        <w:spacing w:line="360" w:lineRule="auto"/>
        <w:jc w:val="center"/>
        <w:rPr>
          <w:rFonts w:ascii="宋体" w:hAnsi="宋体" w:cs="宋体"/>
          <w:b/>
          <w:bCs/>
          <w:color w:val="000000" w:themeColor="text1"/>
          <w:sz w:val="24"/>
          <w14:textFill>
            <w14:solidFill>
              <w14:schemeClr w14:val="tx1"/>
            </w14:solidFill>
          </w14:textFill>
        </w:rPr>
        <w:sectPr>
          <w:headerReference r:id="rId14" w:type="first"/>
          <w:footerReference r:id="rId16" w:type="first"/>
          <w:headerReference r:id="rId13" w:type="default"/>
          <w:footerReference r:id="rId15" w:type="default"/>
          <w:pgSz w:w="11906" w:h="16838"/>
          <w:pgMar w:top="1276" w:right="1418" w:bottom="1247" w:left="1418" w:header="851" w:footer="992" w:gutter="0"/>
          <w:cols w:space="720" w:num="1"/>
          <w:titlePg/>
          <w:docGrid w:linePitch="312" w:charSpace="0"/>
        </w:sectPr>
      </w:pPr>
    </w:p>
    <w:p w14:paraId="5322FCB8">
      <w:pPr>
        <w:spacing w:line="360" w:lineRule="auto"/>
        <w:jc w:val="center"/>
        <w:outlineLvl w:val="1"/>
        <w:rPr>
          <w:rFonts w:ascii="宋体" w:hAnsi="宋体" w:cs="宋体"/>
          <w:b/>
          <w:color w:val="000000" w:themeColor="text1"/>
          <w:kern w:val="0"/>
          <w:sz w:val="36"/>
          <w:szCs w:val="36"/>
          <w14:textFill>
            <w14:solidFill>
              <w14:schemeClr w14:val="tx1"/>
            </w14:solidFill>
          </w14:textFill>
        </w:rPr>
      </w:pPr>
      <w:bookmarkStart w:id="412" w:name="_Toc465665161"/>
      <w:r>
        <w:rPr>
          <w:rFonts w:hint="eastAsia" w:ascii="宋体" w:hAnsi="宋体" w:cs="宋体"/>
          <w:b/>
          <w:color w:val="000000" w:themeColor="text1"/>
          <w:kern w:val="0"/>
          <w:sz w:val="36"/>
          <w:szCs w:val="36"/>
          <w14:textFill>
            <w14:solidFill>
              <w14:schemeClr w14:val="tx1"/>
            </w14:solidFill>
          </w14:textFill>
        </w:rPr>
        <w:t>报价文件部分</w:t>
      </w:r>
    </w:p>
    <w:p w14:paraId="421B9BDB">
      <w:pPr>
        <w:spacing w:line="360" w:lineRule="auto"/>
        <w:jc w:val="center"/>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目录</w:t>
      </w:r>
    </w:p>
    <w:p w14:paraId="4A5296A9">
      <w:pPr>
        <w:spacing w:line="360" w:lineRule="auto"/>
        <w:jc w:val="center"/>
        <w:rPr>
          <w:rFonts w:ascii="宋体" w:hAnsi="宋体" w:cs="宋体"/>
          <w:b/>
          <w:color w:val="000000" w:themeColor="text1"/>
          <w:kern w:val="0"/>
          <w:sz w:val="36"/>
          <w:szCs w:val="36"/>
          <w14:textFill>
            <w14:solidFill>
              <w14:schemeClr w14:val="tx1"/>
            </w14:solidFill>
          </w14:textFill>
        </w:rPr>
      </w:pPr>
    </w:p>
    <w:p w14:paraId="3BDE75B4">
      <w:pPr>
        <w:numPr>
          <w:ilvl w:val="0"/>
          <w:numId w:val="2"/>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开标一览表（报价表）………………………………………………………（页码）</w:t>
      </w:r>
    </w:p>
    <w:p w14:paraId="22E413BD">
      <w:pPr>
        <w:numPr>
          <w:ilvl w:val="0"/>
          <w:numId w:val="2"/>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中小企业声明函（如有）……………………………………………………（页码）</w:t>
      </w:r>
    </w:p>
    <w:p w14:paraId="4DD6F19B">
      <w:pPr>
        <w:numPr>
          <w:ilvl w:val="0"/>
          <w:numId w:val="2"/>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关于符合本国产品标准的声明函（若符合本国产品标准）………………（页码）</w:t>
      </w:r>
    </w:p>
    <w:p w14:paraId="494B7FF7">
      <w:pPr>
        <w:numPr>
          <w:ilvl w:val="0"/>
          <w:numId w:val="2"/>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关于本国产品成本比例的声明函（当采购项目或者采购包中含有多种产品时）…（页码）</w:t>
      </w:r>
    </w:p>
    <w:p w14:paraId="7EA06592">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559DB4CF">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224B8340">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29FA3FDB">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0B8793FF">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6D0E4A10">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27BD9C14">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41C61FFD">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7C2F13C1">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20C6215F">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171DA05D">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24D605ED">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72E916AA">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2DB4CE33">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3176BFFD">
      <w:pPr>
        <w:pStyle w:val="693"/>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14:textFill>
            <w14:solidFill>
              <w14:schemeClr w14:val="tx1"/>
            </w14:solidFill>
          </w14:textFill>
        </w:rPr>
        <w:sectPr>
          <w:headerReference r:id="rId18" w:type="first"/>
          <w:footerReference r:id="rId20" w:type="first"/>
          <w:headerReference r:id="rId17" w:type="default"/>
          <w:footerReference r:id="rId19" w:type="default"/>
          <w:pgSz w:w="11906" w:h="16838"/>
          <w:pgMar w:top="1247" w:right="1418" w:bottom="1276" w:left="1418" w:header="851" w:footer="992" w:gutter="0"/>
          <w:cols w:space="720" w:num="1"/>
          <w:titlePg/>
          <w:docGrid w:linePitch="312" w:charSpace="0"/>
        </w:sectPr>
      </w:pPr>
    </w:p>
    <w:p w14:paraId="56F9D052">
      <w:pPr>
        <w:pStyle w:val="693"/>
        <w:keepNext w:val="0"/>
        <w:pageBreakBefore w:val="0"/>
        <w:tabs>
          <w:tab w:val="clear" w:pos="720"/>
        </w:tabs>
        <w:snapToGrid w:val="0"/>
        <w:spacing w:before="120" w:after="120"/>
        <w:outlineLvl w:val="9"/>
        <w:rPr>
          <w:rFonts w:ascii="宋体" w:hAnsi="宋体" w:eastAsia="宋体" w:cs="宋体"/>
          <w:color w:val="000000" w:themeColor="text1"/>
          <w:kern w:val="2"/>
          <w:sz w:val="32"/>
          <w:szCs w:val="32"/>
          <w14:textFill>
            <w14:solidFill>
              <w14:schemeClr w14:val="tx1"/>
            </w14:solidFill>
          </w14:textFill>
        </w:rPr>
      </w:pPr>
      <w:r>
        <w:rPr>
          <w:rFonts w:hint="eastAsia" w:ascii="宋体" w:hAnsi="宋体" w:eastAsia="宋体" w:cs="宋体"/>
          <w:color w:val="000000" w:themeColor="text1"/>
          <w:kern w:val="2"/>
          <w:sz w:val="32"/>
          <w:szCs w:val="32"/>
          <w14:textFill>
            <w14:solidFill>
              <w14:schemeClr w14:val="tx1"/>
            </w14:solidFill>
          </w14:textFill>
        </w:rPr>
        <w:t>一、开标一览表（报价表）</w:t>
      </w:r>
    </w:p>
    <w:p w14:paraId="0A40BA13">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浙江水利水电学院、浙江豪圣建设项目管理有限公司</w:t>
      </w:r>
      <w:r>
        <w:rPr>
          <w:rFonts w:hint="eastAsia" w:ascii="宋体" w:hAnsi="宋体" w:cs="宋体"/>
          <w:color w:val="000000" w:themeColor="text1"/>
          <w:kern w:val="0"/>
          <w:sz w:val="24"/>
          <w:lang w:val="zh-CN"/>
          <w14:textFill>
            <w14:solidFill>
              <w14:schemeClr w14:val="tx1"/>
            </w14:solidFill>
          </w14:textFill>
        </w:rPr>
        <w:t>：</w:t>
      </w:r>
    </w:p>
    <w:p w14:paraId="4010E4BA">
      <w:pPr>
        <w:snapToGrid w:val="0"/>
        <w:spacing w:line="360" w:lineRule="auto"/>
        <w:ind w:firstLine="482"/>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按你方招标文件要求，我们，本投标文件签字方，谨此向你方发出要约如下：如你方接受本投标，我方承诺按照如下开标一览表（报价表）的价格完成</w:t>
      </w:r>
      <w:r>
        <w:rPr>
          <w:rFonts w:hint="eastAsia" w:ascii="宋体" w:hAnsi="宋体" w:cs="宋体"/>
          <w:color w:val="000000" w:themeColor="text1"/>
          <w:sz w:val="24"/>
          <w14:textFill>
            <w14:solidFill>
              <w14:schemeClr w14:val="tx1"/>
            </w14:solidFill>
          </w14:textFill>
        </w:rPr>
        <w:t>钱塘校区弱电设备改造工程（三期）</w:t>
      </w:r>
      <w:r>
        <w:rPr>
          <w:rFonts w:hint="eastAsia" w:ascii="宋体" w:hAnsi="宋体" w:cs="宋体"/>
          <w:color w:val="000000" w:themeColor="text1"/>
          <w:kern w:val="0"/>
          <w:sz w:val="24"/>
          <w:lang w:val="zh-CN"/>
          <w14:textFill>
            <w14:solidFill>
              <w14:schemeClr w14:val="tx1"/>
            </w14:solidFill>
          </w14:textFill>
        </w:rPr>
        <w:t>【招标编号：</w:t>
      </w:r>
      <w:r>
        <w:rPr>
          <w:rFonts w:hint="eastAsia" w:ascii="宋体" w:hAnsi="宋体" w:cs="宋体"/>
          <w:color w:val="000000" w:themeColor="text1"/>
          <w:sz w:val="24"/>
          <w:lang w:eastAsia="zh-CN"/>
          <w14:textFill>
            <w14:solidFill>
              <w14:schemeClr w14:val="tx1"/>
            </w14:solidFill>
          </w14:textFill>
        </w:rPr>
        <w:t>330000263030350000163-HSZB-2026-373</w:t>
      </w:r>
      <w:r>
        <w:rPr>
          <w:rFonts w:hint="eastAsia" w:ascii="宋体" w:hAnsi="宋体" w:cs="宋体"/>
          <w:color w:val="000000" w:themeColor="text1"/>
          <w:sz w:val="24"/>
          <w14:textFill>
            <w14:solidFill>
              <w14:schemeClr w14:val="tx1"/>
            </w14:solidFill>
          </w14:textFill>
        </w:rPr>
        <w:t>】的实施</w:t>
      </w:r>
      <w:r>
        <w:rPr>
          <w:rFonts w:hint="eastAsia" w:ascii="宋体" w:hAnsi="宋体" w:cs="宋体"/>
          <w:color w:val="000000" w:themeColor="text1"/>
          <w:kern w:val="0"/>
          <w:sz w:val="24"/>
          <w:lang w:val="zh-CN"/>
          <w14:textFill>
            <w14:solidFill>
              <w14:schemeClr w14:val="tx1"/>
            </w14:solidFill>
          </w14:textFill>
        </w:rPr>
        <w:t>。</w:t>
      </w:r>
    </w:p>
    <w:p w14:paraId="452051EA">
      <w:pPr>
        <w:spacing w:line="360" w:lineRule="auto"/>
        <w:jc w:val="center"/>
        <w:rPr>
          <w:rFonts w:ascii="宋体" w:hAnsi="宋体" w:cs="宋体"/>
          <w:b/>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4BE3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30851D8F">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1417" w:type="dxa"/>
            <w:vAlign w:val="center"/>
          </w:tcPr>
          <w:p w14:paraId="09114102">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名称</w:t>
            </w:r>
          </w:p>
        </w:tc>
        <w:tc>
          <w:tcPr>
            <w:tcW w:w="1843" w:type="dxa"/>
            <w:vAlign w:val="center"/>
          </w:tcPr>
          <w:p w14:paraId="5D03C9A6">
            <w:pP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品牌（如果有）</w:t>
            </w:r>
          </w:p>
        </w:tc>
        <w:tc>
          <w:tcPr>
            <w:tcW w:w="3118" w:type="dxa"/>
            <w:vAlign w:val="center"/>
          </w:tcPr>
          <w:p w14:paraId="3B7D6A40">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规格型号</w:t>
            </w:r>
          </w:p>
        </w:tc>
        <w:tc>
          <w:tcPr>
            <w:tcW w:w="993" w:type="dxa"/>
            <w:vAlign w:val="center"/>
          </w:tcPr>
          <w:p w14:paraId="04D46C6E">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数量</w:t>
            </w:r>
          </w:p>
        </w:tc>
        <w:tc>
          <w:tcPr>
            <w:tcW w:w="1559" w:type="dxa"/>
            <w:vAlign w:val="center"/>
          </w:tcPr>
          <w:p w14:paraId="6DF5D6F9">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单价</w:t>
            </w:r>
          </w:p>
        </w:tc>
        <w:tc>
          <w:tcPr>
            <w:tcW w:w="1984" w:type="dxa"/>
            <w:vAlign w:val="center"/>
          </w:tcPr>
          <w:p w14:paraId="59EE895A">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合计</w:t>
            </w:r>
          </w:p>
        </w:tc>
        <w:tc>
          <w:tcPr>
            <w:tcW w:w="3119" w:type="dxa"/>
            <w:vAlign w:val="center"/>
          </w:tcPr>
          <w:p w14:paraId="7208FD45">
            <w:pPr>
              <w:jc w:val="center"/>
              <w:rPr>
                <w:rFonts w:ascii="宋体" w:hAnsi="宋体" w:cs="宋体"/>
                <w:b/>
                <w:color w:val="000000" w:themeColor="text1"/>
                <w:sz w:val="24"/>
                <w14:textFill>
                  <w14:solidFill>
                    <w14:schemeClr w14:val="tx1"/>
                  </w14:solidFill>
                </w14:textFill>
              </w:rPr>
            </w:pPr>
          </w:p>
          <w:p w14:paraId="472D37EE">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备注（如果有）</w:t>
            </w:r>
          </w:p>
          <w:p w14:paraId="35F8CEBA">
            <w:pPr>
              <w:jc w:val="center"/>
              <w:rPr>
                <w:rFonts w:ascii="宋体" w:hAnsi="宋体" w:cs="宋体"/>
                <w:b/>
                <w:color w:val="000000" w:themeColor="text1"/>
                <w:sz w:val="24"/>
                <w14:textFill>
                  <w14:solidFill>
                    <w14:schemeClr w14:val="tx1"/>
                  </w14:solidFill>
                </w14:textFill>
              </w:rPr>
            </w:pPr>
          </w:p>
        </w:tc>
      </w:tr>
      <w:tr w14:paraId="6EA1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33668A3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417" w:type="dxa"/>
            <w:vAlign w:val="center"/>
          </w:tcPr>
          <w:p w14:paraId="271D8D65">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X</w:t>
            </w:r>
            <w:r>
              <w:rPr>
                <w:rFonts w:ascii="宋体" w:hAnsi="宋体" w:cs="宋体"/>
                <w:color w:val="000000" w:themeColor="text1"/>
                <w:sz w:val="24"/>
                <w14:textFill>
                  <w14:solidFill>
                    <w14:schemeClr w14:val="tx1"/>
                  </w14:solidFill>
                </w14:textFill>
              </w:rPr>
              <w:t>X</w:t>
            </w:r>
          </w:p>
        </w:tc>
        <w:tc>
          <w:tcPr>
            <w:tcW w:w="1843" w:type="dxa"/>
            <w:vAlign w:val="center"/>
          </w:tcPr>
          <w:p w14:paraId="13FD7258">
            <w:pPr>
              <w:snapToGrid w:val="0"/>
              <w:jc w:val="center"/>
              <w:rPr>
                <w:rFonts w:ascii="宋体" w:hAnsi="宋体" w:cs="宋体"/>
                <w:color w:val="000000" w:themeColor="text1"/>
                <w:sz w:val="24"/>
                <w14:textFill>
                  <w14:solidFill>
                    <w14:schemeClr w14:val="tx1"/>
                  </w14:solidFill>
                </w14:textFill>
              </w:rPr>
            </w:pPr>
          </w:p>
        </w:tc>
        <w:tc>
          <w:tcPr>
            <w:tcW w:w="3118" w:type="dxa"/>
            <w:vAlign w:val="center"/>
          </w:tcPr>
          <w:p w14:paraId="7ECA3099">
            <w:pPr>
              <w:snapToGrid w:val="0"/>
              <w:jc w:val="center"/>
              <w:rPr>
                <w:rFonts w:ascii="宋体" w:hAnsi="宋体" w:cs="宋体"/>
                <w:color w:val="000000" w:themeColor="text1"/>
                <w:sz w:val="24"/>
                <w14:textFill>
                  <w14:solidFill>
                    <w14:schemeClr w14:val="tx1"/>
                  </w14:solidFill>
                </w14:textFill>
              </w:rPr>
            </w:pPr>
          </w:p>
        </w:tc>
        <w:tc>
          <w:tcPr>
            <w:tcW w:w="993" w:type="dxa"/>
            <w:vAlign w:val="center"/>
          </w:tcPr>
          <w:p w14:paraId="00896217">
            <w:pPr>
              <w:snapToGrid w:val="0"/>
              <w:jc w:val="center"/>
              <w:rPr>
                <w:rFonts w:ascii="宋体" w:hAnsi="宋体" w:cs="宋体"/>
                <w:color w:val="000000" w:themeColor="text1"/>
                <w:sz w:val="24"/>
                <w14:textFill>
                  <w14:solidFill>
                    <w14:schemeClr w14:val="tx1"/>
                  </w14:solidFill>
                </w14:textFill>
              </w:rPr>
            </w:pPr>
          </w:p>
        </w:tc>
        <w:tc>
          <w:tcPr>
            <w:tcW w:w="1559" w:type="dxa"/>
            <w:vAlign w:val="center"/>
          </w:tcPr>
          <w:p w14:paraId="5D15C006">
            <w:pPr>
              <w:jc w:val="center"/>
              <w:rPr>
                <w:rFonts w:ascii="宋体" w:hAnsi="宋体" w:cs="宋体"/>
                <w:color w:val="000000" w:themeColor="text1"/>
                <w:sz w:val="24"/>
                <w14:textFill>
                  <w14:solidFill>
                    <w14:schemeClr w14:val="tx1"/>
                  </w14:solidFill>
                </w14:textFill>
              </w:rPr>
            </w:pPr>
          </w:p>
        </w:tc>
        <w:tc>
          <w:tcPr>
            <w:tcW w:w="1984" w:type="dxa"/>
            <w:vAlign w:val="center"/>
          </w:tcPr>
          <w:p w14:paraId="3B1EC4B5">
            <w:pPr>
              <w:jc w:val="center"/>
              <w:rPr>
                <w:rFonts w:ascii="宋体" w:hAnsi="宋体" w:cs="宋体"/>
                <w:color w:val="000000" w:themeColor="text1"/>
                <w:sz w:val="24"/>
                <w14:textFill>
                  <w14:solidFill>
                    <w14:schemeClr w14:val="tx1"/>
                  </w14:solidFill>
                </w14:textFill>
              </w:rPr>
            </w:pPr>
          </w:p>
        </w:tc>
        <w:tc>
          <w:tcPr>
            <w:tcW w:w="3119" w:type="dxa"/>
            <w:vAlign w:val="center"/>
          </w:tcPr>
          <w:p w14:paraId="0D79546A">
            <w:pPr>
              <w:jc w:val="center"/>
              <w:rPr>
                <w:rFonts w:ascii="宋体" w:hAnsi="宋体" w:cs="宋体"/>
                <w:color w:val="000000" w:themeColor="text1"/>
                <w:sz w:val="24"/>
                <w14:textFill>
                  <w14:solidFill>
                    <w14:schemeClr w14:val="tx1"/>
                  </w14:solidFill>
                </w14:textFill>
              </w:rPr>
            </w:pPr>
          </w:p>
        </w:tc>
      </w:tr>
      <w:tr w14:paraId="5431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3E700D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417" w:type="dxa"/>
            <w:vAlign w:val="center"/>
          </w:tcPr>
          <w:p w14:paraId="5ACBF8B6">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X</w:t>
            </w:r>
            <w:r>
              <w:rPr>
                <w:rFonts w:ascii="宋体" w:hAnsi="宋体" w:cs="宋体"/>
                <w:color w:val="000000" w:themeColor="text1"/>
                <w:sz w:val="24"/>
                <w14:textFill>
                  <w14:solidFill>
                    <w14:schemeClr w14:val="tx1"/>
                  </w14:solidFill>
                </w14:textFill>
              </w:rPr>
              <w:t>X</w:t>
            </w:r>
          </w:p>
        </w:tc>
        <w:tc>
          <w:tcPr>
            <w:tcW w:w="1843" w:type="dxa"/>
            <w:vAlign w:val="center"/>
          </w:tcPr>
          <w:p w14:paraId="3B0E2F7F">
            <w:pPr>
              <w:snapToGrid w:val="0"/>
              <w:jc w:val="center"/>
              <w:rPr>
                <w:rFonts w:ascii="宋体" w:hAnsi="宋体" w:cs="宋体"/>
                <w:color w:val="000000" w:themeColor="text1"/>
                <w:sz w:val="24"/>
                <w14:textFill>
                  <w14:solidFill>
                    <w14:schemeClr w14:val="tx1"/>
                  </w14:solidFill>
                </w14:textFill>
              </w:rPr>
            </w:pPr>
          </w:p>
        </w:tc>
        <w:tc>
          <w:tcPr>
            <w:tcW w:w="3118" w:type="dxa"/>
            <w:vAlign w:val="center"/>
          </w:tcPr>
          <w:p w14:paraId="11227A6F">
            <w:pPr>
              <w:snapToGrid w:val="0"/>
              <w:jc w:val="center"/>
              <w:rPr>
                <w:rFonts w:ascii="宋体" w:hAnsi="宋体" w:cs="宋体"/>
                <w:color w:val="000000" w:themeColor="text1"/>
                <w:sz w:val="24"/>
                <w14:textFill>
                  <w14:solidFill>
                    <w14:schemeClr w14:val="tx1"/>
                  </w14:solidFill>
                </w14:textFill>
              </w:rPr>
            </w:pPr>
          </w:p>
        </w:tc>
        <w:tc>
          <w:tcPr>
            <w:tcW w:w="993" w:type="dxa"/>
            <w:vAlign w:val="center"/>
          </w:tcPr>
          <w:p w14:paraId="360D7E1C">
            <w:pPr>
              <w:snapToGrid w:val="0"/>
              <w:jc w:val="center"/>
              <w:rPr>
                <w:rFonts w:ascii="宋体" w:hAnsi="宋体" w:cs="宋体"/>
                <w:color w:val="000000" w:themeColor="text1"/>
                <w:sz w:val="24"/>
                <w14:textFill>
                  <w14:solidFill>
                    <w14:schemeClr w14:val="tx1"/>
                  </w14:solidFill>
                </w14:textFill>
              </w:rPr>
            </w:pPr>
          </w:p>
        </w:tc>
        <w:tc>
          <w:tcPr>
            <w:tcW w:w="1559" w:type="dxa"/>
            <w:vAlign w:val="center"/>
          </w:tcPr>
          <w:p w14:paraId="7F157B82">
            <w:pPr>
              <w:jc w:val="center"/>
              <w:rPr>
                <w:rFonts w:ascii="宋体" w:hAnsi="宋体" w:cs="宋体"/>
                <w:color w:val="000000" w:themeColor="text1"/>
                <w:sz w:val="24"/>
                <w14:textFill>
                  <w14:solidFill>
                    <w14:schemeClr w14:val="tx1"/>
                  </w14:solidFill>
                </w14:textFill>
              </w:rPr>
            </w:pPr>
          </w:p>
        </w:tc>
        <w:tc>
          <w:tcPr>
            <w:tcW w:w="1984" w:type="dxa"/>
            <w:vAlign w:val="center"/>
          </w:tcPr>
          <w:p w14:paraId="152F19C6">
            <w:pPr>
              <w:jc w:val="center"/>
              <w:rPr>
                <w:rFonts w:ascii="宋体" w:hAnsi="宋体" w:cs="宋体"/>
                <w:color w:val="000000" w:themeColor="text1"/>
                <w:sz w:val="24"/>
                <w14:textFill>
                  <w14:solidFill>
                    <w14:schemeClr w14:val="tx1"/>
                  </w14:solidFill>
                </w14:textFill>
              </w:rPr>
            </w:pPr>
          </w:p>
        </w:tc>
        <w:tc>
          <w:tcPr>
            <w:tcW w:w="3119" w:type="dxa"/>
            <w:vAlign w:val="center"/>
          </w:tcPr>
          <w:p w14:paraId="76CA87E6">
            <w:pPr>
              <w:jc w:val="center"/>
              <w:rPr>
                <w:rFonts w:ascii="宋体" w:hAnsi="宋体" w:cs="宋体"/>
                <w:color w:val="000000" w:themeColor="text1"/>
                <w:sz w:val="24"/>
                <w14:textFill>
                  <w14:solidFill>
                    <w14:schemeClr w14:val="tx1"/>
                  </w14:solidFill>
                </w14:textFill>
              </w:rPr>
            </w:pPr>
          </w:p>
        </w:tc>
      </w:tr>
      <w:tr w14:paraId="4180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41F2231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417" w:type="dxa"/>
            <w:vAlign w:val="center"/>
          </w:tcPr>
          <w:p w14:paraId="344EA0F8">
            <w:pPr>
              <w:snapToGrid w:val="0"/>
              <w:jc w:val="center"/>
              <w:rPr>
                <w:rFonts w:ascii="宋体" w:hAnsi="宋体" w:cs="宋体"/>
                <w:color w:val="000000" w:themeColor="text1"/>
                <w:sz w:val="24"/>
                <w14:textFill>
                  <w14:solidFill>
                    <w14:schemeClr w14:val="tx1"/>
                  </w14:solidFill>
                </w14:textFill>
              </w:rPr>
            </w:pPr>
          </w:p>
        </w:tc>
        <w:tc>
          <w:tcPr>
            <w:tcW w:w="1843" w:type="dxa"/>
            <w:vAlign w:val="center"/>
          </w:tcPr>
          <w:p w14:paraId="23AA8920">
            <w:pPr>
              <w:snapToGrid w:val="0"/>
              <w:jc w:val="center"/>
              <w:rPr>
                <w:rFonts w:ascii="宋体" w:hAnsi="宋体" w:cs="宋体"/>
                <w:color w:val="000000" w:themeColor="text1"/>
                <w:sz w:val="24"/>
                <w14:textFill>
                  <w14:solidFill>
                    <w14:schemeClr w14:val="tx1"/>
                  </w14:solidFill>
                </w14:textFill>
              </w:rPr>
            </w:pPr>
          </w:p>
        </w:tc>
        <w:tc>
          <w:tcPr>
            <w:tcW w:w="3118" w:type="dxa"/>
            <w:vAlign w:val="center"/>
          </w:tcPr>
          <w:p w14:paraId="4055D77F">
            <w:pPr>
              <w:snapToGrid w:val="0"/>
              <w:jc w:val="center"/>
              <w:rPr>
                <w:rFonts w:ascii="宋体" w:hAnsi="宋体" w:cs="宋体"/>
                <w:color w:val="000000" w:themeColor="text1"/>
                <w:sz w:val="24"/>
                <w14:textFill>
                  <w14:solidFill>
                    <w14:schemeClr w14:val="tx1"/>
                  </w14:solidFill>
                </w14:textFill>
              </w:rPr>
            </w:pPr>
          </w:p>
        </w:tc>
        <w:tc>
          <w:tcPr>
            <w:tcW w:w="993" w:type="dxa"/>
            <w:vAlign w:val="center"/>
          </w:tcPr>
          <w:p w14:paraId="2C29B3C0">
            <w:pPr>
              <w:snapToGrid w:val="0"/>
              <w:jc w:val="center"/>
              <w:rPr>
                <w:rFonts w:ascii="宋体" w:hAnsi="宋体" w:cs="宋体"/>
                <w:color w:val="000000" w:themeColor="text1"/>
                <w:sz w:val="24"/>
                <w14:textFill>
                  <w14:solidFill>
                    <w14:schemeClr w14:val="tx1"/>
                  </w14:solidFill>
                </w14:textFill>
              </w:rPr>
            </w:pPr>
          </w:p>
        </w:tc>
        <w:tc>
          <w:tcPr>
            <w:tcW w:w="1559" w:type="dxa"/>
            <w:vAlign w:val="center"/>
          </w:tcPr>
          <w:p w14:paraId="681ECF3C">
            <w:pPr>
              <w:jc w:val="center"/>
              <w:rPr>
                <w:rFonts w:ascii="宋体" w:hAnsi="宋体" w:cs="宋体"/>
                <w:color w:val="000000" w:themeColor="text1"/>
                <w:sz w:val="24"/>
                <w14:textFill>
                  <w14:solidFill>
                    <w14:schemeClr w14:val="tx1"/>
                  </w14:solidFill>
                </w14:textFill>
              </w:rPr>
            </w:pPr>
          </w:p>
        </w:tc>
        <w:tc>
          <w:tcPr>
            <w:tcW w:w="1984" w:type="dxa"/>
            <w:vAlign w:val="center"/>
          </w:tcPr>
          <w:p w14:paraId="271F5939">
            <w:pPr>
              <w:jc w:val="center"/>
              <w:rPr>
                <w:rFonts w:ascii="宋体" w:hAnsi="宋体" w:cs="宋体"/>
                <w:color w:val="000000" w:themeColor="text1"/>
                <w:sz w:val="24"/>
                <w14:textFill>
                  <w14:solidFill>
                    <w14:schemeClr w14:val="tx1"/>
                  </w14:solidFill>
                </w14:textFill>
              </w:rPr>
            </w:pPr>
          </w:p>
        </w:tc>
        <w:tc>
          <w:tcPr>
            <w:tcW w:w="3119" w:type="dxa"/>
            <w:vAlign w:val="center"/>
          </w:tcPr>
          <w:p w14:paraId="7F6B148C">
            <w:pPr>
              <w:jc w:val="center"/>
              <w:rPr>
                <w:rFonts w:ascii="宋体" w:hAnsi="宋体" w:cs="宋体"/>
                <w:color w:val="000000" w:themeColor="text1"/>
                <w:sz w:val="24"/>
                <w14:textFill>
                  <w14:solidFill>
                    <w14:schemeClr w14:val="tx1"/>
                  </w14:solidFill>
                </w14:textFill>
              </w:rPr>
            </w:pPr>
          </w:p>
        </w:tc>
      </w:tr>
      <w:tr w14:paraId="362D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78871765">
            <w:pPr>
              <w:jc w:val="center"/>
              <w:rPr>
                <w:rFonts w:ascii="宋体" w:hAnsi="宋体" w:cs="宋体"/>
                <w:color w:val="000000" w:themeColor="text1"/>
                <w:sz w:val="24"/>
                <w14:textFill>
                  <w14:solidFill>
                    <w14:schemeClr w14:val="tx1"/>
                  </w14:solidFill>
                </w14:textFill>
              </w:rPr>
            </w:pPr>
          </w:p>
        </w:tc>
        <w:tc>
          <w:tcPr>
            <w:tcW w:w="1417" w:type="dxa"/>
            <w:vAlign w:val="center"/>
          </w:tcPr>
          <w:p w14:paraId="2E877262">
            <w:pPr>
              <w:snapToGrid w:val="0"/>
              <w:jc w:val="center"/>
              <w:rPr>
                <w:rFonts w:ascii="宋体" w:hAnsi="宋体" w:cs="宋体"/>
                <w:color w:val="000000" w:themeColor="text1"/>
                <w:sz w:val="24"/>
                <w14:textFill>
                  <w14:solidFill>
                    <w14:schemeClr w14:val="tx1"/>
                  </w14:solidFill>
                </w14:textFill>
              </w:rPr>
            </w:pPr>
          </w:p>
        </w:tc>
        <w:tc>
          <w:tcPr>
            <w:tcW w:w="1843" w:type="dxa"/>
            <w:vAlign w:val="center"/>
          </w:tcPr>
          <w:p w14:paraId="2D103D35">
            <w:pPr>
              <w:snapToGrid w:val="0"/>
              <w:jc w:val="center"/>
              <w:rPr>
                <w:rFonts w:ascii="宋体" w:hAnsi="宋体" w:cs="宋体"/>
                <w:color w:val="000000" w:themeColor="text1"/>
                <w:sz w:val="24"/>
                <w14:textFill>
                  <w14:solidFill>
                    <w14:schemeClr w14:val="tx1"/>
                  </w14:solidFill>
                </w14:textFill>
              </w:rPr>
            </w:pPr>
          </w:p>
        </w:tc>
        <w:tc>
          <w:tcPr>
            <w:tcW w:w="3118" w:type="dxa"/>
            <w:vAlign w:val="center"/>
          </w:tcPr>
          <w:p w14:paraId="2980806F">
            <w:pPr>
              <w:snapToGrid w:val="0"/>
              <w:jc w:val="center"/>
              <w:rPr>
                <w:rFonts w:ascii="宋体" w:hAnsi="宋体" w:cs="宋体"/>
                <w:color w:val="000000" w:themeColor="text1"/>
                <w:sz w:val="24"/>
                <w14:textFill>
                  <w14:solidFill>
                    <w14:schemeClr w14:val="tx1"/>
                  </w14:solidFill>
                </w14:textFill>
              </w:rPr>
            </w:pPr>
          </w:p>
        </w:tc>
        <w:tc>
          <w:tcPr>
            <w:tcW w:w="993" w:type="dxa"/>
            <w:vAlign w:val="center"/>
          </w:tcPr>
          <w:p w14:paraId="4A9C8869">
            <w:pPr>
              <w:snapToGrid w:val="0"/>
              <w:jc w:val="center"/>
              <w:rPr>
                <w:rFonts w:ascii="宋体" w:hAnsi="宋体" w:cs="宋体"/>
                <w:color w:val="000000" w:themeColor="text1"/>
                <w:sz w:val="24"/>
                <w14:textFill>
                  <w14:solidFill>
                    <w14:schemeClr w14:val="tx1"/>
                  </w14:solidFill>
                </w14:textFill>
              </w:rPr>
            </w:pPr>
          </w:p>
        </w:tc>
        <w:tc>
          <w:tcPr>
            <w:tcW w:w="1559" w:type="dxa"/>
            <w:vAlign w:val="center"/>
          </w:tcPr>
          <w:p w14:paraId="5C0D9A28">
            <w:pPr>
              <w:jc w:val="center"/>
              <w:rPr>
                <w:rFonts w:ascii="宋体" w:hAnsi="宋体" w:cs="宋体"/>
                <w:color w:val="000000" w:themeColor="text1"/>
                <w:sz w:val="24"/>
                <w14:textFill>
                  <w14:solidFill>
                    <w14:schemeClr w14:val="tx1"/>
                  </w14:solidFill>
                </w14:textFill>
              </w:rPr>
            </w:pPr>
          </w:p>
        </w:tc>
        <w:tc>
          <w:tcPr>
            <w:tcW w:w="1984" w:type="dxa"/>
            <w:vAlign w:val="center"/>
          </w:tcPr>
          <w:p w14:paraId="0D185AA3">
            <w:pPr>
              <w:jc w:val="center"/>
              <w:rPr>
                <w:rFonts w:ascii="宋体" w:hAnsi="宋体" w:cs="宋体"/>
                <w:color w:val="000000" w:themeColor="text1"/>
                <w:sz w:val="24"/>
                <w14:textFill>
                  <w14:solidFill>
                    <w14:schemeClr w14:val="tx1"/>
                  </w14:solidFill>
                </w14:textFill>
              </w:rPr>
            </w:pPr>
          </w:p>
        </w:tc>
        <w:tc>
          <w:tcPr>
            <w:tcW w:w="3119" w:type="dxa"/>
            <w:vAlign w:val="center"/>
          </w:tcPr>
          <w:p w14:paraId="6E6E2017">
            <w:pPr>
              <w:jc w:val="center"/>
              <w:rPr>
                <w:rFonts w:ascii="宋体" w:hAnsi="宋体" w:cs="宋体"/>
                <w:color w:val="000000" w:themeColor="text1"/>
                <w:sz w:val="24"/>
                <w14:textFill>
                  <w14:solidFill>
                    <w14:schemeClr w14:val="tx1"/>
                  </w14:solidFill>
                </w14:textFill>
              </w:rPr>
            </w:pPr>
          </w:p>
        </w:tc>
      </w:tr>
      <w:tr w14:paraId="23C0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6E9398F6">
            <w:pPr>
              <w:jc w:val="center"/>
              <w:rPr>
                <w:rFonts w:ascii="宋体" w:hAnsi="宋体" w:cs="宋体"/>
                <w:color w:val="000000" w:themeColor="text1"/>
                <w:sz w:val="24"/>
                <w14:textFill>
                  <w14:solidFill>
                    <w14:schemeClr w14:val="tx1"/>
                  </w14:solidFill>
                </w14:textFill>
              </w:rPr>
            </w:pPr>
          </w:p>
        </w:tc>
        <w:tc>
          <w:tcPr>
            <w:tcW w:w="1417" w:type="dxa"/>
            <w:vAlign w:val="center"/>
          </w:tcPr>
          <w:p w14:paraId="4C5EDA47">
            <w:pPr>
              <w:snapToGrid w:val="0"/>
              <w:jc w:val="center"/>
              <w:rPr>
                <w:rFonts w:ascii="宋体" w:hAnsi="宋体" w:cs="宋体"/>
                <w:color w:val="000000" w:themeColor="text1"/>
                <w:sz w:val="24"/>
                <w14:textFill>
                  <w14:solidFill>
                    <w14:schemeClr w14:val="tx1"/>
                  </w14:solidFill>
                </w14:textFill>
              </w:rPr>
            </w:pPr>
          </w:p>
        </w:tc>
        <w:tc>
          <w:tcPr>
            <w:tcW w:w="1843" w:type="dxa"/>
            <w:vAlign w:val="center"/>
          </w:tcPr>
          <w:p w14:paraId="16C3C4D2">
            <w:pPr>
              <w:snapToGrid w:val="0"/>
              <w:jc w:val="center"/>
              <w:rPr>
                <w:rFonts w:ascii="宋体" w:hAnsi="宋体" w:cs="宋体"/>
                <w:color w:val="000000" w:themeColor="text1"/>
                <w:sz w:val="24"/>
                <w14:textFill>
                  <w14:solidFill>
                    <w14:schemeClr w14:val="tx1"/>
                  </w14:solidFill>
                </w14:textFill>
              </w:rPr>
            </w:pPr>
          </w:p>
        </w:tc>
        <w:tc>
          <w:tcPr>
            <w:tcW w:w="3118" w:type="dxa"/>
            <w:vAlign w:val="center"/>
          </w:tcPr>
          <w:p w14:paraId="24F4C667">
            <w:pPr>
              <w:snapToGrid w:val="0"/>
              <w:jc w:val="center"/>
              <w:rPr>
                <w:rFonts w:ascii="宋体" w:hAnsi="宋体" w:cs="宋体"/>
                <w:color w:val="000000" w:themeColor="text1"/>
                <w:sz w:val="24"/>
                <w14:textFill>
                  <w14:solidFill>
                    <w14:schemeClr w14:val="tx1"/>
                  </w14:solidFill>
                </w14:textFill>
              </w:rPr>
            </w:pPr>
          </w:p>
        </w:tc>
        <w:tc>
          <w:tcPr>
            <w:tcW w:w="993" w:type="dxa"/>
            <w:vAlign w:val="center"/>
          </w:tcPr>
          <w:p w14:paraId="49A53277">
            <w:pPr>
              <w:snapToGrid w:val="0"/>
              <w:jc w:val="center"/>
              <w:rPr>
                <w:rFonts w:ascii="宋体" w:hAnsi="宋体" w:cs="宋体"/>
                <w:color w:val="000000" w:themeColor="text1"/>
                <w:sz w:val="24"/>
                <w14:textFill>
                  <w14:solidFill>
                    <w14:schemeClr w14:val="tx1"/>
                  </w14:solidFill>
                </w14:textFill>
              </w:rPr>
            </w:pPr>
          </w:p>
        </w:tc>
        <w:tc>
          <w:tcPr>
            <w:tcW w:w="1559" w:type="dxa"/>
            <w:vAlign w:val="center"/>
          </w:tcPr>
          <w:p w14:paraId="53D41138">
            <w:pPr>
              <w:jc w:val="center"/>
              <w:rPr>
                <w:rFonts w:ascii="宋体" w:hAnsi="宋体" w:cs="宋体"/>
                <w:color w:val="000000" w:themeColor="text1"/>
                <w:sz w:val="24"/>
                <w14:textFill>
                  <w14:solidFill>
                    <w14:schemeClr w14:val="tx1"/>
                  </w14:solidFill>
                </w14:textFill>
              </w:rPr>
            </w:pPr>
          </w:p>
        </w:tc>
        <w:tc>
          <w:tcPr>
            <w:tcW w:w="1984" w:type="dxa"/>
            <w:vAlign w:val="center"/>
          </w:tcPr>
          <w:p w14:paraId="21447370">
            <w:pPr>
              <w:jc w:val="center"/>
              <w:rPr>
                <w:rFonts w:ascii="宋体" w:hAnsi="宋体" w:cs="宋体"/>
                <w:color w:val="000000" w:themeColor="text1"/>
                <w:sz w:val="24"/>
                <w14:textFill>
                  <w14:solidFill>
                    <w14:schemeClr w14:val="tx1"/>
                  </w14:solidFill>
                </w14:textFill>
              </w:rPr>
            </w:pPr>
          </w:p>
        </w:tc>
        <w:tc>
          <w:tcPr>
            <w:tcW w:w="3119" w:type="dxa"/>
            <w:vAlign w:val="center"/>
          </w:tcPr>
          <w:p w14:paraId="197AF2FC">
            <w:pPr>
              <w:jc w:val="center"/>
              <w:rPr>
                <w:rFonts w:ascii="宋体" w:hAnsi="宋体" w:cs="宋体"/>
                <w:color w:val="000000" w:themeColor="text1"/>
                <w:sz w:val="24"/>
                <w14:textFill>
                  <w14:solidFill>
                    <w14:schemeClr w14:val="tx1"/>
                  </w14:solidFill>
                </w14:textFill>
              </w:rPr>
            </w:pPr>
          </w:p>
        </w:tc>
      </w:tr>
      <w:tr w14:paraId="20EA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4622506B">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投标报价（小写）</w:t>
            </w:r>
          </w:p>
        </w:tc>
        <w:tc>
          <w:tcPr>
            <w:tcW w:w="7655" w:type="dxa"/>
            <w:gridSpan w:val="4"/>
            <w:vAlign w:val="center"/>
          </w:tcPr>
          <w:p w14:paraId="35B88AA9">
            <w:pPr>
              <w:jc w:val="center"/>
              <w:rPr>
                <w:rFonts w:ascii="宋体" w:hAnsi="宋体" w:cs="宋体"/>
                <w:color w:val="000000" w:themeColor="text1"/>
                <w:sz w:val="24"/>
                <w14:textFill>
                  <w14:solidFill>
                    <w14:schemeClr w14:val="tx1"/>
                  </w14:solidFill>
                </w14:textFill>
              </w:rPr>
            </w:pPr>
          </w:p>
        </w:tc>
      </w:tr>
      <w:tr w14:paraId="3C34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155C2922">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投标报价（大写）</w:t>
            </w:r>
          </w:p>
        </w:tc>
        <w:tc>
          <w:tcPr>
            <w:tcW w:w="7655" w:type="dxa"/>
            <w:gridSpan w:val="4"/>
            <w:vAlign w:val="center"/>
          </w:tcPr>
          <w:p w14:paraId="402EFF62">
            <w:pPr>
              <w:jc w:val="center"/>
              <w:rPr>
                <w:rFonts w:ascii="宋体" w:hAnsi="宋体" w:cs="宋体"/>
                <w:color w:val="000000" w:themeColor="text1"/>
                <w:sz w:val="24"/>
                <w14:textFill>
                  <w14:solidFill>
                    <w14:schemeClr w14:val="tx1"/>
                  </w14:solidFill>
                </w14:textFill>
              </w:rPr>
            </w:pPr>
          </w:p>
        </w:tc>
      </w:tr>
    </w:tbl>
    <w:p w14:paraId="3C7CD91B">
      <w:pPr>
        <w:snapToGrid w:val="0"/>
        <w:spacing w:line="360" w:lineRule="auto"/>
        <w:ind w:left="480"/>
        <w:rPr>
          <w:rFonts w:ascii="宋体" w:hAnsi="宋体" w:cs="宋体"/>
          <w:b/>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注：</w:t>
      </w:r>
    </w:p>
    <w:p w14:paraId="2F175DA9">
      <w:pPr>
        <w:spacing w:line="360" w:lineRule="auto"/>
        <w:ind w:left="-2" w:leftChars="-1"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1、投标人需按本表格式填写</w:t>
      </w:r>
      <w:r>
        <w:rPr>
          <w:rFonts w:hint="eastAsia" w:ascii="宋体" w:hAnsi="宋体" w:cs="宋体"/>
          <w:b/>
          <w:color w:val="000000" w:themeColor="text1"/>
          <w:kern w:val="0"/>
          <w:sz w:val="24"/>
          <w:lang w:val="zh-CN"/>
          <w14:textFill>
            <w14:solidFill>
              <w14:schemeClr w14:val="tx1"/>
            </w14:solidFill>
          </w14:textFill>
        </w:rPr>
        <w:t>，</w:t>
      </w:r>
      <w:r>
        <w:rPr>
          <w:rFonts w:hint="eastAsia" w:ascii="宋体" w:hAnsi="宋体" w:cs="宋体"/>
          <w:b/>
          <w:color w:val="000000" w:themeColor="text1"/>
          <w:kern w:val="0"/>
          <w:sz w:val="24"/>
          <w14:textFill>
            <w14:solidFill>
              <w14:schemeClr w14:val="tx1"/>
            </w14:solidFill>
          </w14:textFill>
        </w:rPr>
        <w:t>否则视为</w:t>
      </w:r>
      <w:r>
        <w:rPr>
          <w:rFonts w:hint="eastAsia" w:ascii="宋体" w:hAnsi="宋体" w:cs="宋体"/>
          <w:b/>
          <w:color w:val="000000" w:themeColor="text1"/>
          <w:sz w:val="24"/>
          <w14:textFill>
            <w14:solidFill>
              <w14:schemeClr w14:val="tx1"/>
            </w14:solidFill>
          </w14:textFill>
        </w:rPr>
        <w:t>投标文件含有采购人不能接受的附加条件，投标无效</w:t>
      </w:r>
      <w:r>
        <w:rPr>
          <w:rFonts w:hint="eastAsia" w:ascii="宋体" w:hAnsi="宋体" w:cs="宋体"/>
          <w:color w:val="000000" w:themeColor="text1"/>
          <w:kern w:val="0"/>
          <w:sz w:val="24"/>
          <w:lang w:val="zh-CN"/>
          <w14:textFill>
            <w14:solidFill>
              <w14:schemeClr w14:val="tx1"/>
            </w14:solidFill>
          </w14:textFill>
        </w:rPr>
        <w:t>。</w:t>
      </w:r>
    </w:p>
    <w:p w14:paraId="4427E7C3">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2、有关本项目实施所涉及的一切费用均计入报价。</w:t>
      </w:r>
      <w:r>
        <w:rPr>
          <w:rFonts w:hint="eastAsia" w:ascii="宋体" w:hAnsi="宋体" w:cs="宋体"/>
          <w:color w:val="000000" w:themeColor="text1"/>
          <w:kern w:val="0"/>
          <w:sz w:val="24"/>
          <w14:textFill>
            <w14:solidFill>
              <w14:schemeClr w14:val="tx1"/>
            </w14:solidFill>
          </w14:textFill>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color w:val="000000" w:themeColor="text1"/>
          <w:kern w:val="0"/>
          <w:sz w:val="24"/>
          <w:lang w:val="zh-CN"/>
          <w14:textFill>
            <w14:solidFill>
              <w14:schemeClr w14:val="tx1"/>
            </w14:solidFill>
          </w14:textFill>
        </w:rPr>
        <w:t>采购内容未包含在《开标一览表（报价表）》名称栏中，投标人不能作出合理解释的，</w:t>
      </w:r>
      <w:r>
        <w:rPr>
          <w:rFonts w:hint="eastAsia" w:ascii="宋体" w:hAnsi="宋体" w:cs="宋体"/>
          <w:b/>
          <w:color w:val="000000" w:themeColor="text1"/>
          <w:kern w:val="0"/>
          <w:sz w:val="24"/>
          <w14:textFill>
            <w14:solidFill>
              <w14:schemeClr w14:val="tx1"/>
            </w14:solidFill>
          </w14:textFill>
        </w:rPr>
        <w:t>视为</w:t>
      </w:r>
      <w:r>
        <w:rPr>
          <w:rFonts w:hint="eastAsia" w:ascii="宋体" w:hAnsi="宋体" w:cs="宋体"/>
          <w:b/>
          <w:color w:val="000000" w:themeColor="text1"/>
          <w:sz w:val="24"/>
          <w14:textFill>
            <w14:solidFill>
              <w14:schemeClr w14:val="tx1"/>
            </w14:solidFill>
          </w14:textFill>
        </w:rPr>
        <w:t>投标文件含有采购人不能接受的附加条件的，投标无效。</w:t>
      </w:r>
    </w:p>
    <w:p w14:paraId="07C522C2">
      <w:pPr>
        <w:snapToGrid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3、特别提示：采购代理机构将对项目名称和项目编号，中标供应商名称、地址和中标金额，主要中标标的名称、品牌（如果有）、规格型号、数量、单价等予以公示。</w:t>
      </w:r>
    </w:p>
    <w:p w14:paraId="5EC5C163">
      <w:pPr>
        <w:pStyle w:val="693"/>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14:textFill>
            <w14:solidFill>
              <w14:schemeClr w14:val="tx1"/>
            </w14:solidFill>
          </w14:textFill>
        </w:rPr>
        <w:sectPr>
          <w:pgSz w:w="16838" w:h="11906" w:orient="landscape"/>
          <w:pgMar w:top="1418" w:right="1247" w:bottom="1418" w:left="1276" w:header="851" w:footer="992" w:gutter="0"/>
          <w:cols w:space="720" w:num="1"/>
          <w:titlePg/>
          <w:docGrid w:linePitch="312" w:charSpace="0"/>
        </w:sectPr>
      </w:pPr>
    </w:p>
    <w:p w14:paraId="1850A440">
      <w:pPr>
        <w:jc w:val="center"/>
        <w:rPr>
          <w:rFonts w:ascii="宋体" w:hAnsi="宋体" w:cs="宋体"/>
          <w:b/>
          <w:sz w:val="30"/>
          <w:szCs w:val="30"/>
        </w:rPr>
      </w:pPr>
      <w:r>
        <w:rPr>
          <w:rFonts w:hint="eastAsia" w:ascii="宋体" w:hAnsi="宋体" w:cs="宋体"/>
          <w:b/>
          <w:sz w:val="30"/>
          <w:szCs w:val="30"/>
        </w:rPr>
        <w:t>二、中小企业声明函（如有）</w:t>
      </w:r>
    </w:p>
    <w:p w14:paraId="642D2CC8">
      <w:pPr>
        <w:spacing w:line="360" w:lineRule="auto"/>
        <w:jc w:val="center"/>
        <w:rPr>
          <w:rFonts w:ascii="宋体" w:hAnsi="宋体" w:cs="宋体"/>
          <w:b/>
          <w:color w:val="000000" w:themeColor="text1"/>
          <w:sz w:val="32"/>
          <w:szCs w:val="32"/>
          <w14:textFill>
            <w14:solidFill>
              <w14:schemeClr w14:val="tx1"/>
            </w14:solidFill>
          </w14:textFill>
        </w:rPr>
      </w:pPr>
    </w:p>
    <w:p w14:paraId="18EFB3D5">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中小企业声明函（货物）</w:t>
      </w:r>
    </w:p>
    <w:p w14:paraId="00A4CEB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cs="宋体"/>
          <w:color w:val="000000" w:themeColor="text1"/>
          <w:sz w:val="24"/>
          <w:u w:val="single"/>
          <w14:textFill>
            <w14:solidFill>
              <w14:schemeClr w14:val="tx1"/>
            </w14:solidFill>
          </w14:textFill>
        </w:rPr>
        <w:t xml:space="preserve">浙江水利水电学院 </w:t>
      </w:r>
      <w:r>
        <w:rPr>
          <w:rFonts w:hint="eastAsia" w:ascii="宋体" w:hAnsi="宋体" w:cs="宋体"/>
          <w:color w:val="000000" w:themeColor="text1"/>
          <w:sz w:val="24"/>
          <w14:textFill>
            <w14:solidFill>
              <w14:schemeClr w14:val="tx1"/>
            </w14:solidFill>
          </w14:textFill>
        </w:rPr>
        <w:t xml:space="preserve">的 </w:t>
      </w:r>
      <w:r>
        <w:rPr>
          <w:rFonts w:hint="eastAsia" w:ascii="宋体" w:hAnsi="宋体" w:cs="宋体"/>
          <w:color w:val="000000" w:themeColor="text1"/>
          <w:sz w:val="24"/>
          <w:u w:val="single"/>
          <w14:textFill>
            <w14:solidFill>
              <w14:schemeClr w14:val="tx1"/>
            </w14:solidFill>
          </w14:textFill>
        </w:rPr>
        <w:t>钱塘校区弱电设备改造工程（三期）</w:t>
      </w:r>
      <w:r>
        <w:rPr>
          <w:rFonts w:hint="eastAsia" w:ascii="宋体" w:hAnsi="宋体" w:cs="宋体"/>
          <w:color w:val="000000" w:themeColor="text1"/>
          <w:sz w:val="24"/>
          <w14:textFill>
            <w14:solidFill>
              <w14:schemeClr w14:val="tx1"/>
            </w14:solidFill>
          </w14:textFill>
        </w:rPr>
        <w:t xml:space="preserve"> 采购活动，提供的货物全部由符合政策要求的中小企业制造。相关企业（含联合体中的中小企业、签订分包意向协议的中小企业）的具体情况如下：</w:t>
      </w:r>
    </w:p>
    <w:p w14:paraId="6F946B0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 xml:space="preserve"> ，属于 </w:t>
      </w:r>
      <w:r>
        <w:rPr>
          <w:rFonts w:hint="eastAsia" w:ascii="宋体" w:hAnsi="宋体" w:cs="宋体"/>
          <w:color w:val="000000" w:themeColor="text1"/>
          <w:sz w:val="24"/>
          <w:u w:val="single"/>
          <w14:textFill>
            <w14:solidFill>
              <w14:schemeClr w14:val="tx1"/>
            </w14:solidFill>
          </w14:textFill>
        </w:rPr>
        <w:t>（工业）</w:t>
      </w:r>
      <w:r>
        <w:rPr>
          <w:rFonts w:hint="eastAsia" w:ascii="宋体" w:hAnsi="宋体" w:cs="宋体"/>
          <w:color w:val="000000" w:themeColor="text1"/>
          <w:sz w:val="24"/>
          <w14:textFill>
            <w14:solidFill>
              <w14:schemeClr w14:val="tx1"/>
            </w14:solidFill>
          </w14:textFill>
        </w:rPr>
        <w:t>行业 ；制造商为</w:t>
      </w:r>
      <w:r>
        <w:rPr>
          <w:rFonts w:hint="eastAsia" w:ascii="宋体" w:hAnsi="宋体" w:cs="宋体"/>
          <w:color w:val="000000" w:themeColor="text1"/>
          <w:sz w:val="24"/>
          <w:u w:val="single"/>
          <w14:textFill>
            <w14:solidFill>
              <w14:schemeClr w14:val="tx1"/>
            </w14:solidFill>
          </w14:textFill>
        </w:rPr>
        <w:t xml:space="preserve"> （企业名称）</w:t>
      </w:r>
      <w:r>
        <w:rPr>
          <w:rFonts w:hint="eastAsia" w:ascii="宋体" w:hAnsi="宋体" w:cs="宋体"/>
          <w:color w:val="000000" w:themeColor="text1"/>
          <w:sz w:val="24"/>
          <w14:textFill>
            <w14:solidFill>
              <w14:schemeClr w14:val="tx1"/>
            </w14:solidFill>
          </w14:textFill>
        </w:rPr>
        <w:t xml:space="preserve"> ，从业人员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 xml:space="preserve"> （中型企业、小型企业、微型企业）</w:t>
      </w:r>
      <w:r>
        <w:rPr>
          <w:rFonts w:hint="eastAsia" w:ascii="宋体" w:hAnsi="宋体" w:cs="宋体"/>
          <w:color w:val="000000" w:themeColor="text1"/>
          <w:sz w:val="24"/>
          <w14:textFill>
            <w14:solidFill>
              <w14:schemeClr w14:val="tx1"/>
            </w14:solidFill>
          </w14:textFill>
        </w:rPr>
        <w:t xml:space="preserve"> ；</w:t>
      </w:r>
    </w:p>
    <w:p w14:paraId="03CFFF7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 xml:space="preserve"> ，属于 </w:t>
      </w:r>
      <w:r>
        <w:rPr>
          <w:rFonts w:hint="eastAsia" w:ascii="宋体" w:hAnsi="宋体" w:cs="宋体"/>
          <w:color w:val="000000" w:themeColor="text1"/>
          <w:sz w:val="24"/>
          <w:u w:val="single"/>
          <w14:textFill>
            <w14:solidFill>
              <w14:schemeClr w14:val="tx1"/>
            </w14:solidFill>
          </w14:textFill>
        </w:rPr>
        <w:t>（工业）</w:t>
      </w:r>
      <w:r>
        <w:rPr>
          <w:rFonts w:hint="eastAsia" w:ascii="宋体" w:hAnsi="宋体" w:cs="宋体"/>
          <w:color w:val="000000" w:themeColor="text1"/>
          <w:sz w:val="24"/>
          <w14:textFill>
            <w14:solidFill>
              <w14:schemeClr w14:val="tx1"/>
            </w14:solidFill>
          </w14:textFill>
        </w:rPr>
        <w:t>行业 ；制造商为</w:t>
      </w:r>
      <w:r>
        <w:rPr>
          <w:rFonts w:hint="eastAsia" w:ascii="宋体" w:hAnsi="宋体" w:cs="宋体"/>
          <w:color w:val="000000" w:themeColor="text1"/>
          <w:sz w:val="24"/>
          <w:u w:val="single"/>
          <w14:textFill>
            <w14:solidFill>
              <w14:schemeClr w14:val="tx1"/>
            </w14:solidFill>
          </w14:textFill>
        </w:rPr>
        <w:t xml:space="preserve"> （企业名称）</w:t>
      </w:r>
      <w:r>
        <w:rPr>
          <w:rFonts w:hint="eastAsia" w:ascii="宋体" w:hAnsi="宋体" w:cs="宋体"/>
          <w:color w:val="000000" w:themeColor="text1"/>
          <w:sz w:val="24"/>
          <w14:textFill>
            <w14:solidFill>
              <w14:schemeClr w14:val="tx1"/>
            </w14:solidFill>
          </w14:textFill>
        </w:rPr>
        <w:t xml:space="preserve"> ，从业人员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 xml:space="preserve"> （中型企业、小型企业、微型企业）</w:t>
      </w:r>
      <w:r>
        <w:rPr>
          <w:rFonts w:hint="eastAsia" w:ascii="宋体" w:hAnsi="宋体" w:cs="宋体"/>
          <w:color w:val="000000" w:themeColor="text1"/>
          <w:sz w:val="24"/>
          <w14:textFill>
            <w14:solidFill>
              <w14:schemeClr w14:val="tx1"/>
            </w14:solidFill>
          </w14:textFill>
        </w:rPr>
        <w:t xml:space="preserve"> ；</w:t>
      </w:r>
    </w:p>
    <w:p w14:paraId="44A88A4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6EB24F7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565748A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14:paraId="7700787D">
      <w:pPr>
        <w:snapToGrid w:val="0"/>
        <w:spacing w:line="360" w:lineRule="auto"/>
        <w:ind w:firstLine="5160" w:firstLineChars="2150"/>
        <w:rPr>
          <w:rFonts w:ascii="宋体" w:hAnsi="宋体" w:cs="宋体"/>
          <w:color w:val="000000" w:themeColor="text1"/>
          <w:kern w:val="0"/>
          <w:sz w:val="24"/>
          <w:lang w:val="zh-CN"/>
          <w14:textFill>
            <w14:solidFill>
              <w14:schemeClr w14:val="tx1"/>
            </w14:solidFill>
          </w14:textFill>
        </w:rPr>
      </w:pPr>
    </w:p>
    <w:p w14:paraId="07606913">
      <w:pPr>
        <w:snapToGrid w:val="0"/>
        <w:spacing w:line="360" w:lineRule="auto"/>
        <w:ind w:firstLine="5160" w:firstLineChars="21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投标人名称(电子签名)：</w:t>
      </w:r>
    </w:p>
    <w:p w14:paraId="3A460BA9">
      <w:pPr>
        <w:snapToGrid w:val="0"/>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56D8F207">
      <w:pPr>
        <w:spacing w:line="360" w:lineRule="auto"/>
        <w:ind w:right="42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7F987D54">
      <w:pPr>
        <w:numPr>
          <w:ilvl w:val="0"/>
          <w:numId w:val="3"/>
        </w:numPr>
        <w:rPr>
          <w:rFonts w:ascii="宋体" w:hAnsi="宋体" w:cs="宋体"/>
          <w:b/>
          <w:sz w:val="30"/>
          <w:szCs w:val="30"/>
        </w:rPr>
      </w:pPr>
      <w:r>
        <w:rPr>
          <w:rFonts w:hint="eastAsia" w:ascii="宋体" w:hAnsi="宋体" w:cs="宋体"/>
          <w:b/>
          <w:sz w:val="30"/>
          <w:szCs w:val="30"/>
        </w:rPr>
        <w:br w:type="page"/>
      </w:r>
    </w:p>
    <w:p w14:paraId="202B43C2">
      <w:pPr>
        <w:jc w:val="center"/>
      </w:pPr>
      <w:r>
        <w:rPr>
          <w:rFonts w:hint="eastAsia" w:ascii="宋体" w:hAnsi="宋体" w:cs="宋体"/>
          <w:b/>
          <w:sz w:val="30"/>
          <w:szCs w:val="30"/>
        </w:rPr>
        <w:t>三、关于符合本国产品标准的声明函</w:t>
      </w:r>
    </w:p>
    <w:p w14:paraId="68261FC4">
      <w:pPr>
        <w:snapToGrid w:val="0"/>
        <w:spacing w:line="360" w:lineRule="auto"/>
        <w:jc w:val="center"/>
        <w:rPr>
          <w:rFonts w:asciiTheme="minorEastAsia" w:hAnsiTheme="minorEastAsia" w:eastAsiaTheme="minorEastAsia" w:cstheme="minorEastAsia"/>
          <w:b/>
          <w:spacing w:val="6"/>
          <w:sz w:val="24"/>
        </w:rPr>
      </w:pPr>
      <w:r>
        <w:rPr>
          <w:rFonts w:hint="eastAsia" w:asciiTheme="minorEastAsia" w:hAnsiTheme="minorEastAsia" w:eastAsiaTheme="minorEastAsia" w:cstheme="minorEastAsia"/>
          <w:b/>
          <w:spacing w:val="-6"/>
          <w:sz w:val="24"/>
        </w:rPr>
        <w:t>（若符合本国产品标准）</w:t>
      </w:r>
    </w:p>
    <w:p w14:paraId="4EF69E17">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本公司（单位）郑重声明，根据《国务院办公厅关于在政府采购中实施本国产品标准及相关政策的通知》（国办发〔2025〕34号）的规定，本公司（单位）提供的以下产品属于本国产品。具体情况如下：</w:t>
      </w:r>
    </w:p>
    <w:p w14:paraId="48B4ADDF">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24口交换机，生产厂为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（厂名）</w:t>
      </w:r>
      <w:r>
        <w:rPr>
          <w:rFonts w:hint="eastAsia" w:asciiTheme="minorEastAsia" w:hAnsiTheme="minorEastAsia" w:eastAsiaTheme="minorEastAsia" w:cstheme="minorEastAsia"/>
          <w:spacing w:val="6"/>
        </w:rPr>
        <w:t>，厂址为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（生产厂址）</w:t>
      </w:r>
      <w:r>
        <w:rPr>
          <w:rFonts w:hint="eastAsia" w:asciiTheme="minorEastAsia" w:hAnsiTheme="minorEastAsia" w:eastAsiaTheme="minorEastAsia" w:cstheme="minorEastAsia"/>
          <w:spacing w:val="6"/>
        </w:rPr>
        <w:t>。24口交换机的中国境内生产的组件成本占比≥</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（规定比例，具体详见注释③）</w:t>
      </w:r>
      <w:r>
        <w:rPr>
          <w:rFonts w:hint="eastAsia" w:asciiTheme="minorEastAsia" w:hAnsiTheme="minorEastAsia" w:eastAsiaTheme="minorEastAsia" w:cstheme="minorEastAsia"/>
          <w:spacing w:val="6"/>
        </w:rPr>
        <w:t>。24口交换机的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（关键组件，具体详见注释④）</w:t>
      </w:r>
      <w:r>
        <w:rPr>
          <w:rFonts w:hint="eastAsia" w:asciiTheme="minorEastAsia" w:hAnsiTheme="minorEastAsia" w:eastAsiaTheme="minorEastAsia" w:cstheme="minorEastAsia"/>
          <w:spacing w:val="6"/>
        </w:rPr>
        <w:t>在中国境内生产。24口交换机的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（关键工序，具体详见注释⑤）</w:t>
      </w:r>
      <w:r>
        <w:rPr>
          <w:rFonts w:hint="eastAsia" w:asciiTheme="minorEastAsia" w:hAnsiTheme="minorEastAsia" w:eastAsiaTheme="minorEastAsia" w:cstheme="minorEastAsia"/>
          <w:spacing w:val="6"/>
        </w:rPr>
        <w:t>在中国境内完成。</w:t>
      </w:r>
    </w:p>
    <w:p w14:paraId="0ABF40F6">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48口交换机，生产厂为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（厂名）</w:t>
      </w:r>
      <w:r>
        <w:rPr>
          <w:rFonts w:hint="eastAsia" w:asciiTheme="minorEastAsia" w:hAnsiTheme="minorEastAsia" w:eastAsiaTheme="minorEastAsia" w:cstheme="minorEastAsia"/>
          <w:spacing w:val="6"/>
        </w:rPr>
        <w:t>，厂址为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（生产厂址）</w:t>
      </w:r>
      <w:r>
        <w:rPr>
          <w:rFonts w:hint="eastAsia" w:asciiTheme="minorEastAsia" w:hAnsiTheme="minorEastAsia" w:eastAsiaTheme="minorEastAsia" w:cstheme="minorEastAsia"/>
          <w:spacing w:val="6"/>
        </w:rPr>
        <w:t>。48口交换机的中国境内生产的组件成本占比≥</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（规定比例，具体详见注释③）</w:t>
      </w:r>
      <w:r>
        <w:rPr>
          <w:rFonts w:hint="eastAsia" w:asciiTheme="minorEastAsia" w:hAnsiTheme="minorEastAsia" w:eastAsiaTheme="minorEastAsia" w:cstheme="minorEastAsia"/>
          <w:spacing w:val="6"/>
        </w:rPr>
        <w:t>。48口交换机的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（关键组件，具体详见注释④）</w:t>
      </w:r>
      <w:r>
        <w:rPr>
          <w:rFonts w:hint="eastAsia" w:asciiTheme="minorEastAsia" w:hAnsiTheme="minorEastAsia" w:eastAsiaTheme="minorEastAsia" w:cstheme="minorEastAsia"/>
          <w:spacing w:val="6"/>
        </w:rPr>
        <w:t>在中国境内生产。48口交换机的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（关键工序，具体详见注释⑤）</w:t>
      </w:r>
      <w:r>
        <w:rPr>
          <w:rFonts w:hint="eastAsia" w:asciiTheme="minorEastAsia" w:hAnsiTheme="minorEastAsia" w:eastAsiaTheme="minorEastAsia" w:cstheme="minorEastAsia"/>
          <w:spacing w:val="6"/>
        </w:rPr>
        <w:t>在中国境内完成。</w:t>
      </w:r>
    </w:p>
    <w:p w14:paraId="4752DE50">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8口POE交换机，生产厂为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（厂名）</w:t>
      </w:r>
      <w:r>
        <w:rPr>
          <w:rFonts w:hint="eastAsia" w:asciiTheme="minorEastAsia" w:hAnsiTheme="minorEastAsia" w:eastAsiaTheme="minorEastAsia" w:cstheme="minorEastAsia"/>
          <w:spacing w:val="6"/>
        </w:rPr>
        <w:t>，厂址为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（生产厂址）</w:t>
      </w:r>
      <w:r>
        <w:rPr>
          <w:rFonts w:hint="eastAsia" w:asciiTheme="minorEastAsia" w:hAnsiTheme="minorEastAsia" w:eastAsiaTheme="minorEastAsia" w:cstheme="minorEastAsia"/>
          <w:spacing w:val="6"/>
        </w:rPr>
        <w:t>。8口POE交换机的中国境内生产的组件成本占比≥</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（规定比例，具体详见注释③）</w:t>
      </w:r>
      <w:r>
        <w:rPr>
          <w:rFonts w:hint="eastAsia" w:asciiTheme="minorEastAsia" w:hAnsiTheme="minorEastAsia" w:eastAsiaTheme="minorEastAsia" w:cstheme="minorEastAsia"/>
          <w:spacing w:val="6"/>
        </w:rPr>
        <w:t>。8口POE交换机的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（关键组件，具体详见注释④）</w:t>
      </w:r>
      <w:r>
        <w:rPr>
          <w:rFonts w:hint="eastAsia" w:asciiTheme="minorEastAsia" w:hAnsiTheme="minorEastAsia" w:eastAsiaTheme="minorEastAsia" w:cstheme="minorEastAsia"/>
          <w:spacing w:val="6"/>
        </w:rPr>
        <w:t>在中国境内生产。8口POE交换机的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（关键工序，具体详见注释⑤）</w:t>
      </w:r>
      <w:r>
        <w:rPr>
          <w:rFonts w:hint="eastAsia" w:asciiTheme="minorEastAsia" w:hAnsiTheme="minorEastAsia" w:eastAsiaTheme="minorEastAsia" w:cstheme="minorEastAsia"/>
          <w:spacing w:val="6"/>
        </w:rPr>
        <w:t>在中国境内完成。</w:t>
      </w:r>
    </w:p>
    <w:p w14:paraId="05219A80">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2.5G-POE交换机，生产厂为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（厂名）</w:t>
      </w:r>
      <w:r>
        <w:rPr>
          <w:rFonts w:hint="eastAsia" w:asciiTheme="minorEastAsia" w:hAnsiTheme="minorEastAsia" w:eastAsiaTheme="minorEastAsia" w:cstheme="minorEastAsia"/>
          <w:spacing w:val="6"/>
        </w:rPr>
        <w:t>，厂址为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（生产厂址）</w:t>
      </w:r>
      <w:r>
        <w:rPr>
          <w:rFonts w:hint="eastAsia" w:asciiTheme="minorEastAsia" w:hAnsiTheme="minorEastAsia" w:eastAsiaTheme="minorEastAsia" w:cstheme="minorEastAsia"/>
          <w:spacing w:val="6"/>
        </w:rPr>
        <w:t>。2.5G-POE交换机的中国境内生产的组件成本占比≥</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（规定比例，具体详见注释③）</w:t>
      </w:r>
      <w:r>
        <w:rPr>
          <w:rFonts w:hint="eastAsia" w:asciiTheme="minorEastAsia" w:hAnsiTheme="minorEastAsia" w:eastAsiaTheme="minorEastAsia" w:cstheme="minorEastAsia"/>
          <w:spacing w:val="6"/>
        </w:rPr>
        <w:t>。2.5G-POE交换机的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（关键组件，具体详见注释④）</w:t>
      </w:r>
      <w:r>
        <w:rPr>
          <w:rFonts w:hint="eastAsia" w:asciiTheme="minorEastAsia" w:hAnsiTheme="minorEastAsia" w:eastAsiaTheme="minorEastAsia" w:cstheme="minorEastAsia"/>
          <w:spacing w:val="6"/>
        </w:rPr>
        <w:t>在中国境内生产。2.5G-POE交换机的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（关键工序，具体详见注释⑤）</w:t>
      </w:r>
      <w:r>
        <w:rPr>
          <w:rFonts w:hint="eastAsia" w:asciiTheme="minorEastAsia" w:hAnsiTheme="minorEastAsia" w:eastAsiaTheme="minorEastAsia" w:cstheme="minorEastAsia"/>
          <w:spacing w:val="6"/>
        </w:rPr>
        <w:t>在中国境内完成。</w:t>
      </w:r>
    </w:p>
    <w:p w14:paraId="439CA18A">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汇聚交换机1，生产厂为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（厂名）</w:t>
      </w:r>
      <w:r>
        <w:rPr>
          <w:rFonts w:hint="eastAsia" w:asciiTheme="minorEastAsia" w:hAnsiTheme="minorEastAsia" w:eastAsiaTheme="minorEastAsia" w:cstheme="minorEastAsia"/>
          <w:spacing w:val="6"/>
        </w:rPr>
        <w:t>，厂址为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（生产厂址）</w:t>
      </w:r>
      <w:r>
        <w:rPr>
          <w:rFonts w:hint="eastAsia" w:asciiTheme="minorEastAsia" w:hAnsiTheme="minorEastAsia" w:eastAsiaTheme="minorEastAsia" w:cstheme="minorEastAsia"/>
          <w:spacing w:val="6"/>
        </w:rPr>
        <w:t>。汇聚交换机1的中国境内生产的组件成本占比≥</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（规定比例，具体详见注释③）</w:t>
      </w:r>
      <w:r>
        <w:rPr>
          <w:rFonts w:hint="eastAsia" w:asciiTheme="minorEastAsia" w:hAnsiTheme="minorEastAsia" w:eastAsiaTheme="minorEastAsia" w:cstheme="minorEastAsia"/>
          <w:spacing w:val="6"/>
        </w:rPr>
        <w:t>。汇聚交换机1的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（关键组件，具体详见注释④）</w:t>
      </w:r>
      <w:r>
        <w:rPr>
          <w:rFonts w:hint="eastAsia" w:asciiTheme="minorEastAsia" w:hAnsiTheme="minorEastAsia" w:eastAsiaTheme="minorEastAsia" w:cstheme="minorEastAsia"/>
          <w:spacing w:val="6"/>
        </w:rPr>
        <w:t>在中国境内生产。汇聚交换机1的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（关键工序，具体详见注释⑤）</w:t>
      </w:r>
      <w:r>
        <w:rPr>
          <w:rFonts w:hint="eastAsia" w:asciiTheme="minorEastAsia" w:hAnsiTheme="minorEastAsia" w:eastAsiaTheme="minorEastAsia" w:cstheme="minorEastAsia"/>
          <w:spacing w:val="6"/>
        </w:rPr>
        <w:t>在中国境内完成。</w:t>
      </w:r>
    </w:p>
    <w:p w14:paraId="4DC9E93B">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数据中心交换机，生产厂为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（厂名）</w:t>
      </w:r>
      <w:r>
        <w:rPr>
          <w:rFonts w:hint="eastAsia" w:asciiTheme="minorEastAsia" w:hAnsiTheme="minorEastAsia" w:eastAsiaTheme="minorEastAsia" w:cstheme="minorEastAsia"/>
          <w:spacing w:val="6"/>
        </w:rPr>
        <w:t>，厂址为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（生产厂址）</w:t>
      </w:r>
      <w:r>
        <w:rPr>
          <w:rFonts w:hint="eastAsia" w:asciiTheme="minorEastAsia" w:hAnsiTheme="minorEastAsia" w:eastAsiaTheme="minorEastAsia" w:cstheme="minorEastAsia"/>
          <w:spacing w:val="6"/>
        </w:rPr>
        <w:t>。数据中心交换机的中国境内生产的组件成本占比≥</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（规定比例，具体详见注释③）</w:t>
      </w:r>
      <w:r>
        <w:rPr>
          <w:rFonts w:hint="eastAsia" w:asciiTheme="minorEastAsia" w:hAnsiTheme="minorEastAsia" w:eastAsiaTheme="minorEastAsia" w:cstheme="minorEastAsia"/>
          <w:spacing w:val="6"/>
        </w:rPr>
        <w:t>。数据中心交换机的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（关键组件，具体详见注释④）</w:t>
      </w:r>
      <w:r>
        <w:rPr>
          <w:rFonts w:hint="eastAsia" w:asciiTheme="minorEastAsia" w:hAnsiTheme="minorEastAsia" w:eastAsiaTheme="minorEastAsia" w:cstheme="minorEastAsia"/>
          <w:spacing w:val="6"/>
        </w:rPr>
        <w:t>在中国境内生产。数据中心交换机的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（关键工序，具体详见注释⑤）</w:t>
      </w:r>
      <w:r>
        <w:rPr>
          <w:rFonts w:hint="eastAsia" w:asciiTheme="minorEastAsia" w:hAnsiTheme="minorEastAsia" w:eastAsiaTheme="minorEastAsia" w:cstheme="minorEastAsia"/>
          <w:spacing w:val="6"/>
        </w:rPr>
        <w:t>在中国境内完成。</w:t>
      </w:r>
    </w:p>
    <w:p w14:paraId="6EBB402D">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24口万兆光主机，生产厂为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（厂名）</w:t>
      </w:r>
      <w:r>
        <w:rPr>
          <w:rFonts w:hint="eastAsia" w:asciiTheme="minorEastAsia" w:hAnsiTheme="minorEastAsia" w:eastAsiaTheme="minorEastAsia" w:cstheme="minorEastAsia"/>
          <w:spacing w:val="6"/>
        </w:rPr>
        <w:t>，厂址为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（生产厂址）</w:t>
      </w:r>
      <w:r>
        <w:rPr>
          <w:rFonts w:hint="eastAsia" w:asciiTheme="minorEastAsia" w:hAnsiTheme="minorEastAsia" w:eastAsiaTheme="minorEastAsia" w:cstheme="minorEastAsia"/>
          <w:spacing w:val="6"/>
        </w:rPr>
        <w:t>。24口万兆光主机的中国境内生产的组件成本占比≥</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（规定比例，具体详见注释③）</w:t>
      </w:r>
      <w:r>
        <w:rPr>
          <w:rFonts w:hint="eastAsia" w:asciiTheme="minorEastAsia" w:hAnsiTheme="minorEastAsia" w:eastAsiaTheme="minorEastAsia" w:cstheme="minorEastAsia"/>
          <w:spacing w:val="6"/>
        </w:rPr>
        <w:t>。24口万兆光主机的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（关键组件，具体详见注释④）</w:t>
      </w:r>
      <w:r>
        <w:rPr>
          <w:rFonts w:hint="eastAsia" w:asciiTheme="minorEastAsia" w:hAnsiTheme="minorEastAsia" w:eastAsiaTheme="minorEastAsia" w:cstheme="minorEastAsia"/>
          <w:spacing w:val="6"/>
        </w:rPr>
        <w:t>在中国境内生产。24口万兆光主机的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（关键工序，具体详见注释⑤）</w:t>
      </w:r>
      <w:r>
        <w:rPr>
          <w:rFonts w:hint="eastAsia" w:asciiTheme="minorEastAsia" w:hAnsiTheme="minorEastAsia" w:eastAsiaTheme="minorEastAsia" w:cstheme="minorEastAsia"/>
          <w:spacing w:val="6"/>
        </w:rPr>
        <w:t>在中国境内完成。</w:t>
      </w:r>
    </w:p>
    <w:p w14:paraId="440C406D">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48口万兆光主机，生产厂为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（厂名）</w:t>
      </w:r>
      <w:r>
        <w:rPr>
          <w:rFonts w:hint="eastAsia" w:asciiTheme="minorEastAsia" w:hAnsiTheme="minorEastAsia" w:eastAsiaTheme="minorEastAsia" w:cstheme="minorEastAsia"/>
          <w:spacing w:val="6"/>
        </w:rPr>
        <w:t>，厂址为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（生产厂址）</w:t>
      </w:r>
      <w:r>
        <w:rPr>
          <w:rFonts w:hint="eastAsia" w:asciiTheme="minorEastAsia" w:hAnsiTheme="minorEastAsia" w:eastAsiaTheme="minorEastAsia" w:cstheme="minorEastAsia"/>
          <w:spacing w:val="6"/>
        </w:rPr>
        <w:t>。48口万兆光主机的中国境内生产的组件成本占比≥</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（规定比例，具体详见注释③）</w:t>
      </w:r>
      <w:r>
        <w:rPr>
          <w:rFonts w:hint="eastAsia" w:asciiTheme="minorEastAsia" w:hAnsiTheme="minorEastAsia" w:eastAsiaTheme="minorEastAsia" w:cstheme="minorEastAsia"/>
          <w:spacing w:val="6"/>
        </w:rPr>
        <w:t>。48口万兆光主机的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（关键组件，具体详见注释④）</w:t>
      </w:r>
      <w:r>
        <w:rPr>
          <w:rFonts w:hint="eastAsia" w:asciiTheme="minorEastAsia" w:hAnsiTheme="minorEastAsia" w:eastAsiaTheme="minorEastAsia" w:cstheme="minorEastAsia"/>
          <w:spacing w:val="6"/>
        </w:rPr>
        <w:t>在中国境内生产。48口万兆光主机的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（关键工序，具体详见注释⑤）</w:t>
      </w:r>
      <w:r>
        <w:rPr>
          <w:rFonts w:hint="eastAsia" w:asciiTheme="minorEastAsia" w:hAnsiTheme="minorEastAsia" w:eastAsiaTheme="minorEastAsia" w:cstheme="minorEastAsia"/>
          <w:spacing w:val="6"/>
        </w:rPr>
        <w:t>在中国境内完成。</w:t>
      </w:r>
    </w:p>
    <w:p w14:paraId="1EA8632D">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AP用光电混合缆，生产厂为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（厂名）</w:t>
      </w:r>
      <w:r>
        <w:rPr>
          <w:rFonts w:hint="eastAsia" w:asciiTheme="minorEastAsia" w:hAnsiTheme="minorEastAsia" w:eastAsiaTheme="minorEastAsia" w:cstheme="minorEastAsia"/>
          <w:spacing w:val="6"/>
        </w:rPr>
        <w:t>，厂址为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（生产厂址）</w:t>
      </w:r>
      <w:r>
        <w:rPr>
          <w:rFonts w:hint="eastAsia" w:asciiTheme="minorEastAsia" w:hAnsiTheme="minorEastAsia" w:eastAsiaTheme="minorEastAsia" w:cstheme="minorEastAsia"/>
          <w:spacing w:val="6"/>
        </w:rPr>
        <w:t>。AP用光电混合缆的中国境内生产的组件成本占比≥</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（规定比例，具体详见注释③）</w:t>
      </w:r>
      <w:r>
        <w:rPr>
          <w:rFonts w:hint="eastAsia" w:asciiTheme="minorEastAsia" w:hAnsiTheme="minorEastAsia" w:eastAsiaTheme="minorEastAsia" w:cstheme="minorEastAsia"/>
          <w:spacing w:val="6"/>
        </w:rPr>
        <w:t>。AP用光电混合缆的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（关键组件，具体详见注释④）</w:t>
      </w:r>
      <w:r>
        <w:rPr>
          <w:rFonts w:hint="eastAsia" w:asciiTheme="minorEastAsia" w:hAnsiTheme="minorEastAsia" w:eastAsiaTheme="minorEastAsia" w:cstheme="minorEastAsia"/>
          <w:spacing w:val="6"/>
        </w:rPr>
        <w:t>在中国境内生产。AP用光电混合缆的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（关键工序，具体详见注释⑤）</w:t>
      </w:r>
      <w:r>
        <w:rPr>
          <w:rFonts w:hint="eastAsia" w:asciiTheme="minorEastAsia" w:hAnsiTheme="minorEastAsia" w:eastAsiaTheme="minorEastAsia" w:cstheme="minorEastAsia"/>
          <w:spacing w:val="6"/>
        </w:rPr>
        <w:t>在中国境内完成。</w:t>
      </w:r>
    </w:p>
    <w:p w14:paraId="6AFFCC55">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AP端模块，生产厂为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（厂名）</w:t>
      </w:r>
      <w:r>
        <w:rPr>
          <w:rFonts w:hint="eastAsia" w:asciiTheme="minorEastAsia" w:hAnsiTheme="minorEastAsia" w:eastAsiaTheme="minorEastAsia" w:cstheme="minorEastAsia"/>
          <w:spacing w:val="6"/>
        </w:rPr>
        <w:t>，厂址为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（生产厂址）</w:t>
      </w:r>
      <w:r>
        <w:rPr>
          <w:rFonts w:hint="eastAsia" w:asciiTheme="minorEastAsia" w:hAnsiTheme="minorEastAsia" w:eastAsiaTheme="minorEastAsia" w:cstheme="minorEastAsia"/>
          <w:spacing w:val="6"/>
        </w:rPr>
        <w:t>。AP端模块的中国境内生产的组件成本占比≥</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（规定比例，具体详见注释③）</w:t>
      </w:r>
      <w:r>
        <w:rPr>
          <w:rFonts w:hint="eastAsia" w:asciiTheme="minorEastAsia" w:hAnsiTheme="minorEastAsia" w:eastAsiaTheme="minorEastAsia" w:cstheme="minorEastAsia"/>
          <w:spacing w:val="6"/>
        </w:rPr>
        <w:t>。AP端模块的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（关键组件，具体详见注释④）</w:t>
      </w:r>
      <w:r>
        <w:rPr>
          <w:rFonts w:hint="eastAsia" w:asciiTheme="minorEastAsia" w:hAnsiTheme="minorEastAsia" w:eastAsiaTheme="minorEastAsia" w:cstheme="minorEastAsia"/>
          <w:spacing w:val="6"/>
        </w:rPr>
        <w:t>在中国境内生产。AP端模块的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（关键工序，具体详见注释⑤）</w:t>
      </w:r>
      <w:r>
        <w:rPr>
          <w:rFonts w:hint="eastAsia" w:asciiTheme="minorEastAsia" w:hAnsiTheme="minorEastAsia" w:eastAsiaTheme="minorEastAsia" w:cstheme="minorEastAsia"/>
          <w:spacing w:val="6"/>
        </w:rPr>
        <w:t>在中国境内完成。</w:t>
      </w:r>
    </w:p>
    <w:p w14:paraId="3CC0FF88">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主机端模块，生产厂为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（厂名）</w:t>
      </w:r>
      <w:r>
        <w:rPr>
          <w:rFonts w:hint="eastAsia" w:asciiTheme="minorEastAsia" w:hAnsiTheme="minorEastAsia" w:eastAsiaTheme="minorEastAsia" w:cstheme="minorEastAsia"/>
          <w:spacing w:val="6"/>
        </w:rPr>
        <w:t>，厂址为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（生产厂址）</w:t>
      </w:r>
      <w:r>
        <w:rPr>
          <w:rFonts w:hint="eastAsia" w:asciiTheme="minorEastAsia" w:hAnsiTheme="minorEastAsia" w:eastAsiaTheme="minorEastAsia" w:cstheme="minorEastAsia"/>
          <w:spacing w:val="6"/>
        </w:rPr>
        <w:t>。主机端模块的中国境内生产的组件成本占比≥</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（规定比例，具体详见注释③）</w:t>
      </w:r>
      <w:r>
        <w:rPr>
          <w:rFonts w:hint="eastAsia" w:asciiTheme="minorEastAsia" w:hAnsiTheme="minorEastAsia" w:eastAsiaTheme="minorEastAsia" w:cstheme="minorEastAsia"/>
          <w:spacing w:val="6"/>
        </w:rPr>
        <w:t>。主机端模块的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（关键组件，具体详见注释④）</w:t>
      </w:r>
      <w:r>
        <w:rPr>
          <w:rFonts w:hint="eastAsia" w:asciiTheme="minorEastAsia" w:hAnsiTheme="minorEastAsia" w:eastAsiaTheme="minorEastAsia" w:cstheme="minorEastAsia"/>
          <w:spacing w:val="6"/>
        </w:rPr>
        <w:t>在中国境内生产。主机端模块的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（关键工序，具体详见注释⑤）</w:t>
      </w:r>
      <w:r>
        <w:rPr>
          <w:rFonts w:hint="eastAsia" w:asciiTheme="minorEastAsia" w:hAnsiTheme="minorEastAsia" w:eastAsiaTheme="minorEastAsia" w:cstheme="minorEastAsia"/>
          <w:spacing w:val="6"/>
        </w:rPr>
        <w:t>在中国境内完成。</w:t>
      </w:r>
    </w:p>
    <w:p w14:paraId="4C99560B">
      <w:pPr>
        <w:spacing w:line="360" w:lineRule="auto"/>
        <w:ind w:firstLine="504" w:firstLineChars="200"/>
        <w:rPr>
          <w:rFonts w:asciiTheme="minorEastAsia" w:hAnsiTheme="minorEastAsia" w:eastAsiaTheme="minorEastAsia" w:cstheme="minorEastAsia"/>
        </w:rPr>
      </w:pPr>
      <w:r>
        <w:rPr>
          <w:rFonts w:hint="eastAsia" w:asciiTheme="minorEastAsia" w:hAnsiTheme="minorEastAsia" w:eastAsiaTheme="minorEastAsia" w:cstheme="minorEastAsia"/>
          <w:spacing w:val="6"/>
          <w:sz w:val="24"/>
        </w:rPr>
        <w:t>放装AP，生产厂为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
          <w:bCs/>
          <w:spacing w:val="6"/>
          <w:sz w:val="24"/>
        </w:rPr>
        <w:t>（厂名）</w:t>
      </w:r>
      <w:r>
        <w:rPr>
          <w:rFonts w:hint="eastAsia" w:asciiTheme="minorEastAsia" w:hAnsiTheme="minorEastAsia" w:eastAsiaTheme="minorEastAsia" w:cstheme="minorEastAsia"/>
          <w:spacing w:val="6"/>
          <w:sz w:val="24"/>
        </w:rPr>
        <w:t>，厂址为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
          <w:bCs/>
          <w:spacing w:val="6"/>
          <w:sz w:val="24"/>
        </w:rPr>
        <w:t>（生产厂址）</w:t>
      </w:r>
      <w:r>
        <w:rPr>
          <w:rFonts w:hint="eastAsia" w:asciiTheme="minorEastAsia" w:hAnsiTheme="minorEastAsia" w:eastAsiaTheme="minorEastAsia" w:cstheme="minorEastAsia"/>
          <w:spacing w:val="6"/>
          <w:sz w:val="24"/>
        </w:rPr>
        <w:t>。放装AP的中国境内生产的组件成本占比≥</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
          <w:bCs/>
          <w:spacing w:val="6"/>
          <w:sz w:val="24"/>
        </w:rPr>
        <w:t>（规定比例，具体详见注释③）</w:t>
      </w:r>
      <w:r>
        <w:rPr>
          <w:rFonts w:hint="eastAsia" w:asciiTheme="minorEastAsia" w:hAnsiTheme="minorEastAsia" w:eastAsiaTheme="minorEastAsia" w:cstheme="minorEastAsia"/>
          <w:spacing w:val="6"/>
          <w:sz w:val="24"/>
        </w:rPr>
        <w:t>。放装AP的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
          <w:bCs/>
          <w:spacing w:val="6"/>
          <w:sz w:val="24"/>
        </w:rPr>
        <w:t>（关键组件，具体详见注释④）</w:t>
      </w:r>
      <w:r>
        <w:rPr>
          <w:rFonts w:hint="eastAsia" w:asciiTheme="minorEastAsia" w:hAnsiTheme="minorEastAsia" w:eastAsiaTheme="minorEastAsia" w:cstheme="minorEastAsia"/>
          <w:spacing w:val="6"/>
          <w:sz w:val="24"/>
        </w:rPr>
        <w:t>在中国境内生产。放装AP的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
          <w:bCs/>
          <w:spacing w:val="6"/>
          <w:sz w:val="24"/>
        </w:rPr>
        <w:t>（关键工序，具体详见注释⑤）</w:t>
      </w:r>
      <w:r>
        <w:rPr>
          <w:rFonts w:hint="eastAsia" w:asciiTheme="minorEastAsia" w:hAnsiTheme="minorEastAsia" w:eastAsiaTheme="minorEastAsia" w:cstheme="minorEastAsia"/>
          <w:spacing w:val="6"/>
          <w:sz w:val="24"/>
        </w:rPr>
        <w:t>在中国境内完成。</w:t>
      </w:r>
    </w:p>
    <w:p w14:paraId="3F658301">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高密AP1，生产厂为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（厂名）</w:t>
      </w:r>
      <w:r>
        <w:rPr>
          <w:rFonts w:hint="eastAsia" w:asciiTheme="minorEastAsia" w:hAnsiTheme="minorEastAsia" w:eastAsiaTheme="minorEastAsia" w:cstheme="minorEastAsia"/>
          <w:spacing w:val="6"/>
        </w:rPr>
        <w:t>，厂址为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（生产厂址）</w:t>
      </w:r>
      <w:r>
        <w:rPr>
          <w:rFonts w:hint="eastAsia" w:asciiTheme="minorEastAsia" w:hAnsiTheme="minorEastAsia" w:eastAsiaTheme="minorEastAsia" w:cstheme="minorEastAsia"/>
          <w:spacing w:val="6"/>
        </w:rPr>
        <w:t>。高密AP1的中国境内生产的组件成本占比≥</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（规定比例，具体详见注释③）</w:t>
      </w:r>
      <w:r>
        <w:rPr>
          <w:rFonts w:hint="eastAsia" w:asciiTheme="minorEastAsia" w:hAnsiTheme="minorEastAsia" w:eastAsiaTheme="minorEastAsia" w:cstheme="minorEastAsia"/>
          <w:spacing w:val="6"/>
        </w:rPr>
        <w:t>。高密AP1的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（关键组件，具体详见注释④）</w:t>
      </w:r>
      <w:r>
        <w:rPr>
          <w:rFonts w:hint="eastAsia" w:asciiTheme="minorEastAsia" w:hAnsiTheme="minorEastAsia" w:eastAsiaTheme="minorEastAsia" w:cstheme="minorEastAsia"/>
          <w:spacing w:val="6"/>
        </w:rPr>
        <w:t>在中国境内生产。高密AP1的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（关键工序，具体详见注释⑤）</w:t>
      </w:r>
      <w:r>
        <w:rPr>
          <w:rFonts w:hint="eastAsia" w:asciiTheme="minorEastAsia" w:hAnsiTheme="minorEastAsia" w:eastAsiaTheme="minorEastAsia" w:cstheme="minorEastAsia"/>
          <w:spacing w:val="6"/>
        </w:rPr>
        <w:t>在中国境内完成。</w:t>
      </w:r>
    </w:p>
    <w:p w14:paraId="4AE83F93">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高密AP2，生产厂为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（厂名）</w:t>
      </w:r>
      <w:r>
        <w:rPr>
          <w:rFonts w:hint="eastAsia" w:asciiTheme="minorEastAsia" w:hAnsiTheme="minorEastAsia" w:eastAsiaTheme="minorEastAsia" w:cstheme="minorEastAsia"/>
          <w:spacing w:val="6"/>
        </w:rPr>
        <w:t>，厂址为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（生产厂址）</w:t>
      </w:r>
      <w:r>
        <w:rPr>
          <w:rFonts w:hint="eastAsia" w:asciiTheme="minorEastAsia" w:hAnsiTheme="minorEastAsia" w:eastAsiaTheme="minorEastAsia" w:cstheme="minorEastAsia"/>
          <w:spacing w:val="6"/>
        </w:rPr>
        <w:t>。高密AP2的中国境内生产的组件成本占比≥</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（规定比例，具体详见注释③）</w:t>
      </w:r>
      <w:r>
        <w:rPr>
          <w:rFonts w:hint="eastAsia" w:asciiTheme="minorEastAsia" w:hAnsiTheme="minorEastAsia" w:eastAsiaTheme="minorEastAsia" w:cstheme="minorEastAsia"/>
          <w:spacing w:val="6"/>
        </w:rPr>
        <w:t>。高密AP2的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（关键组件，具体详见注释④）</w:t>
      </w:r>
      <w:r>
        <w:rPr>
          <w:rFonts w:hint="eastAsia" w:asciiTheme="minorEastAsia" w:hAnsiTheme="minorEastAsia" w:eastAsiaTheme="minorEastAsia" w:cstheme="minorEastAsia"/>
          <w:spacing w:val="6"/>
        </w:rPr>
        <w:t>在中国境内生产。高密AP2的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（关键工序，具体详见注释⑤）</w:t>
      </w:r>
      <w:r>
        <w:rPr>
          <w:rFonts w:hint="eastAsia" w:asciiTheme="minorEastAsia" w:hAnsiTheme="minorEastAsia" w:eastAsiaTheme="minorEastAsia" w:cstheme="minorEastAsia"/>
          <w:spacing w:val="6"/>
        </w:rPr>
        <w:t>在中国境内完成。</w:t>
      </w:r>
    </w:p>
    <w:p w14:paraId="26A8DC40">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面板AP，生产厂为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（厂名）</w:t>
      </w:r>
      <w:r>
        <w:rPr>
          <w:rFonts w:hint="eastAsia" w:asciiTheme="minorEastAsia" w:hAnsiTheme="minorEastAsia" w:eastAsiaTheme="minorEastAsia" w:cstheme="minorEastAsia"/>
          <w:spacing w:val="6"/>
        </w:rPr>
        <w:t>，厂址为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（生产厂址）</w:t>
      </w:r>
      <w:r>
        <w:rPr>
          <w:rFonts w:hint="eastAsia" w:asciiTheme="minorEastAsia" w:hAnsiTheme="minorEastAsia" w:eastAsiaTheme="minorEastAsia" w:cstheme="minorEastAsia"/>
          <w:spacing w:val="6"/>
        </w:rPr>
        <w:t>。面板AP的中国境内生产的组件成本占比≥</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（规定比例，具体详见注释③）</w:t>
      </w:r>
      <w:r>
        <w:rPr>
          <w:rFonts w:hint="eastAsia" w:asciiTheme="minorEastAsia" w:hAnsiTheme="minorEastAsia" w:eastAsiaTheme="minorEastAsia" w:cstheme="minorEastAsia"/>
          <w:spacing w:val="6"/>
        </w:rPr>
        <w:t>。面板AP的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（关键组件，具体详见注释④）</w:t>
      </w:r>
      <w:r>
        <w:rPr>
          <w:rFonts w:hint="eastAsia" w:asciiTheme="minorEastAsia" w:hAnsiTheme="minorEastAsia" w:eastAsiaTheme="minorEastAsia" w:cstheme="minorEastAsia"/>
          <w:spacing w:val="6"/>
        </w:rPr>
        <w:t>在中国境内生产。面板AP的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（关键工序，具体详见注释⑤）</w:t>
      </w:r>
      <w:r>
        <w:rPr>
          <w:rFonts w:hint="eastAsia" w:asciiTheme="minorEastAsia" w:hAnsiTheme="minorEastAsia" w:eastAsiaTheme="minorEastAsia" w:cstheme="minorEastAsia"/>
          <w:spacing w:val="6"/>
        </w:rPr>
        <w:t>在中国境内完成。</w:t>
      </w:r>
    </w:p>
    <w:p w14:paraId="26D39ACF">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光面板AP，生产厂为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（厂名）</w:t>
      </w:r>
      <w:r>
        <w:rPr>
          <w:rFonts w:hint="eastAsia" w:asciiTheme="minorEastAsia" w:hAnsiTheme="minorEastAsia" w:eastAsiaTheme="minorEastAsia" w:cstheme="minorEastAsia"/>
          <w:spacing w:val="6"/>
        </w:rPr>
        <w:t>，厂址为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（生产厂址）</w:t>
      </w:r>
      <w:r>
        <w:rPr>
          <w:rFonts w:hint="eastAsia" w:asciiTheme="minorEastAsia" w:hAnsiTheme="minorEastAsia" w:eastAsiaTheme="minorEastAsia" w:cstheme="minorEastAsia"/>
          <w:spacing w:val="6"/>
        </w:rPr>
        <w:t>。光面板AP的中国境内生产的组件成本占比≥</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（规定比例，具体详见注释③）</w:t>
      </w:r>
      <w:r>
        <w:rPr>
          <w:rFonts w:hint="eastAsia" w:asciiTheme="minorEastAsia" w:hAnsiTheme="minorEastAsia" w:eastAsiaTheme="minorEastAsia" w:cstheme="minorEastAsia"/>
          <w:spacing w:val="6"/>
        </w:rPr>
        <w:t>。光面板AP的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（关键组件，具体详见注释④）</w:t>
      </w:r>
      <w:r>
        <w:rPr>
          <w:rFonts w:hint="eastAsia" w:asciiTheme="minorEastAsia" w:hAnsiTheme="minorEastAsia" w:eastAsiaTheme="minorEastAsia" w:cstheme="minorEastAsia"/>
          <w:spacing w:val="6"/>
        </w:rPr>
        <w:t>在中国境内生产。光面板AP的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（关键工序，具体详见注释⑤）</w:t>
      </w:r>
      <w:r>
        <w:rPr>
          <w:rFonts w:hint="eastAsia" w:asciiTheme="minorEastAsia" w:hAnsiTheme="minorEastAsia" w:eastAsiaTheme="minorEastAsia" w:cstheme="minorEastAsia"/>
          <w:spacing w:val="6"/>
        </w:rPr>
        <w:t>在中国境内完成。</w:t>
      </w:r>
    </w:p>
    <w:p w14:paraId="756AAA4A">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室外AP1，生产厂为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（厂名）</w:t>
      </w:r>
      <w:r>
        <w:rPr>
          <w:rFonts w:hint="eastAsia" w:asciiTheme="minorEastAsia" w:hAnsiTheme="minorEastAsia" w:eastAsiaTheme="minorEastAsia" w:cstheme="minorEastAsia"/>
          <w:spacing w:val="6"/>
        </w:rPr>
        <w:t>，厂址为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（生产厂址）</w:t>
      </w:r>
      <w:r>
        <w:rPr>
          <w:rFonts w:hint="eastAsia" w:asciiTheme="minorEastAsia" w:hAnsiTheme="minorEastAsia" w:eastAsiaTheme="minorEastAsia" w:cstheme="minorEastAsia"/>
          <w:spacing w:val="6"/>
        </w:rPr>
        <w:t>。室外AP1的中国境内生产的组件成本占比≥</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（规定比例，具体详见注释③）</w:t>
      </w:r>
      <w:r>
        <w:rPr>
          <w:rFonts w:hint="eastAsia" w:asciiTheme="minorEastAsia" w:hAnsiTheme="minorEastAsia" w:eastAsiaTheme="minorEastAsia" w:cstheme="minorEastAsia"/>
          <w:spacing w:val="6"/>
        </w:rPr>
        <w:t>。室外AP1的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（关键组件，具体详见注释④）</w:t>
      </w:r>
      <w:r>
        <w:rPr>
          <w:rFonts w:hint="eastAsia" w:asciiTheme="minorEastAsia" w:hAnsiTheme="minorEastAsia" w:eastAsiaTheme="minorEastAsia" w:cstheme="minorEastAsia"/>
          <w:spacing w:val="6"/>
        </w:rPr>
        <w:t>在中国境内生产。室外AP1的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spacing w:val="6"/>
        </w:rPr>
        <w:t>（关键工序，具体详见注释⑤）</w:t>
      </w:r>
      <w:r>
        <w:rPr>
          <w:rFonts w:hint="eastAsia" w:asciiTheme="minorEastAsia" w:hAnsiTheme="minorEastAsia" w:eastAsiaTheme="minorEastAsia" w:cstheme="minorEastAsia"/>
          <w:spacing w:val="6"/>
        </w:rPr>
        <w:t>在中国境内完成。</w:t>
      </w:r>
    </w:p>
    <w:p w14:paraId="1B05EDC2">
      <w:pPr>
        <w:spacing w:line="360" w:lineRule="auto"/>
        <w:ind w:firstLine="504"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室外AP2，生产厂为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
          <w:bCs/>
          <w:spacing w:val="6"/>
          <w:sz w:val="24"/>
        </w:rPr>
        <w:t>（厂名）</w:t>
      </w:r>
      <w:r>
        <w:rPr>
          <w:rFonts w:hint="eastAsia" w:asciiTheme="minorEastAsia" w:hAnsiTheme="minorEastAsia" w:eastAsiaTheme="minorEastAsia" w:cstheme="minorEastAsia"/>
          <w:spacing w:val="6"/>
          <w:sz w:val="24"/>
        </w:rPr>
        <w:t>，厂址为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
          <w:bCs/>
          <w:spacing w:val="6"/>
          <w:sz w:val="24"/>
        </w:rPr>
        <w:t>（生产厂址）</w:t>
      </w:r>
      <w:r>
        <w:rPr>
          <w:rFonts w:hint="eastAsia" w:asciiTheme="minorEastAsia" w:hAnsiTheme="minorEastAsia" w:eastAsiaTheme="minorEastAsia" w:cstheme="minorEastAsia"/>
          <w:spacing w:val="6"/>
          <w:sz w:val="24"/>
        </w:rPr>
        <w:t>。室外AP2的中国境内生产的组件成本占比≥</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
          <w:bCs/>
          <w:spacing w:val="6"/>
          <w:sz w:val="24"/>
        </w:rPr>
        <w:t>（规定比例，具体详见注释③）</w:t>
      </w:r>
      <w:r>
        <w:rPr>
          <w:rFonts w:hint="eastAsia" w:asciiTheme="minorEastAsia" w:hAnsiTheme="minorEastAsia" w:eastAsiaTheme="minorEastAsia" w:cstheme="minorEastAsia"/>
          <w:spacing w:val="6"/>
          <w:sz w:val="24"/>
        </w:rPr>
        <w:t>。室外AP2的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
          <w:bCs/>
          <w:spacing w:val="6"/>
          <w:sz w:val="24"/>
        </w:rPr>
        <w:t>（关键组件，具体详见注释④）</w:t>
      </w:r>
      <w:r>
        <w:rPr>
          <w:rFonts w:hint="eastAsia" w:asciiTheme="minorEastAsia" w:hAnsiTheme="minorEastAsia" w:eastAsiaTheme="minorEastAsia" w:cstheme="minorEastAsia"/>
          <w:spacing w:val="6"/>
          <w:sz w:val="24"/>
        </w:rPr>
        <w:t>在中国境内生产。室外AP2的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
          <w:bCs/>
          <w:spacing w:val="6"/>
          <w:sz w:val="24"/>
        </w:rPr>
        <w:t>（关键工序，具体详见注释⑤）</w:t>
      </w:r>
      <w:r>
        <w:rPr>
          <w:rFonts w:hint="eastAsia" w:asciiTheme="minorEastAsia" w:hAnsiTheme="minorEastAsia" w:eastAsiaTheme="minorEastAsia" w:cstheme="minorEastAsia"/>
          <w:spacing w:val="6"/>
          <w:sz w:val="24"/>
        </w:rPr>
        <w:t>在中国境内完成。</w:t>
      </w:r>
    </w:p>
    <w:p w14:paraId="3E633A1E">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本公司（单位）对上述声明内容的真实性负责。如有虚假，愿承担相应法律责任。</w:t>
      </w:r>
    </w:p>
    <w:p w14:paraId="430A3E01">
      <w:pPr>
        <w:pStyle w:val="58"/>
        <w:shd w:val="clear" w:color="auto" w:fill="FFFFFF"/>
        <w:snapToGrid w:val="0"/>
        <w:spacing w:before="0" w:beforeAutospacing="0" w:after="0" w:afterAutospacing="0" w:line="360" w:lineRule="auto"/>
        <w:rPr>
          <w:rFonts w:asciiTheme="minorEastAsia" w:hAnsiTheme="minorEastAsia" w:eastAsiaTheme="minorEastAsia" w:cstheme="minorEastAsia"/>
          <w:spacing w:val="6"/>
        </w:rPr>
      </w:pPr>
    </w:p>
    <w:p w14:paraId="2F1C12C1">
      <w:pPr>
        <w:pStyle w:val="58"/>
        <w:shd w:val="clear" w:color="auto" w:fill="FFFFFF"/>
        <w:snapToGrid w:val="0"/>
        <w:spacing w:before="0" w:beforeAutospacing="0" w:after="0" w:afterAutospacing="0" w:line="360" w:lineRule="auto"/>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公司（单位）名称（盖章）：</w:t>
      </w:r>
    </w:p>
    <w:p w14:paraId="7AD73D8F">
      <w:pPr>
        <w:pStyle w:val="58"/>
        <w:shd w:val="clear" w:color="auto" w:fill="FFFFFF"/>
        <w:snapToGrid w:val="0"/>
        <w:spacing w:before="0" w:beforeAutospacing="0" w:after="0" w:afterAutospacing="0" w:line="360" w:lineRule="auto"/>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日期：    年  月  日</w:t>
      </w:r>
    </w:p>
    <w:p w14:paraId="5EC877BE">
      <w:pPr>
        <w:pStyle w:val="58"/>
        <w:shd w:val="clear" w:color="auto" w:fill="FFFFFF"/>
        <w:snapToGrid w:val="0"/>
        <w:spacing w:before="0" w:beforeAutospacing="0" w:after="0" w:afterAutospacing="0" w:line="360" w:lineRule="auto"/>
        <w:rPr>
          <w:rFonts w:asciiTheme="minorEastAsia" w:hAnsiTheme="minorEastAsia" w:eastAsiaTheme="minorEastAsia" w:cstheme="minorEastAsia"/>
          <w:spacing w:val="6"/>
        </w:rPr>
      </w:pPr>
    </w:p>
    <w:p w14:paraId="7794C282">
      <w:pPr>
        <w:pStyle w:val="58"/>
        <w:shd w:val="clear" w:color="auto" w:fill="FFFFFF"/>
        <w:snapToGrid w:val="0"/>
        <w:spacing w:before="0" w:beforeAutospacing="0" w:after="0" w:afterAutospacing="0" w:line="360" w:lineRule="auto"/>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注释：</w:t>
      </w:r>
    </w:p>
    <w:p w14:paraId="1DA9E297">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①产品如有型号，请在“产品名称”栏一并填写。</w:t>
      </w:r>
    </w:p>
    <w:p w14:paraId="0F478BFD">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②生产厂名与厂址应与生产厂营业执照载明的相关信息保持一致。</w:t>
      </w:r>
    </w:p>
    <w:p w14:paraId="7B80D438">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③该产品的中国境内生产的组件成本占比相关要求实施前，“规定比例”栏可不填，下同。</w:t>
      </w:r>
    </w:p>
    <w:p w14:paraId="7FC85F9E">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④该产品的关键组件要求实施前，“关键组件”栏可不填，下同。</w:t>
      </w:r>
    </w:p>
    <w:p w14:paraId="511EC2C8">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⑤该产品的关键工序要求实施前，“关键工序”栏可不填，下同。</w:t>
      </w:r>
    </w:p>
    <w:p w14:paraId="1DC9CA3B">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⑥在中国境内生产的产品即视为符合本国产品标准，享受政府采购本国产品支持政策。</w:t>
      </w:r>
    </w:p>
    <w:p w14:paraId="0C73A756">
      <w:pPr>
        <w:pStyle w:val="58"/>
        <w:shd w:val="clear" w:color="auto" w:fill="FFFFFF"/>
        <w:snapToGrid w:val="0"/>
        <w:spacing w:before="0" w:beforeAutospacing="0" w:after="0" w:afterAutospacing="0" w:line="360" w:lineRule="auto"/>
        <w:jc w:val="center"/>
        <w:rPr>
          <w:rFonts w:asciiTheme="minorEastAsia" w:hAnsiTheme="minorEastAsia" w:eastAsiaTheme="minorEastAsia" w:cstheme="minorEastAsia"/>
          <w:spacing w:val="6"/>
          <w:szCs w:val="21"/>
        </w:rPr>
      </w:pPr>
    </w:p>
    <w:p w14:paraId="44079915">
      <w:pPr>
        <w:pStyle w:val="58"/>
        <w:shd w:val="clear" w:color="auto" w:fill="FFFFFF"/>
        <w:snapToGrid w:val="0"/>
        <w:spacing w:before="0" w:beforeAutospacing="0" w:after="0" w:afterAutospacing="0" w:line="360" w:lineRule="auto"/>
        <w:jc w:val="center"/>
        <w:rPr>
          <w:rFonts w:asciiTheme="minorEastAsia" w:hAnsiTheme="minorEastAsia" w:eastAsiaTheme="minorEastAsia" w:cstheme="minorEastAsia"/>
          <w:b/>
          <w:bCs/>
          <w:spacing w:val="6"/>
          <w:szCs w:val="21"/>
        </w:rPr>
      </w:pPr>
      <w:r>
        <w:rPr>
          <w:rFonts w:hint="eastAsia" w:asciiTheme="minorEastAsia" w:hAnsiTheme="minorEastAsia" w:eastAsiaTheme="minorEastAsia" w:cstheme="minorEastAsia"/>
          <w:b/>
          <w:bCs/>
          <w:spacing w:val="6"/>
          <w:szCs w:val="21"/>
        </w:rPr>
        <w:t>中国境内生产的组件成本核算基本规则</w:t>
      </w:r>
    </w:p>
    <w:p w14:paraId="763D065C">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B958DA0">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一、产品的一级组件是指直接组成产品的组件。产品的二级组件是指直接组成产品一级组件的组件。一级组件不可分解的，视同二级组件。</w:t>
      </w:r>
    </w:p>
    <w:p w14:paraId="4682C4BB">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二、二级组件在中国境内生产的，其全部成本计入中国境内生产的组件成本；二级组件不在中国境内生产的，其成本不计入中国境内生产的组件成本。</w:t>
      </w:r>
    </w:p>
    <w:p w14:paraId="210E9CEE">
      <w:pPr>
        <w:pStyle w:val="58"/>
        <w:shd w:val="clear" w:color="auto" w:fill="FFFFFF"/>
        <w:snapToGrid w:val="0"/>
        <w:spacing w:before="0" w:beforeAutospacing="0" w:after="0" w:afterAutospacing="0" w:line="360" w:lineRule="auto"/>
        <w:ind w:firstLine="504" w:firstLineChars="2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三、产品总成本和组件成本以相关会计核算数据、采购合同、进货记录等为基础进行计算。</w:t>
      </w:r>
    </w:p>
    <w:p w14:paraId="6E5EBEC3">
      <w:pPr>
        <w:pStyle w:val="58"/>
        <w:shd w:val="clear" w:color="auto" w:fill="FFFFFF"/>
        <w:snapToGrid w:val="0"/>
        <w:spacing w:before="0" w:beforeAutospacing="0" w:after="0" w:afterAutospacing="0" w:line="360" w:lineRule="auto"/>
        <w:ind w:firstLine="504" w:firstLineChars="200"/>
        <w:rPr>
          <w:rFonts w:ascii="仿宋" w:hAnsi="仿宋" w:eastAsia="仿宋" w:cs="仿宋"/>
          <w:spacing w:val="6"/>
          <w:szCs w:val="21"/>
        </w:rPr>
      </w:pPr>
      <w:r>
        <w:rPr>
          <w:rFonts w:hint="eastAsia" w:asciiTheme="minorEastAsia" w:hAnsiTheme="minorEastAsia" w:eastAsiaTheme="minorEastAsia" w:cstheme="minorEastAsia"/>
          <w:spacing w:val="6"/>
          <w:szCs w:val="21"/>
        </w:rPr>
        <w:t>四、需要对成本核算规则予以进一步明确的其他有关事项，由财政部会同有关部门另行规定。</w:t>
      </w:r>
    </w:p>
    <w:p w14:paraId="44369DD4">
      <w:pPr>
        <w:snapToGrid w:val="0"/>
        <w:spacing w:line="288" w:lineRule="auto"/>
        <w:jc w:val="center"/>
        <w:rPr>
          <w:rFonts w:ascii="仿宋" w:hAnsi="仿宋" w:eastAsia="仿宋" w:cs="仿宋"/>
          <w:b/>
          <w:spacing w:val="-6"/>
          <w:szCs w:val="21"/>
        </w:rPr>
      </w:pPr>
      <w:r>
        <w:rPr>
          <w:rFonts w:hint="eastAsia" w:ascii="仿宋" w:hAnsi="仿宋" w:eastAsia="仿宋" w:cs="仿宋"/>
          <w:bCs/>
          <w:spacing w:val="-6"/>
          <w:szCs w:val="21"/>
        </w:rPr>
        <w:br w:type="page"/>
      </w:r>
    </w:p>
    <w:p w14:paraId="5DE76E35">
      <w:pPr>
        <w:snapToGrid w:val="0"/>
        <w:spacing w:line="360" w:lineRule="auto"/>
        <w:jc w:val="center"/>
        <w:rPr>
          <w:rFonts w:ascii="仿宋" w:hAnsi="仿宋" w:eastAsia="仿宋" w:cs="仿宋"/>
          <w:b/>
          <w:bCs/>
          <w:spacing w:val="6"/>
          <w:kern w:val="0"/>
          <w:sz w:val="20"/>
          <w:szCs w:val="21"/>
        </w:rPr>
      </w:pPr>
      <w:r>
        <w:rPr>
          <w:rFonts w:hint="eastAsia" w:ascii="宋体" w:hAnsi="宋体" w:cs="宋体"/>
          <w:b/>
          <w:sz w:val="30"/>
          <w:szCs w:val="30"/>
        </w:rPr>
        <w:t>四、关于本国产品成本比例的声明函</w:t>
      </w:r>
    </w:p>
    <w:p w14:paraId="07173D0E">
      <w:pPr>
        <w:snapToGrid w:val="0"/>
        <w:spacing w:line="360" w:lineRule="auto"/>
        <w:jc w:val="center"/>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b/>
          <w:spacing w:val="-6"/>
          <w:sz w:val="24"/>
        </w:rPr>
        <w:t>（当采购项目或者采购包中含有多种产品时）</w:t>
      </w:r>
    </w:p>
    <w:p w14:paraId="5B3A0308">
      <w:pPr>
        <w:snapToGrid w:val="0"/>
        <w:spacing w:line="360" w:lineRule="auto"/>
        <w:ind w:firstLine="504" w:firstLineChars="200"/>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spacing w:val="6"/>
          <w:kern w:val="0"/>
          <w:sz w:val="24"/>
        </w:rPr>
        <w:t>本公司（单位）郑重声明，根据《国务院办公厅关于在政府采购中实施本国产品标准及相关政策的通知》（国办发〔2025〕34号）的规定，本公司（单位）提供的符合本国产品标准的产品成本之和占提供的全部产品成本之和的比例达到</w:t>
      </w:r>
      <w:r>
        <w:rPr>
          <w:rFonts w:hint="eastAsia" w:asciiTheme="minorEastAsia" w:hAnsiTheme="minorEastAsia" w:eastAsiaTheme="minorEastAsia" w:cstheme="minorEastAsia"/>
          <w:spacing w:val="6"/>
          <w:kern w:val="0"/>
          <w:sz w:val="24"/>
          <w:u w:val="single"/>
        </w:rPr>
        <w:t xml:space="preserve">    </w:t>
      </w:r>
      <w:r>
        <w:rPr>
          <w:rFonts w:hint="eastAsia" w:asciiTheme="minorEastAsia" w:hAnsiTheme="minorEastAsia" w:eastAsiaTheme="minorEastAsia" w:cstheme="minorEastAsia"/>
          <w:spacing w:val="6"/>
          <w:kern w:val="0"/>
          <w:sz w:val="24"/>
        </w:rPr>
        <w:t>%。</w:t>
      </w:r>
    </w:p>
    <w:p w14:paraId="0E691C37">
      <w:pPr>
        <w:snapToGrid w:val="0"/>
        <w:spacing w:line="360" w:lineRule="auto"/>
        <w:ind w:firstLine="504" w:firstLineChars="200"/>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spacing w:val="6"/>
          <w:kern w:val="0"/>
          <w:sz w:val="24"/>
        </w:rPr>
        <w:t>本公司（单位）对上述声明内容的真实性负责。如有虚假，愿承担相应法律责任。</w:t>
      </w:r>
    </w:p>
    <w:p w14:paraId="01294B3E">
      <w:pPr>
        <w:snapToGrid w:val="0"/>
        <w:spacing w:line="360" w:lineRule="auto"/>
        <w:ind w:firstLine="504" w:firstLineChars="200"/>
        <w:rPr>
          <w:rFonts w:asciiTheme="minorEastAsia" w:hAnsiTheme="minorEastAsia" w:eastAsiaTheme="minorEastAsia" w:cstheme="minorEastAsia"/>
          <w:spacing w:val="6"/>
          <w:kern w:val="0"/>
          <w:sz w:val="24"/>
        </w:rPr>
      </w:pPr>
    </w:p>
    <w:p w14:paraId="34A11BDC">
      <w:pPr>
        <w:snapToGrid w:val="0"/>
        <w:spacing w:line="360" w:lineRule="auto"/>
        <w:ind w:firstLine="504" w:firstLineChars="200"/>
        <w:rPr>
          <w:rFonts w:asciiTheme="minorEastAsia" w:hAnsiTheme="minorEastAsia" w:eastAsiaTheme="minorEastAsia" w:cstheme="minorEastAsia"/>
          <w:spacing w:val="6"/>
          <w:kern w:val="0"/>
          <w:sz w:val="24"/>
        </w:rPr>
      </w:pPr>
      <w:r>
        <w:rPr>
          <w:rFonts w:hint="eastAsia" w:asciiTheme="minorEastAsia" w:hAnsiTheme="minorEastAsia" w:eastAsiaTheme="minorEastAsia" w:cstheme="minorEastAsia"/>
          <w:spacing w:val="6"/>
          <w:kern w:val="0"/>
          <w:sz w:val="24"/>
        </w:rPr>
        <w:t>公司（单位）名称（盖章）：</w:t>
      </w:r>
    </w:p>
    <w:p w14:paraId="621639B1">
      <w:pPr>
        <w:snapToGrid w:val="0"/>
        <w:spacing w:line="360" w:lineRule="auto"/>
        <w:ind w:firstLine="504" w:firstLineChars="200"/>
        <w:rPr>
          <w:rFonts w:ascii="仿宋" w:hAnsi="仿宋" w:eastAsia="仿宋" w:cs="仿宋"/>
          <w:spacing w:val="6"/>
          <w:kern w:val="0"/>
          <w:sz w:val="24"/>
        </w:rPr>
      </w:pPr>
      <w:r>
        <w:rPr>
          <w:rFonts w:hint="eastAsia" w:asciiTheme="minorEastAsia" w:hAnsiTheme="minorEastAsia" w:eastAsiaTheme="minorEastAsia" w:cstheme="minorEastAsia"/>
          <w:spacing w:val="6"/>
          <w:kern w:val="0"/>
          <w:sz w:val="24"/>
        </w:rPr>
        <w:t>日期：    年  月  日</w:t>
      </w:r>
    </w:p>
    <w:p w14:paraId="58FCFE34">
      <w:pPr>
        <w:rPr>
          <w:rFonts w:ascii="宋体" w:hAnsi="宋体" w:cs="宋体"/>
          <w:color w:val="000000" w:themeColor="text1"/>
          <w14:textFill>
            <w14:solidFill>
              <w14:schemeClr w14:val="tx1"/>
            </w14:solidFill>
          </w14:textFill>
        </w:rPr>
      </w:pPr>
      <w:r>
        <w:rPr>
          <w:rFonts w:hint="eastAsia" w:ascii="仿宋" w:hAnsi="仿宋" w:eastAsia="仿宋" w:cs="仿宋"/>
          <w:bCs/>
          <w:spacing w:val="-6"/>
          <w:szCs w:val="21"/>
        </w:rPr>
        <w:br w:type="page"/>
      </w:r>
    </w:p>
    <w:p w14:paraId="574D34E0">
      <w:pPr>
        <w:pStyle w:val="3"/>
        <w:keepNext w:val="0"/>
        <w:keepLines w:val="0"/>
        <w:pageBreakBefore/>
        <w:widowControl/>
        <w:spacing w:before="100" w:beforeAutospacing="1" w:after="100" w:afterAutospacing="1" w:line="360" w:lineRule="auto"/>
        <w:ind w:left="0" w:firstLine="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w:t>
      </w:r>
      <w:bookmarkEnd w:id="412"/>
    </w:p>
    <w:p w14:paraId="47F24A91">
      <w:pPr>
        <w:spacing w:line="360" w:lineRule="auto"/>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附件1：</w:t>
      </w:r>
    </w:p>
    <w:p w14:paraId="35238AAC">
      <w:pPr>
        <w:spacing w:line="360" w:lineRule="auto"/>
        <w:jc w:val="center"/>
        <w:rPr>
          <w:rFonts w:ascii="宋体" w:hAnsi="宋体" w:cs="宋体"/>
          <w:b/>
          <w:color w:val="000000" w:themeColor="text1"/>
          <w:spacing w:val="6"/>
          <w:sz w:val="32"/>
          <w:szCs w:val="32"/>
          <w14:textFill>
            <w14:solidFill>
              <w14:schemeClr w14:val="tx1"/>
            </w14:solidFill>
          </w14:textFill>
        </w:rPr>
      </w:pPr>
      <w:bookmarkStart w:id="413" w:name="OLE_LINK14"/>
      <w:bookmarkStart w:id="414" w:name="OLE_LINK13"/>
      <w:r>
        <w:rPr>
          <w:rFonts w:hint="eastAsia" w:ascii="宋体" w:hAnsi="宋体" w:cs="宋体"/>
          <w:b/>
          <w:color w:val="000000" w:themeColor="text1"/>
          <w:spacing w:val="6"/>
          <w:sz w:val="32"/>
          <w:szCs w:val="32"/>
          <w14:textFill>
            <w14:solidFill>
              <w14:schemeClr w14:val="tx1"/>
            </w14:solidFill>
          </w14:textFill>
        </w:rPr>
        <w:t>残疾人福利性单位声明函</w:t>
      </w:r>
    </w:p>
    <w:bookmarkEnd w:id="413"/>
    <w:bookmarkEnd w:id="414"/>
    <w:p w14:paraId="2F8BB4D6">
      <w:pPr>
        <w:spacing w:line="360" w:lineRule="auto"/>
        <w:rPr>
          <w:rFonts w:ascii="宋体" w:hAnsi="宋体" w:cs="宋体"/>
          <w:b/>
          <w:color w:val="000000" w:themeColor="text1"/>
          <w:spacing w:val="6"/>
          <w:sz w:val="30"/>
          <w:szCs w:val="30"/>
          <w14:textFill>
            <w14:solidFill>
              <w14:schemeClr w14:val="tx1"/>
            </w14:solidFill>
          </w14:textFill>
        </w:rPr>
      </w:pPr>
    </w:p>
    <w:p w14:paraId="1DA5531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000000" w:themeColor="text1"/>
          <w:sz w:val="24"/>
          <w:u w:val="single"/>
          <w14:textFill>
            <w14:solidFill>
              <w14:schemeClr w14:val="tx1"/>
            </w14:solidFill>
          </w14:textFill>
        </w:rPr>
        <w:t>浙江水利水电学院</w:t>
      </w:r>
      <w:r>
        <w:rPr>
          <w:rFonts w:hint="eastAsia" w:ascii="宋体" w:hAnsi="宋体" w:cs="宋体"/>
          <w:color w:val="000000" w:themeColor="text1"/>
          <w:sz w:val="24"/>
          <w14:textFill>
            <w14:solidFill>
              <w14:schemeClr w14:val="tx1"/>
            </w14:solidFill>
          </w14:textFill>
        </w:rPr>
        <w:t>_单位的_</w:t>
      </w:r>
      <w:r>
        <w:rPr>
          <w:rFonts w:hint="eastAsia" w:ascii="宋体" w:hAnsi="宋体" w:cs="宋体"/>
          <w:color w:val="000000" w:themeColor="text1"/>
          <w:sz w:val="24"/>
          <w:u w:val="single"/>
          <w14:textFill>
            <w14:solidFill>
              <w14:schemeClr w14:val="tx1"/>
            </w14:solidFill>
          </w14:textFill>
        </w:rPr>
        <w:t>钱塘校区弱电设备改造工程（三期）</w:t>
      </w:r>
      <w:r>
        <w:rPr>
          <w:rFonts w:hint="eastAsia" w:ascii="宋体" w:hAnsi="宋体" w:cs="宋体"/>
          <w:color w:val="000000" w:themeColor="text1"/>
          <w:sz w:val="24"/>
          <w14:textFill>
            <w14:solidFill>
              <w14:schemeClr w14:val="tx1"/>
            </w14:solidFill>
          </w14:textFill>
        </w:rPr>
        <w:t>__项目采购活动提供本单位制造的货物（由本单位承担工程/提供服务），或者提供其他残疾人福利性单位制造的货物（不包括使用非残疾人福利性单位注册商标的货物）。</w:t>
      </w:r>
    </w:p>
    <w:p w14:paraId="6A71F2B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本单位对上述声明的真实性负责。如有虚假，将依法承担相应责任。</w:t>
      </w:r>
    </w:p>
    <w:p w14:paraId="30797AB9">
      <w:pPr>
        <w:spacing w:line="360" w:lineRule="auto"/>
        <w:ind w:firstLine="480" w:firstLineChars="200"/>
        <w:rPr>
          <w:rFonts w:ascii="宋体" w:hAnsi="宋体" w:cs="宋体"/>
          <w:color w:val="000000" w:themeColor="text1"/>
          <w:sz w:val="24"/>
          <w14:textFill>
            <w14:solidFill>
              <w14:schemeClr w14:val="tx1"/>
            </w14:solidFill>
          </w14:textFill>
        </w:rPr>
      </w:pPr>
    </w:p>
    <w:p w14:paraId="3F65EB0A">
      <w:pPr>
        <w:spacing w:line="360" w:lineRule="auto"/>
        <w:ind w:firstLine="480" w:firstLineChars="200"/>
        <w:rPr>
          <w:rFonts w:ascii="宋体" w:hAnsi="宋体" w:cs="宋体"/>
          <w:color w:val="000000" w:themeColor="text1"/>
          <w:sz w:val="24"/>
          <w14:textFill>
            <w14:solidFill>
              <w14:schemeClr w14:val="tx1"/>
            </w14:solidFill>
          </w14:textFill>
        </w:rPr>
      </w:pPr>
    </w:p>
    <w:p w14:paraId="43F6C4AF">
      <w:pPr>
        <w:tabs>
          <w:tab w:val="left" w:pos="4860"/>
        </w:tabs>
        <w:spacing w:line="360" w:lineRule="auto"/>
        <w:ind w:right="1560" w:firstLine="480" w:firstLine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投标人名称（电子签名）</w:t>
      </w:r>
      <w:r>
        <w:rPr>
          <w:rFonts w:hint="eastAsia" w:ascii="宋体" w:hAnsi="宋体" w:cs="宋体"/>
          <w:color w:val="000000" w:themeColor="text1"/>
          <w:sz w:val="24"/>
          <w14:textFill>
            <w14:solidFill>
              <w14:schemeClr w14:val="tx1"/>
            </w14:solidFill>
          </w14:textFill>
        </w:rPr>
        <w:t>：</w:t>
      </w:r>
    </w:p>
    <w:p w14:paraId="6CE4568C">
      <w:pPr>
        <w:tabs>
          <w:tab w:val="left" w:pos="4860"/>
        </w:tabs>
        <w:spacing w:line="360" w:lineRule="auto"/>
        <w:ind w:right="1560" w:firstLine="480" w:firstLine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p>
    <w:p w14:paraId="0ED9250F">
      <w:pPr>
        <w:spacing w:line="360" w:lineRule="auto"/>
        <w:ind w:firstLine="480" w:firstLineChars="200"/>
        <w:rPr>
          <w:rFonts w:ascii="宋体" w:hAnsi="宋体" w:cs="宋体"/>
          <w:color w:val="000000" w:themeColor="text1"/>
          <w:sz w:val="24"/>
          <w14:textFill>
            <w14:solidFill>
              <w14:schemeClr w14:val="tx1"/>
            </w14:solidFill>
          </w14:textFill>
        </w:rPr>
      </w:pPr>
    </w:p>
    <w:p w14:paraId="3B6F6F04">
      <w:pPr>
        <w:spacing w:line="360" w:lineRule="auto"/>
        <w:ind w:firstLine="420" w:firstLineChars="200"/>
        <w:rPr>
          <w:rFonts w:ascii="宋体" w:hAnsi="宋体" w:cs="宋体"/>
          <w:color w:val="000000" w:themeColor="text1"/>
          <w14:textFill>
            <w14:solidFill>
              <w14:schemeClr w14:val="tx1"/>
            </w14:solidFill>
          </w14:textFill>
        </w:rPr>
      </w:pPr>
    </w:p>
    <w:p w14:paraId="3D02B9A1">
      <w:pPr>
        <w:spacing w:line="360" w:lineRule="auto"/>
        <w:ind w:firstLine="420" w:firstLineChars="200"/>
        <w:rPr>
          <w:rFonts w:ascii="宋体" w:hAnsi="宋体" w:cs="宋体"/>
          <w:color w:val="000000" w:themeColor="text1"/>
          <w14:textFill>
            <w14:solidFill>
              <w14:schemeClr w14:val="tx1"/>
            </w14:solidFill>
          </w14:textFill>
        </w:rPr>
      </w:pPr>
    </w:p>
    <w:p w14:paraId="2C9832C7">
      <w:pPr>
        <w:spacing w:line="360" w:lineRule="auto"/>
        <w:ind w:firstLine="420" w:firstLineChars="200"/>
        <w:rPr>
          <w:rFonts w:ascii="宋体" w:hAnsi="宋体" w:cs="宋体"/>
          <w:color w:val="000000" w:themeColor="text1"/>
          <w14:textFill>
            <w14:solidFill>
              <w14:schemeClr w14:val="tx1"/>
            </w14:solidFill>
          </w14:textFill>
        </w:rPr>
      </w:pPr>
    </w:p>
    <w:p w14:paraId="65E0B53D">
      <w:pPr>
        <w:spacing w:line="360" w:lineRule="auto"/>
        <w:ind w:firstLine="420" w:firstLineChars="200"/>
        <w:rPr>
          <w:rFonts w:ascii="宋体" w:hAnsi="宋体" w:cs="宋体"/>
          <w:color w:val="000000" w:themeColor="text1"/>
          <w14:textFill>
            <w14:solidFill>
              <w14:schemeClr w14:val="tx1"/>
            </w14:solidFill>
          </w14:textFill>
        </w:rPr>
      </w:pPr>
    </w:p>
    <w:p w14:paraId="7895C0CB">
      <w:pPr>
        <w:spacing w:line="360" w:lineRule="auto"/>
        <w:rPr>
          <w:rFonts w:ascii="宋体" w:hAnsi="宋体" w:cs="宋体"/>
          <w:b/>
          <w:color w:val="000000" w:themeColor="text1"/>
          <w:sz w:val="24"/>
          <w14:textFill>
            <w14:solidFill>
              <w14:schemeClr w14:val="tx1"/>
            </w14:solidFill>
          </w14:textFill>
        </w:rPr>
      </w:pPr>
    </w:p>
    <w:p w14:paraId="24123192">
      <w:pPr>
        <w:spacing w:line="360" w:lineRule="auto"/>
        <w:rPr>
          <w:rFonts w:ascii="宋体" w:hAnsi="宋体" w:cs="宋体"/>
          <w:b/>
          <w:color w:val="000000" w:themeColor="text1"/>
          <w:sz w:val="24"/>
          <w14:textFill>
            <w14:solidFill>
              <w14:schemeClr w14:val="tx1"/>
            </w14:solidFill>
          </w14:textFill>
        </w:rPr>
      </w:pPr>
    </w:p>
    <w:p w14:paraId="69047166">
      <w:pPr>
        <w:spacing w:line="360" w:lineRule="auto"/>
        <w:rPr>
          <w:rFonts w:ascii="宋体" w:hAnsi="宋体" w:cs="宋体"/>
          <w:b/>
          <w:color w:val="000000" w:themeColor="text1"/>
          <w:sz w:val="24"/>
          <w14:textFill>
            <w14:solidFill>
              <w14:schemeClr w14:val="tx1"/>
            </w14:solidFill>
          </w14:textFill>
        </w:rPr>
      </w:pPr>
    </w:p>
    <w:p w14:paraId="6A7F3B35">
      <w:pPr>
        <w:spacing w:line="360" w:lineRule="auto"/>
        <w:rPr>
          <w:rFonts w:ascii="宋体" w:hAnsi="宋体" w:cs="宋体"/>
          <w:b/>
          <w:color w:val="000000" w:themeColor="text1"/>
          <w:sz w:val="24"/>
          <w14:textFill>
            <w14:solidFill>
              <w14:schemeClr w14:val="tx1"/>
            </w14:solidFill>
          </w14:textFill>
        </w:rPr>
      </w:pPr>
    </w:p>
    <w:p w14:paraId="2E0F4256">
      <w:pPr>
        <w:spacing w:line="360" w:lineRule="auto"/>
        <w:rPr>
          <w:rFonts w:ascii="宋体" w:hAnsi="宋体" w:cs="宋体"/>
          <w:b/>
          <w:color w:val="000000" w:themeColor="text1"/>
          <w:sz w:val="24"/>
          <w14:textFill>
            <w14:solidFill>
              <w14:schemeClr w14:val="tx1"/>
            </w14:solidFill>
          </w14:textFill>
        </w:rPr>
      </w:pPr>
    </w:p>
    <w:p w14:paraId="1A70AE2B">
      <w:pPr>
        <w:spacing w:line="360" w:lineRule="auto"/>
        <w:rPr>
          <w:rFonts w:ascii="宋体" w:hAnsi="宋体" w:cs="宋体"/>
          <w:b/>
          <w:color w:val="000000" w:themeColor="text1"/>
          <w:sz w:val="24"/>
          <w14:textFill>
            <w14:solidFill>
              <w14:schemeClr w14:val="tx1"/>
            </w14:solidFill>
          </w14:textFill>
        </w:rPr>
      </w:pPr>
    </w:p>
    <w:p w14:paraId="6FD661B0">
      <w:pPr>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br w:type="page"/>
      </w:r>
    </w:p>
    <w:p w14:paraId="0E6E9460">
      <w:pPr>
        <w:spacing w:line="360" w:lineRule="auto"/>
        <w:jc w:val="left"/>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附件2：质疑函范本及制作说明</w:t>
      </w:r>
    </w:p>
    <w:p w14:paraId="433EEF08">
      <w:pPr>
        <w:spacing w:line="360" w:lineRule="auto"/>
        <w:jc w:val="center"/>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质疑函范本</w:t>
      </w:r>
    </w:p>
    <w:p w14:paraId="6064DCAC">
      <w:pPr>
        <w:snapToGrid w:val="0"/>
        <w:spacing w:before="240" w:beforeLines="100"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一、质疑供应商基本信息</w:t>
      </w:r>
    </w:p>
    <w:p w14:paraId="1872995D">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质疑供应商：</w:t>
      </w:r>
      <w:r>
        <w:rPr>
          <w:rFonts w:hint="eastAsia" w:ascii="宋体" w:hAnsi="宋体" w:cs="宋体"/>
          <w:color w:val="000000" w:themeColor="text1"/>
          <w:sz w:val="24"/>
          <w:u w:val="dotted"/>
          <w14:textFill>
            <w14:solidFill>
              <w14:schemeClr w14:val="tx1"/>
            </w14:solidFill>
          </w14:textFill>
        </w:rPr>
        <w:t xml:space="preserve">                                        </w:t>
      </w:r>
    </w:p>
    <w:p w14:paraId="7F724751">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p>
    <w:p w14:paraId="5E26FA04">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p>
    <w:p w14:paraId="18525495">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授权代表：</w:t>
      </w:r>
      <w:r>
        <w:rPr>
          <w:rFonts w:hint="eastAsia" w:ascii="宋体" w:hAnsi="宋体" w:cs="宋体"/>
          <w:color w:val="000000" w:themeColor="text1"/>
          <w:sz w:val="24"/>
          <w:u w:val="dotted"/>
          <w14:textFill>
            <w14:solidFill>
              <w14:schemeClr w14:val="tx1"/>
            </w14:solidFill>
          </w14:textFill>
        </w:rPr>
        <w:t xml:space="preserve">                                          </w:t>
      </w:r>
    </w:p>
    <w:p w14:paraId="2983858A">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35A6B575">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地址： </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p>
    <w:p w14:paraId="578C176E">
      <w:pPr>
        <w:snapToGrid w:val="0"/>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二、质疑项目基本情况</w:t>
      </w:r>
    </w:p>
    <w:p w14:paraId="346BAD34">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质疑项目的名称：</w:t>
      </w:r>
      <w:r>
        <w:rPr>
          <w:rFonts w:hint="eastAsia" w:ascii="宋体" w:hAnsi="宋体" w:cs="宋体"/>
          <w:color w:val="000000" w:themeColor="text1"/>
          <w:sz w:val="24"/>
          <w:u w:val="dotted"/>
          <w14:textFill>
            <w14:solidFill>
              <w14:schemeClr w14:val="tx1"/>
            </w14:solidFill>
          </w14:textFill>
        </w:rPr>
        <w:t xml:space="preserve">                                      </w:t>
      </w:r>
    </w:p>
    <w:p w14:paraId="21E0805B">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质疑项目的编号：</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包号：</w:t>
      </w:r>
      <w:r>
        <w:rPr>
          <w:rFonts w:hint="eastAsia" w:ascii="宋体" w:hAnsi="宋体" w:cs="宋体"/>
          <w:color w:val="000000" w:themeColor="text1"/>
          <w:sz w:val="24"/>
          <w:u w:val="dotted"/>
          <w14:textFill>
            <w14:solidFill>
              <w14:schemeClr w14:val="tx1"/>
            </w14:solidFill>
          </w14:textFill>
        </w:rPr>
        <w:t xml:space="preserve">                 </w:t>
      </w:r>
    </w:p>
    <w:p w14:paraId="3CA8DC14">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采购人名称：</w:t>
      </w:r>
      <w:r>
        <w:rPr>
          <w:rFonts w:hint="eastAsia" w:ascii="宋体" w:hAnsi="宋体" w:cs="宋体"/>
          <w:color w:val="000000" w:themeColor="text1"/>
          <w:sz w:val="24"/>
          <w:u w:val="dotted"/>
          <w14:textFill>
            <w14:solidFill>
              <w14:schemeClr w14:val="tx1"/>
            </w14:solidFill>
          </w14:textFill>
        </w:rPr>
        <w:t xml:space="preserve">                                         </w:t>
      </w:r>
    </w:p>
    <w:p w14:paraId="350FCDDF">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采购文件获取日期：</w:t>
      </w:r>
      <w:r>
        <w:rPr>
          <w:rFonts w:hint="eastAsia" w:ascii="宋体" w:hAnsi="宋体" w:cs="宋体"/>
          <w:color w:val="000000" w:themeColor="text1"/>
          <w:sz w:val="24"/>
          <w:u w:val="dotted"/>
          <w14:textFill>
            <w14:solidFill>
              <w14:schemeClr w14:val="tx1"/>
            </w14:solidFill>
          </w14:textFill>
        </w:rPr>
        <w:t xml:space="preserve">                                           </w:t>
      </w:r>
    </w:p>
    <w:p w14:paraId="3A59BF5A">
      <w:pPr>
        <w:snapToGrid w:val="0"/>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三、质疑事项具体内容</w:t>
      </w:r>
    </w:p>
    <w:p w14:paraId="200EA348">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质疑事项1：</w:t>
      </w:r>
      <w:r>
        <w:rPr>
          <w:rFonts w:hint="eastAsia" w:ascii="宋体" w:hAnsi="宋体" w:cs="宋体"/>
          <w:color w:val="000000" w:themeColor="text1"/>
          <w:sz w:val="24"/>
          <w:u w:val="dotted"/>
          <w14:textFill>
            <w14:solidFill>
              <w14:schemeClr w14:val="tx1"/>
            </w14:solidFill>
          </w14:textFill>
        </w:rPr>
        <w:t xml:space="preserve">                                         </w:t>
      </w:r>
    </w:p>
    <w:p w14:paraId="6C9AD4D9">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事实依据：</w:t>
      </w:r>
      <w:r>
        <w:rPr>
          <w:rFonts w:hint="eastAsia" w:ascii="宋体" w:hAnsi="宋体" w:cs="宋体"/>
          <w:color w:val="000000" w:themeColor="text1"/>
          <w:sz w:val="24"/>
          <w:u w:val="dotted"/>
          <w14:textFill>
            <w14:solidFill>
              <w14:schemeClr w14:val="tx1"/>
            </w14:solidFill>
          </w14:textFill>
        </w:rPr>
        <w:t xml:space="preserve">                                          </w:t>
      </w:r>
    </w:p>
    <w:p w14:paraId="0AE484EB">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p>
    <w:p w14:paraId="7BCBD70D">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法律依据：</w:t>
      </w:r>
      <w:r>
        <w:rPr>
          <w:rFonts w:hint="eastAsia" w:ascii="宋体" w:hAnsi="宋体" w:cs="宋体"/>
          <w:color w:val="000000" w:themeColor="text1"/>
          <w:sz w:val="24"/>
          <w:u w:val="dotted"/>
          <w14:textFill>
            <w14:solidFill>
              <w14:schemeClr w14:val="tx1"/>
            </w14:solidFill>
          </w14:textFill>
        </w:rPr>
        <w:t xml:space="preserve">                                          </w:t>
      </w:r>
    </w:p>
    <w:p w14:paraId="560609F4">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p>
    <w:p w14:paraId="40B8B5C6">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质疑事项2</w:t>
      </w:r>
    </w:p>
    <w:p w14:paraId="0922487F">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0343E245">
      <w:pPr>
        <w:snapToGrid w:val="0"/>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四、与质疑事项相关的质疑请求</w:t>
      </w:r>
    </w:p>
    <w:p w14:paraId="5E4C1209">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请求：</w:t>
      </w:r>
      <w:r>
        <w:rPr>
          <w:rFonts w:hint="eastAsia" w:ascii="宋体" w:hAnsi="宋体" w:cs="宋体"/>
          <w:color w:val="000000" w:themeColor="text1"/>
          <w:sz w:val="24"/>
          <w:u w:val="dotted"/>
          <w14:textFill>
            <w14:solidFill>
              <w14:schemeClr w14:val="tx1"/>
            </w14:solidFill>
          </w14:textFill>
        </w:rPr>
        <w:t xml:space="preserve">                                               </w:t>
      </w:r>
    </w:p>
    <w:p w14:paraId="275CBA1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签字(签章)：                   公章：                      </w:t>
      </w:r>
    </w:p>
    <w:p w14:paraId="2B5CC90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日期：    </w:t>
      </w:r>
    </w:p>
    <w:p w14:paraId="2198A088">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质疑函制作说明：</w:t>
      </w:r>
    </w:p>
    <w:p w14:paraId="77534178">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50037E0C">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14:textFill>
            <w14:solidFill>
              <w14:schemeClr w14:val="tx1"/>
            </w14:solidFill>
          </w14:textFill>
        </w:rPr>
        <w:t>供应商签署的授权委托书。授权委托书应载明代理人的姓名或者名称、代理事项、具体权限、期限和相关事项。</w:t>
      </w:r>
    </w:p>
    <w:p w14:paraId="31076A1A">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047E35D3">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78E392FA">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4D8A6AEB">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2349B00">
      <w:pPr>
        <w:widowControl/>
        <w:spacing w:line="360" w:lineRule="auto"/>
        <w:ind w:firstLine="600" w:firstLineChars="200"/>
        <w:jc w:val="left"/>
        <w:rPr>
          <w:rFonts w:ascii="宋体" w:hAnsi="宋体" w:cs="宋体"/>
          <w:color w:val="000000" w:themeColor="text1"/>
          <w:sz w:val="30"/>
          <w:szCs w:val="30"/>
          <w14:textFill>
            <w14:solidFill>
              <w14:schemeClr w14:val="tx1"/>
            </w14:solidFill>
          </w14:textFill>
        </w:rPr>
      </w:pPr>
    </w:p>
    <w:p w14:paraId="472B42D7">
      <w:pPr>
        <w:spacing w:line="360" w:lineRule="auto"/>
        <w:jc w:val="center"/>
        <w:rPr>
          <w:rFonts w:ascii="宋体" w:hAnsi="宋体" w:cs="宋体"/>
          <w:b/>
          <w:color w:val="000000" w:themeColor="text1"/>
          <w:spacing w:val="6"/>
          <w:sz w:val="32"/>
          <w:szCs w:val="32"/>
          <w14:textFill>
            <w14:solidFill>
              <w14:schemeClr w14:val="tx1"/>
            </w14:solidFill>
          </w14:textFill>
        </w:rPr>
      </w:pPr>
    </w:p>
    <w:p w14:paraId="61B004E6">
      <w:pPr>
        <w:spacing w:line="360" w:lineRule="auto"/>
        <w:jc w:val="center"/>
        <w:rPr>
          <w:rFonts w:ascii="宋体" w:hAnsi="宋体" w:cs="宋体"/>
          <w:b/>
          <w:color w:val="000000" w:themeColor="text1"/>
          <w:spacing w:val="6"/>
          <w:sz w:val="32"/>
          <w:szCs w:val="32"/>
          <w14:textFill>
            <w14:solidFill>
              <w14:schemeClr w14:val="tx1"/>
            </w14:solidFill>
          </w14:textFill>
        </w:rPr>
      </w:pPr>
    </w:p>
    <w:p w14:paraId="38B8E0BE">
      <w:pPr>
        <w:spacing w:line="360" w:lineRule="auto"/>
        <w:jc w:val="center"/>
        <w:rPr>
          <w:rFonts w:ascii="宋体" w:hAnsi="宋体" w:cs="宋体"/>
          <w:b/>
          <w:color w:val="000000" w:themeColor="text1"/>
          <w:spacing w:val="6"/>
          <w:sz w:val="32"/>
          <w:szCs w:val="32"/>
          <w14:textFill>
            <w14:solidFill>
              <w14:schemeClr w14:val="tx1"/>
            </w14:solidFill>
          </w14:textFill>
        </w:rPr>
      </w:pPr>
    </w:p>
    <w:p w14:paraId="2792B629">
      <w:pPr>
        <w:spacing w:line="360" w:lineRule="auto"/>
        <w:jc w:val="center"/>
        <w:rPr>
          <w:rFonts w:ascii="宋体" w:hAnsi="宋体" w:cs="宋体"/>
          <w:b/>
          <w:color w:val="000000" w:themeColor="text1"/>
          <w:spacing w:val="6"/>
          <w:sz w:val="32"/>
          <w:szCs w:val="32"/>
          <w14:textFill>
            <w14:solidFill>
              <w14:schemeClr w14:val="tx1"/>
            </w14:solidFill>
          </w14:textFill>
        </w:rPr>
      </w:pPr>
    </w:p>
    <w:p w14:paraId="42631444">
      <w:pPr>
        <w:spacing w:line="360" w:lineRule="auto"/>
        <w:jc w:val="center"/>
        <w:rPr>
          <w:rFonts w:ascii="宋体" w:hAnsi="宋体" w:cs="宋体"/>
          <w:b/>
          <w:color w:val="000000" w:themeColor="text1"/>
          <w:spacing w:val="6"/>
          <w:sz w:val="32"/>
          <w:szCs w:val="32"/>
          <w14:textFill>
            <w14:solidFill>
              <w14:schemeClr w14:val="tx1"/>
            </w14:solidFill>
          </w14:textFill>
        </w:rPr>
      </w:pPr>
    </w:p>
    <w:p w14:paraId="6E0D5894">
      <w:pPr>
        <w:spacing w:line="360" w:lineRule="auto"/>
        <w:jc w:val="center"/>
        <w:rPr>
          <w:rFonts w:ascii="宋体" w:hAnsi="宋体" w:cs="宋体"/>
          <w:b/>
          <w:color w:val="000000" w:themeColor="text1"/>
          <w:spacing w:val="6"/>
          <w:sz w:val="32"/>
          <w:szCs w:val="32"/>
          <w14:textFill>
            <w14:solidFill>
              <w14:schemeClr w14:val="tx1"/>
            </w14:solidFill>
          </w14:textFill>
        </w:rPr>
      </w:pPr>
    </w:p>
    <w:p w14:paraId="110C2AD7">
      <w:pPr>
        <w:spacing w:line="360" w:lineRule="auto"/>
        <w:jc w:val="center"/>
        <w:rPr>
          <w:rFonts w:ascii="宋体" w:hAnsi="宋体" w:cs="宋体"/>
          <w:b/>
          <w:color w:val="000000" w:themeColor="text1"/>
          <w:spacing w:val="6"/>
          <w:sz w:val="32"/>
          <w:szCs w:val="32"/>
          <w14:textFill>
            <w14:solidFill>
              <w14:schemeClr w14:val="tx1"/>
            </w14:solidFill>
          </w14:textFill>
        </w:rPr>
      </w:pPr>
    </w:p>
    <w:p w14:paraId="1AD4445D">
      <w:pPr>
        <w:spacing w:line="360" w:lineRule="auto"/>
        <w:jc w:val="left"/>
        <w:rPr>
          <w:rFonts w:ascii="宋体" w:hAnsi="宋体" w:cs="宋体"/>
          <w:b/>
          <w:color w:val="000000" w:themeColor="text1"/>
          <w:spacing w:val="6"/>
          <w:sz w:val="32"/>
          <w:szCs w:val="32"/>
          <w14:textFill>
            <w14:solidFill>
              <w14:schemeClr w14:val="tx1"/>
            </w14:solidFill>
          </w14:textFill>
        </w:rPr>
      </w:pPr>
    </w:p>
    <w:p w14:paraId="5C4F577C">
      <w:pPr>
        <w:pStyle w:val="79"/>
        <w:ind w:firstLine="665"/>
        <w:rPr>
          <w:rFonts w:ascii="宋体" w:hAnsi="宋体" w:cs="宋体"/>
          <w:b/>
          <w:color w:val="000000" w:themeColor="text1"/>
          <w:spacing w:val="6"/>
          <w:sz w:val="32"/>
          <w:szCs w:val="32"/>
          <w14:textFill>
            <w14:solidFill>
              <w14:schemeClr w14:val="tx1"/>
            </w14:solidFill>
          </w14:textFill>
        </w:rPr>
      </w:pPr>
    </w:p>
    <w:p w14:paraId="6ADC169F">
      <w:pPr>
        <w:pStyle w:val="79"/>
        <w:ind w:firstLine="665"/>
        <w:rPr>
          <w:rFonts w:ascii="宋体" w:hAnsi="宋体" w:cs="宋体"/>
          <w:b/>
          <w:color w:val="000000" w:themeColor="text1"/>
          <w:spacing w:val="6"/>
          <w:sz w:val="32"/>
          <w:szCs w:val="32"/>
          <w14:textFill>
            <w14:solidFill>
              <w14:schemeClr w14:val="tx1"/>
            </w14:solidFill>
          </w14:textFill>
        </w:rPr>
      </w:pPr>
    </w:p>
    <w:p w14:paraId="185CC527">
      <w:pPr>
        <w:pStyle w:val="79"/>
        <w:ind w:firstLine="665"/>
        <w:rPr>
          <w:rFonts w:ascii="宋体" w:hAnsi="宋体" w:cs="宋体"/>
          <w:b/>
          <w:color w:val="000000" w:themeColor="text1"/>
          <w:spacing w:val="6"/>
          <w:sz w:val="32"/>
          <w:szCs w:val="32"/>
          <w14:textFill>
            <w14:solidFill>
              <w14:schemeClr w14:val="tx1"/>
            </w14:solidFill>
          </w14:textFill>
        </w:rPr>
      </w:pPr>
    </w:p>
    <w:p w14:paraId="3A043885">
      <w:pPr>
        <w:pStyle w:val="79"/>
        <w:ind w:firstLine="665"/>
        <w:rPr>
          <w:rFonts w:ascii="宋体" w:hAnsi="宋体" w:cs="宋体"/>
          <w:b/>
          <w:color w:val="000000" w:themeColor="text1"/>
          <w:spacing w:val="6"/>
          <w:sz w:val="32"/>
          <w:szCs w:val="32"/>
          <w14:textFill>
            <w14:solidFill>
              <w14:schemeClr w14:val="tx1"/>
            </w14:solidFill>
          </w14:textFill>
        </w:rPr>
      </w:pPr>
    </w:p>
    <w:p w14:paraId="4EF90781">
      <w:pPr>
        <w:pStyle w:val="79"/>
        <w:ind w:firstLine="665"/>
        <w:rPr>
          <w:rFonts w:ascii="宋体" w:hAnsi="宋体" w:cs="宋体"/>
          <w:b/>
          <w:color w:val="000000" w:themeColor="text1"/>
          <w:spacing w:val="6"/>
          <w:sz w:val="32"/>
          <w:szCs w:val="32"/>
          <w14:textFill>
            <w14:solidFill>
              <w14:schemeClr w14:val="tx1"/>
            </w14:solidFill>
          </w14:textFill>
        </w:rPr>
      </w:pPr>
    </w:p>
    <w:p w14:paraId="42A1BAC0">
      <w:pPr>
        <w:spacing w:line="360" w:lineRule="auto"/>
        <w:jc w:val="left"/>
        <w:rPr>
          <w:rFonts w:ascii="宋体" w:hAnsi="宋体" w:cs="宋体"/>
          <w:b/>
          <w:color w:val="000000" w:themeColor="text1"/>
          <w:spacing w:val="6"/>
          <w:sz w:val="32"/>
          <w:szCs w:val="32"/>
          <w14:textFill>
            <w14:solidFill>
              <w14:schemeClr w14:val="tx1"/>
            </w14:solidFill>
          </w14:textFill>
        </w:rPr>
      </w:pPr>
    </w:p>
    <w:p w14:paraId="51863E40">
      <w:pPr>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br w:type="page"/>
      </w:r>
    </w:p>
    <w:p w14:paraId="260F09AC">
      <w:pPr>
        <w:spacing w:line="360" w:lineRule="auto"/>
        <w:jc w:val="left"/>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附件3：投诉书范本及制作说明</w:t>
      </w:r>
    </w:p>
    <w:p w14:paraId="29F2DEF5">
      <w:pPr>
        <w:spacing w:line="360" w:lineRule="auto"/>
        <w:jc w:val="center"/>
        <w:rPr>
          <w:rFonts w:ascii="宋体" w:hAnsi="宋体" w:cs="宋体"/>
          <w:b/>
          <w:color w:val="000000" w:themeColor="text1"/>
          <w:sz w:val="24"/>
          <w14:textFill>
            <w14:solidFill>
              <w14:schemeClr w14:val="tx1"/>
            </w14:solidFill>
          </w14:textFill>
        </w:rPr>
      </w:pPr>
    </w:p>
    <w:p w14:paraId="65601DD1">
      <w:pPr>
        <w:spacing w:line="360" w:lineRule="auto"/>
        <w:jc w:val="center"/>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投诉书范本</w:t>
      </w:r>
    </w:p>
    <w:p w14:paraId="3364B95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一、投诉相关主体基本情况</w:t>
      </w:r>
    </w:p>
    <w:p w14:paraId="3A26ECFD">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投诉人：</w:t>
      </w:r>
      <w:r>
        <w:rPr>
          <w:rFonts w:hint="eastAsia" w:ascii="宋体" w:hAnsi="宋体" w:cs="宋体"/>
          <w:color w:val="000000" w:themeColor="text1"/>
          <w:sz w:val="24"/>
          <w:u w:val="dotted"/>
          <w14:textFill>
            <w14:solidFill>
              <w14:schemeClr w14:val="tx1"/>
            </w14:solidFill>
          </w14:textFill>
        </w:rPr>
        <w:t xml:space="preserve">                                               </w:t>
      </w:r>
    </w:p>
    <w:p w14:paraId="025E6A19">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7B18FFCB">
      <w:pPr>
        <w:tabs>
          <w:tab w:val="left" w:pos="6510"/>
        </w:tabs>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法定代表人/主要负责人：</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091A103A">
      <w:pPr>
        <w:tabs>
          <w:tab w:val="left" w:pos="6510"/>
        </w:tabs>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p>
    <w:p w14:paraId="47ED46D4">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授权代表：</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p>
    <w:p w14:paraId="74C310F9">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dotted"/>
          <w14:textFill>
            <w14:solidFill>
              <w14:schemeClr w14:val="tx1"/>
            </w14:solidFill>
          </w14:textFill>
        </w:rPr>
        <w:t xml:space="preserve">                   </w:t>
      </w:r>
    </w:p>
    <w:p w14:paraId="7A6F181D">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被投诉人1：</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12FD13E3">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11F0AEFA">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5975798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被投诉人2</w:t>
      </w:r>
    </w:p>
    <w:p w14:paraId="0AC4C9B4">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3A7AA9B3">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相关供应商：</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0ECD116C">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6C220418">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7003FED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二、投诉项目基本情况</w:t>
      </w:r>
    </w:p>
    <w:p w14:paraId="645423CB">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采购项目名称：</w:t>
      </w:r>
      <w:r>
        <w:rPr>
          <w:rFonts w:hint="eastAsia" w:ascii="宋体" w:hAnsi="宋体" w:cs="宋体"/>
          <w:color w:val="000000" w:themeColor="text1"/>
          <w:sz w:val="24"/>
          <w:u w:val="dotted"/>
          <w14:textFill>
            <w14:solidFill>
              <w14:schemeClr w14:val="tx1"/>
            </w14:solidFill>
          </w14:textFill>
        </w:rPr>
        <w:t xml:space="preserve">                                        </w:t>
      </w:r>
    </w:p>
    <w:p w14:paraId="0AEE0AAD">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采购项目编号：</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包号：</w:t>
      </w:r>
      <w:r>
        <w:rPr>
          <w:rFonts w:hint="eastAsia" w:ascii="宋体" w:hAnsi="宋体" w:cs="宋体"/>
          <w:color w:val="000000" w:themeColor="text1"/>
          <w:sz w:val="24"/>
          <w:u w:val="dotted"/>
          <w14:textFill>
            <w14:solidFill>
              <w14:schemeClr w14:val="tx1"/>
            </w14:solidFill>
          </w14:textFill>
        </w:rPr>
        <w:t xml:space="preserve">              </w:t>
      </w:r>
    </w:p>
    <w:p w14:paraId="691C3FD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采购人名称：</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7BCA6017">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代理机构名称：</w:t>
      </w:r>
      <w:r>
        <w:rPr>
          <w:rFonts w:hint="eastAsia" w:ascii="宋体" w:hAnsi="宋体" w:cs="宋体"/>
          <w:color w:val="000000" w:themeColor="text1"/>
          <w:sz w:val="24"/>
          <w:u w:val="dotted"/>
          <w14:textFill>
            <w14:solidFill>
              <w14:schemeClr w14:val="tx1"/>
            </w14:solidFill>
          </w14:textFill>
        </w:rPr>
        <w:t xml:space="preserve">                                         </w:t>
      </w:r>
    </w:p>
    <w:p w14:paraId="1DD540A7">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采购文件公告:</w:t>
      </w:r>
      <w:r>
        <w:rPr>
          <w:rFonts w:hint="eastAsia" w:ascii="宋体" w:hAnsi="宋体" w:cs="宋体"/>
          <w:color w:val="000000" w:themeColor="text1"/>
          <w:sz w:val="24"/>
          <w:u w:val="dotted"/>
          <w14:textFill>
            <w14:solidFill>
              <w14:schemeClr w14:val="tx1"/>
            </w14:solidFill>
          </w14:textFill>
        </w:rPr>
        <w:t xml:space="preserve">是/否 </w:t>
      </w:r>
      <w:r>
        <w:rPr>
          <w:rFonts w:hint="eastAsia" w:ascii="宋体" w:hAnsi="宋体" w:cs="宋体"/>
          <w:color w:val="000000" w:themeColor="text1"/>
          <w:sz w:val="24"/>
          <w14:textFill>
            <w14:solidFill>
              <w14:schemeClr w14:val="tx1"/>
            </w14:solidFill>
          </w14:textFill>
        </w:rPr>
        <w:t>公告期限：</w:t>
      </w:r>
      <w:r>
        <w:rPr>
          <w:rFonts w:hint="eastAsia" w:ascii="宋体" w:hAnsi="宋体" w:cs="宋体"/>
          <w:color w:val="000000" w:themeColor="text1"/>
          <w:sz w:val="24"/>
          <w:u w:val="dotted"/>
          <w14:textFill>
            <w14:solidFill>
              <w14:schemeClr w14:val="tx1"/>
            </w14:solidFill>
          </w14:textFill>
        </w:rPr>
        <w:t xml:space="preserve">                                 </w:t>
      </w:r>
    </w:p>
    <w:p w14:paraId="191E0888">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采购结果公告:</w:t>
      </w:r>
      <w:r>
        <w:rPr>
          <w:rFonts w:hint="eastAsia" w:ascii="宋体" w:hAnsi="宋体" w:cs="宋体"/>
          <w:color w:val="000000" w:themeColor="text1"/>
          <w:sz w:val="24"/>
          <w:u w:val="dotted"/>
          <w14:textFill>
            <w14:solidFill>
              <w14:schemeClr w14:val="tx1"/>
            </w14:solidFill>
          </w14:textFill>
        </w:rPr>
        <w:t xml:space="preserve">是/否 </w:t>
      </w:r>
      <w:r>
        <w:rPr>
          <w:rFonts w:hint="eastAsia" w:ascii="宋体" w:hAnsi="宋体" w:cs="宋体"/>
          <w:color w:val="000000" w:themeColor="text1"/>
          <w:sz w:val="24"/>
          <w14:textFill>
            <w14:solidFill>
              <w14:schemeClr w14:val="tx1"/>
            </w14:solidFill>
          </w14:textFill>
        </w:rPr>
        <w:t>公告期限：</w:t>
      </w:r>
      <w:r>
        <w:rPr>
          <w:rFonts w:hint="eastAsia" w:ascii="宋体" w:hAnsi="宋体" w:cs="宋体"/>
          <w:color w:val="000000" w:themeColor="text1"/>
          <w:sz w:val="24"/>
          <w:u w:val="dotted"/>
          <w14:textFill>
            <w14:solidFill>
              <w14:schemeClr w14:val="tx1"/>
            </w14:solidFill>
          </w14:textFill>
        </w:rPr>
        <w:t xml:space="preserve">                        </w:t>
      </w:r>
    </w:p>
    <w:p w14:paraId="303A164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三、质疑基本情况</w:t>
      </w:r>
    </w:p>
    <w:p w14:paraId="3F75AFEF">
      <w:pPr>
        <w:spacing w:line="360" w:lineRule="auto"/>
        <w:ind w:firstLine="480" w:firstLineChars="200"/>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投诉人于</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日,向</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提出质疑，质疑事项为：</w:t>
      </w:r>
      <w:r>
        <w:rPr>
          <w:rFonts w:hint="eastAsia" w:ascii="宋体" w:hAnsi="宋体" w:cs="宋体"/>
          <w:color w:val="000000" w:themeColor="text1"/>
          <w:sz w:val="24"/>
          <w:u w:val="dotted"/>
          <w14:textFill>
            <w14:solidFill>
              <w14:schemeClr w14:val="tx1"/>
            </w14:solidFill>
          </w14:textFill>
        </w:rPr>
        <w:t xml:space="preserve">                                </w:t>
      </w:r>
    </w:p>
    <w:p w14:paraId="20EB2D42">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7933F0C0">
      <w:pPr>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采购人/代理机构</w:t>
      </w:r>
      <w:r>
        <w:rPr>
          <w:rFonts w:hint="eastAsia" w:ascii="宋体" w:hAnsi="宋体" w:cs="宋体"/>
          <w:color w:val="000000" w:themeColor="text1"/>
          <w:sz w:val="24"/>
          <w14:textFill>
            <w14:solidFill>
              <w14:schemeClr w14:val="tx1"/>
            </w14:solidFill>
          </w14:textFill>
        </w:rPr>
        <w:t>于</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日,就质疑事项作出了答复/没有在法定期限内作出答复。</w:t>
      </w:r>
    </w:p>
    <w:p w14:paraId="58A7E34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四、投诉事项具体内容</w:t>
      </w:r>
    </w:p>
    <w:p w14:paraId="3BC7A3AA">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投诉事项 1：</w:t>
      </w:r>
      <w:r>
        <w:rPr>
          <w:rFonts w:hint="eastAsia" w:ascii="宋体" w:hAnsi="宋体" w:cs="宋体"/>
          <w:color w:val="000000" w:themeColor="text1"/>
          <w:sz w:val="24"/>
          <w:u w:val="dotted"/>
          <w14:textFill>
            <w14:solidFill>
              <w14:schemeClr w14:val="tx1"/>
            </w14:solidFill>
          </w14:textFill>
        </w:rPr>
        <w:t xml:space="preserve">                                       </w:t>
      </w:r>
    </w:p>
    <w:p w14:paraId="74DE8E6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事实依据：</w:t>
      </w:r>
      <w:r>
        <w:rPr>
          <w:rFonts w:hint="eastAsia" w:ascii="宋体" w:hAnsi="宋体" w:cs="宋体"/>
          <w:color w:val="000000" w:themeColor="text1"/>
          <w:sz w:val="24"/>
          <w:u w:val="dotted"/>
          <w14:textFill>
            <w14:solidFill>
              <w14:schemeClr w14:val="tx1"/>
            </w14:solidFill>
          </w14:textFill>
        </w:rPr>
        <w:t xml:space="preserve">                                         </w:t>
      </w:r>
    </w:p>
    <w:p w14:paraId="190A7AA9">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p>
    <w:p w14:paraId="42106C80">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法律依据：</w:t>
      </w:r>
      <w:r>
        <w:rPr>
          <w:rFonts w:hint="eastAsia" w:ascii="宋体" w:hAnsi="宋体" w:cs="宋体"/>
          <w:color w:val="000000" w:themeColor="text1"/>
          <w:sz w:val="24"/>
          <w:u w:val="dotted"/>
          <w14:textFill>
            <w14:solidFill>
              <w14:schemeClr w14:val="tx1"/>
            </w14:solidFill>
          </w14:textFill>
        </w:rPr>
        <w:t xml:space="preserve">                                          </w:t>
      </w:r>
    </w:p>
    <w:p w14:paraId="0B1F52CE">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p>
    <w:p w14:paraId="4BB8565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投诉事项2</w:t>
      </w:r>
    </w:p>
    <w:p w14:paraId="79D44514">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5F6B006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五、与投诉事项相关的投诉请求</w:t>
      </w:r>
    </w:p>
    <w:p w14:paraId="26FC790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请求：</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3EBB6E5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签字(签章)：                   公章：                      </w:t>
      </w:r>
    </w:p>
    <w:p w14:paraId="3785AC7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日期：    </w:t>
      </w:r>
    </w:p>
    <w:p w14:paraId="1E354FE8">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投诉书制作说明：</w:t>
      </w:r>
    </w:p>
    <w:p w14:paraId="7E473D7C">
      <w:pPr>
        <w:widowControl/>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1.投诉人提起投诉时，应当提交投诉书和必要的证明材料，并按照被投诉人和与投诉事项有关的供应商数量提供投诉书副本。</w:t>
      </w:r>
    </w:p>
    <w:p w14:paraId="0E0EC5D2">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2.投诉人若委托代理人进行投诉的，投诉书应按照要求列明“授权代表”的有关内容，并在附件中提交由</w:t>
      </w:r>
      <w:r>
        <w:rPr>
          <w:rFonts w:hint="eastAsia" w:ascii="宋体" w:hAnsi="宋体" w:cs="宋体"/>
          <w:color w:val="000000" w:themeColor="text1"/>
          <w:kern w:val="0"/>
          <w:sz w:val="24"/>
          <w14:textFill>
            <w14:solidFill>
              <w14:schemeClr w14:val="tx1"/>
            </w14:solidFill>
          </w14:textFill>
        </w:rPr>
        <w:t>投诉人签署的授权委托书。授权委托书应当载明代理人的姓名或者名称、代理事项、具体权限、期限和相关事项。</w:t>
      </w:r>
    </w:p>
    <w:p w14:paraId="67C7C1DC">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3.投诉人若对项目的某一分包进行投诉，投诉书应列明具体分包号。</w:t>
      </w:r>
    </w:p>
    <w:p w14:paraId="7564F414">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4.投诉书应简要列明质疑事项，质疑函、质疑答复等作为附件材料提供。</w:t>
      </w:r>
    </w:p>
    <w:p w14:paraId="3CF49754">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5.投诉书的投诉事项应具体、明确，并有必要的事实依据和法律依据。</w:t>
      </w:r>
    </w:p>
    <w:p w14:paraId="0E5E594B">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6.投诉书的投诉请求应与投诉事项相关。</w:t>
      </w:r>
    </w:p>
    <w:p w14:paraId="54945BAD">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5A8DD5FC">
      <w:pPr>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br w:type="page"/>
      </w:r>
    </w:p>
    <w:p w14:paraId="0E571218">
      <w:pPr>
        <w:autoSpaceDE w:val="0"/>
        <w:autoSpaceDN w:val="0"/>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附件4：</w:t>
      </w:r>
      <w:r>
        <w:rPr>
          <w:rFonts w:hint="eastAsia" w:ascii="宋体" w:hAnsi="宋体" w:cs="宋体"/>
          <w:b/>
          <w:bCs/>
          <w:color w:val="000000" w:themeColor="text1"/>
          <w:sz w:val="32"/>
          <w:szCs w:val="32"/>
          <w14:textFill>
            <w14:solidFill>
              <w14:schemeClr w14:val="tx1"/>
            </w14:solidFill>
          </w14:textFill>
        </w:rPr>
        <w:t>业务专用章使用说明函</w:t>
      </w:r>
    </w:p>
    <w:p w14:paraId="3D5DEBA0">
      <w:pPr>
        <w:spacing w:line="360" w:lineRule="auto"/>
        <w:rPr>
          <w:rFonts w:ascii="宋体" w:hAnsi="宋体" w:cs="宋体"/>
          <w:color w:val="000000" w:themeColor="text1"/>
          <w:sz w:val="24"/>
          <w:u w:val="single"/>
          <w14:textFill>
            <w14:solidFill>
              <w14:schemeClr w14:val="tx1"/>
            </w14:solidFill>
          </w14:textFill>
        </w:rPr>
      </w:pPr>
    </w:p>
    <w:p w14:paraId="572528D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浙江水利水电学院、浙江豪圣建设项目管理有限公司：</w:t>
      </w:r>
    </w:p>
    <w:p w14:paraId="479CF0D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我方</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(投标人全称)是中华人民共和国依法登记注册的合法企业，</w:t>
      </w:r>
      <w:r>
        <w:rPr>
          <w:rFonts w:hint="eastAsia" w:ascii="宋体" w:hAnsi="宋体" w:cs="宋体"/>
          <w:bCs/>
          <w:color w:val="000000" w:themeColor="text1"/>
          <w:sz w:val="24"/>
          <w14:textFill>
            <w14:solidFill>
              <w14:schemeClr w14:val="tx1"/>
            </w14:solidFill>
          </w14:textFill>
        </w:rPr>
        <w:t>在参加</w:t>
      </w:r>
      <w:r>
        <w:rPr>
          <w:rFonts w:hint="eastAsia" w:ascii="宋体" w:hAnsi="宋体" w:cs="宋体"/>
          <w:color w:val="000000" w:themeColor="text1"/>
          <w:sz w:val="24"/>
          <w14:textFill>
            <w14:solidFill>
              <w14:schemeClr w14:val="tx1"/>
            </w14:solidFill>
          </w14:textFill>
        </w:rPr>
        <w:t>你方组织的钱塘校区弱电设备改造工程（三期）【招标编号：</w:t>
      </w:r>
      <w:r>
        <w:rPr>
          <w:rFonts w:hint="eastAsia" w:ascii="宋体" w:hAnsi="宋体" w:cs="宋体"/>
          <w:color w:val="000000" w:themeColor="text1"/>
          <w:sz w:val="24"/>
          <w:lang w:eastAsia="zh-CN"/>
          <w14:textFill>
            <w14:solidFill>
              <w14:schemeClr w14:val="tx1"/>
            </w14:solidFill>
          </w14:textFill>
        </w:rPr>
        <w:t>330000263030350000163-HSZB-2026-373</w:t>
      </w:r>
      <w:r>
        <w:rPr>
          <w:rFonts w:hint="eastAsia" w:ascii="宋体" w:hAnsi="宋体" w:cs="宋体"/>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投标活动中作如下说明：</w:t>
      </w:r>
      <w:r>
        <w:rPr>
          <w:rFonts w:hint="eastAsia" w:ascii="宋体" w:hAnsi="宋体" w:cs="宋体"/>
          <w:color w:val="000000" w:themeColor="text1"/>
          <w:sz w:val="24"/>
          <w14:textFill>
            <w14:solidFill>
              <w14:schemeClr w14:val="tx1"/>
            </w14:solidFill>
          </w14:textFill>
        </w:rPr>
        <w:t xml:space="preserve">我方所使用的“XX专用章”与法定名称章具有同等的法律效力，对使用“XX专用章”的行为予以完全承认，并愿意承担相应责任。   </w:t>
      </w:r>
    </w:p>
    <w:p w14:paraId="6AD1149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特此说明。</w:t>
      </w:r>
    </w:p>
    <w:p w14:paraId="720EE70C">
      <w:pPr>
        <w:spacing w:line="360" w:lineRule="auto"/>
        <w:ind w:firstLine="494"/>
        <w:rPr>
          <w:rFonts w:ascii="宋体" w:hAnsi="宋体" w:cs="宋体"/>
          <w:color w:val="000000" w:themeColor="text1"/>
          <w:sz w:val="24"/>
          <w14:textFill>
            <w14:solidFill>
              <w14:schemeClr w14:val="tx1"/>
            </w14:solidFill>
          </w14:textFill>
        </w:rPr>
      </w:pPr>
    </w:p>
    <w:p w14:paraId="40C2B89C">
      <w:pPr>
        <w:spacing w:line="360" w:lineRule="auto"/>
        <w:ind w:firstLine="494"/>
        <w:rPr>
          <w:rFonts w:ascii="宋体" w:hAnsi="宋体" w:cs="宋体"/>
          <w:color w:val="000000" w:themeColor="text1"/>
          <w:sz w:val="24"/>
          <w14:textFill>
            <w14:solidFill>
              <w14:schemeClr w14:val="tx1"/>
            </w14:solidFill>
          </w14:textFill>
        </w:rPr>
      </w:pPr>
    </w:p>
    <w:p w14:paraId="09311F41">
      <w:pPr>
        <w:spacing w:line="360" w:lineRule="auto"/>
        <w:ind w:firstLine="494"/>
        <w:rPr>
          <w:rFonts w:ascii="宋体" w:hAnsi="宋体" w:cs="宋体"/>
          <w:color w:val="000000" w:themeColor="text1"/>
          <w:sz w:val="24"/>
          <w14:textFill>
            <w14:solidFill>
              <w14:schemeClr w14:val="tx1"/>
            </w14:solidFill>
          </w14:textFill>
        </w:rPr>
      </w:pPr>
    </w:p>
    <w:p w14:paraId="3C88A747">
      <w:pPr>
        <w:spacing w:line="360" w:lineRule="auto"/>
        <w:ind w:right="480" w:firstLine="4080" w:firstLineChars="17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投标单位（法定名称章）：</w:t>
      </w:r>
    </w:p>
    <w:p w14:paraId="61861E24">
      <w:pPr>
        <w:ind w:right="1440" w:firstLine="494"/>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713F32A0">
      <w:pP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附：</w:t>
      </w:r>
    </w:p>
    <w:p w14:paraId="20862561">
      <w:p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0" t="0" r="635" b="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000000" w:themeColor="text1"/>
          <w:sz w:val="24"/>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0" t="0" r="0" b="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000000" w:themeColor="text1"/>
          <w:sz w:val="24"/>
          <w14:textFill>
            <w14:solidFill>
              <w14:schemeClr w14:val="tx1"/>
            </w14:solidFill>
          </w14:textFill>
        </w:rPr>
        <w:t>投标单位法定名称章（印模）                投标单位“XX专用章”（印模）</w:t>
      </w:r>
    </w:p>
    <w:p w14:paraId="5554BA73">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E81C12B">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2DC5DF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B0DDAA6">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D89C6D3">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99D9985">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E174960">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E66BB57">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62E0625">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EAE97EC">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3B073ACF">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F67FDA1">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379C893">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210AD5C">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4D762EF">
      <w:pP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br w:type="page"/>
      </w:r>
    </w:p>
    <w:p w14:paraId="05FB53BA">
      <w:pPr>
        <w:snapToGrid w:val="0"/>
        <w:spacing w:line="360" w:lineRule="auto"/>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附件</w:t>
      </w:r>
      <w:r>
        <w:rPr>
          <w:rFonts w:ascii="宋体" w:hAnsi="宋体" w:cs="宋体"/>
          <w:b/>
          <w:color w:val="000000" w:themeColor="text1"/>
          <w:kern w:val="0"/>
          <w:sz w:val="32"/>
          <w:szCs w:val="32"/>
          <w14:textFill>
            <w14:solidFill>
              <w14:schemeClr w14:val="tx1"/>
            </w14:solidFill>
          </w14:textFill>
        </w:rPr>
        <w:t>5</w:t>
      </w:r>
      <w:r>
        <w:rPr>
          <w:rFonts w:hint="eastAsia" w:ascii="宋体" w:hAnsi="宋体" w:cs="宋体"/>
          <w:b/>
          <w:color w:val="000000" w:themeColor="text1"/>
          <w:kern w:val="0"/>
          <w:sz w:val="32"/>
          <w:szCs w:val="32"/>
          <w14:textFill>
            <w14:solidFill>
              <w14:schemeClr w14:val="tx1"/>
            </w14:solidFill>
          </w14:textFill>
        </w:rPr>
        <w:t>：联合协议</w:t>
      </w:r>
    </w:p>
    <w:p w14:paraId="15C7C570">
      <w:pPr>
        <w:widowControl/>
        <w:spacing w:line="360" w:lineRule="auto"/>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（以联合体形式投标的，提供联合协议；本项目不接受联合体投标或者投标人不以联合体形式投标的，则不需要提供）</w:t>
      </w:r>
    </w:p>
    <w:p w14:paraId="2BEE1C60">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（联合体所有成员名称）</w:t>
      </w:r>
      <w:r>
        <w:rPr>
          <w:rFonts w:hint="eastAsia" w:ascii="宋体" w:hAnsi="宋体" w:cs="宋体"/>
          <w:color w:val="000000" w:themeColor="text1"/>
          <w:kern w:val="0"/>
          <w:sz w:val="24"/>
          <w14:textFill>
            <w14:solidFill>
              <w14:schemeClr w14:val="tx1"/>
            </w14:solidFill>
          </w14:textFill>
        </w:rPr>
        <w:t>自愿</w:t>
      </w:r>
      <w:r>
        <w:rPr>
          <w:rFonts w:hint="eastAsia" w:ascii="宋体" w:hAnsi="宋体" w:cs="宋体"/>
          <w:color w:val="000000" w:themeColor="text1"/>
          <w:kern w:val="0"/>
          <w:sz w:val="24"/>
          <w:lang w:val="zh-CN"/>
          <w14:textFill>
            <w14:solidFill>
              <w14:schemeClr w14:val="tx1"/>
            </w14:solidFill>
          </w14:textFill>
        </w:rPr>
        <w:t>组成一个联合体，以一个投标人的身份</w:t>
      </w:r>
      <w:r>
        <w:rPr>
          <w:rFonts w:hint="eastAsia" w:ascii="宋体" w:hAnsi="宋体" w:cs="宋体"/>
          <w:color w:val="000000" w:themeColor="text1"/>
          <w:kern w:val="0"/>
          <w:sz w:val="24"/>
          <w14:textFill>
            <w14:solidFill>
              <w14:schemeClr w14:val="tx1"/>
            </w14:solidFill>
          </w14:textFill>
        </w:rPr>
        <w:t>参加</w:t>
      </w:r>
      <w:r>
        <w:rPr>
          <w:rFonts w:hint="eastAsia" w:ascii="宋体" w:hAnsi="宋体" w:cs="宋体"/>
          <w:color w:val="000000" w:themeColor="text1"/>
          <w:sz w:val="24"/>
          <w14:textFill>
            <w14:solidFill>
              <w14:schemeClr w14:val="tx1"/>
            </w14:solidFill>
          </w14:textFill>
        </w:rPr>
        <w:t>钱塘校区弱电设备改造工程（三期）【招标编号：</w:t>
      </w:r>
      <w:r>
        <w:rPr>
          <w:rFonts w:hint="eastAsia" w:ascii="宋体" w:hAnsi="宋体" w:cs="宋体"/>
          <w:color w:val="000000" w:themeColor="text1"/>
          <w:sz w:val="24"/>
          <w:lang w:eastAsia="zh-CN"/>
          <w14:textFill>
            <w14:solidFill>
              <w14:schemeClr w14:val="tx1"/>
            </w14:solidFill>
          </w14:textFill>
        </w:rPr>
        <w:t>330000263030350000163-HSZB-2026-373</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 xml:space="preserve">投标。 </w:t>
      </w:r>
    </w:p>
    <w:p w14:paraId="68C35BAD">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一、各方一致决定，</w:t>
      </w:r>
      <w:r>
        <w:rPr>
          <w:rFonts w:hint="eastAsia" w:ascii="宋体" w:hAnsi="宋体" w:cs="宋体"/>
          <w:color w:val="000000" w:themeColor="text1"/>
          <w:kern w:val="0"/>
          <w:sz w:val="24"/>
          <w:u w:val="single"/>
          <w14:textFill>
            <w14:solidFill>
              <w14:schemeClr w14:val="tx1"/>
            </w14:solidFill>
          </w14:textFill>
        </w:rPr>
        <w:t>（某联合体成员名称）</w:t>
      </w:r>
      <w:r>
        <w:rPr>
          <w:rFonts w:hint="eastAsia" w:ascii="宋体" w:hAnsi="宋体" w:cs="宋体"/>
          <w:color w:val="000000" w:themeColor="text1"/>
          <w:kern w:val="0"/>
          <w:sz w:val="24"/>
          <w14:textFill>
            <w14:solidFill>
              <w14:schemeClr w14:val="tx1"/>
            </w14:solidFill>
          </w14:textFill>
        </w:rPr>
        <w:t>为联合体</w:t>
      </w:r>
      <w:r>
        <w:rPr>
          <w:rFonts w:hint="eastAsia" w:ascii="宋体" w:hAnsi="宋体" w:cs="宋体"/>
          <w:color w:val="000000" w:themeColor="text1"/>
          <w:kern w:val="0"/>
          <w:sz w:val="24"/>
          <w:lang w:val="zh-CN"/>
          <w14:textFill>
            <w14:solidFill>
              <w14:schemeClr w14:val="tx1"/>
            </w14:solidFill>
          </w14:textFill>
        </w:rPr>
        <w:t>牵头人</w:t>
      </w:r>
      <w:r>
        <w:rPr>
          <w:rFonts w:hint="eastAsia" w:ascii="宋体" w:hAnsi="宋体" w:cs="宋体"/>
          <w:color w:val="000000" w:themeColor="text1"/>
          <w:sz w:val="24"/>
          <w14:textFill>
            <w14:solidFill>
              <w14:schemeClr w14:val="tx1"/>
            </w14:solidFill>
          </w14:textFill>
        </w:rPr>
        <w:t>，代表所有联合体成员负责投标和合同实施阶段的主办、协调工作</w:t>
      </w:r>
      <w:r>
        <w:rPr>
          <w:rFonts w:hint="eastAsia" w:ascii="宋体" w:hAnsi="宋体" w:cs="宋体"/>
          <w:color w:val="000000" w:themeColor="text1"/>
          <w:kern w:val="0"/>
          <w:sz w:val="24"/>
          <w:lang w:val="zh-CN"/>
          <w14:textFill>
            <w14:solidFill>
              <w14:schemeClr w14:val="tx1"/>
            </w14:solidFill>
          </w14:textFill>
        </w:rPr>
        <w:t>。</w:t>
      </w:r>
    </w:p>
    <w:p w14:paraId="29A0DCA8">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所有联合体成员各方签署授权书，授权书载明的</w:t>
      </w:r>
      <w:r>
        <w:rPr>
          <w:rFonts w:hint="eastAsia" w:ascii="宋体" w:hAnsi="宋体" w:cs="宋体"/>
          <w:color w:val="000000" w:themeColor="text1"/>
          <w:kern w:val="0"/>
          <w:sz w:val="24"/>
          <w:lang w:val="zh-CN"/>
          <w14:textFill>
            <w14:solidFill>
              <w14:schemeClr w14:val="tx1"/>
            </w14:solidFill>
          </w14:textFill>
        </w:rPr>
        <w:t>授权代表根据招标文件规定及投标内容而对采购人、采购代理机构所作的任何合法承诺，包括书面澄清及响应等均对联合投标各方产生约束力。</w:t>
      </w:r>
    </w:p>
    <w:p w14:paraId="1B3DE696">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三、本次联合投标中，分工如下：</w:t>
      </w:r>
    </w:p>
    <w:p w14:paraId="30C3BBE5">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bookmarkStart w:id="415" w:name="_Hlk101134295"/>
      <w:r>
        <w:rPr>
          <w:rFonts w:hint="eastAsia" w:ascii="宋体" w:hAnsi="宋体" w:cs="宋体"/>
          <w:color w:val="000000" w:themeColor="text1"/>
          <w:kern w:val="0"/>
          <w:sz w:val="24"/>
          <w:u w:val="single"/>
          <w14:textFill>
            <w14:solidFill>
              <w14:schemeClr w14:val="tx1"/>
            </w14:solidFill>
          </w14:textFill>
        </w:rPr>
        <w:t>（联合体成员1）</w:t>
      </w:r>
      <w:r>
        <w:rPr>
          <w:rFonts w:hint="eastAsia" w:ascii="宋体" w:hAnsi="宋体" w:cs="宋体"/>
          <w:color w:val="000000" w:themeColor="text1"/>
          <w:kern w:val="0"/>
          <w:sz w:val="24"/>
          <w:lang w:val="zh-CN"/>
          <w14:textFill>
            <w14:solidFill>
              <w14:schemeClr w14:val="tx1"/>
            </w14:solidFill>
          </w14:textFill>
        </w:rPr>
        <w:t>承担的工作和义务为：</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w:t>
      </w:r>
    </w:p>
    <w:p w14:paraId="600C0AE5">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（联合体成员</w:t>
      </w:r>
      <w:r>
        <w:rPr>
          <w:rFonts w:ascii="宋体" w:hAnsi="宋体" w:cs="宋体"/>
          <w:color w:val="000000" w:themeColor="text1"/>
          <w:kern w:val="0"/>
          <w:sz w:val="24"/>
          <w:u w:val="single"/>
          <w14:textFill>
            <w14:solidFill>
              <w14:schemeClr w14:val="tx1"/>
            </w14:solidFill>
          </w14:textFill>
        </w:rPr>
        <w:t>2</w:t>
      </w:r>
      <w:r>
        <w:rPr>
          <w:rFonts w:hint="eastAsia" w:ascii="宋体" w:hAnsi="宋体" w:cs="宋体"/>
          <w:color w:val="000000" w:themeColor="text1"/>
          <w:kern w:val="0"/>
          <w:sz w:val="24"/>
          <w:u w:val="single"/>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承担的工作和义务为：</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w:t>
      </w:r>
    </w:p>
    <w:p w14:paraId="490AD0B4">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p>
    <w:bookmarkEnd w:id="415"/>
    <w:p w14:paraId="3EF5573E">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四、联合体成员中小企业合同份额。</w:t>
      </w:r>
    </w:p>
    <w:p w14:paraId="6520B4CC">
      <w:pPr>
        <w:snapToGrid w:val="0"/>
        <w:spacing w:line="360" w:lineRule="auto"/>
        <w:ind w:firstLine="576"/>
        <w:rPr>
          <w:rFonts w:ascii="宋体" w:hAnsi="宋体" w:cs="宋体"/>
          <w:b/>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w:t>
      </w:r>
      <w:r>
        <w:rPr>
          <w:rFonts w:hint="eastAsia" w:ascii="宋体" w:hAnsi="宋体" w:cs="宋体"/>
          <w:color w:val="000000" w:themeColor="text1"/>
          <w:kern w:val="0"/>
          <w:sz w:val="24"/>
          <w:u w:val="single"/>
          <w14:textFill>
            <w14:solidFill>
              <w14:schemeClr w14:val="tx1"/>
            </w14:solidFill>
          </w14:textFill>
        </w:rPr>
        <w:t>（联合体成员</w:t>
      </w:r>
      <w:r>
        <w:rPr>
          <w:rFonts w:ascii="宋体" w:hAnsi="宋体" w:cs="宋体"/>
          <w:color w:val="000000" w:themeColor="text1"/>
          <w:kern w:val="0"/>
          <w:sz w:val="24"/>
          <w:u w:val="single"/>
          <w14:textFill>
            <w14:solidFill>
              <w14:schemeClr w14:val="tx1"/>
            </w14:solidFill>
          </w14:textFill>
        </w:rPr>
        <w:t>X,</w:t>
      </w:r>
      <w:r>
        <w:rPr>
          <w:rFonts w:hint="eastAsia" w:ascii="宋体" w:hAnsi="宋体" w:cs="宋体"/>
          <w:color w:val="000000" w:themeColor="text1"/>
          <w:kern w:val="0"/>
          <w:sz w:val="24"/>
          <w:u w:val="single"/>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提供的全部货物由小微企业制造，其合同份额占到合同总金额</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%以上；</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b/>
          <w:color w:val="000000" w:themeColor="text1"/>
          <w:kern w:val="0"/>
          <w:sz w:val="24"/>
          <w:lang w:val="zh-CN"/>
          <w14:textFill>
            <w14:solidFill>
              <w14:schemeClr w14:val="tx1"/>
            </w14:solidFill>
          </w14:textFill>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000000" w:themeColor="text1"/>
          <w:sz w:val="24"/>
          <w14:textFill>
            <w14:solidFill>
              <w14:schemeClr w14:val="tx1"/>
            </w14:solidFill>
          </w14:textFill>
        </w:rPr>
        <w:t>拟享受以上价格扣除政策的，填写有关内容。</w:t>
      </w:r>
      <w:r>
        <w:rPr>
          <w:rFonts w:hint="eastAsia" w:ascii="宋体" w:hAnsi="宋体" w:cs="宋体"/>
          <w:b/>
          <w:color w:val="000000" w:themeColor="text1"/>
          <w:kern w:val="0"/>
          <w:sz w:val="24"/>
          <w:lang w:val="zh-CN"/>
          <w14:textFill>
            <w14:solidFill>
              <w14:schemeClr w14:val="tx1"/>
            </w14:solidFill>
          </w14:textFill>
        </w:rPr>
        <w:t>）</w:t>
      </w:r>
    </w:p>
    <w:p w14:paraId="32C4D6B1">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2、中小企业合同金额达到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%，其中小微企业合同金额达到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b/>
          <w:bCs/>
          <w:color w:val="000000" w:themeColor="text1"/>
          <w:kern w:val="0"/>
          <w:sz w:val="24"/>
          <w:lang w:val="zh-CN"/>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000000" w:themeColor="text1"/>
          <w:kern w:val="0"/>
          <w:sz w:val="24"/>
          <w:lang w:val="zh-CN"/>
          <w14:textFill>
            <w14:solidFill>
              <w14:schemeClr w14:val="tx1"/>
            </w14:solidFill>
          </w14:textFill>
        </w:rPr>
        <w:t>）</w:t>
      </w:r>
    </w:p>
    <w:p w14:paraId="446D234F">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五、如果中标，</w:t>
      </w:r>
      <w:r>
        <w:rPr>
          <w:rFonts w:hint="eastAsia" w:ascii="宋体" w:hAnsi="宋体" w:cs="宋体"/>
          <w:color w:val="000000" w:themeColor="text1"/>
          <w:sz w:val="24"/>
          <w14:textFill>
            <w14:solidFill>
              <w14:schemeClr w14:val="tx1"/>
            </w14:solidFill>
          </w14:textFill>
        </w:rPr>
        <w:t>联合体各成员方共同与采购人签订合同，并就采购合同约定的事项对采购人承担连带责任。</w:t>
      </w:r>
    </w:p>
    <w:p w14:paraId="29F073D4">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六、有关本次联合投标的其他事宜：</w:t>
      </w:r>
    </w:p>
    <w:p w14:paraId="08985599">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1、联合体各方不再单独参加或者与其他供应商另外组成联合体参加同一合同项下的政府采购活动。</w:t>
      </w:r>
    </w:p>
    <w:p w14:paraId="5718904B">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2、联合体中有同类资质的各方按照联合体分工承担相同工作的，按照资质等级较低的供应商确定资质等级。</w:t>
      </w:r>
    </w:p>
    <w:p w14:paraId="6464728C">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3、本协议提交采购人、采购代理机构后，联合体各方不得以任何形式对上述内容进行修改或撤销。</w:t>
      </w:r>
    </w:p>
    <w:p w14:paraId="7C8B54E0">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联合体成员名称(电子签名/公章)：</w:t>
      </w:r>
    </w:p>
    <w:p w14:paraId="0844046C">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联合体成员名称(电子签名/公章)：</w:t>
      </w:r>
    </w:p>
    <w:p w14:paraId="346A5E34">
      <w:pPr>
        <w:snapToGrid w:val="0"/>
        <w:spacing w:line="360" w:lineRule="auto"/>
        <w:ind w:right="960"/>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w:t>
      </w:r>
    </w:p>
    <w:p w14:paraId="6FACC8DB">
      <w:pPr>
        <w:snapToGrid w:val="0"/>
        <w:spacing w:line="360" w:lineRule="auto"/>
        <w:jc w:val="righ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  年  月   日</w:t>
      </w:r>
    </w:p>
    <w:p w14:paraId="52A25CD6">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39D07182">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C9F540F">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768700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C9EBFAB">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12BD804">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A0AE394">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EC95B3D">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DBE0F05">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F53272D">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3412ECFF">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51AD205">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0F7EC6D">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235C692">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40FB8FE">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A38A113">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3987FD3E">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310AF4DD">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C6084C0">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DD171A5">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701B41D">
      <w:pP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br w:type="page"/>
      </w:r>
    </w:p>
    <w:p w14:paraId="3767890A">
      <w:pPr>
        <w:snapToGrid w:val="0"/>
        <w:spacing w:line="360" w:lineRule="auto"/>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附件</w:t>
      </w:r>
      <w:r>
        <w:rPr>
          <w:rFonts w:ascii="宋体" w:hAnsi="宋体" w:cs="宋体"/>
          <w:b/>
          <w:color w:val="000000" w:themeColor="text1"/>
          <w:kern w:val="0"/>
          <w:sz w:val="32"/>
          <w:szCs w:val="32"/>
          <w14:textFill>
            <w14:solidFill>
              <w14:schemeClr w14:val="tx1"/>
            </w14:solidFill>
          </w14:textFill>
        </w:rPr>
        <w:t>6</w:t>
      </w:r>
      <w:r>
        <w:rPr>
          <w:rFonts w:hint="eastAsia" w:ascii="宋体" w:hAnsi="宋体" w:cs="宋体"/>
          <w:b/>
          <w:color w:val="000000" w:themeColor="text1"/>
          <w:kern w:val="0"/>
          <w:sz w:val="32"/>
          <w:szCs w:val="32"/>
          <w14:textFill>
            <w14:solidFill>
              <w14:schemeClr w14:val="tx1"/>
            </w14:solidFill>
          </w14:textFill>
        </w:rPr>
        <w:t>：分包意向协议</w:t>
      </w:r>
    </w:p>
    <w:p w14:paraId="1A010992">
      <w:pPr>
        <w:widowControl/>
        <w:spacing w:line="360" w:lineRule="auto"/>
        <w:ind w:firstLine="120" w:firstLineChars="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中标后以分包方式履行合同的，提供分包意向协议；采购人不同意分包或者投标人中标后不以分包方式履行合同的，则不需要提供。</w:t>
      </w:r>
      <w:r>
        <w:rPr>
          <w:rFonts w:hint="eastAsia" w:ascii="宋体" w:hAnsi="宋体" w:cs="宋体"/>
          <w:color w:val="000000" w:themeColor="text1"/>
          <w:sz w:val="24"/>
          <w14:textFill>
            <w14:solidFill>
              <w14:schemeClr w14:val="tx1"/>
            </w14:solidFill>
          </w14:textFill>
        </w:rPr>
        <w:t>）</w:t>
      </w:r>
    </w:p>
    <w:p w14:paraId="34D8DDB6">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（投标人名称）</w:t>
      </w:r>
      <w:r>
        <w:rPr>
          <w:rFonts w:hint="eastAsia" w:ascii="宋体" w:hAnsi="宋体" w:cs="宋体"/>
          <w:color w:val="000000" w:themeColor="text1"/>
          <w:kern w:val="0"/>
          <w:sz w:val="24"/>
          <w:lang w:val="zh-CN"/>
          <w14:textFill>
            <w14:solidFill>
              <w14:schemeClr w14:val="tx1"/>
            </w14:solidFill>
          </w14:textFill>
        </w:rPr>
        <w:t>若成为</w:t>
      </w:r>
      <w:r>
        <w:rPr>
          <w:rFonts w:hint="eastAsia" w:ascii="宋体" w:hAnsi="宋体" w:cs="宋体"/>
          <w:color w:val="000000" w:themeColor="text1"/>
          <w:sz w:val="24"/>
          <w14:textFill>
            <w14:solidFill>
              <w14:schemeClr w14:val="tx1"/>
            </w14:solidFill>
          </w14:textFill>
        </w:rPr>
        <w:t>钱塘校区弱电设备改造工程（三期）【招标编号：</w:t>
      </w:r>
      <w:r>
        <w:rPr>
          <w:rFonts w:hint="eastAsia" w:ascii="宋体" w:hAnsi="宋体" w:cs="宋体"/>
          <w:color w:val="000000" w:themeColor="text1"/>
          <w:sz w:val="24"/>
          <w:lang w:eastAsia="zh-CN"/>
          <w14:textFill>
            <w14:solidFill>
              <w14:schemeClr w14:val="tx1"/>
            </w14:solidFill>
          </w14:textFill>
        </w:rPr>
        <w:t>330000263030350000163-HSZB-2026-373</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的中标供应商，将依法采取分包方式履行合同。</w:t>
      </w:r>
      <w:r>
        <w:rPr>
          <w:rFonts w:hint="eastAsia" w:ascii="宋体" w:hAnsi="宋体" w:cs="宋体"/>
          <w:color w:val="000000" w:themeColor="text1"/>
          <w:kern w:val="0"/>
          <w:sz w:val="24"/>
          <w:u w:val="single"/>
          <w14:textFill>
            <w14:solidFill>
              <w14:schemeClr w14:val="tx1"/>
            </w14:solidFill>
          </w14:textFill>
        </w:rPr>
        <w:t>（投标人名称）</w:t>
      </w:r>
      <w:r>
        <w:rPr>
          <w:rFonts w:hint="eastAsia" w:ascii="宋体" w:hAnsi="宋体" w:cs="宋体"/>
          <w:color w:val="000000" w:themeColor="text1"/>
          <w:kern w:val="0"/>
          <w:sz w:val="24"/>
          <w14:textFill>
            <w14:solidFill>
              <w14:schemeClr w14:val="tx1"/>
            </w14:solidFill>
          </w14:textFill>
        </w:rPr>
        <w:t>与</w:t>
      </w:r>
      <w:r>
        <w:rPr>
          <w:rFonts w:hint="eastAsia" w:ascii="宋体" w:hAnsi="宋体" w:cs="宋体"/>
          <w:color w:val="000000" w:themeColor="text1"/>
          <w:kern w:val="0"/>
          <w:sz w:val="24"/>
          <w:u w:val="single"/>
          <w14:textFill>
            <w14:solidFill>
              <w14:schemeClr w14:val="tx1"/>
            </w14:solidFill>
          </w14:textFill>
        </w:rPr>
        <w:t>（所有分包供应商名称）</w:t>
      </w:r>
      <w:r>
        <w:rPr>
          <w:rFonts w:hint="eastAsia" w:ascii="宋体" w:hAnsi="宋体" w:cs="宋体"/>
          <w:color w:val="000000" w:themeColor="text1"/>
          <w:kern w:val="0"/>
          <w:sz w:val="24"/>
          <w14:textFill>
            <w14:solidFill>
              <w14:schemeClr w14:val="tx1"/>
            </w14:solidFill>
          </w14:textFill>
        </w:rPr>
        <w:t>达成分包意向协议</w:t>
      </w:r>
      <w:r>
        <w:rPr>
          <w:rFonts w:hint="eastAsia" w:ascii="宋体" w:hAnsi="宋体" w:cs="宋体"/>
          <w:color w:val="000000" w:themeColor="text1"/>
          <w:kern w:val="0"/>
          <w:sz w:val="24"/>
          <w:lang w:val="zh-CN"/>
          <w14:textFill>
            <w14:solidFill>
              <w14:schemeClr w14:val="tx1"/>
            </w14:solidFill>
          </w14:textFill>
        </w:rPr>
        <w:t xml:space="preserve">。 </w:t>
      </w:r>
    </w:p>
    <w:p w14:paraId="7EBE6761">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一、分包标的及数量</w:t>
      </w:r>
    </w:p>
    <w:p w14:paraId="6990F364">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（投标人名称）</w:t>
      </w:r>
      <w:r>
        <w:rPr>
          <w:rFonts w:hint="eastAsia" w:ascii="宋体" w:hAnsi="宋体" w:cs="宋体"/>
          <w:color w:val="000000" w:themeColor="text1"/>
          <w:kern w:val="0"/>
          <w:sz w:val="24"/>
          <w:lang w:val="zh-CN"/>
          <w14:textFill>
            <w14:solidFill>
              <w14:schemeClr w14:val="tx1"/>
            </w14:solidFill>
          </w14:textFill>
        </w:rPr>
        <w:t>将</w:t>
      </w: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kern w:val="0"/>
          <w:sz w:val="24"/>
          <w:u w:val="single"/>
          <w14:textFill>
            <w14:solidFill>
              <w14:schemeClr w14:val="tx1"/>
            </w14:solidFill>
          </w14:textFill>
        </w:rPr>
        <w:t xml:space="preserve">  XX工作内容   </w:t>
      </w:r>
      <w:r>
        <w:rPr>
          <w:rFonts w:hint="eastAsia" w:ascii="宋体" w:hAnsi="宋体" w:cs="宋体"/>
          <w:color w:val="000000" w:themeColor="text1"/>
          <w:sz w:val="24"/>
          <w14:textFill>
            <w14:solidFill>
              <w14:schemeClr w14:val="tx1"/>
            </w14:solidFill>
          </w14:textFill>
        </w:rPr>
        <w:t>分包给</w:t>
      </w:r>
      <w:r>
        <w:rPr>
          <w:rFonts w:hint="eastAsia" w:ascii="宋体" w:hAnsi="宋体" w:cs="宋体"/>
          <w:color w:val="000000" w:themeColor="text1"/>
          <w:kern w:val="0"/>
          <w:sz w:val="24"/>
          <w:u w:val="single"/>
          <w14:textFill>
            <w14:solidFill>
              <w14:schemeClr w14:val="tx1"/>
            </w14:solidFill>
          </w14:textFill>
        </w:rPr>
        <w:t>（分包供应商1名称）</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b/>
          <w:bCs/>
          <w:color w:val="000000" w:themeColor="text1"/>
          <w:kern w:val="0"/>
          <w:sz w:val="24"/>
          <w:u w:val="single"/>
          <w14:textFill>
            <w14:solidFill>
              <w14:schemeClr w14:val="tx1"/>
            </w14:solidFill>
          </w14:textFill>
        </w:rPr>
        <w:t>（分包供应商1名称），</w:t>
      </w:r>
      <w:r>
        <w:rPr>
          <w:rFonts w:hint="eastAsia" w:ascii="宋体" w:hAnsi="宋体" w:cs="宋体"/>
          <w:color w:val="000000" w:themeColor="text1"/>
          <w:kern w:val="0"/>
          <w:sz w:val="24"/>
          <w:lang w:val="zh-CN"/>
          <w14:textFill>
            <w14:solidFill>
              <w14:schemeClr w14:val="tx1"/>
            </w14:solidFill>
          </w14:textFill>
        </w:rPr>
        <w:t>具备承</w:t>
      </w:r>
      <w:r>
        <w:rPr>
          <w:rFonts w:hint="eastAsia" w:ascii="宋体" w:hAnsi="宋体" w:cs="宋体"/>
          <w:color w:val="000000" w:themeColor="text1"/>
          <w:kern w:val="0"/>
          <w:sz w:val="24"/>
          <w14:textFill>
            <w14:solidFill>
              <w14:schemeClr w14:val="tx1"/>
            </w14:solidFill>
          </w14:textFill>
        </w:rPr>
        <w:t>担</w:t>
      </w:r>
      <w:r>
        <w:rPr>
          <w:rFonts w:hint="eastAsia" w:ascii="宋体" w:hAnsi="宋体" w:cs="宋体"/>
          <w:color w:val="000000" w:themeColor="text1"/>
          <w:kern w:val="0"/>
          <w:sz w:val="24"/>
          <w:u w:val="single"/>
          <w:lang w:val="zh-CN"/>
          <w14:textFill>
            <w14:solidFill>
              <w14:schemeClr w14:val="tx1"/>
            </w14:solidFill>
          </w14:textFill>
        </w:rPr>
        <w:t>XX工作内容</w:t>
      </w:r>
      <w:r>
        <w:rPr>
          <w:rFonts w:hint="eastAsia" w:ascii="宋体" w:hAnsi="宋体" w:cs="宋体"/>
          <w:color w:val="000000" w:themeColor="text1"/>
          <w:kern w:val="0"/>
          <w:sz w:val="24"/>
          <w:lang w:val="zh-CN"/>
          <w14:textFill>
            <w14:solidFill>
              <w14:schemeClr w14:val="tx1"/>
            </w14:solidFill>
          </w14:textFill>
        </w:rPr>
        <w:t>相应资质条件且不得再次分包；</w:t>
      </w:r>
    </w:p>
    <w:p w14:paraId="78D6269B">
      <w:pPr>
        <w:tabs>
          <w:tab w:val="left" w:pos="432"/>
        </w:tabs>
        <w:ind w:left="664" w:leftChars="316" w:firstLine="228" w:firstLineChars="95"/>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p w14:paraId="4A93FBFF">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二、分包供应商中小企业合同份额</w:t>
      </w:r>
    </w:p>
    <w:p w14:paraId="2A3750DC">
      <w:pPr>
        <w:snapToGrid w:val="0"/>
        <w:spacing w:line="360" w:lineRule="auto"/>
        <w:ind w:firstLine="576"/>
        <w:rPr>
          <w:rFonts w:ascii="宋体" w:hAnsi="宋体" w:cs="宋体"/>
          <w:b/>
          <w:color w:val="000000" w:themeColor="text1"/>
          <w:kern w:val="0"/>
          <w:sz w:val="24"/>
          <w:lang w:val="zh-CN"/>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u w:val="single"/>
          <w14:textFill>
            <w14:solidFill>
              <w14:schemeClr w14:val="tx1"/>
            </w14:solidFill>
          </w14:textFill>
        </w:rPr>
        <w:t>（分包供应商X</w:t>
      </w:r>
      <w:r>
        <w:rPr>
          <w:rFonts w:ascii="宋体" w:hAnsi="宋体" w:cs="宋体"/>
          <w:color w:val="000000" w:themeColor="text1"/>
          <w:kern w:val="0"/>
          <w:sz w:val="24"/>
          <w:u w:val="single"/>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……）提供的货物全部由小微企业制造，</w:t>
      </w:r>
      <w:r>
        <w:rPr>
          <w:rFonts w:hint="eastAsia" w:ascii="宋体" w:hAnsi="宋体" w:cs="宋体"/>
          <w:color w:val="000000" w:themeColor="text1"/>
          <w:kern w:val="0"/>
          <w:sz w:val="24"/>
          <w14:textFill>
            <w14:solidFill>
              <w14:schemeClr w14:val="tx1"/>
            </w14:solidFill>
          </w14:textFill>
        </w:rPr>
        <w:t>其合同份额占到合同总金额</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%以上</w:t>
      </w:r>
      <w:r>
        <w:rPr>
          <w:rFonts w:hint="eastAsia" w:ascii="宋体" w:hAnsi="宋体" w:cs="宋体"/>
          <w:color w:val="000000" w:themeColor="text1"/>
          <w14:textFill>
            <w14:solidFill>
              <w14:schemeClr w14:val="tx1"/>
            </w14:solidFill>
          </w14:textFill>
        </w:rPr>
        <w:t>。</w:t>
      </w:r>
      <w:r>
        <w:rPr>
          <w:rFonts w:hint="eastAsia" w:ascii="宋体" w:hAnsi="宋体" w:cs="宋体"/>
          <w:b/>
          <w:color w:val="000000" w:themeColor="text1"/>
          <w:kern w:val="0"/>
          <w:sz w:val="24"/>
          <w:lang w:val="zh-CN"/>
          <w14:textFill>
            <w14:solidFill>
              <w14:schemeClr w14:val="tx1"/>
            </w14:solidFill>
          </w14:textFill>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000000" w:themeColor="text1"/>
          <w:sz w:val="24"/>
          <w14:textFill>
            <w14:solidFill>
              <w14:schemeClr w14:val="tx1"/>
            </w14:solidFill>
          </w14:textFill>
        </w:rPr>
        <w:t>拟享受以上价格扣除政策的，填写有关内容。</w:t>
      </w:r>
      <w:r>
        <w:rPr>
          <w:rFonts w:hint="eastAsia" w:ascii="宋体" w:hAnsi="宋体" w:cs="宋体"/>
          <w:b/>
          <w:color w:val="000000" w:themeColor="text1"/>
          <w:kern w:val="0"/>
          <w:sz w:val="24"/>
          <w:lang w:val="zh-CN"/>
          <w14:textFill>
            <w14:solidFill>
              <w14:schemeClr w14:val="tx1"/>
            </w14:solidFill>
          </w14:textFill>
        </w:rPr>
        <w:t>）</w:t>
      </w:r>
    </w:p>
    <w:p w14:paraId="2725DEFE">
      <w:pPr>
        <w:spacing w:line="360" w:lineRule="auto"/>
        <w:ind w:firstLine="480" w:firstLineChars="200"/>
        <w:rPr>
          <w:rFonts w:ascii="宋体" w:hAnsi="宋体" w:cs="宋体"/>
          <w:b/>
          <w:bCs/>
          <w:color w:val="000000" w:themeColor="text1"/>
          <w:kern w:val="0"/>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bookmarkStart w:id="416" w:name="_Hlk101133173"/>
      <w:r>
        <w:rPr>
          <w:rFonts w:hint="eastAsia" w:ascii="宋体" w:hAnsi="宋体" w:cs="宋体"/>
          <w:color w:val="000000" w:themeColor="text1"/>
          <w:sz w:val="24"/>
          <w14:textFill>
            <w14:solidFill>
              <w14:schemeClr w14:val="tx1"/>
            </w14:solidFill>
          </w14:textFill>
        </w:rPr>
        <w:t>中小企业合同金额达到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%，其中小微企业合同金额达到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b/>
          <w:bCs/>
          <w:color w:val="000000" w:themeColor="text1"/>
          <w:kern w:val="0"/>
          <w:sz w:val="24"/>
          <w:lang w:val="zh-CN"/>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要求合同分包形式参加的项目或采购包，供应商按招标文件第一部分招标公告申请人的资格要求中规定的</w:t>
      </w:r>
      <w:r>
        <w:rPr>
          <w:rFonts w:hint="eastAsia" w:ascii="宋体" w:hAnsi="宋体" w:cs="宋体"/>
          <w:b/>
          <w:color w:val="000000" w:themeColor="text1"/>
          <w:kern w:val="0"/>
          <w:sz w:val="24"/>
          <w:lang w:val="zh-CN"/>
          <w14:textFill>
            <w14:solidFill>
              <w14:schemeClr w14:val="tx1"/>
            </w14:solidFill>
          </w14:textFill>
        </w:rPr>
        <w:t>分包意向协议</w:t>
      </w:r>
      <w:r>
        <w:rPr>
          <w:rFonts w:hint="eastAsia" w:ascii="宋体" w:hAnsi="宋体" w:cs="宋体"/>
          <w:b/>
          <w:bCs/>
          <w:color w:val="000000" w:themeColor="text1"/>
          <w:sz w:val="24"/>
          <w14:textFill>
            <w14:solidFill>
              <w14:schemeClr w14:val="tx1"/>
            </w14:solidFill>
          </w14:textFill>
        </w:rPr>
        <w:t>中中小企业、小微企业合同金额应当达到的比例要求填写。</w:t>
      </w:r>
      <w:r>
        <w:rPr>
          <w:rFonts w:hint="eastAsia" w:ascii="宋体" w:hAnsi="宋体" w:cs="宋体"/>
          <w:b/>
          <w:bCs/>
          <w:color w:val="000000" w:themeColor="text1"/>
          <w:kern w:val="0"/>
          <w:sz w:val="24"/>
          <w:lang w:val="zh-CN"/>
          <w14:textFill>
            <w14:solidFill>
              <w14:schemeClr w14:val="tx1"/>
            </w14:solidFill>
          </w14:textFill>
        </w:rPr>
        <w:t>）</w:t>
      </w:r>
      <w:bookmarkEnd w:id="416"/>
    </w:p>
    <w:p w14:paraId="72E86C4B">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三、分包工作履行期限、地点、方式</w:t>
      </w:r>
    </w:p>
    <w:p w14:paraId="598F7806">
      <w:pPr>
        <w:snapToGrid w:val="0"/>
        <w:spacing w:line="360" w:lineRule="auto"/>
        <w:ind w:firstLine="576"/>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p>
    <w:p w14:paraId="6FFC64E7">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四、质量</w:t>
      </w:r>
    </w:p>
    <w:p w14:paraId="40B7F33F">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p>
    <w:p w14:paraId="6BFB7F24">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五、价款或者报酬</w:t>
      </w:r>
    </w:p>
    <w:p w14:paraId="2A497E51">
      <w:pPr>
        <w:snapToGrid w:val="0"/>
        <w:spacing w:line="360" w:lineRule="auto"/>
        <w:ind w:left="573" w:leftChars="273"/>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p>
    <w:p w14:paraId="607FB52D">
      <w:pPr>
        <w:snapToGrid w:val="0"/>
        <w:spacing w:line="360" w:lineRule="auto"/>
        <w:ind w:left="573" w:leftChars="273"/>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六、违约责任</w:t>
      </w:r>
    </w:p>
    <w:p w14:paraId="1E5671B1">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p>
    <w:p w14:paraId="75544DD1">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七、争议解决的办法</w:t>
      </w:r>
    </w:p>
    <w:p w14:paraId="3E3A45CF">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p>
    <w:p w14:paraId="5C94EBD7">
      <w:pPr>
        <w:snapToGrid w:val="0"/>
        <w:spacing w:line="360" w:lineRule="auto"/>
        <w:ind w:left="5758" w:leftChars="342" w:hanging="5040" w:hanging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投标人名称(电子签名)：</w:t>
      </w:r>
    </w:p>
    <w:p w14:paraId="5828888C">
      <w:pPr>
        <w:snapToGrid w:val="0"/>
        <w:spacing w:line="360" w:lineRule="auto"/>
        <w:jc w:val="righ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分包供应商名称(电子签名/公章)：</w:t>
      </w:r>
    </w:p>
    <w:p w14:paraId="260B3CDA">
      <w:pPr>
        <w:snapToGrid w:val="0"/>
        <w:spacing w:line="360" w:lineRule="auto"/>
        <w:ind w:firstLine="5760" w:firstLineChars="240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p>
    <w:p w14:paraId="182A3071">
      <w:pPr>
        <w:spacing w:line="360" w:lineRule="auto"/>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25913033">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4DF2E380">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A0E9092">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BCD2089">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765E609">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B36BEF0">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E47C49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324DD90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F8BCB44">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101D4DB">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E4FB7CB">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34A9F3D">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0CBE5B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9386F60">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515A42C">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A47EDD9">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47C6AB6">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4168987">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FA6EFD5">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24BBEE2">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EE6AB5B">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248B84C">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AD3075C">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CCE46C3">
      <w:pPr>
        <w:rPr>
          <w:rFonts w:ascii="宋体" w:hAnsi="宋体" w:cs="宋体"/>
          <w:b/>
          <w:color w:val="000000" w:themeColor="text1"/>
          <w:kern w:val="0"/>
          <w:sz w:val="44"/>
          <w:szCs w:val="44"/>
          <w14:textFill>
            <w14:solidFill>
              <w14:schemeClr w14:val="tx1"/>
            </w14:solidFill>
          </w14:textFill>
        </w:rPr>
      </w:pPr>
      <w:r>
        <w:rPr>
          <w:rFonts w:hint="eastAsia" w:ascii="宋体" w:hAnsi="宋体" w:cs="宋体"/>
          <w:b/>
          <w:color w:val="000000" w:themeColor="text1"/>
          <w:kern w:val="0"/>
          <w:sz w:val="44"/>
          <w:szCs w:val="44"/>
          <w14:textFill>
            <w14:solidFill>
              <w14:schemeClr w14:val="tx1"/>
            </w14:solidFill>
          </w14:textFill>
        </w:rPr>
        <w:br w:type="page"/>
      </w:r>
    </w:p>
    <w:p w14:paraId="407D87B9">
      <w:pPr>
        <w:snapToGrid w:val="0"/>
        <w:spacing w:line="360" w:lineRule="auto"/>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附件</w:t>
      </w:r>
      <w:r>
        <w:rPr>
          <w:rFonts w:ascii="宋体" w:hAnsi="宋体" w:cs="宋体"/>
          <w:b/>
          <w:color w:val="000000" w:themeColor="text1"/>
          <w:kern w:val="0"/>
          <w:sz w:val="32"/>
          <w:szCs w:val="32"/>
          <w14:textFill>
            <w14:solidFill>
              <w14:schemeClr w14:val="tx1"/>
            </w14:solidFill>
          </w14:textFill>
        </w:rPr>
        <w:t>7</w:t>
      </w:r>
      <w:r>
        <w:rPr>
          <w:rFonts w:hint="eastAsia" w:ascii="宋体" w:hAnsi="宋体" w:cs="宋体"/>
          <w:b/>
          <w:color w:val="000000" w:themeColor="text1"/>
          <w:kern w:val="0"/>
          <w:sz w:val="32"/>
          <w:szCs w:val="32"/>
          <w14:textFill>
            <w14:solidFill>
              <w14:schemeClr w14:val="tx1"/>
            </w14:solidFill>
          </w14:textFill>
        </w:rPr>
        <w:t>：中小企业声明函</w:t>
      </w:r>
    </w:p>
    <w:p w14:paraId="2ACC98CD">
      <w:pPr>
        <w:spacing w:line="360" w:lineRule="auto"/>
        <w:jc w:val="center"/>
        <w:rPr>
          <w:rFonts w:ascii="宋体" w:hAnsi="宋体" w:cs="宋体"/>
          <w:color w:val="000000" w:themeColor="text1"/>
          <w:sz w:val="24"/>
          <w:u w:val="single"/>
          <w14:textFill>
            <w14:solidFill>
              <w14:schemeClr w14:val="tx1"/>
            </w14:solidFill>
          </w14:textFill>
        </w:rPr>
      </w:pPr>
    </w:p>
    <w:p w14:paraId="060ECD16">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中小企业声明函（货物）</w:t>
      </w:r>
    </w:p>
    <w:p w14:paraId="00DE8BF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cs="宋体"/>
          <w:color w:val="000000" w:themeColor="text1"/>
          <w:sz w:val="24"/>
          <w:u w:val="single"/>
          <w14:textFill>
            <w14:solidFill>
              <w14:schemeClr w14:val="tx1"/>
            </w14:solidFill>
          </w14:textFill>
        </w:rPr>
        <w:t xml:space="preserve">浙江水利水电学院 </w:t>
      </w:r>
      <w:r>
        <w:rPr>
          <w:rFonts w:hint="eastAsia" w:ascii="宋体" w:hAnsi="宋体" w:cs="宋体"/>
          <w:color w:val="000000" w:themeColor="text1"/>
          <w:sz w:val="24"/>
          <w14:textFill>
            <w14:solidFill>
              <w14:schemeClr w14:val="tx1"/>
            </w14:solidFill>
          </w14:textFill>
        </w:rPr>
        <w:t xml:space="preserve">的 </w:t>
      </w:r>
      <w:r>
        <w:rPr>
          <w:rFonts w:hint="eastAsia" w:ascii="宋体" w:hAnsi="宋体" w:cs="宋体"/>
          <w:color w:val="000000" w:themeColor="text1"/>
          <w:sz w:val="24"/>
          <w:u w:val="single"/>
          <w14:textFill>
            <w14:solidFill>
              <w14:schemeClr w14:val="tx1"/>
            </w14:solidFill>
          </w14:textFill>
        </w:rPr>
        <w:t>钱塘校区弱电设备改造工程（三期）</w:t>
      </w:r>
      <w:r>
        <w:rPr>
          <w:rFonts w:hint="eastAsia" w:ascii="宋体" w:hAnsi="宋体" w:cs="宋体"/>
          <w:color w:val="000000" w:themeColor="text1"/>
          <w:sz w:val="24"/>
          <w14:textFill>
            <w14:solidFill>
              <w14:schemeClr w14:val="tx1"/>
            </w14:solidFill>
          </w14:textFill>
        </w:rPr>
        <w:t xml:space="preserve"> 采购活动，提供的货物全部由符合政策要求的中小企业制造。相关企业（含联合体中的中小企业、签订分包意向协议的中小企业）的具体情况如下：</w:t>
      </w:r>
    </w:p>
    <w:p w14:paraId="74ABC3A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 xml:space="preserve"> ，属于 </w:t>
      </w:r>
      <w:r>
        <w:rPr>
          <w:rFonts w:hint="eastAsia" w:ascii="宋体" w:hAnsi="宋体" w:cs="宋体"/>
          <w:color w:val="000000" w:themeColor="text1"/>
          <w:sz w:val="24"/>
          <w:u w:val="single"/>
          <w14:textFill>
            <w14:solidFill>
              <w14:schemeClr w14:val="tx1"/>
            </w14:solidFill>
          </w14:textFill>
        </w:rPr>
        <w:t>（工业）</w:t>
      </w:r>
      <w:r>
        <w:rPr>
          <w:rFonts w:hint="eastAsia" w:ascii="宋体" w:hAnsi="宋体" w:cs="宋体"/>
          <w:color w:val="000000" w:themeColor="text1"/>
          <w:sz w:val="24"/>
          <w14:textFill>
            <w14:solidFill>
              <w14:schemeClr w14:val="tx1"/>
            </w14:solidFill>
          </w14:textFill>
        </w:rPr>
        <w:t>行业 ；制造商为</w:t>
      </w:r>
      <w:r>
        <w:rPr>
          <w:rFonts w:hint="eastAsia" w:ascii="宋体" w:hAnsi="宋体" w:cs="宋体"/>
          <w:color w:val="000000" w:themeColor="text1"/>
          <w:sz w:val="24"/>
          <w:u w:val="single"/>
          <w14:textFill>
            <w14:solidFill>
              <w14:schemeClr w14:val="tx1"/>
            </w14:solidFill>
          </w14:textFill>
        </w:rPr>
        <w:t xml:space="preserve"> （企业名称）</w:t>
      </w:r>
      <w:r>
        <w:rPr>
          <w:rFonts w:hint="eastAsia" w:ascii="宋体" w:hAnsi="宋体" w:cs="宋体"/>
          <w:color w:val="000000" w:themeColor="text1"/>
          <w:sz w:val="24"/>
          <w14:textFill>
            <w14:solidFill>
              <w14:schemeClr w14:val="tx1"/>
            </w14:solidFill>
          </w14:textFill>
        </w:rPr>
        <w:t xml:space="preserve"> ，从业人员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 xml:space="preserve"> （中型企业、小型企业、微型企业）</w:t>
      </w:r>
      <w:r>
        <w:rPr>
          <w:rFonts w:hint="eastAsia" w:ascii="宋体" w:hAnsi="宋体" w:cs="宋体"/>
          <w:color w:val="000000" w:themeColor="text1"/>
          <w:sz w:val="24"/>
          <w14:textFill>
            <w14:solidFill>
              <w14:schemeClr w14:val="tx1"/>
            </w14:solidFill>
          </w14:textFill>
        </w:rPr>
        <w:t xml:space="preserve"> ；</w:t>
      </w:r>
    </w:p>
    <w:p w14:paraId="41EC871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 xml:space="preserve"> ，属于 </w:t>
      </w:r>
      <w:r>
        <w:rPr>
          <w:rFonts w:hint="eastAsia" w:ascii="宋体" w:hAnsi="宋体" w:cs="宋体"/>
          <w:color w:val="000000" w:themeColor="text1"/>
          <w:sz w:val="24"/>
          <w:u w:val="single"/>
          <w14:textFill>
            <w14:solidFill>
              <w14:schemeClr w14:val="tx1"/>
            </w14:solidFill>
          </w14:textFill>
        </w:rPr>
        <w:t>（工业）</w:t>
      </w:r>
      <w:r>
        <w:rPr>
          <w:rFonts w:hint="eastAsia" w:ascii="宋体" w:hAnsi="宋体" w:cs="宋体"/>
          <w:color w:val="000000" w:themeColor="text1"/>
          <w:sz w:val="24"/>
          <w14:textFill>
            <w14:solidFill>
              <w14:schemeClr w14:val="tx1"/>
            </w14:solidFill>
          </w14:textFill>
        </w:rPr>
        <w:t>行业 ；制造商为</w:t>
      </w:r>
      <w:r>
        <w:rPr>
          <w:rFonts w:hint="eastAsia" w:ascii="宋体" w:hAnsi="宋体" w:cs="宋体"/>
          <w:color w:val="000000" w:themeColor="text1"/>
          <w:sz w:val="24"/>
          <w:u w:val="single"/>
          <w14:textFill>
            <w14:solidFill>
              <w14:schemeClr w14:val="tx1"/>
            </w14:solidFill>
          </w14:textFill>
        </w:rPr>
        <w:t xml:space="preserve"> （企业名称）</w:t>
      </w:r>
      <w:r>
        <w:rPr>
          <w:rFonts w:hint="eastAsia" w:ascii="宋体" w:hAnsi="宋体" w:cs="宋体"/>
          <w:color w:val="000000" w:themeColor="text1"/>
          <w:sz w:val="24"/>
          <w14:textFill>
            <w14:solidFill>
              <w14:schemeClr w14:val="tx1"/>
            </w14:solidFill>
          </w14:textFill>
        </w:rPr>
        <w:t xml:space="preserve"> ，从业人员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 xml:space="preserve"> （中型企业、小型企业、微型企业）</w:t>
      </w:r>
      <w:r>
        <w:rPr>
          <w:rFonts w:hint="eastAsia" w:ascii="宋体" w:hAnsi="宋体" w:cs="宋体"/>
          <w:color w:val="000000" w:themeColor="text1"/>
          <w:sz w:val="24"/>
          <w14:textFill>
            <w14:solidFill>
              <w14:schemeClr w14:val="tx1"/>
            </w14:solidFill>
          </w14:textFill>
        </w:rPr>
        <w:t xml:space="preserve"> ；</w:t>
      </w:r>
    </w:p>
    <w:p w14:paraId="71AB6AFD">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208538A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31DA8CC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14:paraId="44923DB7">
      <w:pPr>
        <w:snapToGrid w:val="0"/>
        <w:spacing w:line="360" w:lineRule="auto"/>
        <w:ind w:firstLine="5160" w:firstLineChars="2150"/>
        <w:rPr>
          <w:rFonts w:ascii="宋体" w:hAnsi="宋体" w:cs="宋体"/>
          <w:color w:val="000000" w:themeColor="text1"/>
          <w:kern w:val="0"/>
          <w:sz w:val="24"/>
          <w:lang w:val="zh-CN"/>
          <w14:textFill>
            <w14:solidFill>
              <w14:schemeClr w14:val="tx1"/>
            </w14:solidFill>
          </w14:textFill>
        </w:rPr>
      </w:pPr>
    </w:p>
    <w:p w14:paraId="28574D51">
      <w:pPr>
        <w:snapToGrid w:val="0"/>
        <w:spacing w:line="360" w:lineRule="auto"/>
        <w:ind w:firstLine="5160" w:firstLineChars="21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投标人名称(电子签名)：</w:t>
      </w:r>
    </w:p>
    <w:p w14:paraId="383DD78C">
      <w:pPr>
        <w:snapToGrid w:val="0"/>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3782D566">
      <w:pPr>
        <w:spacing w:line="360" w:lineRule="auto"/>
        <w:ind w:right="42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399BB7CB">
      <w:pPr>
        <w:spacing w:line="360" w:lineRule="auto"/>
        <w:rPr>
          <w:rFonts w:ascii="宋体" w:hAnsi="宋体" w:cs="宋体"/>
          <w:bCs/>
          <w:color w:val="000000" w:themeColor="text1"/>
          <w:sz w:val="24"/>
          <w14:textFill>
            <w14:solidFill>
              <w14:schemeClr w14:val="tx1"/>
            </w14:solidFill>
          </w14:textFill>
        </w:rPr>
      </w:pPr>
    </w:p>
    <w:sectPr>
      <w:headerReference r:id="rId22" w:type="first"/>
      <w:footerReference r:id="rId25" w:type="first"/>
      <w:headerReference r:id="rId21" w:type="default"/>
      <w:footerReference r:id="rId23" w:type="default"/>
      <w:footerReference r:id="rId24"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3634903-3F72-4E56-9A9D-E851187EF19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365AA9EF-63C6-4248-AB30-21D1F558CBA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21C5967D-0DBA-4CCC-8E3E-58077EB984CC}"/>
  </w:font>
  <w:font w:name="仿宋">
    <w:panose1 w:val="02010609060101010101"/>
    <w:charset w:val="86"/>
    <w:family w:val="modern"/>
    <w:pitch w:val="default"/>
    <w:sig w:usb0="800002BF" w:usb1="38CF7CFA" w:usb2="00000016" w:usb3="00000000" w:csb0="00040001" w:csb1="00000000"/>
    <w:embedRegular r:id="rId4" w:fontKey="{DA8D6D7C-A826-407B-8984-A875DAF3838C}"/>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auto"/>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auto"/>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500000000000000"/>
    <w:charset w:val="86"/>
    <w:family w:val="auto"/>
    <w:pitch w:val="default"/>
    <w:sig w:usb0="20000083" w:usb1="2ADF3C1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w:altName w:val="Arial"/>
    <w:panose1 w:val="020B0604020202020204"/>
    <w:charset w:val="00"/>
    <w:family w:val="swiss"/>
    <w:pitch w:val="default"/>
    <w:sig w:usb0="00000000" w:usb1="00000000" w:usb2="00000000" w:usb3="00000000" w:csb0="2000019F" w:csb1="4F010000"/>
  </w:font>
  <w:font w:name="Cumberland">
    <w:altName w:val="Noto Sans SC"/>
    <w:panose1 w:val="00000000000000000000"/>
    <w:charset w:val="00"/>
    <w:family w:val="auto"/>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auto"/>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auto"/>
    <w:pitch w:val="default"/>
    <w:sig w:usb0="00000000" w:usb1="00000000" w:usb2="00000000" w:usb3="00000000" w:csb0="00000011" w:csb1="00000000"/>
  </w:font>
  <w:font w:name=".PingFang SC">
    <w:altName w:val="宋体"/>
    <w:panose1 w:val="00000000000000000000"/>
    <w:charset w:val="86"/>
    <w:family w:val="auto"/>
    <w:pitch w:val="default"/>
    <w:sig w:usb0="00000000" w:usb1="00000000" w:usb2="00000001" w:usb3="00000000" w:csb0="400001BF" w:csb1="DFF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方正仿宋_GB2312">
    <w:panose1 w:val="02000000000000000000"/>
    <w:charset w:val="86"/>
    <w:family w:val="auto"/>
    <w:pitch w:val="default"/>
    <w:sig w:usb0="A00002BF" w:usb1="184F6CFA" w:usb2="00000012" w:usb3="00000000" w:csb0="00040001" w:csb1="00000000"/>
    <w:embedRegular r:id="rId5" w:fontKey="{BEEABAFB-5E81-4656-BB37-49D0A5D409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A4AAD">
    <w:pPr>
      <w:pStyle w:val="40"/>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1B202">
                          <w:pPr>
                            <w:pStyle w:val="4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4B1B202">
                    <w:pPr>
                      <w:pStyle w:val="4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37B44">
    <w:pPr>
      <w:pStyle w:val="40"/>
      <w:rPr>
        <w:rFonts w:ascii="仿宋_GB2312" w:eastAsia="仿宋_GB2312"/>
        <w:szCs w:val="24"/>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DC3A1">
                          <w:pPr>
                            <w:pStyle w:val="40"/>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259DC3A1">
                    <w:pPr>
                      <w:pStyle w:val="40"/>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2476C">
    <w:pPr>
      <w:pStyle w:val="40"/>
      <w:framePr w:wrap="around" w:vAnchor="text" w:hAnchor="margin" w:xAlign="right" w:y="1"/>
      <w:rPr>
        <w:rStyle w:val="72"/>
      </w:rPr>
    </w:pPr>
    <w:r>
      <w:fldChar w:fldCharType="begin"/>
    </w:r>
    <w:r>
      <w:rPr>
        <w:rStyle w:val="72"/>
      </w:rPr>
      <w:instrText xml:space="preserve">PAGE  </w:instrText>
    </w:r>
    <w:r>
      <w:fldChar w:fldCharType="end"/>
    </w:r>
  </w:p>
  <w:p w14:paraId="074AE41D">
    <w:pPr>
      <w:pStyle w:val="40"/>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F1210">
    <w:pPr>
      <w:pStyle w:val="40"/>
      <w:rPr>
        <w:rFonts w:ascii="仿宋_GB2312" w:eastAsia="仿宋_GB2312"/>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731CC">
                          <w:pPr>
                            <w:pStyle w:val="40"/>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78731CC">
                    <w:pPr>
                      <w:pStyle w:val="40"/>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1CA5D">
    <w:pPr>
      <w:pStyle w:val="40"/>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5AD70">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A65AD70">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32220">
    <w:pPr>
      <w:pStyle w:val="4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43236">
                          <w:pPr>
                            <w:pStyle w:val="40"/>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0843236">
                    <w:pPr>
                      <w:pStyle w:val="40"/>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2468E">
    <w:pP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3CE32">
                          <w:pPr>
                            <w:pStyle w:val="40"/>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9D3CE32">
                    <w:pPr>
                      <w:pStyle w:val="40"/>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8AD3F">
    <w:pP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C7A54">
                          <w:pPr>
                            <w:pStyle w:val="40"/>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32C7A54">
                    <w:pPr>
                      <w:pStyle w:val="40"/>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4CE80">
    <w:pP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4B144">
                          <w:pPr>
                            <w:pStyle w:val="40"/>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EC4B144">
                    <w:pPr>
                      <w:pStyle w:val="40"/>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3EA66">
    <w:pPr>
      <w:rPr>
        <w:rFonts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C58A2">
                          <w:pPr>
                            <w:pStyle w:val="40"/>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2DC58A2">
                    <w:pPr>
                      <w:pStyle w:val="40"/>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5B547">
    <w:pPr>
      <w:rPr>
        <w:rFonts w:ascii="仿宋_GB2312" w:eastAsia="仿宋_GB2312"/>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7C635">
                          <w:pPr>
                            <w:pStyle w:val="40"/>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4C7C635">
                    <w:pPr>
                      <w:pStyle w:val="40"/>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3B39E">
    <w:pPr>
      <w:rPr>
        <w:rFonts w:ascii="仿宋_GB2312" w:eastAsia="仿宋_GB2312"/>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9A6DF">
                          <w:pPr>
                            <w:pStyle w:val="40"/>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DD9A6DF">
                    <w:pPr>
                      <w:pStyle w:val="40"/>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A58BE">
    <w:pPr>
      <w:pStyle w:val="41"/>
      <w:pBdr>
        <w:bottom w:val="single" w:color="auto" w:sz="6" w:space="4"/>
      </w:pBdr>
      <w:jc w:val="both"/>
    </w:pPr>
  </w:p>
  <w:p w14:paraId="2A9B3104">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99622">
    <w:pPr>
      <w:pStyle w:val="41"/>
      <w:jc w:val="both"/>
      <w:rPr>
        <w:rFonts w:ascii="仿宋_GB2312" w:eastAsia="仿宋_GB2312"/>
        <w:b/>
        <w:i/>
        <w:iCs/>
        <w:u w:val="singl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F7061">
    <w:pPr>
      <w:pStyle w:val="41"/>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919E4">
    <w:pPr>
      <w:pStyle w:val="41"/>
      <w:pBdr>
        <w:bottom w:val="single" w:color="auto" w:sz="6" w:space="0"/>
      </w:pBdr>
      <w:tabs>
        <w:tab w:val="center" w:pos="4535"/>
        <w:tab w:val="right" w:pos="9070"/>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04C51">
    <w:pPr>
      <w:pStyle w:val="4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844BA">
    <w:pPr>
      <w:pStyle w:val="41"/>
      <w:jc w:val="both"/>
      <w:rPr>
        <w:rFonts w:ascii="仿宋_GB2312" w:eastAsia="仿宋_GB2312"/>
        <w:b/>
        <w:i/>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06B23">
    <w:pPr>
      <w:pStyle w:val="41"/>
      <w:jc w:val="both"/>
    </w:pPr>
  </w:p>
  <w:p w14:paraId="64BB07BD">
    <w:pPr>
      <w:pStyle w:val="41"/>
    </w:pP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52905">
    <w:pPr>
      <w:pStyle w:val="41"/>
      <w:jc w:val="both"/>
      <w:rPr>
        <w:rFonts w:ascii="仿宋_GB2312" w:eastAsia="仿宋_GB2312"/>
        <w:b/>
        <w:i/>
        <w:u w:val="single"/>
      </w:rPr>
    </w:pPr>
  </w:p>
  <w:p w14:paraId="7B137091">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1488">
    <w:pPr>
      <w:pStyle w:val="41"/>
    </w:pPr>
    <w: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778B5">
    <w:pPr>
      <w:pStyle w:val="41"/>
      <w:jc w:val="both"/>
      <w:rPr>
        <w:rFonts w:ascii="仿宋_GB2312" w:eastAsia="仿宋_GB2312"/>
        <w:b/>
        <w:i/>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F8487">
    <w:pPr>
      <w:pStyle w:val="41"/>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3A496"/>
    <w:multiLevelType w:val="singleLevel"/>
    <w:tmpl w:val="CF13A496"/>
    <w:lvl w:ilvl="0" w:tentative="0">
      <w:start w:val="1"/>
      <w:numFmt w:val="decimal"/>
      <w:suff w:val="nothing"/>
      <w:lvlText w:val="（%1）"/>
      <w:lvlJc w:val="left"/>
    </w:lvl>
  </w:abstractNum>
  <w:abstractNum w:abstractNumId="1">
    <w:nsid w:val="3498158A"/>
    <w:multiLevelType w:val="singleLevel"/>
    <w:tmpl w:val="3498158A"/>
    <w:lvl w:ilvl="0" w:tentative="0">
      <w:start w:val="2"/>
      <w:numFmt w:val="chineseCounting"/>
      <w:suff w:val="nothing"/>
      <w:lvlText w:val="%1、"/>
      <w:lvlJc w:val="left"/>
      <w:rPr>
        <w:rFonts w:hint="eastAsia"/>
      </w:rPr>
    </w:lvl>
  </w:abstractNum>
  <w:abstractNum w:abstractNumId="2">
    <w:nsid w:val="39164127"/>
    <w:multiLevelType w:val="singleLevel"/>
    <w:tmpl w:val="39164127"/>
    <w:lvl w:ilvl="0" w:tentative="0">
      <w:start w:val="1"/>
      <w:numFmt w:val="chineseCounting"/>
      <w:suff w:val="nothing"/>
      <w:lvlText w:val="%1、"/>
      <w:lvlJc w:val="left"/>
      <w:rPr>
        <w:rFonts w:hint="eastAsia"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hideSpellingError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1MzRhMDFkZWU4ZGJiNmQ5YzU0Nzg0NDRkMTNjNG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86D"/>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612"/>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034"/>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C93"/>
    <w:rsid w:val="000B0E04"/>
    <w:rsid w:val="000B14F5"/>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599"/>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05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858"/>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64E"/>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1F7"/>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536"/>
    <w:rsid w:val="00242F79"/>
    <w:rsid w:val="0024415B"/>
    <w:rsid w:val="00244C4F"/>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5B9"/>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561"/>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1EB7"/>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543"/>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3B0"/>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655"/>
    <w:rsid w:val="0047471E"/>
    <w:rsid w:val="004749DA"/>
    <w:rsid w:val="00474DEF"/>
    <w:rsid w:val="00475729"/>
    <w:rsid w:val="0047575A"/>
    <w:rsid w:val="004758E7"/>
    <w:rsid w:val="00475BAB"/>
    <w:rsid w:val="0047641A"/>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474"/>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01D"/>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6E0A"/>
    <w:rsid w:val="0050790B"/>
    <w:rsid w:val="00507FDF"/>
    <w:rsid w:val="0051037C"/>
    <w:rsid w:val="0051050F"/>
    <w:rsid w:val="0051058B"/>
    <w:rsid w:val="00510DDC"/>
    <w:rsid w:val="00510E4A"/>
    <w:rsid w:val="00511166"/>
    <w:rsid w:val="00511A7A"/>
    <w:rsid w:val="00512217"/>
    <w:rsid w:val="00512459"/>
    <w:rsid w:val="005131A2"/>
    <w:rsid w:val="005137E4"/>
    <w:rsid w:val="00513BB9"/>
    <w:rsid w:val="0051440E"/>
    <w:rsid w:val="00514480"/>
    <w:rsid w:val="005148CD"/>
    <w:rsid w:val="00515180"/>
    <w:rsid w:val="00515973"/>
    <w:rsid w:val="00516069"/>
    <w:rsid w:val="00516163"/>
    <w:rsid w:val="00517AC8"/>
    <w:rsid w:val="00517C3E"/>
    <w:rsid w:val="005207D8"/>
    <w:rsid w:val="0052091D"/>
    <w:rsid w:val="005212F4"/>
    <w:rsid w:val="00521908"/>
    <w:rsid w:val="005224BC"/>
    <w:rsid w:val="00522928"/>
    <w:rsid w:val="00522FF1"/>
    <w:rsid w:val="00523946"/>
    <w:rsid w:val="0052397A"/>
    <w:rsid w:val="005256D6"/>
    <w:rsid w:val="00525AD8"/>
    <w:rsid w:val="00525DBE"/>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3D6F"/>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1D52"/>
    <w:rsid w:val="00592825"/>
    <w:rsid w:val="00594437"/>
    <w:rsid w:val="00594B70"/>
    <w:rsid w:val="00594DBB"/>
    <w:rsid w:val="00596912"/>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6D0F"/>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3FBA"/>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3F1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1FD8"/>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0CCE"/>
    <w:rsid w:val="006811F3"/>
    <w:rsid w:val="00681240"/>
    <w:rsid w:val="00682025"/>
    <w:rsid w:val="00683068"/>
    <w:rsid w:val="00683DAD"/>
    <w:rsid w:val="00683F81"/>
    <w:rsid w:val="00684592"/>
    <w:rsid w:val="00684963"/>
    <w:rsid w:val="00685033"/>
    <w:rsid w:val="0068517F"/>
    <w:rsid w:val="00685446"/>
    <w:rsid w:val="00685D65"/>
    <w:rsid w:val="00685FC8"/>
    <w:rsid w:val="00686E80"/>
    <w:rsid w:val="0068790B"/>
    <w:rsid w:val="00687AF2"/>
    <w:rsid w:val="00687F3F"/>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6C2B"/>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6AA"/>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E7E3C"/>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2E9F"/>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5D7B"/>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54"/>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1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0D42"/>
    <w:rsid w:val="00812512"/>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69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4F72"/>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4ED9"/>
    <w:rsid w:val="008A5F2F"/>
    <w:rsid w:val="008A696D"/>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5B91"/>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D70"/>
    <w:rsid w:val="00923E1A"/>
    <w:rsid w:val="009245CC"/>
    <w:rsid w:val="0092490A"/>
    <w:rsid w:val="00925A3E"/>
    <w:rsid w:val="009261DB"/>
    <w:rsid w:val="00926939"/>
    <w:rsid w:val="00926F4C"/>
    <w:rsid w:val="00927330"/>
    <w:rsid w:val="00927710"/>
    <w:rsid w:val="00927C55"/>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5F4"/>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22"/>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0823"/>
    <w:rsid w:val="009A113D"/>
    <w:rsid w:val="009A1ECA"/>
    <w:rsid w:val="009A2BE9"/>
    <w:rsid w:val="009A2BF3"/>
    <w:rsid w:val="009A3688"/>
    <w:rsid w:val="009A3713"/>
    <w:rsid w:val="009A3C3E"/>
    <w:rsid w:val="009A4153"/>
    <w:rsid w:val="009A41C0"/>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D6"/>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34D2"/>
    <w:rsid w:val="00A5433F"/>
    <w:rsid w:val="00A5468F"/>
    <w:rsid w:val="00A54909"/>
    <w:rsid w:val="00A54DC0"/>
    <w:rsid w:val="00A550C9"/>
    <w:rsid w:val="00A55228"/>
    <w:rsid w:val="00A55410"/>
    <w:rsid w:val="00A55A04"/>
    <w:rsid w:val="00A564DE"/>
    <w:rsid w:val="00A57173"/>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417"/>
    <w:rsid w:val="00A65EFB"/>
    <w:rsid w:val="00A66E28"/>
    <w:rsid w:val="00A67429"/>
    <w:rsid w:val="00A677E7"/>
    <w:rsid w:val="00A67CE9"/>
    <w:rsid w:val="00A70590"/>
    <w:rsid w:val="00A7062E"/>
    <w:rsid w:val="00A70834"/>
    <w:rsid w:val="00A71542"/>
    <w:rsid w:val="00A7171F"/>
    <w:rsid w:val="00A71FA0"/>
    <w:rsid w:val="00A71FBD"/>
    <w:rsid w:val="00A7232A"/>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1E8"/>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0E6"/>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571B"/>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02A"/>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0DF2"/>
    <w:rsid w:val="00B2125C"/>
    <w:rsid w:val="00B21676"/>
    <w:rsid w:val="00B219E1"/>
    <w:rsid w:val="00B21ECF"/>
    <w:rsid w:val="00B22150"/>
    <w:rsid w:val="00B226DE"/>
    <w:rsid w:val="00B22FB5"/>
    <w:rsid w:val="00B23012"/>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A51"/>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048"/>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498"/>
    <w:rsid w:val="00BC3BCB"/>
    <w:rsid w:val="00BC3CF1"/>
    <w:rsid w:val="00BC428A"/>
    <w:rsid w:val="00BC4C40"/>
    <w:rsid w:val="00BC5854"/>
    <w:rsid w:val="00BC5A29"/>
    <w:rsid w:val="00BC5AE3"/>
    <w:rsid w:val="00BC5BAD"/>
    <w:rsid w:val="00BC6539"/>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3F87"/>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39"/>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044F"/>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EFF"/>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19CB"/>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6ED"/>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2FD"/>
    <w:rsid w:val="00DE5563"/>
    <w:rsid w:val="00DE5C19"/>
    <w:rsid w:val="00DE5D48"/>
    <w:rsid w:val="00DE6157"/>
    <w:rsid w:val="00DE6E4D"/>
    <w:rsid w:val="00DE7498"/>
    <w:rsid w:val="00DE75EF"/>
    <w:rsid w:val="00DE7611"/>
    <w:rsid w:val="00DE7D19"/>
    <w:rsid w:val="00DE7E68"/>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692"/>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03E"/>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C72"/>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AA"/>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8F7"/>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3FA7"/>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38F"/>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4FA8"/>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2BF"/>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914"/>
    <w:rsid w:val="00FF2A7B"/>
    <w:rsid w:val="00FF3D2B"/>
    <w:rsid w:val="00FF49B4"/>
    <w:rsid w:val="00FF49F4"/>
    <w:rsid w:val="00FF5B8D"/>
    <w:rsid w:val="00FF5C6A"/>
    <w:rsid w:val="00FF651D"/>
    <w:rsid w:val="00FF6843"/>
    <w:rsid w:val="00FF6C25"/>
    <w:rsid w:val="00FF77CB"/>
    <w:rsid w:val="010651D9"/>
    <w:rsid w:val="011F6449"/>
    <w:rsid w:val="01236AFB"/>
    <w:rsid w:val="012B64AF"/>
    <w:rsid w:val="014001AC"/>
    <w:rsid w:val="017244EE"/>
    <w:rsid w:val="0196601E"/>
    <w:rsid w:val="019F7441"/>
    <w:rsid w:val="01B37585"/>
    <w:rsid w:val="01D55165"/>
    <w:rsid w:val="01DF6BF8"/>
    <w:rsid w:val="01EC2C57"/>
    <w:rsid w:val="0209347E"/>
    <w:rsid w:val="023C4E17"/>
    <w:rsid w:val="025F0711"/>
    <w:rsid w:val="026B2E25"/>
    <w:rsid w:val="02824D4D"/>
    <w:rsid w:val="02926CA8"/>
    <w:rsid w:val="029E162E"/>
    <w:rsid w:val="02B524D4"/>
    <w:rsid w:val="02DC4B10"/>
    <w:rsid w:val="02DD76CE"/>
    <w:rsid w:val="02F36323"/>
    <w:rsid w:val="02F5619C"/>
    <w:rsid w:val="03004097"/>
    <w:rsid w:val="03057A06"/>
    <w:rsid w:val="0326446A"/>
    <w:rsid w:val="032D5555"/>
    <w:rsid w:val="036634D2"/>
    <w:rsid w:val="03DD35E4"/>
    <w:rsid w:val="03EA08A3"/>
    <w:rsid w:val="03F86B1C"/>
    <w:rsid w:val="04021749"/>
    <w:rsid w:val="04076900"/>
    <w:rsid w:val="041A5A3B"/>
    <w:rsid w:val="042311BA"/>
    <w:rsid w:val="042414F0"/>
    <w:rsid w:val="042B157A"/>
    <w:rsid w:val="047C28C5"/>
    <w:rsid w:val="048F763B"/>
    <w:rsid w:val="049F330E"/>
    <w:rsid w:val="04AA775C"/>
    <w:rsid w:val="04AF1889"/>
    <w:rsid w:val="04C80BE4"/>
    <w:rsid w:val="04D1736D"/>
    <w:rsid w:val="04DD5D12"/>
    <w:rsid w:val="04EA3114"/>
    <w:rsid w:val="04F66F48"/>
    <w:rsid w:val="050414F1"/>
    <w:rsid w:val="05251E14"/>
    <w:rsid w:val="05A16594"/>
    <w:rsid w:val="05A7762D"/>
    <w:rsid w:val="05C80770"/>
    <w:rsid w:val="05F31C91"/>
    <w:rsid w:val="060E5941"/>
    <w:rsid w:val="06110FAF"/>
    <w:rsid w:val="06493CA7"/>
    <w:rsid w:val="065A6178"/>
    <w:rsid w:val="066F1CF3"/>
    <w:rsid w:val="06871610"/>
    <w:rsid w:val="06930BB8"/>
    <w:rsid w:val="06BD229F"/>
    <w:rsid w:val="07245D42"/>
    <w:rsid w:val="07264C62"/>
    <w:rsid w:val="07585B24"/>
    <w:rsid w:val="0779354C"/>
    <w:rsid w:val="07B74F40"/>
    <w:rsid w:val="08061376"/>
    <w:rsid w:val="08387E2F"/>
    <w:rsid w:val="08397703"/>
    <w:rsid w:val="08452D77"/>
    <w:rsid w:val="085F011D"/>
    <w:rsid w:val="086401F8"/>
    <w:rsid w:val="08751CAA"/>
    <w:rsid w:val="087E4C40"/>
    <w:rsid w:val="08A871D0"/>
    <w:rsid w:val="08B1198F"/>
    <w:rsid w:val="08D66AD6"/>
    <w:rsid w:val="08DA33A3"/>
    <w:rsid w:val="08E80F13"/>
    <w:rsid w:val="08E87F44"/>
    <w:rsid w:val="090441B5"/>
    <w:rsid w:val="09151F1E"/>
    <w:rsid w:val="09335624"/>
    <w:rsid w:val="0944690F"/>
    <w:rsid w:val="09535675"/>
    <w:rsid w:val="0955056D"/>
    <w:rsid w:val="095F057D"/>
    <w:rsid w:val="09642282"/>
    <w:rsid w:val="09733572"/>
    <w:rsid w:val="09772C16"/>
    <w:rsid w:val="097C1F9D"/>
    <w:rsid w:val="098353B5"/>
    <w:rsid w:val="09864BCA"/>
    <w:rsid w:val="09A92330"/>
    <w:rsid w:val="09B06B87"/>
    <w:rsid w:val="09C13146"/>
    <w:rsid w:val="09E04166"/>
    <w:rsid w:val="0A1C0718"/>
    <w:rsid w:val="0A3E7710"/>
    <w:rsid w:val="0A4249B6"/>
    <w:rsid w:val="0A481E7F"/>
    <w:rsid w:val="0A5B7E63"/>
    <w:rsid w:val="0A622F41"/>
    <w:rsid w:val="0AA374A5"/>
    <w:rsid w:val="0AAB7649"/>
    <w:rsid w:val="0AB3379D"/>
    <w:rsid w:val="0ABC5606"/>
    <w:rsid w:val="0ABE2142"/>
    <w:rsid w:val="0ACB4F8A"/>
    <w:rsid w:val="0ACF4E8E"/>
    <w:rsid w:val="0ADD081A"/>
    <w:rsid w:val="0AFB3396"/>
    <w:rsid w:val="0B1701D0"/>
    <w:rsid w:val="0B30404E"/>
    <w:rsid w:val="0B4C6C14"/>
    <w:rsid w:val="0B547599"/>
    <w:rsid w:val="0B631A88"/>
    <w:rsid w:val="0B680A2B"/>
    <w:rsid w:val="0B683D45"/>
    <w:rsid w:val="0B73482F"/>
    <w:rsid w:val="0B786794"/>
    <w:rsid w:val="0B7A075E"/>
    <w:rsid w:val="0B7F3F11"/>
    <w:rsid w:val="0B884417"/>
    <w:rsid w:val="0BB51797"/>
    <w:rsid w:val="0BB92F18"/>
    <w:rsid w:val="0BF6188C"/>
    <w:rsid w:val="0BF73C91"/>
    <w:rsid w:val="0BFB4182"/>
    <w:rsid w:val="0C170175"/>
    <w:rsid w:val="0C215C32"/>
    <w:rsid w:val="0C566AD6"/>
    <w:rsid w:val="0C571A41"/>
    <w:rsid w:val="0C5C1171"/>
    <w:rsid w:val="0C5E1CBC"/>
    <w:rsid w:val="0C615B50"/>
    <w:rsid w:val="0C6E02C3"/>
    <w:rsid w:val="0C8445DA"/>
    <w:rsid w:val="0C87121B"/>
    <w:rsid w:val="0CC007F7"/>
    <w:rsid w:val="0CC617AC"/>
    <w:rsid w:val="0CE618DF"/>
    <w:rsid w:val="0CEC11E8"/>
    <w:rsid w:val="0CFE707A"/>
    <w:rsid w:val="0D063BDA"/>
    <w:rsid w:val="0D08375F"/>
    <w:rsid w:val="0D184CFB"/>
    <w:rsid w:val="0D1A2A5B"/>
    <w:rsid w:val="0D3606B5"/>
    <w:rsid w:val="0D3C216F"/>
    <w:rsid w:val="0D4A7419"/>
    <w:rsid w:val="0D51729D"/>
    <w:rsid w:val="0D6945E7"/>
    <w:rsid w:val="0D814026"/>
    <w:rsid w:val="0D827401"/>
    <w:rsid w:val="0D84094E"/>
    <w:rsid w:val="0D854AD0"/>
    <w:rsid w:val="0D8A00E9"/>
    <w:rsid w:val="0D8D589E"/>
    <w:rsid w:val="0DA01C73"/>
    <w:rsid w:val="0DBF4B4E"/>
    <w:rsid w:val="0DD63300"/>
    <w:rsid w:val="0DF50604"/>
    <w:rsid w:val="0DF702FE"/>
    <w:rsid w:val="0E042561"/>
    <w:rsid w:val="0E060E51"/>
    <w:rsid w:val="0E5604B2"/>
    <w:rsid w:val="0E6D5D79"/>
    <w:rsid w:val="0E9D0089"/>
    <w:rsid w:val="0EA474D2"/>
    <w:rsid w:val="0EB803EE"/>
    <w:rsid w:val="0EF94D4B"/>
    <w:rsid w:val="0F334EAC"/>
    <w:rsid w:val="0F4958DC"/>
    <w:rsid w:val="0F515DF7"/>
    <w:rsid w:val="0F5337A0"/>
    <w:rsid w:val="0F596BA8"/>
    <w:rsid w:val="0F6248D2"/>
    <w:rsid w:val="0F693536"/>
    <w:rsid w:val="0F7B0511"/>
    <w:rsid w:val="0F7B76D9"/>
    <w:rsid w:val="0F816ACD"/>
    <w:rsid w:val="0F9832DB"/>
    <w:rsid w:val="0FBF3FD2"/>
    <w:rsid w:val="0FBF7FF3"/>
    <w:rsid w:val="10515BB4"/>
    <w:rsid w:val="10646583"/>
    <w:rsid w:val="107D4B15"/>
    <w:rsid w:val="108A3C80"/>
    <w:rsid w:val="10A1053B"/>
    <w:rsid w:val="10C26171"/>
    <w:rsid w:val="10ED552F"/>
    <w:rsid w:val="10F16DCD"/>
    <w:rsid w:val="10F33360"/>
    <w:rsid w:val="10FC16EA"/>
    <w:rsid w:val="110F1D40"/>
    <w:rsid w:val="112453F4"/>
    <w:rsid w:val="11266F33"/>
    <w:rsid w:val="112E0021"/>
    <w:rsid w:val="11333889"/>
    <w:rsid w:val="115B2DE0"/>
    <w:rsid w:val="118963A1"/>
    <w:rsid w:val="11AC0F46"/>
    <w:rsid w:val="11B04EDA"/>
    <w:rsid w:val="11C10E95"/>
    <w:rsid w:val="11C6522A"/>
    <w:rsid w:val="11D07CF8"/>
    <w:rsid w:val="11E104CC"/>
    <w:rsid w:val="11E20309"/>
    <w:rsid w:val="11EE3704"/>
    <w:rsid w:val="120668A8"/>
    <w:rsid w:val="12137153"/>
    <w:rsid w:val="12244F80"/>
    <w:rsid w:val="12255233"/>
    <w:rsid w:val="12530213"/>
    <w:rsid w:val="125C296C"/>
    <w:rsid w:val="126E15FD"/>
    <w:rsid w:val="127723A9"/>
    <w:rsid w:val="12862074"/>
    <w:rsid w:val="12883966"/>
    <w:rsid w:val="12981521"/>
    <w:rsid w:val="129E45B4"/>
    <w:rsid w:val="12D60970"/>
    <w:rsid w:val="12D81596"/>
    <w:rsid w:val="12D94588"/>
    <w:rsid w:val="13072A44"/>
    <w:rsid w:val="134731EB"/>
    <w:rsid w:val="135F4BE2"/>
    <w:rsid w:val="13854144"/>
    <w:rsid w:val="13871C6A"/>
    <w:rsid w:val="139B1A0A"/>
    <w:rsid w:val="139D25C7"/>
    <w:rsid w:val="13BF3CE4"/>
    <w:rsid w:val="13C77A9D"/>
    <w:rsid w:val="141008D8"/>
    <w:rsid w:val="14125FE6"/>
    <w:rsid w:val="142676D5"/>
    <w:rsid w:val="143D057B"/>
    <w:rsid w:val="146D271E"/>
    <w:rsid w:val="14982588"/>
    <w:rsid w:val="149A5AD9"/>
    <w:rsid w:val="14A7619D"/>
    <w:rsid w:val="14E84D71"/>
    <w:rsid w:val="150536C3"/>
    <w:rsid w:val="150C1963"/>
    <w:rsid w:val="151447A0"/>
    <w:rsid w:val="15455939"/>
    <w:rsid w:val="154A6454"/>
    <w:rsid w:val="15567B46"/>
    <w:rsid w:val="15762120"/>
    <w:rsid w:val="157C0577"/>
    <w:rsid w:val="15A94C07"/>
    <w:rsid w:val="15DE18EA"/>
    <w:rsid w:val="166444E5"/>
    <w:rsid w:val="16A8729C"/>
    <w:rsid w:val="16B33777"/>
    <w:rsid w:val="16B70AB9"/>
    <w:rsid w:val="16BC70A7"/>
    <w:rsid w:val="16C6339E"/>
    <w:rsid w:val="172314DF"/>
    <w:rsid w:val="172577D0"/>
    <w:rsid w:val="172E6D6F"/>
    <w:rsid w:val="172F2D79"/>
    <w:rsid w:val="17557BEF"/>
    <w:rsid w:val="1763479D"/>
    <w:rsid w:val="177E3384"/>
    <w:rsid w:val="17D349C1"/>
    <w:rsid w:val="17D411F6"/>
    <w:rsid w:val="17F378CF"/>
    <w:rsid w:val="18244F26"/>
    <w:rsid w:val="1830729E"/>
    <w:rsid w:val="1852128A"/>
    <w:rsid w:val="1870062C"/>
    <w:rsid w:val="18817102"/>
    <w:rsid w:val="18830A15"/>
    <w:rsid w:val="18852B28"/>
    <w:rsid w:val="188B5321"/>
    <w:rsid w:val="18B740D4"/>
    <w:rsid w:val="18C474BD"/>
    <w:rsid w:val="18C63235"/>
    <w:rsid w:val="18D21BDA"/>
    <w:rsid w:val="19145D4E"/>
    <w:rsid w:val="194303E2"/>
    <w:rsid w:val="19932372"/>
    <w:rsid w:val="19A20DD5"/>
    <w:rsid w:val="19AE03F1"/>
    <w:rsid w:val="1A071A03"/>
    <w:rsid w:val="1A1F16AE"/>
    <w:rsid w:val="1A393593"/>
    <w:rsid w:val="1A3B5C77"/>
    <w:rsid w:val="1A4E34E2"/>
    <w:rsid w:val="1A6B1B55"/>
    <w:rsid w:val="1A983079"/>
    <w:rsid w:val="1A984BAD"/>
    <w:rsid w:val="1AA80E44"/>
    <w:rsid w:val="1AB2058D"/>
    <w:rsid w:val="1AB8220E"/>
    <w:rsid w:val="1AC33415"/>
    <w:rsid w:val="1AD73295"/>
    <w:rsid w:val="1AE4166C"/>
    <w:rsid w:val="1AF06CFB"/>
    <w:rsid w:val="1AF11B8D"/>
    <w:rsid w:val="1B11359C"/>
    <w:rsid w:val="1B293607"/>
    <w:rsid w:val="1B2A271F"/>
    <w:rsid w:val="1B3A75C2"/>
    <w:rsid w:val="1B50328A"/>
    <w:rsid w:val="1B530544"/>
    <w:rsid w:val="1B627A11"/>
    <w:rsid w:val="1B657425"/>
    <w:rsid w:val="1B713184"/>
    <w:rsid w:val="1BA209CF"/>
    <w:rsid w:val="1BB4777D"/>
    <w:rsid w:val="1BD17F27"/>
    <w:rsid w:val="1BD75AB8"/>
    <w:rsid w:val="1C026332"/>
    <w:rsid w:val="1C0459C2"/>
    <w:rsid w:val="1C1B3B4A"/>
    <w:rsid w:val="1C27223D"/>
    <w:rsid w:val="1C88086E"/>
    <w:rsid w:val="1CB44D25"/>
    <w:rsid w:val="1CC21F65"/>
    <w:rsid w:val="1CCB5193"/>
    <w:rsid w:val="1CD6156D"/>
    <w:rsid w:val="1CEB14BC"/>
    <w:rsid w:val="1D0B1216"/>
    <w:rsid w:val="1D266CE1"/>
    <w:rsid w:val="1D3963AF"/>
    <w:rsid w:val="1D6A673C"/>
    <w:rsid w:val="1D864D41"/>
    <w:rsid w:val="1D9247AE"/>
    <w:rsid w:val="1D94745E"/>
    <w:rsid w:val="1D994440"/>
    <w:rsid w:val="1DB567EC"/>
    <w:rsid w:val="1DB7314C"/>
    <w:rsid w:val="1DF51A98"/>
    <w:rsid w:val="1E051CD9"/>
    <w:rsid w:val="1E1E4F79"/>
    <w:rsid w:val="1E3D060F"/>
    <w:rsid w:val="1E3F5F7E"/>
    <w:rsid w:val="1E3F7D2E"/>
    <w:rsid w:val="1E4134E4"/>
    <w:rsid w:val="1E5062B3"/>
    <w:rsid w:val="1E523514"/>
    <w:rsid w:val="1E5B441F"/>
    <w:rsid w:val="1E613613"/>
    <w:rsid w:val="1E696B3C"/>
    <w:rsid w:val="1E714A66"/>
    <w:rsid w:val="1E7554E1"/>
    <w:rsid w:val="1E802593"/>
    <w:rsid w:val="1E8B6156"/>
    <w:rsid w:val="1EA703CC"/>
    <w:rsid w:val="1EB3600A"/>
    <w:rsid w:val="1EB51D82"/>
    <w:rsid w:val="1EB7330C"/>
    <w:rsid w:val="1F0A0FF3"/>
    <w:rsid w:val="1F136AA8"/>
    <w:rsid w:val="1F2760B0"/>
    <w:rsid w:val="1F5771FF"/>
    <w:rsid w:val="1FA24E77"/>
    <w:rsid w:val="1FC16504"/>
    <w:rsid w:val="1FD2426D"/>
    <w:rsid w:val="1FD52574"/>
    <w:rsid w:val="1FDA1374"/>
    <w:rsid w:val="1FE868A9"/>
    <w:rsid w:val="1FF561AE"/>
    <w:rsid w:val="20034907"/>
    <w:rsid w:val="20173E4B"/>
    <w:rsid w:val="20371916"/>
    <w:rsid w:val="204E48BC"/>
    <w:rsid w:val="20564E9E"/>
    <w:rsid w:val="208921B3"/>
    <w:rsid w:val="20973DEB"/>
    <w:rsid w:val="209D487B"/>
    <w:rsid w:val="20B26522"/>
    <w:rsid w:val="20B44310"/>
    <w:rsid w:val="20EE5E79"/>
    <w:rsid w:val="211116EB"/>
    <w:rsid w:val="211146A0"/>
    <w:rsid w:val="21221225"/>
    <w:rsid w:val="213F5A98"/>
    <w:rsid w:val="216133FC"/>
    <w:rsid w:val="217575A6"/>
    <w:rsid w:val="21D56769"/>
    <w:rsid w:val="21E52EF3"/>
    <w:rsid w:val="21FB5D7B"/>
    <w:rsid w:val="22015E94"/>
    <w:rsid w:val="220B1C3D"/>
    <w:rsid w:val="221D1D20"/>
    <w:rsid w:val="221F7512"/>
    <w:rsid w:val="222114DC"/>
    <w:rsid w:val="22334A87"/>
    <w:rsid w:val="225B2C40"/>
    <w:rsid w:val="228C2DF9"/>
    <w:rsid w:val="22BE6801"/>
    <w:rsid w:val="22C6598A"/>
    <w:rsid w:val="22D636B5"/>
    <w:rsid w:val="22F83FEB"/>
    <w:rsid w:val="23085827"/>
    <w:rsid w:val="23337719"/>
    <w:rsid w:val="233500BF"/>
    <w:rsid w:val="23377FF7"/>
    <w:rsid w:val="236B425F"/>
    <w:rsid w:val="237F64BA"/>
    <w:rsid w:val="23836192"/>
    <w:rsid w:val="23901F29"/>
    <w:rsid w:val="23963804"/>
    <w:rsid w:val="239C0061"/>
    <w:rsid w:val="23B908A4"/>
    <w:rsid w:val="23C10881"/>
    <w:rsid w:val="23E12CD1"/>
    <w:rsid w:val="23E95BEF"/>
    <w:rsid w:val="23FD0064"/>
    <w:rsid w:val="245375B0"/>
    <w:rsid w:val="24642C0A"/>
    <w:rsid w:val="24AC1531"/>
    <w:rsid w:val="24B22173"/>
    <w:rsid w:val="24B95AD9"/>
    <w:rsid w:val="24BE24DA"/>
    <w:rsid w:val="24CF5825"/>
    <w:rsid w:val="24D663E6"/>
    <w:rsid w:val="24D77F2B"/>
    <w:rsid w:val="25152081"/>
    <w:rsid w:val="258B00E2"/>
    <w:rsid w:val="258C3110"/>
    <w:rsid w:val="25A42208"/>
    <w:rsid w:val="25A917A6"/>
    <w:rsid w:val="25BE27CC"/>
    <w:rsid w:val="25CC175F"/>
    <w:rsid w:val="25F74A5C"/>
    <w:rsid w:val="2628662C"/>
    <w:rsid w:val="262D45DE"/>
    <w:rsid w:val="265359DC"/>
    <w:rsid w:val="26663631"/>
    <w:rsid w:val="26795443"/>
    <w:rsid w:val="26871DC8"/>
    <w:rsid w:val="26A53EF9"/>
    <w:rsid w:val="26A94201"/>
    <w:rsid w:val="26AC274F"/>
    <w:rsid w:val="26E51CC1"/>
    <w:rsid w:val="26E72CF4"/>
    <w:rsid w:val="26EA4592"/>
    <w:rsid w:val="27044A29"/>
    <w:rsid w:val="271D34C8"/>
    <w:rsid w:val="275D6B12"/>
    <w:rsid w:val="276142BF"/>
    <w:rsid w:val="27716A62"/>
    <w:rsid w:val="27783712"/>
    <w:rsid w:val="277D0F63"/>
    <w:rsid w:val="277F117F"/>
    <w:rsid w:val="277F6D26"/>
    <w:rsid w:val="27907362"/>
    <w:rsid w:val="27943CB9"/>
    <w:rsid w:val="27A75FE0"/>
    <w:rsid w:val="27DB4917"/>
    <w:rsid w:val="280276BA"/>
    <w:rsid w:val="28095EC6"/>
    <w:rsid w:val="28333E1D"/>
    <w:rsid w:val="28441A80"/>
    <w:rsid w:val="28454BD6"/>
    <w:rsid w:val="28455253"/>
    <w:rsid w:val="28551971"/>
    <w:rsid w:val="285B1C53"/>
    <w:rsid w:val="287B331E"/>
    <w:rsid w:val="289F7086"/>
    <w:rsid w:val="28A92C5A"/>
    <w:rsid w:val="28B210E0"/>
    <w:rsid w:val="28C32028"/>
    <w:rsid w:val="28CC490F"/>
    <w:rsid w:val="28DE40AA"/>
    <w:rsid w:val="29015BC3"/>
    <w:rsid w:val="29121C13"/>
    <w:rsid w:val="29345E77"/>
    <w:rsid w:val="294C65AD"/>
    <w:rsid w:val="296028EA"/>
    <w:rsid w:val="296F5223"/>
    <w:rsid w:val="297A7E50"/>
    <w:rsid w:val="29806583"/>
    <w:rsid w:val="298B3C4C"/>
    <w:rsid w:val="2998358C"/>
    <w:rsid w:val="29A30A29"/>
    <w:rsid w:val="29A529E1"/>
    <w:rsid w:val="29D62BAC"/>
    <w:rsid w:val="29F26D24"/>
    <w:rsid w:val="2A15033F"/>
    <w:rsid w:val="2A1662C1"/>
    <w:rsid w:val="2A1C7367"/>
    <w:rsid w:val="2A2815FA"/>
    <w:rsid w:val="2A481CFC"/>
    <w:rsid w:val="2A6D6092"/>
    <w:rsid w:val="2A7D76B4"/>
    <w:rsid w:val="2AC3062E"/>
    <w:rsid w:val="2AD569F4"/>
    <w:rsid w:val="2ADC41F2"/>
    <w:rsid w:val="2B41674B"/>
    <w:rsid w:val="2B437463"/>
    <w:rsid w:val="2B5C52F1"/>
    <w:rsid w:val="2B715282"/>
    <w:rsid w:val="2B7807EE"/>
    <w:rsid w:val="2BA50BF7"/>
    <w:rsid w:val="2BA74800"/>
    <w:rsid w:val="2BBF00EC"/>
    <w:rsid w:val="2BC37CFD"/>
    <w:rsid w:val="2BD5237F"/>
    <w:rsid w:val="2BE536CE"/>
    <w:rsid w:val="2BE758D9"/>
    <w:rsid w:val="2BF346BB"/>
    <w:rsid w:val="2C09049E"/>
    <w:rsid w:val="2C0A653C"/>
    <w:rsid w:val="2C1808F3"/>
    <w:rsid w:val="2C191F85"/>
    <w:rsid w:val="2C6C326E"/>
    <w:rsid w:val="2CBA67B5"/>
    <w:rsid w:val="2CE20AB0"/>
    <w:rsid w:val="2CE82D6F"/>
    <w:rsid w:val="2D2E3D57"/>
    <w:rsid w:val="2D3227EF"/>
    <w:rsid w:val="2D343236"/>
    <w:rsid w:val="2D38455E"/>
    <w:rsid w:val="2D482013"/>
    <w:rsid w:val="2D575011"/>
    <w:rsid w:val="2D595FCE"/>
    <w:rsid w:val="2D742E08"/>
    <w:rsid w:val="2D784137"/>
    <w:rsid w:val="2D9D0D44"/>
    <w:rsid w:val="2DD15014"/>
    <w:rsid w:val="2DF72DE4"/>
    <w:rsid w:val="2E0220AF"/>
    <w:rsid w:val="2E073C7C"/>
    <w:rsid w:val="2E24584D"/>
    <w:rsid w:val="2E4B082A"/>
    <w:rsid w:val="2E59653C"/>
    <w:rsid w:val="2E5D384B"/>
    <w:rsid w:val="2E5D4E86"/>
    <w:rsid w:val="2E5D790B"/>
    <w:rsid w:val="2E70537D"/>
    <w:rsid w:val="2E9A3C18"/>
    <w:rsid w:val="2EBB0FEE"/>
    <w:rsid w:val="2EBD433B"/>
    <w:rsid w:val="2EC63002"/>
    <w:rsid w:val="2EC90F31"/>
    <w:rsid w:val="2EFF31F5"/>
    <w:rsid w:val="2F0A6B38"/>
    <w:rsid w:val="2F117B80"/>
    <w:rsid w:val="2F25085E"/>
    <w:rsid w:val="2F391C13"/>
    <w:rsid w:val="2F946CCB"/>
    <w:rsid w:val="2F9777BD"/>
    <w:rsid w:val="2FD25781"/>
    <w:rsid w:val="2FDC745C"/>
    <w:rsid w:val="2FEF2C1A"/>
    <w:rsid w:val="2FFD7934"/>
    <w:rsid w:val="300246FB"/>
    <w:rsid w:val="3049169C"/>
    <w:rsid w:val="30733ACD"/>
    <w:rsid w:val="30744ECD"/>
    <w:rsid w:val="30815E6E"/>
    <w:rsid w:val="30872E52"/>
    <w:rsid w:val="308C3862"/>
    <w:rsid w:val="309379D8"/>
    <w:rsid w:val="30A270F7"/>
    <w:rsid w:val="30A27C8C"/>
    <w:rsid w:val="30BD4AC6"/>
    <w:rsid w:val="30C76F1C"/>
    <w:rsid w:val="30DF1478"/>
    <w:rsid w:val="30EC586F"/>
    <w:rsid w:val="310B75DF"/>
    <w:rsid w:val="31464ABB"/>
    <w:rsid w:val="319843A6"/>
    <w:rsid w:val="319C6071"/>
    <w:rsid w:val="31AC537E"/>
    <w:rsid w:val="31E3679B"/>
    <w:rsid w:val="31E732FD"/>
    <w:rsid w:val="31EC7411"/>
    <w:rsid w:val="322F72FD"/>
    <w:rsid w:val="32382913"/>
    <w:rsid w:val="32517576"/>
    <w:rsid w:val="32951856"/>
    <w:rsid w:val="32BE5C2C"/>
    <w:rsid w:val="32C71C2C"/>
    <w:rsid w:val="32F56799"/>
    <w:rsid w:val="32FB6478"/>
    <w:rsid w:val="33263B3F"/>
    <w:rsid w:val="33264BA4"/>
    <w:rsid w:val="332D4ED8"/>
    <w:rsid w:val="333A0650"/>
    <w:rsid w:val="33552D94"/>
    <w:rsid w:val="336963EB"/>
    <w:rsid w:val="33816EEB"/>
    <w:rsid w:val="338B0EAB"/>
    <w:rsid w:val="33A651CD"/>
    <w:rsid w:val="33D75E9F"/>
    <w:rsid w:val="33EB55CD"/>
    <w:rsid w:val="33EC4C02"/>
    <w:rsid w:val="340D2360"/>
    <w:rsid w:val="3410665D"/>
    <w:rsid w:val="341B5D8B"/>
    <w:rsid w:val="34211214"/>
    <w:rsid w:val="342E63AB"/>
    <w:rsid w:val="34950E68"/>
    <w:rsid w:val="34986E94"/>
    <w:rsid w:val="349F1C41"/>
    <w:rsid w:val="34AF62C9"/>
    <w:rsid w:val="34C603ED"/>
    <w:rsid w:val="34CB4388"/>
    <w:rsid w:val="34D81ECE"/>
    <w:rsid w:val="34DB376C"/>
    <w:rsid w:val="34FA6E12"/>
    <w:rsid w:val="35020CF9"/>
    <w:rsid w:val="35134CB4"/>
    <w:rsid w:val="35431A3E"/>
    <w:rsid w:val="354D7158"/>
    <w:rsid w:val="35661C7A"/>
    <w:rsid w:val="356B689E"/>
    <w:rsid w:val="35727C2D"/>
    <w:rsid w:val="357D697B"/>
    <w:rsid w:val="358D5588"/>
    <w:rsid w:val="35A149B6"/>
    <w:rsid w:val="35E328D9"/>
    <w:rsid w:val="35FA5E74"/>
    <w:rsid w:val="361A2073"/>
    <w:rsid w:val="363A3B40"/>
    <w:rsid w:val="365302AE"/>
    <w:rsid w:val="36556DBA"/>
    <w:rsid w:val="36607A0A"/>
    <w:rsid w:val="366E227C"/>
    <w:rsid w:val="366F2E0D"/>
    <w:rsid w:val="367B6A5C"/>
    <w:rsid w:val="36A74ADA"/>
    <w:rsid w:val="36AD60D5"/>
    <w:rsid w:val="36B224F9"/>
    <w:rsid w:val="36EC0CC9"/>
    <w:rsid w:val="36EC1C61"/>
    <w:rsid w:val="37202102"/>
    <w:rsid w:val="373F410B"/>
    <w:rsid w:val="3744384B"/>
    <w:rsid w:val="377A54BF"/>
    <w:rsid w:val="379E11AD"/>
    <w:rsid w:val="37EE7094"/>
    <w:rsid w:val="381476C1"/>
    <w:rsid w:val="381B27FE"/>
    <w:rsid w:val="382471D8"/>
    <w:rsid w:val="38296C89"/>
    <w:rsid w:val="383002EB"/>
    <w:rsid w:val="3836588A"/>
    <w:rsid w:val="38586797"/>
    <w:rsid w:val="385D15DF"/>
    <w:rsid w:val="38710670"/>
    <w:rsid w:val="38923CC7"/>
    <w:rsid w:val="38BC0149"/>
    <w:rsid w:val="38D84877"/>
    <w:rsid w:val="38D87D1C"/>
    <w:rsid w:val="391F00CC"/>
    <w:rsid w:val="39636459"/>
    <w:rsid w:val="396661BD"/>
    <w:rsid w:val="396B7F6C"/>
    <w:rsid w:val="39AE31FE"/>
    <w:rsid w:val="39B417A9"/>
    <w:rsid w:val="39B4306C"/>
    <w:rsid w:val="39F72DF7"/>
    <w:rsid w:val="39FC5695"/>
    <w:rsid w:val="3A006D8E"/>
    <w:rsid w:val="3A3651E5"/>
    <w:rsid w:val="3A6B7341"/>
    <w:rsid w:val="3A744481"/>
    <w:rsid w:val="3A8C7BEF"/>
    <w:rsid w:val="3A906246"/>
    <w:rsid w:val="3AF47336"/>
    <w:rsid w:val="3B0357CB"/>
    <w:rsid w:val="3B057795"/>
    <w:rsid w:val="3B181276"/>
    <w:rsid w:val="3B2349B7"/>
    <w:rsid w:val="3B616CFF"/>
    <w:rsid w:val="3B6259F6"/>
    <w:rsid w:val="3B976654"/>
    <w:rsid w:val="3BC01EFC"/>
    <w:rsid w:val="3BCA786A"/>
    <w:rsid w:val="3BD31E2F"/>
    <w:rsid w:val="3BEE647B"/>
    <w:rsid w:val="3BF07AFD"/>
    <w:rsid w:val="3BF15831"/>
    <w:rsid w:val="3C105946"/>
    <w:rsid w:val="3C4147FD"/>
    <w:rsid w:val="3C471448"/>
    <w:rsid w:val="3C4816E7"/>
    <w:rsid w:val="3C5F759A"/>
    <w:rsid w:val="3C6C525A"/>
    <w:rsid w:val="3C954311"/>
    <w:rsid w:val="3CA1704A"/>
    <w:rsid w:val="3CC64D02"/>
    <w:rsid w:val="3CCE23CB"/>
    <w:rsid w:val="3CD17D17"/>
    <w:rsid w:val="3D031AB2"/>
    <w:rsid w:val="3D31661F"/>
    <w:rsid w:val="3D3C7F39"/>
    <w:rsid w:val="3D3D4FC4"/>
    <w:rsid w:val="3D437A58"/>
    <w:rsid w:val="3D440F09"/>
    <w:rsid w:val="3D4504A0"/>
    <w:rsid w:val="3D8734BB"/>
    <w:rsid w:val="3D9A11D4"/>
    <w:rsid w:val="3D9B1CEB"/>
    <w:rsid w:val="3D9C0DE2"/>
    <w:rsid w:val="3DA16D89"/>
    <w:rsid w:val="3DA364BE"/>
    <w:rsid w:val="3DBB6999"/>
    <w:rsid w:val="3DCE20C0"/>
    <w:rsid w:val="3DD1570D"/>
    <w:rsid w:val="3DE041CB"/>
    <w:rsid w:val="3E0D48F6"/>
    <w:rsid w:val="3E1868B4"/>
    <w:rsid w:val="3E377251"/>
    <w:rsid w:val="3E42664B"/>
    <w:rsid w:val="3E59580C"/>
    <w:rsid w:val="3E5A7334"/>
    <w:rsid w:val="3E7B5D6B"/>
    <w:rsid w:val="3E843E66"/>
    <w:rsid w:val="3E8D5AD7"/>
    <w:rsid w:val="3E8F51FE"/>
    <w:rsid w:val="3E926F87"/>
    <w:rsid w:val="3E9A59DE"/>
    <w:rsid w:val="3EAF4836"/>
    <w:rsid w:val="3EC33DFA"/>
    <w:rsid w:val="3F060E16"/>
    <w:rsid w:val="3F161E6C"/>
    <w:rsid w:val="3F1D1096"/>
    <w:rsid w:val="3F2F0234"/>
    <w:rsid w:val="3F2F4DE1"/>
    <w:rsid w:val="3F3917BB"/>
    <w:rsid w:val="3F6363FE"/>
    <w:rsid w:val="3F6C7DE3"/>
    <w:rsid w:val="3F756B8F"/>
    <w:rsid w:val="3F95482B"/>
    <w:rsid w:val="4019356B"/>
    <w:rsid w:val="401D732F"/>
    <w:rsid w:val="40267F92"/>
    <w:rsid w:val="40592157"/>
    <w:rsid w:val="40616830"/>
    <w:rsid w:val="406E1CAE"/>
    <w:rsid w:val="407A02DD"/>
    <w:rsid w:val="408C0409"/>
    <w:rsid w:val="408E3D89"/>
    <w:rsid w:val="40A0133A"/>
    <w:rsid w:val="40C31A53"/>
    <w:rsid w:val="40FF545D"/>
    <w:rsid w:val="410067C8"/>
    <w:rsid w:val="413C37E5"/>
    <w:rsid w:val="413E755D"/>
    <w:rsid w:val="41670862"/>
    <w:rsid w:val="418F0D2A"/>
    <w:rsid w:val="41A33A6C"/>
    <w:rsid w:val="41AC2719"/>
    <w:rsid w:val="41BE41FA"/>
    <w:rsid w:val="41D01505"/>
    <w:rsid w:val="421309EA"/>
    <w:rsid w:val="42154762"/>
    <w:rsid w:val="423A41C8"/>
    <w:rsid w:val="42440BA3"/>
    <w:rsid w:val="42474939"/>
    <w:rsid w:val="424C3C57"/>
    <w:rsid w:val="425132C0"/>
    <w:rsid w:val="425269DD"/>
    <w:rsid w:val="42597448"/>
    <w:rsid w:val="425D7EB7"/>
    <w:rsid w:val="42613FF3"/>
    <w:rsid w:val="4262727B"/>
    <w:rsid w:val="42660D96"/>
    <w:rsid w:val="428667D2"/>
    <w:rsid w:val="42890CAC"/>
    <w:rsid w:val="42C16BEA"/>
    <w:rsid w:val="42CD1CE0"/>
    <w:rsid w:val="42E1381E"/>
    <w:rsid w:val="42ED6459"/>
    <w:rsid w:val="42FE58DD"/>
    <w:rsid w:val="43174B3D"/>
    <w:rsid w:val="43342EA7"/>
    <w:rsid w:val="434B790E"/>
    <w:rsid w:val="435E3EE6"/>
    <w:rsid w:val="4360274F"/>
    <w:rsid w:val="43790D20"/>
    <w:rsid w:val="43977AB6"/>
    <w:rsid w:val="43A3342B"/>
    <w:rsid w:val="43A517C0"/>
    <w:rsid w:val="43B65AD0"/>
    <w:rsid w:val="43BD6E5F"/>
    <w:rsid w:val="43C77C27"/>
    <w:rsid w:val="43DE09EE"/>
    <w:rsid w:val="44002FAD"/>
    <w:rsid w:val="4407632C"/>
    <w:rsid w:val="441427F7"/>
    <w:rsid w:val="449101DD"/>
    <w:rsid w:val="44BA6EFA"/>
    <w:rsid w:val="44C164DB"/>
    <w:rsid w:val="44DE1391"/>
    <w:rsid w:val="44E610C4"/>
    <w:rsid w:val="45050ABD"/>
    <w:rsid w:val="451B225C"/>
    <w:rsid w:val="45237196"/>
    <w:rsid w:val="452410C9"/>
    <w:rsid w:val="45317DFB"/>
    <w:rsid w:val="456D3CE4"/>
    <w:rsid w:val="4579042C"/>
    <w:rsid w:val="457F0571"/>
    <w:rsid w:val="45851176"/>
    <w:rsid w:val="45B002FD"/>
    <w:rsid w:val="45C63B94"/>
    <w:rsid w:val="45CD5475"/>
    <w:rsid w:val="460E7DA5"/>
    <w:rsid w:val="46422483"/>
    <w:rsid w:val="4659254A"/>
    <w:rsid w:val="465B0637"/>
    <w:rsid w:val="465E3F0D"/>
    <w:rsid w:val="466A16E6"/>
    <w:rsid w:val="46893F2B"/>
    <w:rsid w:val="469F65B5"/>
    <w:rsid w:val="46AE6F33"/>
    <w:rsid w:val="46C4686E"/>
    <w:rsid w:val="477115AC"/>
    <w:rsid w:val="477B778F"/>
    <w:rsid w:val="478203EC"/>
    <w:rsid w:val="47B025FA"/>
    <w:rsid w:val="47C6285E"/>
    <w:rsid w:val="48082673"/>
    <w:rsid w:val="4809698F"/>
    <w:rsid w:val="4811697D"/>
    <w:rsid w:val="48180B08"/>
    <w:rsid w:val="48561630"/>
    <w:rsid w:val="486024AF"/>
    <w:rsid w:val="487A3E25"/>
    <w:rsid w:val="48802209"/>
    <w:rsid w:val="488B5503"/>
    <w:rsid w:val="48937E21"/>
    <w:rsid w:val="489A0361"/>
    <w:rsid w:val="48A979B2"/>
    <w:rsid w:val="48B94FF3"/>
    <w:rsid w:val="48E37AAB"/>
    <w:rsid w:val="48FD4B4C"/>
    <w:rsid w:val="490A68E0"/>
    <w:rsid w:val="491055FE"/>
    <w:rsid w:val="491312CF"/>
    <w:rsid w:val="49282FCC"/>
    <w:rsid w:val="493354CD"/>
    <w:rsid w:val="49583186"/>
    <w:rsid w:val="495F5B3E"/>
    <w:rsid w:val="496D4E83"/>
    <w:rsid w:val="496F77D7"/>
    <w:rsid w:val="497654FD"/>
    <w:rsid w:val="49A32653"/>
    <w:rsid w:val="49B64211"/>
    <w:rsid w:val="49F6167F"/>
    <w:rsid w:val="4A064FA0"/>
    <w:rsid w:val="4A0F1A96"/>
    <w:rsid w:val="4A16615C"/>
    <w:rsid w:val="4A2512BA"/>
    <w:rsid w:val="4A253068"/>
    <w:rsid w:val="4A4424D7"/>
    <w:rsid w:val="4A843426"/>
    <w:rsid w:val="4AA523FB"/>
    <w:rsid w:val="4AB82D0F"/>
    <w:rsid w:val="4AC32699"/>
    <w:rsid w:val="4AEB7664"/>
    <w:rsid w:val="4AF15640"/>
    <w:rsid w:val="4AFD7C19"/>
    <w:rsid w:val="4B0435C5"/>
    <w:rsid w:val="4B0567D1"/>
    <w:rsid w:val="4B236AAE"/>
    <w:rsid w:val="4B4D6D1A"/>
    <w:rsid w:val="4B6B3C5B"/>
    <w:rsid w:val="4B707271"/>
    <w:rsid w:val="4B9739F7"/>
    <w:rsid w:val="4BCF3BD3"/>
    <w:rsid w:val="4BE8259F"/>
    <w:rsid w:val="4BE87A96"/>
    <w:rsid w:val="4BEE2503"/>
    <w:rsid w:val="4C15710C"/>
    <w:rsid w:val="4C245A30"/>
    <w:rsid w:val="4C6955E9"/>
    <w:rsid w:val="4CB635FA"/>
    <w:rsid w:val="4CB6685F"/>
    <w:rsid w:val="4CC34DBA"/>
    <w:rsid w:val="4CC367FE"/>
    <w:rsid w:val="4CCB6D0D"/>
    <w:rsid w:val="4D077F3C"/>
    <w:rsid w:val="4D123355"/>
    <w:rsid w:val="4D2A3B31"/>
    <w:rsid w:val="4D312C52"/>
    <w:rsid w:val="4D3C191B"/>
    <w:rsid w:val="4D3F6B37"/>
    <w:rsid w:val="4D905305"/>
    <w:rsid w:val="4D964A72"/>
    <w:rsid w:val="4D9C1254"/>
    <w:rsid w:val="4DB03590"/>
    <w:rsid w:val="4DBF37D4"/>
    <w:rsid w:val="4DE81DE4"/>
    <w:rsid w:val="4DE86773"/>
    <w:rsid w:val="4DEE3611"/>
    <w:rsid w:val="4E5263F6"/>
    <w:rsid w:val="4E6335B2"/>
    <w:rsid w:val="4E740A62"/>
    <w:rsid w:val="4E793892"/>
    <w:rsid w:val="4E800872"/>
    <w:rsid w:val="4EC569ED"/>
    <w:rsid w:val="4ECC264C"/>
    <w:rsid w:val="4ED50EA1"/>
    <w:rsid w:val="4EE03A01"/>
    <w:rsid w:val="4EEC050C"/>
    <w:rsid w:val="4F104EC3"/>
    <w:rsid w:val="4F47354A"/>
    <w:rsid w:val="4F5B752C"/>
    <w:rsid w:val="4F8D1C8E"/>
    <w:rsid w:val="4F911C54"/>
    <w:rsid w:val="4FC57DDB"/>
    <w:rsid w:val="4FE625E0"/>
    <w:rsid w:val="5021480F"/>
    <w:rsid w:val="50384642"/>
    <w:rsid w:val="5055041F"/>
    <w:rsid w:val="5064466C"/>
    <w:rsid w:val="50962ECB"/>
    <w:rsid w:val="50A42E38"/>
    <w:rsid w:val="50A4577F"/>
    <w:rsid w:val="50B73D1F"/>
    <w:rsid w:val="50BD5BC9"/>
    <w:rsid w:val="50C11EEE"/>
    <w:rsid w:val="50D21A70"/>
    <w:rsid w:val="50E97CFC"/>
    <w:rsid w:val="50FA4028"/>
    <w:rsid w:val="510D65B7"/>
    <w:rsid w:val="511157AB"/>
    <w:rsid w:val="513242BC"/>
    <w:rsid w:val="5142540C"/>
    <w:rsid w:val="518832C8"/>
    <w:rsid w:val="519D3C50"/>
    <w:rsid w:val="51A0432A"/>
    <w:rsid w:val="51A86090"/>
    <w:rsid w:val="51B7396D"/>
    <w:rsid w:val="51C13FBE"/>
    <w:rsid w:val="51E41A5B"/>
    <w:rsid w:val="522E4CC3"/>
    <w:rsid w:val="52412A09"/>
    <w:rsid w:val="5244713B"/>
    <w:rsid w:val="52615633"/>
    <w:rsid w:val="52636E23"/>
    <w:rsid w:val="526A01B2"/>
    <w:rsid w:val="526F4DE4"/>
    <w:rsid w:val="528A6A50"/>
    <w:rsid w:val="52977FD4"/>
    <w:rsid w:val="52A25790"/>
    <w:rsid w:val="52A96B6F"/>
    <w:rsid w:val="52B45975"/>
    <w:rsid w:val="52D94AA4"/>
    <w:rsid w:val="52EA3A62"/>
    <w:rsid w:val="52F50BB8"/>
    <w:rsid w:val="53097272"/>
    <w:rsid w:val="530C3017"/>
    <w:rsid w:val="53544462"/>
    <w:rsid w:val="53622BB2"/>
    <w:rsid w:val="537B019D"/>
    <w:rsid w:val="53937294"/>
    <w:rsid w:val="5397158E"/>
    <w:rsid w:val="54013861"/>
    <w:rsid w:val="54487265"/>
    <w:rsid w:val="544D6070"/>
    <w:rsid w:val="54605E1E"/>
    <w:rsid w:val="546B6463"/>
    <w:rsid w:val="54B3506A"/>
    <w:rsid w:val="54CA0D16"/>
    <w:rsid w:val="54DD4057"/>
    <w:rsid w:val="54E7490F"/>
    <w:rsid w:val="550764A4"/>
    <w:rsid w:val="550B2BF6"/>
    <w:rsid w:val="55214EB5"/>
    <w:rsid w:val="55364EFD"/>
    <w:rsid w:val="555D4828"/>
    <w:rsid w:val="55630EE8"/>
    <w:rsid w:val="556F3D31"/>
    <w:rsid w:val="557A4C8B"/>
    <w:rsid w:val="558931E1"/>
    <w:rsid w:val="55923347"/>
    <w:rsid w:val="55925180"/>
    <w:rsid w:val="55983B1B"/>
    <w:rsid w:val="55A8376B"/>
    <w:rsid w:val="55DC29B6"/>
    <w:rsid w:val="55DD4241"/>
    <w:rsid w:val="56073F6A"/>
    <w:rsid w:val="562D35B9"/>
    <w:rsid w:val="5647080A"/>
    <w:rsid w:val="56471638"/>
    <w:rsid w:val="565D002E"/>
    <w:rsid w:val="566B6D1E"/>
    <w:rsid w:val="56A63783"/>
    <w:rsid w:val="56E542AB"/>
    <w:rsid w:val="57032A2C"/>
    <w:rsid w:val="570F5219"/>
    <w:rsid w:val="571C3A45"/>
    <w:rsid w:val="575D12B5"/>
    <w:rsid w:val="57610A87"/>
    <w:rsid w:val="577B1140"/>
    <w:rsid w:val="577B7F21"/>
    <w:rsid w:val="577E200A"/>
    <w:rsid w:val="577F181B"/>
    <w:rsid w:val="57921984"/>
    <w:rsid w:val="579737F0"/>
    <w:rsid w:val="57996E43"/>
    <w:rsid w:val="57AB7B30"/>
    <w:rsid w:val="57AF5251"/>
    <w:rsid w:val="57B26373"/>
    <w:rsid w:val="57B63F04"/>
    <w:rsid w:val="57CD20C2"/>
    <w:rsid w:val="57D675AB"/>
    <w:rsid w:val="57D73717"/>
    <w:rsid w:val="57D95FDD"/>
    <w:rsid w:val="57E24C8E"/>
    <w:rsid w:val="58060CBC"/>
    <w:rsid w:val="587C29ED"/>
    <w:rsid w:val="58917D2F"/>
    <w:rsid w:val="5894085C"/>
    <w:rsid w:val="58AE4F0C"/>
    <w:rsid w:val="58B85899"/>
    <w:rsid w:val="58DC16DE"/>
    <w:rsid w:val="58E363A9"/>
    <w:rsid w:val="59166304"/>
    <w:rsid w:val="5934151A"/>
    <w:rsid w:val="595E1678"/>
    <w:rsid w:val="596D5BD4"/>
    <w:rsid w:val="597E3DD8"/>
    <w:rsid w:val="59B44408"/>
    <w:rsid w:val="59E06FAB"/>
    <w:rsid w:val="59F80043"/>
    <w:rsid w:val="5A0019E1"/>
    <w:rsid w:val="5A09252F"/>
    <w:rsid w:val="5A0B2778"/>
    <w:rsid w:val="5A2A7C7B"/>
    <w:rsid w:val="5A2F12D9"/>
    <w:rsid w:val="5A3E2560"/>
    <w:rsid w:val="5A5D3B6E"/>
    <w:rsid w:val="5A637A76"/>
    <w:rsid w:val="5A6D33BA"/>
    <w:rsid w:val="5A792B1F"/>
    <w:rsid w:val="5A874767"/>
    <w:rsid w:val="5A985AD8"/>
    <w:rsid w:val="5AA17199"/>
    <w:rsid w:val="5AA85BE2"/>
    <w:rsid w:val="5AAD6F28"/>
    <w:rsid w:val="5AD63A24"/>
    <w:rsid w:val="5B2E1A1D"/>
    <w:rsid w:val="5B370E4D"/>
    <w:rsid w:val="5B490B80"/>
    <w:rsid w:val="5B70435F"/>
    <w:rsid w:val="5B843A1C"/>
    <w:rsid w:val="5B857E0A"/>
    <w:rsid w:val="5B873E3F"/>
    <w:rsid w:val="5B8F0C89"/>
    <w:rsid w:val="5B977B3E"/>
    <w:rsid w:val="5BD3501A"/>
    <w:rsid w:val="5BD50871"/>
    <w:rsid w:val="5BEC7E8A"/>
    <w:rsid w:val="5BF84A80"/>
    <w:rsid w:val="5C02690E"/>
    <w:rsid w:val="5C142F3C"/>
    <w:rsid w:val="5C196DA7"/>
    <w:rsid w:val="5C2A048C"/>
    <w:rsid w:val="5C451348"/>
    <w:rsid w:val="5C80234E"/>
    <w:rsid w:val="5C8A680C"/>
    <w:rsid w:val="5C934E5F"/>
    <w:rsid w:val="5C9B540C"/>
    <w:rsid w:val="5CA3101C"/>
    <w:rsid w:val="5CE62B2B"/>
    <w:rsid w:val="5CEE378D"/>
    <w:rsid w:val="5CEE7C31"/>
    <w:rsid w:val="5D0C4701"/>
    <w:rsid w:val="5D0E453B"/>
    <w:rsid w:val="5D0F0395"/>
    <w:rsid w:val="5D221076"/>
    <w:rsid w:val="5D397964"/>
    <w:rsid w:val="5D4E4AC8"/>
    <w:rsid w:val="5D5A391C"/>
    <w:rsid w:val="5D5F10C0"/>
    <w:rsid w:val="5D891B7B"/>
    <w:rsid w:val="5D8F31C2"/>
    <w:rsid w:val="5DAD38EE"/>
    <w:rsid w:val="5DBE9A2C"/>
    <w:rsid w:val="5DEA664B"/>
    <w:rsid w:val="5DFC2E44"/>
    <w:rsid w:val="5E006862"/>
    <w:rsid w:val="5E0207B9"/>
    <w:rsid w:val="5E1834A1"/>
    <w:rsid w:val="5E261785"/>
    <w:rsid w:val="5E437B09"/>
    <w:rsid w:val="5E4A7017"/>
    <w:rsid w:val="5E552BBA"/>
    <w:rsid w:val="5E611C10"/>
    <w:rsid w:val="5E735D70"/>
    <w:rsid w:val="5E7A0F3F"/>
    <w:rsid w:val="5E8343A9"/>
    <w:rsid w:val="5EA52572"/>
    <w:rsid w:val="5EBB5AE0"/>
    <w:rsid w:val="5ECC3FA2"/>
    <w:rsid w:val="5EFC7377"/>
    <w:rsid w:val="5EFF6126"/>
    <w:rsid w:val="5F06174D"/>
    <w:rsid w:val="5F29112D"/>
    <w:rsid w:val="5F3A3602"/>
    <w:rsid w:val="5F3C2ED6"/>
    <w:rsid w:val="5F3F9AF8"/>
    <w:rsid w:val="5F45733B"/>
    <w:rsid w:val="5F6277C6"/>
    <w:rsid w:val="5F6D0B1D"/>
    <w:rsid w:val="5F8D0B82"/>
    <w:rsid w:val="5FCC5339"/>
    <w:rsid w:val="5FE34A5B"/>
    <w:rsid w:val="5FFE1E36"/>
    <w:rsid w:val="60232584"/>
    <w:rsid w:val="60402552"/>
    <w:rsid w:val="607330CE"/>
    <w:rsid w:val="60825176"/>
    <w:rsid w:val="6098238E"/>
    <w:rsid w:val="609F2AC4"/>
    <w:rsid w:val="60E02DF6"/>
    <w:rsid w:val="60F87811"/>
    <w:rsid w:val="60FA2EE8"/>
    <w:rsid w:val="610538E1"/>
    <w:rsid w:val="61054A27"/>
    <w:rsid w:val="610A52BC"/>
    <w:rsid w:val="611D2366"/>
    <w:rsid w:val="613D2F35"/>
    <w:rsid w:val="61421856"/>
    <w:rsid w:val="615227C4"/>
    <w:rsid w:val="61654E3F"/>
    <w:rsid w:val="616D55C9"/>
    <w:rsid w:val="61783F6D"/>
    <w:rsid w:val="6182292A"/>
    <w:rsid w:val="619F7F92"/>
    <w:rsid w:val="61BC3E5A"/>
    <w:rsid w:val="61F94C26"/>
    <w:rsid w:val="62000E56"/>
    <w:rsid w:val="620121B5"/>
    <w:rsid w:val="62075FE3"/>
    <w:rsid w:val="624F3E49"/>
    <w:rsid w:val="62540537"/>
    <w:rsid w:val="62632286"/>
    <w:rsid w:val="62690E11"/>
    <w:rsid w:val="62885958"/>
    <w:rsid w:val="628A3F58"/>
    <w:rsid w:val="62CB64A7"/>
    <w:rsid w:val="62D13935"/>
    <w:rsid w:val="62DE6052"/>
    <w:rsid w:val="62F40B65"/>
    <w:rsid w:val="62FC2CFE"/>
    <w:rsid w:val="63024505"/>
    <w:rsid w:val="635600A5"/>
    <w:rsid w:val="635B1DB5"/>
    <w:rsid w:val="63711FED"/>
    <w:rsid w:val="63880DDC"/>
    <w:rsid w:val="638D750D"/>
    <w:rsid w:val="63974B7F"/>
    <w:rsid w:val="63AC6CC0"/>
    <w:rsid w:val="63D00091"/>
    <w:rsid w:val="63ED0C43"/>
    <w:rsid w:val="64055776"/>
    <w:rsid w:val="64063AB3"/>
    <w:rsid w:val="64240056"/>
    <w:rsid w:val="643E143A"/>
    <w:rsid w:val="64491666"/>
    <w:rsid w:val="646031C3"/>
    <w:rsid w:val="648B6EEF"/>
    <w:rsid w:val="64C158BF"/>
    <w:rsid w:val="64CE2EAA"/>
    <w:rsid w:val="6530528B"/>
    <w:rsid w:val="65350229"/>
    <w:rsid w:val="653C3090"/>
    <w:rsid w:val="65854376"/>
    <w:rsid w:val="658767BE"/>
    <w:rsid w:val="65892531"/>
    <w:rsid w:val="659D3FA3"/>
    <w:rsid w:val="66195831"/>
    <w:rsid w:val="662E75B1"/>
    <w:rsid w:val="66342C2E"/>
    <w:rsid w:val="663E784C"/>
    <w:rsid w:val="663F505A"/>
    <w:rsid w:val="665723A3"/>
    <w:rsid w:val="667967BE"/>
    <w:rsid w:val="668B6A45"/>
    <w:rsid w:val="66EE56BC"/>
    <w:rsid w:val="671E273D"/>
    <w:rsid w:val="672C1A82"/>
    <w:rsid w:val="672F3F24"/>
    <w:rsid w:val="673D5A3D"/>
    <w:rsid w:val="673E055F"/>
    <w:rsid w:val="67551CE3"/>
    <w:rsid w:val="67566AFF"/>
    <w:rsid w:val="678F3DBF"/>
    <w:rsid w:val="67966EFB"/>
    <w:rsid w:val="67A22552"/>
    <w:rsid w:val="67B22DCC"/>
    <w:rsid w:val="67BE71AA"/>
    <w:rsid w:val="67D90273"/>
    <w:rsid w:val="67DE5875"/>
    <w:rsid w:val="67E20393"/>
    <w:rsid w:val="67E55852"/>
    <w:rsid w:val="67EB1AB4"/>
    <w:rsid w:val="67FA1285"/>
    <w:rsid w:val="680C3022"/>
    <w:rsid w:val="683055A2"/>
    <w:rsid w:val="6841330B"/>
    <w:rsid w:val="684626D0"/>
    <w:rsid w:val="68551F4F"/>
    <w:rsid w:val="687C10C9"/>
    <w:rsid w:val="68840C16"/>
    <w:rsid w:val="68876EFB"/>
    <w:rsid w:val="68884654"/>
    <w:rsid w:val="689C49E5"/>
    <w:rsid w:val="689F444F"/>
    <w:rsid w:val="68B96DBB"/>
    <w:rsid w:val="68CA2805"/>
    <w:rsid w:val="68CF6B69"/>
    <w:rsid w:val="68D94274"/>
    <w:rsid w:val="68E1689C"/>
    <w:rsid w:val="68E87C2B"/>
    <w:rsid w:val="68E937A3"/>
    <w:rsid w:val="691602F4"/>
    <w:rsid w:val="693E15D3"/>
    <w:rsid w:val="695D5F23"/>
    <w:rsid w:val="69627681"/>
    <w:rsid w:val="6977531D"/>
    <w:rsid w:val="69934F78"/>
    <w:rsid w:val="69961435"/>
    <w:rsid w:val="69B95123"/>
    <w:rsid w:val="69CC2BFF"/>
    <w:rsid w:val="69D837FB"/>
    <w:rsid w:val="69FD55B8"/>
    <w:rsid w:val="6A0B1C62"/>
    <w:rsid w:val="6A0C7949"/>
    <w:rsid w:val="6A2406C8"/>
    <w:rsid w:val="6A8D585D"/>
    <w:rsid w:val="6AA67D9D"/>
    <w:rsid w:val="6AC509A0"/>
    <w:rsid w:val="6ADE0BD1"/>
    <w:rsid w:val="6AE96859"/>
    <w:rsid w:val="6AED777A"/>
    <w:rsid w:val="6B147746"/>
    <w:rsid w:val="6B24787C"/>
    <w:rsid w:val="6B573233"/>
    <w:rsid w:val="6B5B6274"/>
    <w:rsid w:val="6B6A0DCB"/>
    <w:rsid w:val="6B935D53"/>
    <w:rsid w:val="6BE26BB3"/>
    <w:rsid w:val="6BFA214F"/>
    <w:rsid w:val="6C136D6D"/>
    <w:rsid w:val="6C196F71"/>
    <w:rsid w:val="6C226FCB"/>
    <w:rsid w:val="6C31226F"/>
    <w:rsid w:val="6C552F0B"/>
    <w:rsid w:val="6C8C67B7"/>
    <w:rsid w:val="6C9D744C"/>
    <w:rsid w:val="6CA1081C"/>
    <w:rsid w:val="6CC462B9"/>
    <w:rsid w:val="6CFC1EF7"/>
    <w:rsid w:val="6D013069"/>
    <w:rsid w:val="6D0D5E18"/>
    <w:rsid w:val="6D167928"/>
    <w:rsid w:val="6D26299B"/>
    <w:rsid w:val="6D4772EC"/>
    <w:rsid w:val="6D761CA9"/>
    <w:rsid w:val="6D8E4F15"/>
    <w:rsid w:val="6D9078AF"/>
    <w:rsid w:val="6DAA3FEF"/>
    <w:rsid w:val="6DB427D1"/>
    <w:rsid w:val="6DC0172B"/>
    <w:rsid w:val="6DC2696C"/>
    <w:rsid w:val="6DCB690C"/>
    <w:rsid w:val="6DD41A5B"/>
    <w:rsid w:val="6DDEB12A"/>
    <w:rsid w:val="6DF43C2E"/>
    <w:rsid w:val="6DF51CA3"/>
    <w:rsid w:val="6E3000AA"/>
    <w:rsid w:val="6E396833"/>
    <w:rsid w:val="6E8335BD"/>
    <w:rsid w:val="6E8E12EF"/>
    <w:rsid w:val="6E8E50AE"/>
    <w:rsid w:val="6E972936"/>
    <w:rsid w:val="6ED446C5"/>
    <w:rsid w:val="6F0155A2"/>
    <w:rsid w:val="6F122937"/>
    <w:rsid w:val="6F2A7D94"/>
    <w:rsid w:val="6F3911E0"/>
    <w:rsid w:val="6F6049BF"/>
    <w:rsid w:val="6F653D83"/>
    <w:rsid w:val="6F8331F1"/>
    <w:rsid w:val="6FAE1A09"/>
    <w:rsid w:val="6FD75BF8"/>
    <w:rsid w:val="6FFE7D34"/>
    <w:rsid w:val="700E441B"/>
    <w:rsid w:val="707723D0"/>
    <w:rsid w:val="70875F7B"/>
    <w:rsid w:val="70C60851"/>
    <w:rsid w:val="70F5661B"/>
    <w:rsid w:val="71267542"/>
    <w:rsid w:val="71360107"/>
    <w:rsid w:val="713B688E"/>
    <w:rsid w:val="71526589"/>
    <w:rsid w:val="71D43752"/>
    <w:rsid w:val="71F1796A"/>
    <w:rsid w:val="72005FE5"/>
    <w:rsid w:val="72154626"/>
    <w:rsid w:val="721E2C41"/>
    <w:rsid w:val="72262B5D"/>
    <w:rsid w:val="72283FF7"/>
    <w:rsid w:val="722E7212"/>
    <w:rsid w:val="723A0474"/>
    <w:rsid w:val="725923E4"/>
    <w:rsid w:val="72864BF7"/>
    <w:rsid w:val="729023FC"/>
    <w:rsid w:val="72BF37AA"/>
    <w:rsid w:val="72C60FDD"/>
    <w:rsid w:val="72D54D7C"/>
    <w:rsid w:val="73124222"/>
    <w:rsid w:val="739F35DC"/>
    <w:rsid w:val="73C0646E"/>
    <w:rsid w:val="741E6BF6"/>
    <w:rsid w:val="742222F5"/>
    <w:rsid w:val="744523D5"/>
    <w:rsid w:val="74476126"/>
    <w:rsid w:val="744877CF"/>
    <w:rsid w:val="74706664"/>
    <w:rsid w:val="747F3682"/>
    <w:rsid w:val="749C4185"/>
    <w:rsid w:val="74F87447"/>
    <w:rsid w:val="75067759"/>
    <w:rsid w:val="752E6DCD"/>
    <w:rsid w:val="7551380D"/>
    <w:rsid w:val="75600BE5"/>
    <w:rsid w:val="7564475C"/>
    <w:rsid w:val="7583797F"/>
    <w:rsid w:val="75BDC257"/>
    <w:rsid w:val="75D20F1D"/>
    <w:rsid w:val="75DA2C18"/>
    <w:rsid w:val="75E33C54"/>
    <w:rsid w:val="75F54412"/>
    <w:rsid w:val="761D08E0"/>
    <w:rsid w:val="76404C02"/>
    <w:rsid w:val="765D347C"/>
    <w:rsid w:val="766F54E7"/>
    <w:rsid w:val="767D7C04"/>
    <w:rsid w:val="76826699"/>
    <w:rsid w:val="76C87133"/>
    <w:rsid w:val="76CD08D5"/>
    <w:rsid w:val="76DB4B92"/>
    <w:rsid w:val="770420D4"/>
    <w:rsid w:val="770519A8"/>
    <w:rsid w:val="77052AA4"/>
    <w:rsid w:val="77136511"/>
    <w:rsid w:val="77340A39"/>
    <w:rsid w:val="77351FD0"/>
    <w:rsid w:val="77400C32"/>
    <w:rsid w:val="77472422"/>
    <w:rsid w:val="7772528F"/>
    <w:rsid w:val="777F31F2"/>
    <w:rsid w:val="77A17922"/>
    <w:rsid w:val="77A967D7"/>
    <w:rsid w:val="77D1700D"/>
    <w:rsid w:val="77EC04CC"/>
    <w:rsid w:val="77F263D0"/>
    <w:rsid w:val="7831514A"/>
    <w:rsid w:val="78775729"/>
    <w:rsid w:val="78872FBC"/>
    <w:rsid w:val="78A42DB0"/>
    <w:rsid w:val="78A656AB"/>
    <w:rsid w:val="78B2245C"/>
    <w:rsid w:val="78E172CC"/>
    <w:rsid w:val="78EA1D1F"/>
    <w:rsid w:val="7904172F"/>
    <w:rsid w:val="790F7E27"/>
    <w:rsid w:val="792A231A"/>
    <w:rsid w:val="79316829"/>
    <w:rsid w:val="79654980"/>
    <w:rsid w:val="79696478"/>
    <w:rsid w:val="796C5D0E"/>
    <w:rsid w:val="797E66A9"/>
    <w:rsid w:val="798518A4"/>
    <w:rsid w:val="79A97383"/>
    <w:rsid w:val="79C478F8"/>
    <w:rsid w:val="79E27E8B"/>
    <w:rsid w:val="79F850CE"/>
    <w:rsid w:val="79FD443C"/>
    <w:rsid w:val="7A1D1975"/>
    <w:rsid w:val="7A3E5150"/>
    <w:rsid w:val="7A4670D6"/>
    <w:rsid w:val="7A534B63"/>
    <w:rsid w:val="7A615382"/>
    <w:rsid w:val="7A67303B"/>
    <w:rsid w:val="7A684727"/>
    <w:rsid w:val="7A75577E"/>
    <w:rsid w:val="7A862E00"/>
    <w:rsid w:val="7AAB1D04"/>
    <w:rsid w:val="7ABA4368"/>
    <w:rsid w:val="7AD05746"/>
    <w:rsid w:val="7B0A1C83"/>
    <w:rsid w:val="7B257FFD"/>
    <w:rsid w:val="7B343476"/>
    <w:rsid w:val="7B5A2978"/>
    <w:rsid w:val="7B5A7E4C"/>
    <w:rsid w:val="7B667AF9"/>
    <w:rsid w:val="7B711D02"/>
    <w:rsid w:val="7B7315D6"/>
    <w:rsid w:val="7B7468F8"/>
    <w:rsid w:val="7BC97448"/>
    <w:rsid w:val="7BCB31C0"/>
    <w:rsid w:val="7BD61B65"/>
    <w:rsid w:val="7BEE0103"/>
    <w:rsid w:val="7C042B76"/>
    <w:rsid w:val="7C0A0FE4"/>
    <w:rsid w:val="7C1841C1"/>
    <w:rsid w:val="7C254906"/>
    <w:rsid w:val="7C4F6774"/>
    <w:rsid w:val="7C590818"/>
    <w:rsid w:val="7C7C10F6"/>
    <w:rsid w:val="7C853BEA"/>
    <w:rsid w:val="7C881368"/>
    <w:rsid w:val="7CD6006E"/>
    <w:rsid w:val="7CE27788"/>
    <w:rsid w:val="7CE87DA1"/>
    <w:rsid w:val="7D0C32F1"/>
    <w:rsid w:val="7D0C7F34"/>
    <w:rsid w:val="7D0F408D"/>
    <w:rsid w:val="7D491C6C"/>
    <w:rsid w:val="7D5429C0"/>
    <w:rsid w:val="7D697134"/>
    <w:rsid w:val="7D6E6D43"/>
    <w:rsid w:val="7D763263"/>
    <w:rsid w:val="7DB57A34"/>
    <w:rsid w:val="7DBA173E"/>
    <w:rsid w:val="7DD86F60"/>
    <w:rsid w:val="7DDD7B0A"/>
    <w:rsid w:val="7DDF2F52"/>
    <w:rsid w:val="7DE60973"/>
    <w:rsid w:val="7DEF0916"/>
    <w:rsid w:val="7E1A3F8B"/>
    <w:rsid w:val="7E1E5218"/>
    <w:rsid w:val="7E9A4E1F"/>
    <w:rsid w:val="7EA7723A"/>
    <w:rsid w:val="7EB20667"/>
    <w:rsid w:val="7ED54355"/>
    <w:rsid w:val="7EF56FBB"/>
    <w:rsid w:val="7F0768EB"/>
    <w:rsid w:val="7F121106"/>
    <w:rsid w:val="7F143BEC"/>
    <w:rsid w:val="7F715AF2"/>
    <w:rsid w:val="7F886E69"/>
    <w:rsid w:val="7F961E7F"/>
    <w:rsid w:val="7FF8654D"/>
    <w:rsid w:val="7FFF082F"/>
    <w:rsid w:val="B2678731"/>
    <w:rsid w:val="BB7FA927"/>
    <w:rsid w:val="BDDD7C9F"/>
    <w:rsid w:val="BFFF7599"/>
    <w:rsid w:val="D6FFECF9"/>
    <w:rsid w:val="EFFAA9A2"/>
    <w:rsid w:val="EFFADD25"/>
    <w:rsid w:val="F5FFD31F"/>
    <w:rsid w:val="F7DFAE55"/>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uiPriority w:val="99"/>
    <w:tblPr>
      <w:tblCellMar>
        <w:top w:w="0" w:type="dxa"/>
        <w:left w:w="108" w:type="dxa"/>
        <w:bottom w:w="0" w:type="dxa"/>
        <w:right w:w="108" w:type="dxa"/>
      </w:tblCellMar>
    </w:tblPr>
  </w:style>
  <w:style w:type="paragraph" w:styleId="5">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6">
    <w:name w:val="caption"/>
    <w:basedOn w:val="1"/>
    <w:next w:val="1"/>
    <w:link w:val="22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2"/>
    <w:qFormat/>
    <w:uiPriority w:val="0"/>
    <w:pPr>
      <w:shd w:val="clear" w:color="auto" w:fill="000080"/>
    </w:pPr>
  </w:style>
  <w:style w:type="paragraph" w:styleId="19">
    <w:name w:val="annotation text"/>
    <w:basedOn w:val="1"/>
    <w:link w:val="344"/>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1"/>
    <w:link w:val="430"/>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25"/>
    <w:link w:val="265"/>
    <w:qFormat/>
    <w:uiPriority w:val="0"/>
    <w:pPr>
      <w:spacing w:line="480" w:lineRule="exact"/>
      <w:ind w:firstLine="480" w:firstLineChars="200"/>
    </w:pPr>
    <w:rPr>
      <w:rFonts w:ascii="宋体" w:hAnsi="宋体"/>
      <w:sz w:val="24"/>
    </w:rPr>
  </w:style>
  <w:style w:type="paragraph" w:styleId="25">
    <w:name w:val="Body Text First Indent 2"/>
    <w:basedOn w:val="24"/>
    <w:next w:val="1"/>
    <w:link w:val="121"/>
    <w:qFormat/>
    <w:uiPriority w:val="0"/>
    <w:pPr>
      <w:adjustRightInd/>
      <w:spacing w:after="120" w:line="240" w:lineRule="auto"/>
      <w:ind w:left="420" w:leftChars="200" w:firstLine="210"/>
    </w:pPr>
    <w:rPr>
      <w:sz w:val="21"/>
    </w:rPr>
  </w:style>
  <w:style w:type="paragraph" w:styleId="26">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5"/>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1"/>
    <w:qFormat/>
    <w:uiPriority w:val="0"/>
    <w:pPr>
      <w:ind w:left="100" w:leftChars="2500"/>
    </w:pPr>
    <w:rPr>
      <w:rFonts w:ascii="宋体"/>
      <w:sz w:val="24"/>
      <w:szCs w:val="21"/>
      <w:lang w:val="zh-CN"/>
    </w:rPr>
  </w:style>
  <w:style w:type="paragraph" w:styleId="37">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8">
    <w:name w:val="endnote text"/>
    <w:basedOn w:val="1"/>
    <w:link w:val="932"/>
    <w:qFormat/>
    <w:uiPriority w:val="0"/>
    <w:rPr>
      <w:lang w:val="zh-CN"/>
    </w:rPr>
  </w:style>
  <w:style w:type="paragraph" w:styleId="39">
    <w:name w:val="Balloon Text"/>
    <w:basedOn w:val="1"/>
    <w:link w:val="188"/>
    <w:qFormat/>
    <w:uiPriority w:val="0"/>
    <w:rPr>
      <w:sz w:val="18"/>
      <w:szCs w:val="18"/>
    </w:rPr>
  </w:style>
  <w:style w:type="paragraph" w:styleId="40">
    <w:name w:val="footer"/>
    <w:basedOn w:val="1"/>
    <w:link w:val="383"/>
    <w:qFormat/>
    <w:uiPriority w:val="99"/>
    <w:pPr>
      <w:tabs>
        <w:tab w:val="center" w:pos="4153"/>
        <w:tab w:val="right" w:pos="8306"/>
      </w:tabs>
      <w:snapToGrid w:val="0"/>
      <w:jc w:val="left"/>
    </w:pPr>
    <w:rPr>
      <w:sz w:val="18"/>
      <w:szCs w:val="18"/>
    </w:rPr>
  </w:style>
  <w:style w:type="paragraph" w:styleId="41">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5"/>
    <w:link w:val="310"/>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5"/>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2"/>
    <w:qFormat/>
    <w:uiPriority w:val="0"/>
    <w:pPr>
      <w:spacing w:after="120" w:line="480" w:lineRule="auto"/>
    </w:pPr>
  </w:style>
  <w:style w:type="paragraph" w:styleId="57">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6"/>
    <w:qFormat/>
    <w:uiPriority w:val="0"/>
    <w:rPr>
      <w:b/>
      <w:bCs/>
    </w:rPr>
  </w:style>
  <w:style w:type="paragraph" w:styleId="61">
    <w:name w:val="Body Text First Indent"/>
    <w:basedOn w:val="23"/>
    <w:next w:val="1"/>
    <w:link w:val="321"/>
    <w:qFormat/>
    <w:uiPriority w:val="0"/>
    <w:pPr>
      <w:ind w:firstLine="420"/>
    </w:pPr>
    <w:rPr>
      <w:rFonts w:hAnsi="Calibri" w:cs="Times New Roman"/>
      <w:snapToGrid/>
      <w:szCs w:val="20"/>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basedOn w:val="69"/>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basedOn w:val="69"/>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字符"/>
    <w:link w:val="60"/>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文本首行缩进 2 字符"/>
    <w:link w:val="25"/>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69"/>
    <w:qFormat/>
    <w:uiPriority w:val="0"/>
    <w:rPr>
      <w:rFonts w:ascii="Arial" w:hAnsi="Arial" w:eastAsia="黑体" w:cs="Arial"/>
      <w:snapToGrid w:val="0"/>
      <w:kern w:val="0"/>
      <w:szCs w:val="21"/>
    </w:rPr>
  </w:style>
  <w:style w:type="character" w:customStyle="1" w:styleId="125">
    <w:name w:val="纯文本 字符1"/>
    <w:link w:val="33"/>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字符"/>
    <w:link w:val="47"/>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字符"/>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2"/>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字符"/>
    <w:link w:val="36"/>
    <w:qFormat/>
    <w:uiPriority w:val="0"/>
    <w:rPr>
      <w:rFonts w:ascii="宋体"/>
      <w:kern w:val="2"/>
      <w:sz w:val="24"/>
      <w:szCs w:val="21"/>
      <w:lang w:val="zh-CN"/>
    </w:rPr>
  </w:style>
  <w:style w:type="character" w:customStyle="1" w:styleId="182">
    <w:name w:val="标题 9 字符"/>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0"/>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字符1"/>
    <w:link w:val="39"/>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字符2"/>
    <w:link w:val="5"/>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字符"/>
    <w:link w:val="18"/>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69"/>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字符"/>
    <w:link w:val="30"/>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字符"/>
    <w:link w:val="16"/>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8">
    <w:name w:val="列出段落1"/>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字符1"/>
    <w:link w:val="24"/>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字符1"/>
    <w:link w:val="3"/>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字符"/>
    <w:link w:val="59"/>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字符"/>
    <w:link w:val="7"/>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字符"/>
    <w:link w:val="20"/>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字符"/>
    <w:link w:val="57"/>
    <w:qFormat/>
    <w:uiPriority w:val="0"/>
    <w:rPr>
      <w:rFonts w:ascii="黑体" w:hAnsi="Courier New" w:eastAsia="黑体"/>
    </w:rPr>
  </w:style>
  <w:style w:type="character" w:customStyle="1" w:styleId="302">
    <w:name w:val="正文文本 2 字符1"/>
    <w:link w:val="56"/>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6"/>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字符"/>
    <w:link w:val="9"/>
    <w:qFormat/>
    <w:uiPriority w:val="0"/>
    <w:rPr>
      <w:b/>
      <w:bCs/>
      <w:kern w:val="2"/>
      <w:sz w:val="24"/>
      <w:szCs w:val="24"/>
    </w:rPr>
  </w:style>
  <w:style w:type="character" w:customStyle="1" w:styleId="308">
    <w:name w:val="正文文本缩进 2 字符"/>
    <w:link w:val="37"/>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字符"/>
    <w:link w:val="50"/>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文本首行缩进 字符"/>
    <w:link w:val="61"/>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字符1"/>
    <w:link w:val="6"/>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字符"/>
    <w:link w:val="21"/>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字符1"/>
    <w:link w:val="19"/>
    <w:qFormat/>
    <w:uiPriority w:val="0"/>
    <w:rPr>
      <w:kern w:val="2"/>
      <w:sz w:val="21"/>
      <w:szCs w:val="24"/>
    </w:rPr>
  </w:style>
  <w:style w:type="character" w:customStyle="1" w:styleId="345">
    <w:name w:val="签名 字符"/>
    <w:link w:val="42"/>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字符"/>
    <w:link w:val="10"/>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字符"/>
    <w:link w:val="53"/>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字符2"/>
    <w:link w:val="40"/>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字符2"/>
    <w:link w:val="41"/>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69"/>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431">
    <w:name w:val="gray6"/>
    <w:basedOn w:val="69"/>
    <w:qFormat/>
    <w:uiPriority w:val="0"/>
    <w:rPr>
      <w:rFonts w:ascii="Arial" w:hAnsi="Arial" w:eastAsia="黑体" w:cs="Arial"/>
      <w:snapToGrid w:val="0"/>
      <w:kern w:val="0"/>
      <w:szCs w:val="21"/>
    </w:rPr>
  </w:style>
  <w:style w:type="character" w:customStyle="1" w:styleId="432">
    <w:name w:val="hui"/>
    <w:basedOn w:val="69"/>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2"/>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outlineLvl w:val="5"/>
    </w:pPr>
  </w:style>
  <w:style w:type="paragraph" w:customStyle="1" w:styleId="474">
    <w:name w:val="5级标题"/>
    <w:basedOn w:val="475"/>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3">
    <w:name w:val="无间隔2"/>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2"/>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Lines="50"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6"/>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3"/>
    <w:qFormat/>
    <w:uiPriority w:val="0"/>
    <w:pPr>
      <w:tabs>
        <w:tab w:val="left" w:pos="840"/>
      </w:tabs>
      <w:adjustRightInd/>
      <w:ind w:left="840" w:hanging="420"/>
    </w:pPr>
  </w:style>
  <w:style w:type="paragraph" w:customStyle="1" w:styleId="626">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Lines="0" w:afterLines="0"/>
      <w:ind w:left="1680"/>
      <w:outlineLvl w:val="2"/>
    </w:pPr>
  </w:style>
  <w:style w:type="paragraph" w:customStyle="1" w:styleId="658">
    <w:name w:val="章标题"/>
    <w:next w:val="640"/>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Lines="50"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7"/>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4"/>
    <w:qFormat/>
    <w:uiPriority w:val="0"/>
    <w:pPr>
      <w:adjustRightInd/>
      <w:spacing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3"/>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字符"/>
    <w:link w:val="38"/>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5">
    <w:name w:val="修订5"/>
    <w:hidden/>
    <w:unhideWhenUsed/>
    <w:qFormat/>
    <w:uiPriority w:val="99"/>
    <w:rPr>
      <w:rFonts w:ascii="Times New Roman" w:hAnsi="Times New Roman" w:eastAsia="宋体" w:cs="Times New Roman"/>
      <w:kern w:val="2"/>
      <w:sz w:val="21"/>
      <w:szCs w:val="24"/>
      <w:lang w:val="en-US" w:eastAsia="zh-CN" w:bidi="ar-SA"/>
    </w:rPr>
  </w:style>
  <w:style w:type="paragraph" w:styleId="966">
    <w:name w:val="List Paragraph"/>
    <w:basedOn w:val="1"/>
    <w:autoRedefine/>
    <w:qFormat/>
    <w:uiPriority w:val="0"/>
    <w:pPr>
      <w:widowControl/>
      <w:ind w:left="720" w:firstLine="360"/>
      <w:contextualSpacing/>
      <w:jc w:val="left"/>
    </w:pPr>
    <w:rPr>
      <w:rFonts w:ascii="Calibri" w:hAnsi="Calibri"/>
      <w:kern w:val="0"/>
      <w:sz w:val="22"/>
      <w:szCs w:val="22"/>
      <w:lang w:eastAsia="en-US" w:bidi="en-US"/>
    </w:rPr>
  </w:style>
  <w:style w:type="character" w:customStyle="1" w:styleId="967">
    <w:name w:val="NormalCharacter"/>
    <w:autoRedefine/>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84</Pages>
  <Words>33525</Words>
  <Characters>36233</Characters>
  <Lines>450</Lines>
  <Paragraphs>126</Paragraphs>
  <TotalTime>20</TotalTime>
  <ScaleCrop>false</ScaleCrop>
  <LinksUpToDate>false</LinksUpToDate>
  <CharactersWithSpaces>36809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2026-04-16T05:39:00Z</dcterms:created>
  <dc:creator>玥</dc:creator>
  <cp:lastModifiedBy>耀杰</cp:lastModifiedBy>
  <cp:lastPrinted>2021-12-30T19:06:00Z</cp:lastPrinted>
  <dcterms:modified xsi:type="dcterms:W3CDTF">2026-05-18T06:41:32Z</dcterms:modified>
  <dc:title>杭州市市民卡扩大发卡工程</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236DB4FD7CB847278650AFE9DC4824D0_13</vt:lpwstr>
  </property>
  <property fmtid="{D5CDD505-2E9C-101B-9397-08002B2CF9AE}" pid="5" name="KSOTemplateDocerSaveRecord">
    <vt:lpwstr>eyJoZGlkIjoiYWUyYjI0MmMzYWZkY2EwYmRkNTdhMTk0OWM5ZDIwMDAiLCJ1c2VySWQiOiI2OTczODQyNDMifQ==</vt:lpwstr>
  </property>
</Properties>
</file>