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2E551">
      <w:pPr>
        <w:bidi w:val="0"/>
        <w:rPr>
          <w:rFonts w:hint="eastAsia" w:ascii="宋体" w:hAnsi="宋体" w:eastAsia="宋体" w:cs="宋体"/>
          <w:color w:val="auto"/>
          <w:highlight w:val="none"/>
          <w:lang w:val="zh-CN"/>
        </w:rPr>
      </w:pPr>
    </w:p>
    <w:p w14:paraId="7C3B3F69">
      <w:pPr>
        <w:bidi w:val="0"/>
        <w:rPr>
          <w:rFonts w:hint="eastAsia" w:ascii="宋体" w:hAnsi="宋体" w:eastAsia="宋体" w:cs="宋体"/>
          <w:color w:val="auto"/>
          <w:highlight w:val="none"/>
          <w:lang w:val="zh-CN"/>
        </w:rPr>
      </w:pPr>
    </w:p>
    <w:p w14:paraId="3411562C">
      <w:pPr>
        <w:bidi w:val="0"/>
        <w:rPr>
          <w:rFonts w:hint="eastAsia" w:ascii="宋体" w:hAnsi="宋体" w:eastAsia="宋体" w:cs="宋体"/>
          <w:color w:val="auto"/>
          <w:highlight w:val="none"/>
          <w:lang w:val="zh-CN"/>
        </w:rPr>
      </w:pPr>
    </w:p>
    <w:p w14:paraId="2F7829E9">
      <w:pPr>
        <w:bidi w:val="0"/>
        <w:ind w:left="0" w:leftChars="0" w:firstLine="0" w:firstLineChars="0"/>
        <w:jc w:val="center"/>
        <w:rPr>
          <w:rFonts w:hint="eastAsia" w:ascii="宋体" w:hAnsi="宋体" w:eastAsia="宋体" w:cs="宋体"/>
          <w:b/>
          <w:bCs/>
          <w:color w:val="auto"/>
          <w:sz w:val="84"/>
          <w:szCs w:val="84"/>
          <w:highlight w:val="none"/>
          <w:lang w:val="zh-CN"/>
        </w:rPr>
      </w:pPr>
    </w:p>
    <w:p w14:paraId="3FA8FB90">
      <w:pPr>
        <w:bidi w:val="0"/>
        <w:ind w:left="0" w:leftChars="0" w:firstLine="0" w:firstLineChars="0"/>
        <w:jc w:val="center"/>
        <w:rPr>
          <w:rFonts w:hint="eastAsia" w:ascii="宋体" w:hAnsi="宋体" w:eastAsia="宋体" w:cs="宋体"/>
          <w:b/>
          <w:bCs/>
          <w:color w:val="auto"/>
          <w:sz w:val="112"/>
          <w:szCs w:val="112"/>
          <w:highlight w:val="none"/>
        </w:rPr>
      </w:pPr>
      <w:r>
        <w:rPr>
          <w:rFonts w:hint="eastAsia" w:ascii="宋体" w:hAnsi="宋体" w:eastAsia="宋体" w:cs="宋体"/>
          <w:b/>
          <w:bCs/>
          <w:color w:val="auto"/>
          <w:sz w:val="112"/>
          <w:szCs w:val="112"/>
          <w:highlight w:val="none"/>
          <w:lang w:val="zh-CN"/>
        </w:rPr>
        <w:t>竞争性磋商文件</w:t>
      </w:r>
    </w:p>
    <w:p w14:paraId="197CCB07">
      <w:pPr>
        <w:bidi w:val="0"/>
        <w:rPr>
          <w:rFonts w:hint="eastAsia" w:ascii="宋体" w:hAnsi="宋体" w:eastAsia="宋体" w:cs="宋体"/>
          <w:color w:val="auto"/>
          <w:highlight w:val="none"/>
        </w:rPr>
      </w:pPr>
    </w:p>
    <w:p w14:paraId="6C17CDA1">
      <w:pPr>
        <w:pStyle w:val="2"/>
        <w:rPr>
          <w:rFonts w:hint="eastAsia" w:ascii="宋体" w:hAnsi="宋体" w:eastAsia="宋体" w:cs="宋体"/>
          <w:color w:val="auto"/>
          <w:highlight w:val="none"/>
        </w:rPr>
      </w:pPr>
    </w:p>
    <w:p w14:paraId="1D1FADC7">
      <w:pPr>
        <w:rPr>
          <w:rFonts w:hint="eastAsia"/>
        </w:rPr>
      </w:pPr>
    </w:p>
    <w:p w14:paraId="64856F8E">
      <w:pPr>
        <w:bidi w:val="0"/>
        <w:rPr>
          <w:rFonts w:hint="eastAsia" w:ascii="宋体" w:hAnsi="宋体" w:eastAsia="宋体" w:cs="宋体"/>
          <w:color w:val="auto"/>
          <w:highlight w:val="none"/>
        </w:rPr>
      </w:pPr>
    </w:p>
    <w:p w14:paraId="7CA90845">
      <w:pPr>
        <w:spacing w:line="480" w:lineRule="auto"/>
        <w:ind w:firstLine="843" w:firstLineChars="300"/>
        <w:jc w:val="left"/>
        <w:rPr>
          <w:rFonts w:hint="eastAsia" w:ascii="宋体" w:hAnsi="宋体" w:cs="华文中宋"/>
          <w:b/>
          <w:bCs/>
          <w:color w:val="auto"/>
          <w:sz w:val="28"/>
          <w:szCs w:val="28"/>
          <w:lang w:val="zh-CN" w:eastAsia="zh-CN"/>
        </w:rPr>
      </w:pPr>
      <w:r>
        <w:rPr>
          <w:rFonts w:hint="eastAsia" w:ascii="宋体" w:hAnsi="宋体" w:cs="华文中宋"/>
          <w:b/>
          <w:bCs/>
          <w:color w:val="auto"/>
          <w:sz w:val="28"/>
          <w:szCs w:val="28"/>
          <w:lang w:val="zh-CN"/>
        </w:rPr>
        <w:t>采购项目名称：</w:t>
      </w:r>
      <w:r>
        <w:rPr>
          <w:rFonts w:hint="eastAsia" w:ascii="宋体" w:hAnsi="宋体" w:cs="华文中宋"/>
          <w:b/>
          <w:bCs/>
          <w:color w:val="auto"/>
          <w:sz w:val="28"/>
          <w:szCs w:val="28"/>
          <w:lang w:val="zh-CN" w:eastAsia="zh-CN"/>
        </w:rPr>
        <w:t>海东市乐都区2026-2027年度政策性农村住房保险</w:t>
      </w:r>
    </w:p>
    <w:p w14:paraId="40C84197">
      <w:pPr>
        <w:spacing w:line="480" w:lineRule="auto"/>
        <w:ind w:firstLine="843" w:firstLineChars="300"/>
        <w:jc w:val="left"/>
        <w:rPr>
          <w:rFonts w:hint="eastAsia" w:ascii="宋体" w:hAnsi="宋体" w:cs="华文中宋"/>
          <w:b/>
          <w:bCs/>
          <w:color w:val="auto"/>
          <w:sz w:val="28"/>
          <w:szCs w:val="28"/>
          <w:lang w:val="zh-CN" w:eastAsia="zh-CN"/>
        </w:rPr>
      </w:pPr>
      <w:r>
        <w:rPr>
          <w:rFonts w:hint="eastAsia" w:ascii="宋体" w:hAnsi="宋体" w:cs="华文中宋"/>
          <w:b/>
          <w:bCs/>
          <w:color w:val="auto"/>
          <w:sz w:val="28"/>
          <w:szCs w:val="28"/>
          <w:lang w:val="zh-CN"/>
        </w:rPr>
        <w:t>采购项目编号：</w:t>
      </w:r>
      <w:r>
        <w:rPr>
          <w:rFonts w:hint="eastAsia" w:ascii="宋体" w:hAnsi="宋体" w:cs="华文中宋"/>
          <w:b/>
          <w:bCs/>
          <w:color w:val="auto"/>
          <w:sz w:val="28"/>
          <w:szCs w:val="28"/>
          <w:lang w:val="zh-CN" w:eastAsia="zh-CN"/>
        </w:rPr>
        <w:t>乐欣中堃竞磋（服务）2026-020</w:t>
      </w:r>
    </w:p>
    <w:p w14:paraId="3016D631">
      <w:pPr>
        <w:spacing w:line="480" w:lineRule="auto"/>
        <w:ind w:firstLine="843" w:firstLineChars="300"/>
        <w:jc w:val="left"/>
        <w:rPr>
          <w:rFonts w:hint="eastAsia" w:ascii="宋体" w:hAnsi="宋体" w:cs="华文中宋"/>
          <w:b/>
          <w:bCs/>
          <w:color w:val="auto"/>
          <w:sz w:val="28"/>
          <w:szCs w:val="28"/>
          <w:lang w:val="zh-CN" w:eastAsia="zh-CN"/>
        </w:rPr>
      </w:pPr>
      <w:r>
        <w:rPr>
          <w:rFonts w:hint="eastAsia" w:ascii="宋体" w:hAnsi="宋体" w:cs="华文中宋"/>
          <w:b/>
          <w:bCs/>
          <w:color w:val="auto"/>
          <w:sz w:val="28"/>
          <w:szCs w:val="28"/>
          <w:lang w:val="zh-CN"/>
        </w:rPr>
        <w:t xml:space="preserve">采 </w:t>
      </w:r>
      <w:r>
        <w:rPr>
          <w:rFonts w:hint="eastAsia" w:ascii="宋体" w:hAnsi="宋体" w:cs="华文中宋"/>
          <w:b/>
          <w:bCs/>
          <w:color w:val="auto"/>
          <w:sz w:val="28"/>
          <w:szCs w:val="28"/>
          <w:lang w:val="en-US" w:eastAsia="zh-CN"/>
        </w:rPr>
        <w:t xml:space="preserve"> </w:t>
      </w:r>
      <w:r>
        <w:rPr>
          <w:rFonts w:hint="eastAsia" w:ascii="宋体" w:hAnsi="宋体" w:cs="华文中宋"/>
          <w:b/>
          <w:bCs/>
          <w:color w:val="auto"/>
          <w:sz w:val="28"/>
          <w:szCs w:val="28"/>
          <w:lang w:val="zh-CN"/>
        </w:rPr>
        <w:t>购 单 位：</w:t>
      </w:r>
      <w:r>
        <w:rPr>
          <w:rFonts w:hint="eastAsia" w:ascii="宋体" w:hAnsi="宋体" w:cs="华文中宋"/>
          <w:b/>
          <w:bCs/>
          <w:color w:val="auto"/>
          <w:sz w:val="28"/>
          <w:szCs w:val="28"/>
          <w:lang w:val="zh-CN" w:eastAsia="zh-CN"/>
        </w:rPr>
        <w:t>海东市乐都区应急管理局（本级）</w:t>
      </w:r>
    </w:p>
    <w:p w14:paraId="61672805">
      <w:pPr>
        <w:spacing w:line="480" w:lineRule="auto"/>
        <w:ind w:firstLine="843" w:firstLineChars="300"/>
        <w:jc w:val="left"/>
        <w:rPr>
          <w:rFonts w:hint="eastAsia" w:ascii="宋体" w:hAnsi="宋体" w:eastAsia="宋体" w:cs="宋体"/>
          <w:b/>
          <w:bCs/>
          <w:color w:val="auto"/>
          <w:sz w:val="32"/>
          <w:szCs w:val="32"/>
          <w:highlight w:val="none"/>
          <w:lang w:eastAsia="zh-CN"/>
        </w:rPr>
      </w:pPr>
      <w:r>
        <w:rPr>
          <w:rFonts w:hint="eastAsia" w:ascii="宋体" w:hAnsi="宋体" w:cs="华文中宋"/>
          <w:b/>
          <w:bCs/>
          <w:color w:val="auto"/>
          <w:sz w:val="28"/>
          <w:szCs w:val="28"/>
          <w:lang w:val="zh-CN"/>
        </w:rPr>
        <w:t>采购代理机构：</w:t>
      </w:r>
      <w:r>
        <w:rPr>
          <w:rFonts w:hint="eastAsia" w:ascii="宋体" w:hAnsi="宋体" w:cs="华文中宋"/>
          <w:b/>
          <w:bCs/>
          <w:color w:val="auto"/>
          <w:sz w:val="28"/>
          <w:szCs w:val="28"/>
          <w:lang w:val="zh-CN" w:eastAsia="zh-CN"/>
        </w:rPr>
        <w:t>海东乐都区乐欣中堃项目管理有限公司</w:t>
      </w:r>
    </w:p>
    <w:p w14:paraId="46620851">
      <w:pPr>
        <w:bidi w:val="0"/>
        <w:rPr>
          <w:rFonts w:hint="eastAsia" w:ascii="宋体" w:hAnsi="宋体" w:eastAsia="宋体" w:cs="宋体"/>
          <w:b/>
          <w:bCs/>
          <w:color w:val="auto"/>
          <w:sz w:val="32"/>
          <w:szCs w:val="32"/>
          <w:highlight w:val="none"/>
        </w:rPr>
      </w:pPr>
    </w:p>
    <w:p w14:paraId="7B6D9699">
      <w:pPr>
        <w:bidi w:val="0"/>
        <w:rPr>
          <w:rFonts w:hint="eastAsia" w:ascii="宋体" w:hAnsi="宋体" w:eastAsia="宋体" w:cs="宋体"/>
          <w:b/>
          <w:bCs/>
          <w:color w:val="auto"/>
          <w:sz w:val="32"/>
          <w:szCs w:val="32"/>
          <w:highlight w:val="none"/>
        </w:rPr>
      </w:pPr>
    </w:p>
    <w:p w14:paraId="0F721264">
      <w:pPr>
        <w:bidi w:val="0"/>
        <w:rPr>
          <w:rFonts w:hint="eastAsia" w:ascii="宋体" w:hAnsi="宋体" w:eastAsia="宋体" w:cs="宋体"/>
          <w:b/>
          <w:bCs/>
          <w:color w:val="auto"/>
          <w:sz w:val="32"/>
          <w:szCs w:val="32"/>
          <w:highlight w:val="none"/>
        </w:rPr>
      </w:pPr>
    </w:p>
    <w:p w14:paraId="739AABB8">
      <w:pPr>
        <w:bidi w:val="0"/>
        <w:ind w:left="0" w:leftChars="0" w:firstLine="0" w:firstLineChars="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202</w:t>
      </w:r>
      <w:r>
        <w:rPr>
          <w:rFonts w:hint="eastAsia" w:ascii="宋体" w:hAnsi="宋体" w:cs="宋体"/>
          <w:b/>
          <w:bCs/>
          <w:color w:val="auto"/>
          <w:sz w:val="32"/>
          <w:szCs w:val="32"/>
          <w:highlight w:val="none"/>
          <w:lang w:val="en-US" w:eastAsia="zh-CN"/>
        </w:rPr>
        <w:t>6</w:t>
      </w:r>
      <w:r>
        <w:rPr>
          <w:rFonts w:hint="eastAsia" w:ascii="宋体" w:hAnsi="宋体" w:eastAsia="宋体" w:cs="宋体"/>
          <w:b/>
          <w:bCs/>
          <w:color w:val="auto"/>
          <w:sz w:val="32"/>
          <w:szCs w:val="32"/>
          <w:highlight w:val="none"/>
        </w:rPr>
        <w:t>年</w:t>
      </w:r>
      <w:r>
        <w:rPr>
          <w:rFonts w:hint="eastAsia" w:ascii="宋体" w:hAnsi="宋体" w:cs="宋体"/>
          <w:b/>
          <w:bCs/>
          <w:color w:val="auto"/>
          <w:sz w:val="32"/>
          <w:szCs w:val="32"/>
          <w:highlight w:val="none"/>
          <w:lang w:val="en-US" w:eastAsia="zh-CN"/>
        </w:rPr>
        <w:t>06</w:t>
      </w:r>
      <w:r>
        <w:rPr>
          <w:rFonts w:hint="eastAsia" w:ascii="宋体" w:hAnsi="宋体" w:eastAsia="宋体" w:cs="宋体"/>
          <w:b/>
          <w:bCs/>
          <w:color w:val="auto"/>
          <w:sz w:val="32"/>
          <w:szCs w:val="32"/>
          <w:highlight w:val="none"/>
        </w:rPr>
        <w:t>月</w:t>
      </w:r>
    </w:p>
    <w:p w14:paraId="136D2004">
      <w:pPr>
        <w:bidi w:val="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991FD41">
      <w:pPr>
        <w:adjustRightInd w:val="0"/>
        <w:spacing w:line="360" w:lineRule="auto"/>
        <w:ind w:left="0" w:leftChars="0" w:firstLine="0" w:firstLineChars="0"/>
        <w:jc w:val="center"/>
        <w:textAlignment w:val="baseline"/>
        <w:rPr>
          <w:rFonts w:hint="eastAsia" w:ascii="宋体" w:hAnsi="宋体" w:eastAsia="宋体" w:cs="宋体"/>
          <w:b/>
          <w:color w:val="auto"/>
          <w:sz w:val="52"/>
          <w:szCs w:val="52"/>
          <w:highlight w:val="none"/>
        </w:rPr>
      </w:pPr>
      <w:r>
        <w:rPr>
          <w:rFonts w:hint="eastAsia" w:ascii="宋体" w:hAnsi="宋体" w:eastAsia="宋体" w:cs="宋体"/>
          <w:color w:val="auto"/>
          <w:sz w:val="52"/>
          <w:szCs w:val="52"/>
          <w:highlight w:val="none"/>
        </w:rPr>
        <w:t>目    录</w:t>
      </w:r>
    </w:p>
    <w:p w14:paraId="0F045104">
      <w:pPr>
        <w:pStyle w:val="2"/>
        <w:tabs>
          <w:tab w:val="right" w:leader="dot" w:pos="9690"/>
        </w:tabs>
      </w:pPr>
      <w:r>
        <w:rPr>
          <w:rStyle w:val="77"/>
          <w:rFonts w:hint="eastAsia" w:ascii="宋体" w:hAnsi="宋体" w:eastAsia="宋体" w:cs="宋体"/>
          <w:color w:val="auto"/>
          <w:sz w:val="21"/>
          <w:highlight w:val="none"/>
        </w:rPr>
        <w:fldChar w:fldCharType="begin"/>
      </w:r>
      <w:r>
        <w:rPr>
          <w:rStyle w:val="77"/>
          <w:rFonts w:hint="eastAsia" w:ascii="宋体" w:hAnsi="宋体" w:eastAsia="宋体" w:cs="宋体"/>
          <w:b w:val="0"/>
          <w:bCs w:val="0"/>
          <w:color w:val="auto"/>
          <w:kern w:val="0"/>
          <w:sz w:val="21"/>
          <w:szCs w:val="21"/>
          <w:highlight w:val="none"/>
        </w:rPr>
        <w:instrText xml:space="preserve"> TOC \o "1-3"\h \z \u </w:instrText>
      </w:r>
      <w:r>
        <w:rPr>
          <w:rStyle w:val="77"/>
          <w:rFonts w:hint="eastAsia" w:ascii="宋体" w:hAnsi="宋体" w:eastAsia="宋体" w:cs="宋体"/>
          <w:color w:val="auto"/>
          <w:sz w:val="21"/>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_Toc15780 </w:instrText>
      </w:r>
      <w:r>
        <w:rPr>
          <w:rFonts w:hint="eastAsia" w:ascii="宋体" w:hAnsi="宋体" w:eastAsia="宋体" w:cs="宋体"/>
          <w:highlight w:val="none"/>
        </w:rPr>
        <w:fldChar w:fldCharType="separate"/>
      </w:r>
      <w:r>
        <w:rPr>
          <w:rFonts w:hint="eastAsia" w:ascii="宋体" w:hAnsi="宋体" w:eastAsia="宋体" w:cs="宋体"/>
          <w:highlight w:val="none"/>
        </w:rPr>
        <w:t>第一部分</w:t>
      </w:r>
      <w:r>
        <w:rPr>
          <w:rFonts w:hint="eastAsia" w:ascii="宋体" w:hAnsi="宋体" w:eastAsia="宋体" w:cs="宋体"/>
          <w:highlight w:val="none"/>
          <w:lang w:val="en-US" w:eastAsia="zh-CN"/>
        </w:rPr>
        <w:t xml:space="preserve">  </w:t>
      </w:r>
      <w:r>
        <w:rPr>
          <w:rFonts w:hint="eastAsia" w:ascii="宋体" w:hAnsi="宋体" w:eastAsia="宋体" w:cs="宋体"/>
          <w:highlight w:val="none"/>
        </w:rPr>
        <w:t>竞争性磋商邀请公告</w:t>
      </w:r>
      <w:r>
        <w:tab/>
      </w:r>
      <w:r>
        <w:fldChar w:fldCharType="begin"/>
      </w:r>
      <w:r>
        <w:instrText xml:space="preserve"> PAGEREF _Toc15780 \h </w:instrText>
      </w:r>
      <w:r>
        <w:fldChar w:fldCharType="separate"/>
      </w:r>
      <w:r>
        <w:t>1</w:t>
      </w:r>
      <w:r>
        <w:fldChar w:fldCharType="end"/>
      </w:r>
      <w:r>
        <w:rPr>
          <w:rFonts w:hint="eastAsia" w:ascii="宋体" w:hAnsi="宋体" w:eastAsia="宋体" w:cs="宋体"/>
          <w:color w:val="auto"/>
          <w:highlight w:val="none"/>
        </w:rPr>
        <w:fldChar w:fldCharType="end"/>
      </w:r>
    </w:p>
    <w:p w14:paraId="76812442">
      <w:pPr>
        <w:pStyle w:val="2"/>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_Toc29107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第二部分</w:t>
      </w:r>
      <w:r>
        <w:rPr>
          <w:rFonts w:hint="eastAsia" w:ascii="宋体" w:hAnsi="宋体" w:eastAsia="宋体" w:cs="宋体"/>
          <w:highlight w:val="none"/>
          <w:lang w:val="en-US" w:eastAsia="zh-CN"/>
        </w:rPr>
        <w:t xml:space="preserve">  </w:t>
      </w:r>
      <w:r>
        <w:rPr>
          <w:rFonts w:hint="eastAsia" w:ascii="宋体" w:hAnsi="宋体" w:eastAsia="宋体" w:cs="宋体"/>
          <w:highlight w:val="none"/>
        </w:rPr>
        <w:t>磋商须知前附表</w:t>
      </w:r>
      <w:r>
        <w:tab/>
      </w:r>
      <w:r>
        <w:fldChar w:fldCharType="begin"/>
      </w:r>
      <w:r>
        <w:instrText xml:space="preserve"> PAGEREF _Toc29107 \h </w:instrText>
      </w:r>
      <w:r>
        <w:fldChar w:fldCharType="separate"/>
      </w:r>
      <w:r>
        <w:t>5</w:t>
      </w:r>
      <w:r>
        <w:fldChar w:fldCharType="end"/>
      </w:r>
      <w:r>
        <w:rPr>
          <w:rFonts w:hint="eastAsia" w:ascii="宋体" w:hAnsi="宋体" w:eastAsia="宋体" w:cs="宋体"/>
          <w:bCs w:val="0"/>
          <w:color w:val="auto"/>
          <w:kern w:val="0"/>
          <w:szCs w:val="21"/>
          <w:highlight w:val="none"/>
        </w:rPr>
        <w:fldChar w:fldCharType="end"/>
      </w:r>
    </w:p>
    <w:p w14:paraId="3AB38AD7">
      <w:pPr>
        <w:pStyle w:val="2"/>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_Toc12818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第三部分</w:t>
      </w:r>
      <w:r>
        <w:rPr>
          <w:rFonts w:hint="eastAsia" w:ascii="宋体" w:hAnsi="宋体" w:eastAsia="宋体" w:cs="宋体"/>
          <w:highlight w:val="none"/>
          <w:lang w:val="en-US" w:eastAsia="zh-CN"/>
        </w:rPr>
        <w:t xml:space="preserve">  </w:t>
      </w:r>
      <w:r>
        <w:rPr>
          <w:rFonts w:hint="eastAsia" w:ascii="宋体" w:hAnsi="宋体" w:eastAsia="宋体" w:cs="宋体"/>
          <w:highlight w:val="none"/>
        </w:rPr>
        <w:t>磋商供应商须知</w:t>
      </w:r>
      <w:r>
        <w:tab/>
      </w:r>
      <w:r>
        <w:fldChar w:fldCharType="begin"/>
      </w:r>
      <w:r>
        <w:instrText xml:space="preserve"> PAGEREF _Toc12818 \h </w:instrText>
      </w:r>
      <w:r>
        <w:fldChar w:fldCharType="separate"/>
      </w:r>
      <w:r>
        <w:t>10</w:t>
      </w:r>
      <w:r>
        <w:fldChar w:fldCharType="end"/>
      </w:r>
      <w:r>
        <w:rPr>
          <w:rFonts w:hint="eastAsia" w:ascii="宋体" w:hAnsi="宋体" w:eastAsia="宋体" w:cs="宋体"/>
          <w:bCs w:val="0"/>
          <w:color w:val="auto"/>
          <w:kern w:val="0"/>
          <w:szCs w:val="21"/>
          <w:highlight w:val="none"/>
        </w:rPr>
        <w:fldChar w:fldCharType="end"/>
      </w:r>
    </w:p>
    <w:p w14:paraId="005ABA90">
      <w:pPr>
        <w:pStyle w:val="54"/>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_Toc9599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一、说  明</w:t>
      </w:r>
      <w:r>
        <w:tab/>
      </w:r>
      <w:r>
        <w:fldChar w:fldCharType="begin"/>
      </w:r>
      <w:r>
        <w:instrText xml:space="preserve"> PAGEREF _Toc9599 \h </w:instrText>
      </w:r>
      <w:r>
        <w:fldChar w:fldCharType="separate"/>
      </w:r>
      <w:r>
        <w:t>10</w:t>
      </w:r>
      <w:r>
        <w:fldChar w:fldCharType="end"/>
      </w:r>
      <w:r>
        <w:rPr>
          <w:rFonts w:hint="eastAsia" w:ascii="宋体" w:hAnsi="宋体" w:eastAsia="宋体" w:cs="宋体"/>
          <w:bCs w:val="0"/>
          <w:color w:val="auto"/>
          <w:kern w:val="0"/>
          <w:szCs w:val="21"/>
          <w:highlight w:val="none"/>
        </w:rPr>
        <w:fldChar w:fldCharType="end"/>
      </w:r>
    </w:p>
    <w:p w14:paraId="7D340815">
      <w:pPr>
        <w:pStyle w:val="34"/>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_Toc3852 </w:instrText>
      </w:r>
      <w:r>
        <w:rPr>
          <w:rFonts w:hint="eastAsia" w:ascii="宋体" w:hAnsi="宋体" w:eastAsia="宋体" w:cs="宋体"/>
          <w:bCs w:val="0"/>
          <w:kern w:val="0"/>
          <w:szCs w:val="21"/>
          <w:highlight w:val="none"/>
        </w:rPr>
        <w:fldChar w:fldCharType="separate"/>
      </w:r>
      <w:r>
        <w:rPr>
          <w:rFonts w:hint="eastAsia" w:ascii="宋体" w:hAnsi="宋体" w:eastAsia="宋体" w:cs="宋体"/>
          <w:kern w:val="2"/>
          <w:szCs w:val="30"/>
          <w:highlight w:val="none"/>
          <w:lang w:val="en-US" w:eastAsia="zh-CN" w:bidi="ar-SA"/>
        </w:rPr>
        <w:t>1．</w:t>
      </w:r>
      <w:r>
        <w:rPr>
          <w:rFonts w:hint="eastAsia" w:ascii="宋体" w:hAnsi="宋体" w:eastAsia="宋体" w:cs="宋体"/>
          <w:highlight w:val="none"/>
        </w:rPr>
        <w:t>适用范围</w:t>
      </w:r>
      <w:r>
        <w:tab/>
      </w:r>
      <w:r>
        <w:fldChar w:fldCharType="begin"/>
      </w:r>
      <w:r>
        <w:instrText xml:space="preserve"> PAGEREF _Toc3852 \h </w:instrText>
      </w:r>
      <w:r>
        <w:fldChar w:fldCharType="separate"/>
      </w:r>
      <w:r>
        <w:t>10</w:t>
      </w:r>
      <w:r>
        <w:fldChar w:fldCharType="end"/>
      </w:r>
      <w:r>
        <w:rPr>
          <w:rFonts w:hint="eastAsia" w:ascii="宋体" w:hAnsi="宋体" w:eastAsia="宋体" w:cs="宋体"/>
          <w:bCs w:val="0"/>
          <w:color w:val="auto"/>
          <w:kern w:val="0"/>
          <w:szCs w:val="21"/>
          <w:highlight w:val="none"/>
        </w:rPr>
        <w:fldChar w:fldCharType="end"/>
      </w:r>
    </w:p>
    <w:p w14:paraId="16F0F0B6">
      <w:pPr>
        <w:pStyle w:val="34"/>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_Toc8859 </w:instrText>
      </w:r>
      <w:r>
        <w:rPr>
          <w:rFonts w:hint="eastAsia" w:ascii="宋体" w:hAnsi="宋体" w:eastAsia="宋体" w:cs="宋体"/>
          <w:bCs w:val="0"/>
          <w:kern w:val="0"/>
          <w:szCs w:val="21"/>
          <w:highlight w:val="none"/>
        </w:rPr>
        <w:fldChar w:fldCharType="separate"/>
      </w:r>
      <w:r>
        <w:rPr>
          <w:rFonts w:hint="eastAsia" w:ascii="宋体" w:hAnsi="宋体" w:eastAsia="宋体" w:cs="宋体"/>
          <w:kern w:val="2"/>
          <w:szCs w:val="30"/>
          <w:highlight w:val="none"/>
          <w:lang w:val="en-US" w:eastAsia="zh-CN" w:bidi="ar-SA"/>
        </w:rPr>
        <w:t>2．</w:t>
      </w:r>
      <w:r>
        <w:rPr>
          <w:rFonts w:hint="eastAsia" w:ascii="宋体" w:hAnsi="宋体" w:eastAsia="宋体" w:cs="宋体"/>
          <w:highlight w:val="none"/>
        </w:rPr>
        <w:t>采购方式、合格的</w:t>
      </w:r>
      <w:r>
        <w:rPr>
          <w:rFonts w:hint="eastAsia" w:ascii="宋体" w:hAnsi="宋体" w:eastAsia="宋体" w:cs="宋体"/>
          <w:highlight w:val="none"/>
          <w:lang w:eastAsia="zh-CN"/>
        </w:rPr>
        <w:t>供应商</w:t>
      </w:r>
      <w:r>
        <w:tab/>
      </w:r>
      <w:r>
        <w:fldChar w:fldCharType="begin"/>
      </w:r>
      <w:r>
        <w:instrText xml:space="preserve"> PAGEREF _Toc8859 \h </w:instrText>
      </w:r>
      <w:r>
        <w:fldChar w:fldCharType="separate"/>
      </w:r>
      <w:r>
        <w:t>10</w:t>
      </w:r>
      <w:r>
        <w:fldChar w:fldCharType="end"/>
      </w:r>
      <w:r>
        <w:rPr>
          <w:rFonts w:hint="eastAsia" w:ascii="宋体" w:hAnsi="宋体" w:eastAsia="宋体" w:cs="宋体"/>
          <w:bCs w:val="0"/>
          <w:color w:val="auto"/>
          <w:kern w:val="0"/>
          <w:szCs w:val="21"/>
          <w:highlight w:val="none"/>
        </w:rPr>
        <w:fldChar w:fldCharType="end"/>
      </w:r>
    </w:p>
    <w:p w14:paraId="27038018">
      <w:pPr>
        <w:pStyle w:val="34"/>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_Toc25659 </w:instrText>
      </w:r>
      <w:r>
        <w:rPr>
          <w:rFonts w:hint="eastAsia" w:ascii="宋体" w:hAnsi="宋体" w:eastAsia="宋体" w:cs="宋体"/>
          <w:bCs w:val="0"/>
          <w:kern w:val="0"/>
          <w:szCs w:val="21"/>
          <w:highlight w:val="none"/>
        </w:rPr>
        <w:fldChar w:fldCharType="separate"/>
      </w:r>
      <w:r>
        <w:rPr>
          <w:rFonts w:hint="eastAsia" w:ascii="宋体" w:hAnsi="宋体" w:eastAsia="宋体" w:cs="宋体"/>
          <w:kern w:val="2"/>
          <w:szCs w:val="30"/>
          <w:highlight w:val="none"/>
          <w:lang w:val="en-US" w:eastAsia="zh-CN" w:bidi="ar-SA"/>
        </w:rPr>
        <w:t>3．</w:t>
      </w:r>
      <w:r>
        <w:rPr>
          <w:rFonts w:hint="eastAsia" w:ascii="宋体" w:hAnsi="宋体" w:eastAsia="宋体" w:cs="宋体"/>
          <w:highlight w:val="none"/>
        </w:rPr>
        <w:t>磋商费用</w:t>
      </w:r>
      <w:r>
        <w:tab/>
      </w:r>
      <w:r>
        <w:fldChar w:fldCharType="begin"/>
      </w:r>
      <w:r>
        <w:instrText xml:space="preserve"> PAGEREF _Toc25659 \h </w:instrText>
      </w:r>
      <w:r>
        <w:fldChar w:fldCharType="separate"/>
      </w:r>
      <w:r>
        <w:t>10</w:t>
      </w:r>
      <w:r>
        <w:fldChar w:fldCharType="end"/>
      </w:r>
      <w:r>
        <w:rPr>
          <w:rFonts w:hint="eastAsia" w:ascii="宋体" w:hAnsi="宋体" w:eastAsia="宋体" w:cs="宋体"/>
          <w:bCs w:val="0"/>
          <w:color w:val="auto"/>
          <w:kern w:val="0"/>
          <w:szCs w:val="21"/>
          <w:highlight w:val="none"/>
        </w:rPr>
        <w:fldChar w:fldCharType="end"/>
      </w:r>
    </w:p>
    <w:p w14:paraId="194CD1B0">
      <w:pPr>
        <w:pStyle w:val="54"/>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_Toc9124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二、磋商文件说明</w:t>
      </w:r>
      <w:r>
        <w:tab/>
      </w:r>
      <w:r>
        <w:fldChar w:fldCharType="begin"/>
      </w:r>
      <w:r>
        <w:instrText xml:space="preserve"> PAGEREF _Toc9124 \h </w:instrText>
      </w:r>
      <w:r>
        <w:fldChar w:fldCharType="separate"/>
      </w:r>
      <w:r>
        <w:t>10</w:t>
      </w:r>
      <w:r>
        <w:fldChar w:fldCharType="end"/>
      </w:r>
      <w:r>
        <w:rPr>
          <w:rFonts w:hint="eastAsia" w:ascii="宋体" w:hAnsi="宋体" w:eastAsia="宋体" w:cs="宋体"/>
          <w:bCs w:val="0"/>
          <w:color w:val="auto"/>
          <w:kern w:val="0"/>
          <w:szCs w:val="21"/>
          <w:highlight w:val="none"/>
        </w:rPr>
        <w:fldChar w:fldCharType="end"/>
      </w:r>
    </w:p>
    <w:p w14:paraId="6ED360F8">
      <w:pPr>
        <w:pStyle w:val="34"/>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_Toc11514 </w:instrText>
      </w:r>
      <w:r>
        <w:rPr>
          <w:rFonts w:hint="eastAsia" w:ascii="宋体" w:hAnsi="宋体" w:eastAsia="宋体" w:cs="宋体"/>
          <w:bCs w:val="0"/>
          <w:kern w:val="0"/>
          <w:szCs w:val="21"/>
          <w:highlight w:val="none"/>
        </w:rPr>
        <w:fldChar w:fldCharType="separate"/>
      </w:r>
      <w:r>
        <w:rPr>
          <w:rFonts w:hint="eastAsia" w:ascii="宋体" w:hAnsi="宋体" w:eastAsia="宋体" w:cs="宋体"/>
          <w:kern w:val="2"/>
          <w:szCs w:val="30"/>
          <w:highlight w:val="none"/>
          <w:lang w:val="en-US" w:eastAsia="zh-CN" w:bidi="ar-SA"/>
        </w:rPr>
        <w:t>4．</w:t>
      </w:r>
      <w:r>
        <w:rPr>
          <w:rFonts w:hint="eastAsia" w:ascii="宋体" w:hAnsi="宋体" w:eastAsia="宋体" w:cs="宋体"/>
          <w:highlight w:val="none"/>
        </w:rPr>
        <w:t>磋商文件的构成</w:t>
      </w:r>
      <w:r>
        <w:tab/>
      </w:r>
      <w:r>
        <w:fldChar w:fldCharType="begin"/>
      </w:r>
      <w:r>
        <w:instrText xml:space="preserve"> PAGEREF _Toc11514 \h </w:instrText>
      </w:r>
      <w:r>
        <w:fldChar w:fldCharType="separate"/>
      </w:r>
      <w:r>
        <w:t>10</w:t>
      </w:r>
      <w:r>
        <w:fldChar w:fldCharType="end"/>
      </w:r>
      <w:r>
        <w:rPr>
          <w:rFonts w:hint="eastAsia" w:ascii="宋体" w:hAnsi="宋体" w:eastAsia="宋体" w:cs="宋体"/>
          <w:bCs w:val="0"/>
          <w:color w:val="auto"/>
          <w:kern w:val="0"/>
          <w:szCs w:val="21"/>
          <w:highlight w:val="none"/>
        </w:rPr>
        <w:fldChar w:fldCharType="end"/>
      </w:r>
    </w:p>
    <w:p w14:paraId="7E804A03">
      <w:pPr>
        <w:pStyle w:val="34"/>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_Toc31989 </w:instrText>
      </w:r>
      <w:r>
        <w:rPr>
          <w:rFonts w:hint="eastAsia" w:ascii="宋体" w:hAnsi="宋体" w:eastAsia="宋体" w:cs="宋体"/>
          <w:bCs w:val="0"/>
          <w:kern w:val="0"/>
          <w:szCs w:val="21"/>
          <w:highlight w:val="none"/>
        </w:rPr>
        <w:fldChar w:fldCharType="separate"/>
      </w:r>
      <w:r>
        <w:rPr>
          <w:rFonts w:hint="eastAsia" w:ascii="宋体" w:hAnsi="宋体" w:eastAsia="宋体" w:cs="宋体"/>
          <w:kern w:val="2"/>
          <w:szCs w:val="30"/>
          <w:highlight w:val="none"/>
          <w:lang w:val="en-US" w:eastAsia="zh-CN" w:bidi="ar-SA"/>
        </w:rPr>
        <w:t>5．</w:t>
      </w:r>
      <w:r>
        <w:rPr>
          <w:rFonts w:hint="eastAsia" w:ascii="宋体" w:hAnsi="宋体" w:eastAsia="宋体" w:cs="宋体"/>
          <w:highlight w:val="none"/>
        </w:rPr>
        <w:t>磋商文件的质疑</w:t>
      </w:r>
      <w:r>
        <w:tab/>
      </w:r>
      <w:r>
        <w:fldChar w:fldCharType="begin"/>
      </w:r>
      <w:r>
        <w:instrText xml:space="preserve"> PAGEREF _Toc31989 \h </w:instrText>
      </w:r>
      <w:r>
        <w:fldChar w:fldCharType="separate"/>
      </w:r>
      <w:r>
        <w:t>10</w:t>
      </w:r>
      <w:r>
        <w:fldChar w:fldCharType="end"/>
      </w:r>
      <w:r>
        <w:rPr>
          <w:rFonts w:hint="eastAsia" w:ascii="宋体" w:hAnsi="宋体" w:eastAsia="宋体" w:cs="宋体"/>
          <w:bCs w:val="0"/>
          <w:color w:val="auto"/>
          <w:kern w:val="0"/>
          <w:szCs w:val="21"/>
          <w:highlight w:val="none"/>
        </w:rPr>
        <w:fldChar w:fldCharType="end"/>
      </w:r>
    </w:p>
    <w:p w14:paraId="757C8EF9">
      <w:pPr>
        <w:pStyle w:val="34"/>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_Toc16636 </w:instrText>
      </w:r>
      <w:r>
        <w:rPr>
          <w:rFonts w:hint="eastAsia" w:ascii="宋体" w:hAnsi="宋体" w:eastAsia="宋体" w:cs="宋体"/>
          <w:bCs w:val="0"/>
          <w:kern w:val="0"/>
          <w:szCs w:val="21"/>
          <w:highlight w:val="none"/>
        </w:rPr>
        <w:fldChar w:fldCharType="separate"/>
      </w:r>
      <w:r>
        <w:rPr>
          <w:rFonts w:hint="eastAsia" w:ascii="宋体" w:hAnsi="宋体" w:eastAsia="宋体" w:cs="宋体"/>
          <w:kern w:val="2"/>
          <w:szCs w:val="30"/>
          <w:highlight w:val="none"/>
          <w:lang w:val="en-US" w:eastAsia="zh-CN" w:bidi="ar-SA"/>
        </w:rPr>
        <w:t>6．</w:t>
      </w:r>
      <w:r>
        <w:rPr>
          <w:rFonts w:hint="eastAsia" w:ascii="宋体" w:hAnsi="宋体" w:eastAsia="宋体" w:cs="宋体"/>
          <w:highlight w:val="none"/>
        </w:rPr>
        <w:t>磋商文件的澄清、修改</w:t>
      </w:r>
      <w:r>
        <w:tab/>
      </w:r>
      <w:r>
        <w:fldChar w:fldCharType="begin"/>
      </w:r>
      <w:r>
        <w:instrText xml:space="preserve"> PAGEREF _Toc16636 \h </w:instrText>
      </w:r>
      <w:r>
        <w:fldChar w:fldCharType="separate"/>
      </w:r>
      <w:r>
        <w:t>11</w:t>
      </w:r>
      <w:r>
        <w:fldChar w:fldCharType="end"/>
      </w:r>
      <w:r>
        <w:rPr>
          <w:rFonts w:hint="eastAsia" w:ascii="宋体" w:hAnsi="宋体" w:eastAsia="宋体" w:cs="宋体"/>
          <w:bCs w:val="0"/>
          <w:color w:val="auto"/>
          <w:kern w:val="0"/>
          <w:szCs w:val="21"/>
          <w:highlight w:val="none"/>
        </w:rPr>
        <w:fldChar w:fldCharType="end"/>
      </w:r>
    </w:p>
    <w:p w14:paraId="05BEB79F">
      <w:pPr>
        <w:pStyle w:val="54"/>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_Toc12591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三、磋商响应文件的编制</w:t>
      </w:r>
      <w:r>
        <w:tab/>
      </w:r>
      <w:r>
        <w:fldChar w:fldCharType="begin"/>
      </w:r>
      <w:r>
        <w:instrText xml:space="preserve"> PAGEREF _Toc12591 \h </w:instrText>
      </w:r>
      <w:r>
        <w:fldChar w:fldCharType="separate"/>
      </w:r>
      <w:r>
        <w:t>11</w:t>
      </w:r>
      <w:r>
        <w:fldChar w:fldCharType="end"/>
      </w:r>
      <w:r>
        <w:rPr>
          <w:rFonts w:hint="eastAsia" w:ascii="宋体" w:hAnsi="宋体" w:eastAsia="宋体" w:cs="宋体"/>
          <w:bCs w:val="0"/>
          <w:color w:val="auto"/>
          <w:kern w:val="0"/>
          <w:szCs w:val="21"/>
          <w:highlight w:val="none"/>
        </w:rPr>
        <w:fldChar w:fldCharType="end"/>
      </w:r>
    </w:p>
    <w:p w14:paraId="6E84C2A2">
      <w:pPr>
        <w:pStyle w:val="34"/>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_Toc25393 </w:instrText>
      </w:r>
      <w:r>
        <w:rPr>
          <w:rFonts w:hint="eastAsia" w:ascii="宋体" w:hAnsi="宋体" w:eastAsia="宋体" w:cs="宋体"/>
          <w:bCs w:val="0"/>
          <w:kern w:val="0"/>
          <w:szCs w:val="21"/>
          <w:highlight w:val="none"/>
        </w:rPr>
        <w:fldChar w:fldCharType="separate"/>
      </w:r>
      <w:r>
        <w:rPr>
          <w:rFonts w:hint="eastAsia" w:ascii="宋体" w:hAnsi="宋体" w:eastAsia="宋体" w:cs="宋体"/>
          <w:kern w:val="2"/>
          <w:szCs w:val="30"/>
          <w:highlight w:val="none"/>
          <w:lang w:val="en-US" w:eastAsia="zh-CN" w:bidi="ar-SA"/>
        </w:rPr>
        <w:t>7．</w:t>
      </w:r>
      <w:r>
        <w:rPr>
          <w:rFonts w:hint="eastAsia" w:ascii="宋体" w:hAnsi="宋体" w:eastAsia="宋体" w:cs="宋体"/>
          <w:highlight w:val="none"/>
        </w:rPr>
        <w:t>磋商响应文件的语言及度量衡单位</w:t>
      </w:r>
      <w:r>
        <w:tab/>
      </w:r>
      <w:r>
        <w:fldChar w:fldCharType="begin"/>
      </w:r>
      <w:r>
        <w:instrText xml:space="preserve"> PAGEREF _Toc25393 \h </w:instrText>
      </w:r>
      <w:r>
        <w:fldChar w:fldCharType="separate"/>
      </w:r>
      <w:r>
        <w:t>11</w:t>
      </w:r>
      <w:r>
        <w:fldChar w:fldCharType="end"/>
      </w:r>
      <w:r>
        <w:rPr>
          <w:rFonts w:hint="eastAsia" w:ascii="宋体" w:hAnsi="宋体" w:eastAsia="宋体" w:cs="宋体"/>
          <w:bCs w:val="0"/>
          <w:color w:val="auto"/>
          <w:kern w:val="0"/>
          <w:szCs w:val="21"/>
          <w:highlight w:val="none"/>
        </w:rPr>
        <w:fldChar w:fldCharType="end"/>
      </w:r>
    </w:p>
    <w:p w14:paraId="26A3B67A">
      <w:pPr>
        <w:pStyle w:val="34"/>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_Toc24330 </w:instrText>
      </w:r>
      <w:r>
        <w:rPr>
          <w:rFonts w:hint="eastAsia" w:ascii="宋体" w:hAnsi="宋体" w:eastAsia="宋体" w:cs="宋体"/>
          <w:bCs w:val="0"/>
          <w:kern w:val="0"/>
          <w:szCs w:val="21"/>
          <w:highlight w:val="none"/>
        </w:rPr>
        <w:fldChar w:fldCharType="separate"/>
      </w:r>
      <w:r>
        <w:rPr>
          <w:rFonts w:hint="eastAsia" w:ascii="宋体" w:hAnsi="宋体" w:eastAsia="宋体" w:cs="宋体"/>
          <w:kern w:val="2"/>
          <w:szCs w:val="30"/>
          <w:highlight w:val="none"/>
          <w:lang w:val="en-US" w:eastAsia="zh-CN" w:bidi="ar-SA"/>
        </w:rPr>
        <w:t>8．</w:t>
      </w:r>
      <w:r>
        <w:rPr>
          <w:rFonts w:hint="eastAsia" w:ascii="宋体" w:hAnsi="宋体" w:eastAsia="宋体" w:cs="宋体"/>
          <w:highlight w:val="none"/>
        </w:rPr>
        <w:t>磋商报价及币种</w:t>
      </w:r>
      <w:r>
        <w:tab/>
      </w:r>
      <w:r>
        <w:fldChar w:fldCharType="begin"/>
      </w:r>
      <w:r>
        <w:instrText xml:space="preserve"> PAGEREF _Toc24330 \h </w:instrText>
      </w:r>
      <w:r>
        <w:fldChar w:fldCharType="separate"/>
      </w:r>
      <w:r>
        <w:t>11</w:t>
      </w:r>
      <w:r>
        <w:fldChar w:fldCharType="end"/>
      </w:r>
      <w:r>
        <w:rPr>
          <w:rFonts w:hint="eastAsia" w:ascii="宋体" w:hAnsi="宋体" w:eastAsia="宋体" w:cs="宋体"/>
          <w:bCs w:val="0"/>
          <w:color w:val="auto"/>
          <w:kern w:val="0"/>
          <w:szCs w:val="21"/>
          <w:highlight w:val="none"/>
        </w:rPr>
        <w:fldChar w:fldCharType="end"/>
      </w:r>
    </w:p>
    <w:p w14:paraId="2FD686DE">
      <w:pPr>
        <w:pStyle w:val="34"/>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_Toc10449 </w:instrText>
      </w:r>
      <w:r>
        <w:rPr>
          <w:rFonts w:hint="eastAsia" w:ascii="宋体" w:hAnsi="宋体" w:eastAsia="宋体" w:cs="宋体"/>
          <w:bCs w:val="0"/>
          <w:kern w:val="0"/>
          <w:szCs w:val="21"/>
          <w:highlight w:val="none"/>
        </w:rPr>
        <w:fldChar w:fldCharType="separate"/>
      </w:r>
      <w:r>
        <w:rPr>
          <w:rFonts w:hint="eastAsia" w:ascii="宋体" w:hAnsi="宋体" w:eastAsia="宋体" w:cs="宋体"/>
          <w:kern w:val="2"/>
          <w:szCs w:val="30"/>
          <w:highlight w:val="none"/>
          <w:lang w:val="en-US" w:eastAsia="zh-CN" w:bidi="ar-SA"/>
        </w:rPr>
        <w:t>9．</w:t>
      </w:r>
      <w:r>
        <w:rPr>
          <w:rFonts w:hint="eastAsia" w:ascii="宋体" w:hAnsi="宋体" w:eastAsia="宋体" w:cs="宋体"/>
          <w:highlight w:val="none"/>
        </w:rPr>
        <w:t>磋商有效期</w:t>
      </w:r>
      <w:r>
        <w:tab/>
      </w:r>
      <w:r>
        <w:fldChar w:fldCharType="begin"/>
      </w:r>
      <w:r>
        <w:instrText xml:space="preserve"> PAGEREF _Toc10449 \h </w:instrText>
      </w:r>
      <w:r>
        <w:fldChar w:fldCharType="separate"/>
      </w:r>
      <w:r>
        <w:t>11</w:t>
      </w:r>
      <w:r>
        <w:fldChar w:fldCharType="end"/>
      </w:r>
      <w:r>
        <w:rPr>
          <w:rFonts w:hint="eastAsia" w:ascii="宋体" w:hAnsi="宋体" w:eastAsia="宋体" w:cs="宋体"/>
          <w:bCs w:val="0"/>
          <w:color w:val="auto"/>
          <w:kern w:val="0"/>
          <w:szCs w:val="21"/>
          <w:highlight w:val="none"/>
        </w:rPr>
        <w:fldChar w:fldCharType="end"/>
      </w:r>
    </w:p>
    <w:p w14:paraId="46A6D8D1">
      <w:pPr>
        <w:pStyle w:val="34"/>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_Toc31418 </w:instrText>
      </w:r>
      <w:r>
        <w:rPr>
          <w:rFonts w:hint="eastAsia" w:ascii="宋体" w:hAnsi="宋体" w:eastAsia="宋体" w:cs="宋体"/>
          <w:bCs w:val="0"/>
          <w:kern w:val="0"/>
          <w:szCs w:val="21"/>
          <w:highlight w:val="none"/>
        </w:rPr>
        <w:fldChar w:fldCharType="separate"/>
      </w:r>
      <w:r>
        <w:rPr>
          <w:rFonts w:hint="eastAsia" w:ascii="宋体" w:hAnsi="宋体" w:eastAsia="宋体" w:cs="宋体"/>
          <w:kern w:val="2"/>
          <w:szCs w:val="30"/>
          <w:highlight w:val="none"/>
          <w:lang w:val="en-US" w:eastAsia="zh-CN" w:bidi="ar-SA"/>
        </w:rPr>
        <w:t>10．</w:t>
      </w:r>
      <w:r>
        <w:rPr>
          <w:rFonts w:hint="eastAsia" w:ascii="宋体" w:hAnsi="宋体" w:eastAsia="宋体" w:cs="宋体"/>
          <w:highlight w:val="none"/>
        </w:rPr>
        <w:t>磋商响应文件构成</w:t>
      </w:r>
      <w:r>
        <w:tab/>
      </w:r>
      <w:r>
        <w:fldChar w:fldCharType="begin"/>
      </w:r>
      <w:r>
        <w:instrText xml:space="preserve"> PAGEREF _Toc31418 \h </w:instrText>
      </w:r>
      <w:r>
        <w:fldChar w:fldCharType="separate"/>
      </w:r>
      <w:r>
        <w:t>12</w:t>
      </w:r>
      <w:r>
        <w:fldChar w:fldCharType="end"/>
      </w:r>
      <w:r>
        <w:rPr>
          <w:rFonts w:hint="eastAsia" w:ascii="宋体" w:hAnsi="宋体" w:eastAsia="宋体" w:cs="宋体"/>
          <w:bCs w:val="0"/>
          <w:color w:val="auto"/>
          <w:kern w:val="0"/>
          <w:szCs w:val="21"/>
          <w:highlight w:val="none"/>
        </w:rPr>
        <w:fldChar w:fldCharType="end"/>
      </w:r>
    </w:p>
    <w:p w14:paraId="260D3B9B">
      <w:pPr>
        <w:pStyle w:val="34"/>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_Toc432 </w:instrText>
      </w:r>
      <w:r>
        <w:rPr>
          <w:rFonts w:hint="eastAsia" w:ascii="宋体" w:hAnsi="宋体" w:eastAsia="宋体" w:cs="宋体"/>
          <w:bCs w:val="0"/>
          <w:kern w:val="0"/>
          <w:szCs w:val="21"/>
          <w:highlight w:val="none"/>
        </w:rPr>
        <w:fldChar w:fldCharType="separate"/>
      </w:r>
      <w:r>
        <w:rPr>
          <w:rFonts w:hint="eastAsia" w:ascii="宋体" w:hAnsi="宋体" w:eastAsia="宋体" w:cs="宋体"/>
          <w:kern w:val="2"/>
          <w:szCs w:val="30"/>
          <w:highlight w:val="none"/>
          <w:lang w:val="en-US" w:eastAsia="zh-CN" w:bidi="ar-SA"/>
        </w:rPr>
        <w:t>11．</w:t>
      </w:r>
      <w:r>
        <w:rPr>
          <w:rFonts w:hint="eastAsia" w:ascii="宋体" w:hAnsi="宋体" w:eastAsia="宋体" w:cs="宋体"/>
          <w:highlight w:val="none"/>
        </w:rPr>
        <w:t>磋商响应文件编印和签署</w:t>
      </w:r>
      <w:r>
        <w:tab/>
      </w:r>
      <w:r>
        <w:fldChar w:fldCharType="begin"/>
      </w:r>
      <w:r>
        <w:instrText xml:space="preserve"> PAGEREF _Toc432 \h </w:instrText>
      </w:r>
      <w:r>
        <w:fldChar w:fldCharType="separate"/>
      </w:r>
      <w:r>
        <w:t>12</w:t>
      </w:r>
      <w:r>
        <w:fldChar w:fldCharType="end"/>
      </w:r>
      <w:r>
        <w:rPr>
          <w:rFonts w:hint="eastAsia" w:ascii="宋体" w:hAnsi="宋体" w:eastAsia="宋体" w:cs="宋体"/>
          <w:bCs w:val="0"/>
          <w:color w:val="auto"/>
          <w:kern w:val="0"/>
          <w:szCs w:val="21"/>
          <w:highlight w:val="none"/>
        </w:rPr>
        <w:fldChar w:fldCharType="end"/>
      </w:r>
    </w:p>
    <w:p w14:paraId="17C960EE">
      <w:pPr>
        <w:pStyle w:val="54"/>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_Toc5996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四、磋商响应文件的递交</w:t>
      </w:r>
      <w:r>
        <w:tab/>
      </w:r>
      <w:r>
        <w:fldChar w:fldCharType="begin"/>
      </w:r>
      <w:r>
        <w:instrText xml:space="preserve"> PAGEREF _Toc5996 \h </w:instrText>
      </w:r>
      <w:r>
        <w:fldChar w:fldCharType="separate"/>
      </w:r>
      <w:r>
        <w:t>13</w:t>
      </w:r>
      <w:r>
        <w:fldChar w:fldCharType="end"/>
      </w:r>
      <w:r>
        <w:rPr>
          <w:rFonts w:hint="eastAsia" w:ascii="宋体" w:hAnsi="宋体" w:eastAsia="宋体" w:cs="宋体"/>
          <w:bCs w:val="0"/>
          <w:color w:val="auto"/>
          <w:kern w:val="0"/>
          <w:szCs w:val="21"/>
          <w:highlight w:val="none"/>
        </w:rPr>
        <w:fldChar w:fldCharType="end"/>
      </w:r>
    </w:p>
    <w:p w14:paraId="43F4FE08">
      <w:pPr>
        <w:pStyle w:val="34"/>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_Toc13388 </w:instrText>
      </w:r>
      <w:r>
        <w:rPr>
          <w:rFonts w:hint="eastAsia" w:ascii="宋体" w:hAnsi="宋体" w:eastAsia="宋体" w:cs="宋体"/>
          <w:bCs w:val="0"/>
          <w:kern w:val="0"/>
          <w:szCs w:val="21"/>
          <w:highlight w:val="none"/>
        </w:rPr>
        <w:fldChar w:fldCharType="separate"/>
      </w:r>
      <w:r>
        <w:rPr>
          <w:rFonts w:hint="eastAsia" w:ascii="宋体" w:hAnsi="宋体" w:eastAsia="宋体" w:cs="宋体"/>
          <w:kern w:val="2"/>
          <w:szCs w:val="30"/>
          <w:highlight w:val="none"/>
          <w:lang w:val="en-US" w:eastAsia="zh-CN" w:bidi="ar-SA"/>
        </w:rPr>
        <w:t>12．</w:t>
      </w:r>
      <w:r>
        <w:rPr>
          <w:rFonts w:hint="eastAsia" w:ascii="宋体" w:hAnsi="宋体" w:eastAsia="宋体" w:cs="宋体"/>
          <w:highlight w:val="none"/>
        </w:rPr>
        <w:t>磋商响应文件的密封和标记</w:t>
      </w:r>
      <w:r>
        <w:tab/>
      </w:r>
      <w:r>
        <w:fldChar w:fldCharType="begin"/>
      </w:r>
      <w:r>
        <w:instrText xml:space="preserve"> PAGEREF _Toc13388 \h </w:instrText>
      </w:r>
      <w:r>
        <w:fldChar w:fldCharType="separate"/>
      </w:r>
      <w:r>
        <w:t>13</w:t>
      </w:r>
      <w:r>
        <w:fldChar w:fldCharType="end"/>
      </w:r>
      <w:r>
        <w:rPr>
          <w:rFonts w:hint="eastAsia" w:ascii="宋体" w:hAnsi="宋体" w:eastAsia="宋体" w:cs="宋体"/>
          <w:bCs w:val="0"/>
          <w:color w:val="auto"/>
          <w:kern w:val="0"/>
          <w:szCs w:val="21"/>
          <w:highlight w:val="none"/>
        </w:rPr>
        <w:fldChar w:fldCharType="end"/>
      </w:r>
    </w:p>
    <w:p w14:paraId="2CD174B2">
      <w:pPr>
        <w:pStyle w:val="34"/>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_Toc27041 </w:instrText>
      </w:r>
      <w:r>
        <w:rPr>
          <w:rFonts w:hint="eastAsia" w:ascii="宋体" w:hAnsi="宋体" w:eastAsia="宋体" w:cs="宋体"/>
          <w:bCs w:val="0"/>
          <w:kern w:val="0"/>
          <w:szCs w:val="21"/>
          <w:highlight w:val="none"/>
        </w:rPr>
        <w:fldChar w:fldCharType="separate"/>
      </w:r>
      <w:r>
        <w:rPr>
          <w:rFonts w:hint="eastAsia" w:ascii="宋体" w:hAnsi="宋体" w:eastAsia="宋体" w:cs="宋体"/>
          <w:kern w:val="2"/>
          <w:szCs w:val="30"/>
          <w:highlight w:val="none"/>
          <w:lang w:val="en-US" w:eastAsia="zh-CN" w:bidi="ar-SA"/>
        </w:rPr>
        <w:t>13．</w:t>
      </w:r>
      <w:r>
        <w:rPr>
          <w:rFonts w:hint="eastAsia" w:ascii="宋体" w:hAnsi="宋体" w:eastAsia="宋体" w:cs="宋体"/>
          <w:highlight w:val="none"/>
        </w:rPr>
        <w:t>递送磋商响应文件的地点、截止日期</w:t>
      </w:r>
      <w:r>
        <w:tab/>
      </w:r>
      <w:r>
        <w:fldChar w:fldCharType="begin"/>
      </w:r>
      <w:r>
        <w:instrText xml:space="preserve"> PAGEREF _Toc27041 \h </w:instrText>
      </w:r>
      <w:r>
        <w:fldChar w:fldCharType="separate"/>
      </w:r>
      <w:r>
        <w:t>13</w:t>
      </w:r>
      <w:r>
        <w:fldChar w:fldCharType="end"/>
      </w:r>
      <w:r>
        <w:rPr>
          <w:rFonts w:hint="eastAsia" w:ascii="宋体" w:hAnsi="宋体" w:eastAsia="宋体" w:cs="宋体"/>
          <w:bCs w:val="0"/>
          <w:color w:val="auto"/>
          <w:kern w:val="0"/>
          <w:szCs w:val="21"/>
          <w:highlight w:val="none"/>
        </w:rPr>
        <w:fldChar w:fldCharType="end"/>
      </w:r>
    </w:p>
    <w:p w14:paraId="127D0E5E">
      <w:pPr>
        <w:pStyle w:val="34"/>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_Toc29492 </w:instrText>
      </w:r>
      <w:r>
        <w:rPr>
          <w:rFonts w:hint="eastAsia" w:ascii="宋体" w:hAnsi="宋体" w:eastAsia="宋体" w:cs="宋体"/>
          <w:bCs w:val="0"/>
          <w:kern w:val="0"/>
          <w:szCs w:val="21"/>
          <w:highlight w:val="none"/>
        </w:rPr>
        <w:fldChar w:fldCharType="separate"/>
      </w:r>
      <w:r>
        <w:rPr>
          <w:rFonts w:hint="eastAsia" w:ascii="宋体" w:hAnsi="宋体" w:eastAsia="宋体" w:cs="宋体"/>
          <w:kern w:val="2"/>
          <w:szCs w:val="30"/>
          <w:highlight w:val="none"/>
          <w:lang w:val="en-US" w:eastAsia="zh-CN" w:bidi="ar-SA"/>
        </w:rPr>
        <w:t>14．</w:t>
      </w:r>
      <w:r>
        <w:rPr>
          <w:rFonts w:hint="eastAsia" w:ascii="宋体" w:hAnsi="宋体" w:eastAsia="宋体" w:cs="宋体"/>
          <w:highlight w:val="none"/>
        </w:rPr>
        <w:t>磋商响应文件的撤回</w:t>
      </w:r>
      <w:r>
        <w:tab/>
      </w:r>
      <w:r>
        <w:fldChar w:fldCharType="begin"/>
      </w:r>
      <w:r>
        <w:instrText xml:space="preserve"> PAGEREF _Toc29492 \h </w:instrText>
      </w:r>
      <w:r>
        <w:fldChar w:fldCharType="separate"/>
      </w:r>
      <w:r>
        <w:t>13</w:t>
      </w:r>
      <w:r>
        <w:fldChar w:fldCharType="end"/>
      </w:r>
      <w:r>
        <w:rPr>
          <w:rFonts w:hint="eastAsia" w:ascii="宋体" w:hAnsi="宋体" w:eastAsia="宋体" w:cs="宋体"/>
          <w:bCs w:val="0"/>
          <w:color w:val="auto"/>
          <w:kern w:val="0"/>
          <w:szCs w:val="21"/>
          <w:highlight w:val="none"/>
        </w:rPr>
        <w:fldChar w:fldCharType="end"/>
      </w:r>
    </w:p>
    <w:p w14:paraId="6ED7179A">
      <w:pPr>
        <w:pStyle w:val="54"/>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_Toc12660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五、磋商过程</w:t>
      </w:r>
      <w:r>
        <w:tab/>
      </w:r>
      <w:r>
        <w:fldChar w:fldCharType="begin"/>
      </w:r>
      <w:r>
        <w:instrText xml:space="preserve"> PAGEREF _Toc12660 \h </w:instrText>
      </w:r>
      <w:r>
        <w:fldChar w:fldCharType="separate"/>
      </w:r>
      <w:r>
        <w:t>13</w:t>
      </w:r>
      <w:r>
        <w:fldChar w:fldCharType="end"/>
      </w:r>
      <w:r>
        <w:rPr>
          <w:rFonts w:hint="eastAsia" w:ascii="宋体" w:hAnsi="宋体" w:eastAsia="宋体" w:cs="宋体"/>
          <w:bCs w:val="0"/>
          <w:color w:val="auto"/>
          <w:kern w:val="0"/>
          <w:szCs w:val="21"/>
          <w:highlight w:val="none"/>
        </w:rPr>
        <w:fldChar w:fldCharType="end"/>
      </w:r>
    </w:p>
    <w:p w14:paraId="63A0F9FD">
      <w:pPr>
        <w:pStyle w:val="34"/>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_Toc7863 </w:instrText>
      </w:r>
      <w:r>
        <w:rPr>
          <w:rFonts w:hint="eastAsia" w:ascii="宋体" w:hAnsi="宋体" w:eastAsia="宋体" w:cs="宋体"/>
          <w:bCs w:val="0"/>
          <w:kern w:val="0"/>
          <w:szCs w:val="21"/>
          <w:highlight w:val="none"/>
        </w:rPr>
        <w:fldChar w:fldCharType="separate"/>
      </w:r>
      <w:r>
        <w:rPr>
          <w:rFonts w:hint="eastAsia" w:ascii="宋体" w:hAnsi="宋体" w:eastAsia="宋体" w:cs="宋体"/>
          <w:kern w:val="2"/>
          <w:szCs w:val="30"/>
          <w:highlight w:val="none"/>
          <w:lang w:val="en-US" w:eastAsia="zh-CN" w:bidi="ar-SA"/>
        </w:rPr>
        <w:t>15．</w:t>
      </w:r>
      <w:r>
        <w:rPr>
          <w:rFonts w:hint="eastAsia" w:ascii="宋体" w:hAnsi="宋体" w:eastAsia="宋体" w:cs="宋体"/>
          <w:highlight w:val="none"/>
        </w:rPr>
        <w:t>磋商过程</w:t>
      </w:r>
      <w:r>
        <w:tab/>
      </w:r>
      <w:r>
        <w:fldChar w:fldCharType="begin"/>
      </w:r>
      <w:r>
        <w:instrText xml:space="preserve"> PAGEREF _Toc7863 \h </w:instrText>
      </w:r>
      <w:r>
        <w:fldChar w:fldCharType="separate"/>
      </w:r>
      <w:r>
        <w:t>13</w:t>
      </w:r>
      <w:r>
        <w:fldChar w:fldCharType="end"/>
      </w:r>
      <w:r>
        <w:rPr>
          <w:rFonts w:hint="eastAsia" w:ascii="宋体" w:hAnsi="宋体" w:eastAsia="宋体" w:cs="宋体"/>
          <w:bCs w:val="0"/>
          <w:color w:val="auto"/>
          <w:kern w:val="0"/>
          <w:szCs w:val="21"/>
          <w:highlight w:val="none"/>
        </w:rPr>
        <w:fldChar w:fldCharType="end"/>
      </w:r>
    </w:p>
    <w:p w14:paraId="3F734092">
      <w:pPr>
        <w:pStyle w:val="54"/>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_Toc29716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六、磋商程序及方法</w:t>
      </w:r>
      <w:r>
        <w:tab/>
      </w:r>
      <w:r>
        <w:fldChar w:fldCharType="begin"/>
      </w:r>
      <w:r>
        <w:instrText xml:space="preserve"> PAGEREF _Toc29716 \h </w:instrText>
      </w:r>
      <w:r>
        <w:fldChar w:fldCharType="separate"/>
      </w:r>
      <w:r>
        <w:t>14</w:t>
      </w:r>
      <w:r>
        <w:fldChar w:fldCharType="end"/>
      </w:r>
      <w:r>
        <w:rPr>
          <w:rFonts w:hint="eastAsia" w:ascii="宋体" w:hAnsi="宋体" w:eastAsia="宋体" w:cs="宋体"/>
          <w:bCs w:val="0"/>
          <w:color w:val="auto"/>
          <w:kern w:val="0"/>
          <w:szCs w:val="21"/>
          <w:highlight w:val="none"/>
        </w:rPr>
        <w:fldChar w:fldCharType="end"/>
      </w:r>
    </w:p>
    <w:p w14:paraId="0C2C0026">
      <w:pPr>
        <w:pStyle w:val="34"/>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_Toc7422 </w:instrText>
      </w:r>
      <w:r>
        <w:rPr>
          <w:rFonts w:hint="eastAsia" w:ascii="宋体" w:hAnsi="宋体" w:eastAsia="宋体" w:cs="宋体"/>
          <w:bCs w:val="0"/>
          <w:kern w:val="0"/>
          <w:szCs w:val="21"/>
          <w:highlight w:val="none"/>
        </w:rPr>
        <w:fldChar w:fldCharType="separate"/>
      </w:r>
      <w:r>
        <w:rPr>
          <w:rFonts w:hint="eastAsia" w:ascii="宋体" w:hAnsi="宋体" w:eastAsia="宋体" w:cs="宋体"/>
          <w:kern w:val="2"/>
          <w:szCs w:val="30"/>
          <w:highlight w:val="none"/>
          <w:lang w:val="en-US" w:eastAsia="zh-CN" w:bidi="ar-SA"/>
        </w:rPr>
        <w:t>16．</w:t>
      </w:r>
      <w:r>
        <w:rPr>
          <w:rFonts w:hint="eastAsia" w:ascii="宋体" w:hAnsi="宋体" w:eastAsia="宋体" w:cs="宋体"/>
          <w:highlight w:val="none"/>
        </w:rPr>
        <w:t>磋商小组</w:t>
      </w:r>
      <w:r>
        <w:tab/>
      </w:r>
      <w:r>
        <w:fldChar w:fldCharType="begin"/>
      </w:r>
      <w:r>
        <w:instrText xml:space="preserve"> PAGEREF _Toc7422 \h </w:instrText>
      </w:r>
      <w:r>
        <w:fldChar w:fldCharType="separate"/>
      </w:r>
      <w:r>
        <w:t>14</w:t>
      </w:r>
      <w:r>
        <w:fldChar w:fldCharType="end"/>
      </w:r>
      <w:r>
        <w:rPr>
          <w:rFonts w:hint="eastAsia" w:ascii="宋体" w:hAnsi="宋体" w:eastAsia="宋体" w:cs="宋体"/>
          <w:bCs w:val="0"/>
          <w:color w:val="auto"/>
          <w:kern w:val="0"/>
          <w:szCs w:val="21"/>
          <w:highlight w:val="none"/>
        </w:rPr>
        <w:fldChar w:fldCharType="end"/>
      </w:r>
    </w:p>
    <w:p w14:paraId="0971215D">
      <w:pPr>
        <w:pStyle w:val="34"/>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_Toc26095 </w:instrText>
      </w:r>
      <w:r>
        <w:rPr>
          <w:rFonts w:hint="eastAsia" w:ascii="宋体" w:hAnsi="宋体" w:eastAsia="宋体" w:cs="宋体"/>
          <w:bCs w:val="0"/>
          <w:kern w:val="0"/>
          <w:szCs w:val="21"/>
          <w:highlight w:val="none"/>
        </w:rPr>
        <w:fldChar w:fldCharType="separate"/>
      </w:r>
      <w:r>
        <w:rPr>
          <w:rFonts w:hint="eastAsia" w:ascii="宋体" w:hAnsi="宋体" w:eastAsia="宋体" w:cs="宋体"/>
          <w:kern w:val="2"/>
          <w:szCs w:val="30"/>
          <w:highlight w:val="none"/>
          <w:lang w:val="en-US" w:eastAsia="zh-CN" w:bidi="ar-SA"/>
        </w:rPr>
        <w:t>17．</w:t>
      </w:r>
      <w:r>
        <w:rPr>
          <w:rFonts w:hint="eastAsia" w:ascii="宋体" w:hAnsi="宋体" w:eastAsia="宋体" w:cs="宋体"/>
          <w:highlight w:val="none"/>
        </w:rPr>
        <w:t>磋商程序</w:t>
      </w:r>
      <w:r>
        <w:tab/>
      </w:r>
      <w:r>
        <w:fldChar w:fldCharType="begin"/>
      </w:r>
      <w:r>
        <w:instrText xml:space="preserve"> PAGEREF _Toc26095 \h </w:instrText>
      </w:r>
      <w:r>
        <w:fldChar w:fldCharType="separate"/>
      </w:r>
      <w:r>
        <w:t>14</w:t>
      </w:r>
      <w:r>
        <w:fldChar w:fldCharType="end"/>
      </w:r>
      <w:r>
        <w:rPr>
          <w:rFonts w:hint="eastAsia" w:ascii="宋体" w:hAnsi="宋体" w:eastAsia="宋体" w:cs="宋体"/>
          <w:bCs w:val="0"/>
          <w:color w:val="auto"/>
          <w:kern w:val="0"/>
          <w:szCs w:val="21"/>
          <w:highlight w:val="none"/>
        </w:rPr>
        <w:fldChar w:fldCharType="end"/>
      </w:r>
    </w:p>
    <w:p w14:paraId="0C272D60">
      <w:pPr>
        <w:pStyle w:val="34"/>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_Toc17403 </w:instrText>
      </w:r>
      <w:r>
        <w:rPr>
          <w:rFonts w:hint="eastAsia" w:ascii="宋体" w:hAnsi="宋体" w:eastAsia="宋体" w:cs="宋体"/>
          <w:bCs w:val="0"/>
          <w:kern w:val="0"/>
          <w:szCs w:val="21"/>
          <w:highlight w:val="none"/>
        </w:rPr>
        <w:fldChar w:fldCharType="separate"/>
      </w:r>
      <w:r>
        <w:rPr>
          <w:rFonts w:hint="eastAsia" w:ascii="宋体" w:hAnsi="宋体" w:eastAsia="宋体" w:cs="宋体"/>
          <w:kern w:val="2"/>
          <w:szCs w:val="30"/>
          <w:highlight w:val="none"/>
          <w:lang w:val="en-US" w:eastAsia="zh-CN" w:bidi="ar-SA"/>
        </w:rPr>
        <w:t>18．</w:t>
      </w:r>
      <w:r>
        <w:rPr>
          <w:rFonts w:hint="eastAsia" w:ascii="宋体" w:hAnsi="宋体" w:eastAsia="宋体" w:cs="宋体"/>
          <w:highlight w:val="none"/>
        </w:rPr>
        <w:t>评审办法</w:t>
      </w:r>
      <w:r>
        <w:tab/>
      </w:r>
      <w:r>
        <w:fldChar w:fldCharType="begin"/>
      </w:r>
      <w:r>
        <w:instrText xml:space="preserve"> PAGEREF _Toc17403 \h </w:instrText>
      </w:r>
      <w:r>
        <w:fldChar w:fldCharType="separate"/>
      </w:r>
      <w:r>
        <w:t>17</w:t>
      </w:r>
      <w:r>
        <w:fldChar w:fldCharType="end"/>
      </w:r>
      <w:r>
        <w:rPr>
          <w:rFonts w:hint="eastAsia" w:ascii="宋体" w:hAnsi="宋体" w:eastAsia="宋体" w:cs="宋体"/>
          <w:bCs w:val="0"/>
          <w:color w:val="auto"/>
          <w:kern w:val="0"/>
          <w:szCs w:val="21"/>
          <w:highlight w:val="none"/>
        </w:rPr>
        <w:fldChar w:fldCharType="end"/>
      </w:r>
    </w:p>
    <w:p w14:paraId="6B9439C3">
      <w:pPr>
        <w:pStyle w:val="54"/>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_Toc13162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七、确定成交供应商</w:t>
      </w:r>
      <w:r>
        <w:tab/>
      </w:r>
      <w:r>
        <w:fldChar w:fldCharType="begin"/>
      </w:r>
      <w:r>
        <w:instrText xml:space="preserve"> PAGEREF _Toc13162 \h </w:instrText>
      </w:r>
      <w:r>
        <w:fldChar w:fldCharType="separate"/>
      </w:r>
      <w:r>
        <w:t>20</w:t>
      </w:r>
      <w:r>
        <w:fldChar w:fldCharType="end"/>
      </w:r>
      <w:r>
        <w:rPr>
          <w:rFonts w:hint="eastAsia" w:ascii="宋体" w:hAnsi="宋体" w:eastAsia="宋体" w:cs="宋体"/>
          <w:bCs w:val="0"/>
          <w:color w:val="auto"/>
          <w:kern w:val="0"/>
          <w:szCs w:val="21"/>
          <w:highlight w:val="none"/>
        </w:rPr>
        <w:fldChar w:fldCharType="end"/>
      </w:r>
    </w:p>
    <w:p w14:paraId="7D6D1C56">
      <w:pPr>
        <w:pStyle w:val="34"/>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_Toc27606 </w:instrText>
      </w:r>
      <w:r>
        <w:rPr>
          <w:rFonts w:hint="eastAsia" w:ascii="宋体" w:hAnsi="宋体" w:eastAsia="宋体" w:cs="宋体"/>
          <w:bCs w:val="0"/>
          <w:kern w:val="0"/>
          <w:szCs w:val="21"/>
          <w:highlight w:val="none"/>
        </w:rPr>
        <w:fldChar w:fldCharType="separate"/>
      </w:r>
      <w:r>
        <w:rPr>
          <w:rFonts w:hint="eastAsia" w:ascii="宋体" w:hAnsi="宋体" w:eastAsia="宋体" w:cs="宋体"/>
          <w:kern w:val="2"/>
          <w:szCs w:val="30"/>
          <w:highlight w:val="none"/>
          <w:lang w:val="en-US" w:eastAsia="zh-CN" w:bidi="ar-SA"/>
        </w:rPr>
        <w:t>19．</w:t>
      </w:r>
      <w:r>
        <w:rPr>
          <w:rFonts w:hint="eastAsia" w:ascii="宋体" w:hAnsi="宋体" w:eastAsia="宋体" w:cs="宋体"/>
          <w:highlight w:val="none"/>
        </w:rPr>
        <w:t>推荐并确定成交供应商</w:t>
      </w:r>
      <w:r>
        <w:tab/>
      </w:r>
      <w:r>
        <w:fldChar w:fldCharType="begin"/>
      </w:r>
      <w:r>
        <w:instrText xml:space="preserve"> PAGEREF _Toc27606 \h </w:instrText>
      </w:r>
      <w:r>
        <w:fldChar w:fldCharType="separate"/>
      </w:r>
      <w:r>
        <w:t>20</w:t>
      </w:r>
      <w:r>
        <w:fldChar w:fldCharType="end"/>
      </w:r>
      <w:r>
        <w:rPr>
          <w:rFonts w:hint="eastAsia" w:ascii="宋体" w:hAnsi="宋体" w:eastAsia="宋体" w:cs="宋体"/>
          <w:bCs w:val="0"/>
          <w:color w:val="auto"/>
          <w:kern w:val="0"/>
          <w:szCs w:val="21"/>
          <w:highlight w:val="none"/>
        </w:rPr>
        <w:fldChar w:fldCharType="end"/>
      </w:r>
    </w:p>
    <w:p w14:paraId="1FA26A20">
      <w:pPr>
        <w:pStyle w:val="34"/>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_Toc1045 </w:instrText>
      </w:r>
      <w:r>
        <w:rPr>
          <w:rFonts w:hint="eastAsia" w:ascii="宋体" w:hAnsi="宋体" w:eastAsia="宋体" w:cs="宋体"/>
          <w:bCs w:val="0"/>
          <w:kern w:val="0"/>
          <w:szCs w:val="21"/>
          <w:highlight w:val="none"/>
        </w:rPr>
        <w:fldChar w:fldCharType="separate"/>
      </w:r>
      <w:r>
        <w:rPr>
          <w:rFonts w:hint="eastAsia" w:ascii="宋体" w:hAnsi="宋体" w:eastAsia="宋体" w:cs="宋体"/>
          <w:kern w:val="2"/>
          <w:szCs w:val="30"/>
          <w:highlight w:val="none"/>
          <w:lang w:val="en-US" w:eastAsia="zh-CN" w:bidi="ar-SA"/>
        </w:rPr>
        <w:t>20．</w:t>
      </w:r>
      <w:r>
        <w:rPr>
          <w:rFonts w:hint="eastAsia" w:ascii="宋体" w:hAnsi="宋体" w:eastAsia="宋体" w:cs="宋体"/>
          <w:highlight w:val="none"/>
        </w:rPr>
        <w:t>成交通知</w:t>
      </w:r>
      <w:r>
        <w:tab/>
      </w:r>
      <w:r>
        <w:fldChar w:fldCharType="begin"/>
      </w:r>
      <w:r>
        <w:instrText xml:space="preserve"> PAGEREF _Toc1045 \h </w:instrText>
      </w:r>
      <w:r>
        <w:fldChar w:fldCharType="separate"/>
      </w:r>
      <w:r>
        <w:t>20</w:t>
      </w:r>
      <w:r>
        <w:fldChar w:fldCharType="end"/>
      </w:r>
      <w:r>
        <w:rPr>
          <w:rFonts w:hint="eastAsia" w:ascii="宋体" w:hAnsi="宋体" w:eastAsia="宋体" w:cs="宋体"/>
          <w:bCs w:val="0"/>
          <w:color w:val="auto"/>
          <w:kern w:val="0"/>
          <w:szCs w:val="21"/>
          <w:highlight w:val="none"/>
        </w:rPr>
        <w:fldChar w:fldCharType="end"/>
      </w:r>
    </w:p>
    <w:p w14:paraId="43F64366">
      <w:pPr>
        <w:pStyle w:val="54"/>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_Toc13761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八、授予合同</w:t>
      </w:r>
      <w:r>
        <w:tab/>
      </w:r>
      <w:r>
        <w:fldChar w:fldCharType="begin"/>
      </w:r>
      <w:r>
        <w:instrText xml:space="preserve"> PAGEREF _Toc13761 \h </w:instrText>
      </w:r>
      <w:r>
        <w:fldChar w:fldCharType="separate"/>
      </w:r>
      <w:r>
        <w:t>20</w:t>
      </w:r>
      <w:r>
        <w:fldChar w:fldCharType="end"/>
      </w:r>
      <w:r>
        <w:rPr>
          <w:rFonts w:hint="eastAsia" w:ascii="宋体" w:hAnsi="宋体" w:eastAsia="宋体" w:cs="宋体"/>
          <w:bCs w:val="0"/>
          <w:color w:val="auto"/>
          <w:kern w:val="0"/>
          <w:szCs w:val="21"/>
          <w:highlight w:val="none"/>
        </w:rPr>
        <w:fldChar w:fldCharType="end"/>
      </w:r>
    </w:p>
    <w:p w14:paraId="21CF10F5">
      <w:pPr>
        <w:pStyle w:val="34"/>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_Toc13496 </w:instrText>
      </w:r>
      <w:r>
        <w:rPr>
          <w:rFonts w:hint="eastAsia" w:ascii="宋体" w:hAnsi="宋体" w:eastAsia="宋体" w:cs="宋体"/>
          <w:bCs w:val="0"/>
          <w:kern w:val="0"/>
          <w:szCs w:val="21"/>
          <w:highlight w:val="none"/>
        </w:rPr>
        <w:fldChar w:fldCharType="separate"/>
      </w:r>
      <w:r>
        <w:rPr>
          <w:rFonts w:hint="eastAsia" w:ascii="宋体" w:hAnsi="宋体" w:eastAsia="宋体" w:cs="宋体"/>
          <w:kern w:val="2"/>
          <w:szCs w:val="30"/>
          <w:highlight w:val="none"/>
          <w:lang w:val="en-US" w:eastAsia="zh-CN" w:bidi="ar-SA"/>
        </w:rPr>
        <w:t>21．</w:t>
      </w:r>
      <w:r>
        <w:rPr>
          <w:rFonts w:hint="eastAsia" w:ascii="宋体" w:hAnsi="宋体" w:eastAsia="宋体" w:cs="宋体"/>
          <w:highlight w:val="none"/>
        </w:rPr>
        <w:t>签订合同</w:t>
      </w:r>
      <w:r>
        <w:tab/>
      </w:r>
      <w:r>
        <w:fldChar w:fldCharType="begin"/>
      </w:r>
      <w:r>
        <w:instrText xml:space="preserve"> PAGEREF _Toc13496 \h </w:instrText>
      </w:r>
      <w:r>
        <w:fldChar w:fldCharType="separate"/>
      </w:r>
      <w:r>
        <w:t>20</w:t>
      </w:r>
      <w:r>
        <w:fldChar w:fldCharType="end"/>
      </w:r>
      <w:r>
        <w:rPr>
          <w:rFonts w:hint="eastAsia" w:ascii="宋体" w:hAnsi="宋体" w:eastAsia="宋体" w:cs="宋体"/>
          <w:bCs w:val="0"/>
          <w:color w:val="auto"/>
          <w:kern w:val="0"/>
          <w:szCs w:val="21"/>
          <w:highlight w:val="none"/>
        </w:rPr>
        <w:fldChar w:fldCharType="end"/>
      </w:r>
    </w:p>
    <w:p w14:paraId="3EFC5F26">
      <w:pPr>
        <w:pStyle w:val="54"/>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_Toc12880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九、磋商活动终止</w:t>
      </w:r>
      <w:r>
        <w:tab/>
      </w:r>
      <w:r>
        <w:fldChar w:fldCharType="begin"/>
      </w:r>
      <w:r>
        <w:instrText xml:space="preserve"> PAGEREF _Toc12880 \h </w:instrText>
      </w:r>
      <w:r>
        <w:fldChar w:fldCharType="separate"/>
      </w:r>
      <w:r>
        <w:t>21</w:t>
      </w:r>
      <w:r>
        <w:fldChar w:fldCharType="end"/>
      </w:r>
      <w:r>
        <w:rPr>
          <w:rFonts w:hint="eastAsia" w:ascii="宋体" w:hAnsi="宋体" w:eastAsia="宋体" w:cs="宋体"/>
          <w:bCs w:val="0"/>
          <w:color w:val="auto"/>
          <w:kern w:val="0"/>
          <w:szCs w:val="21"/>
          <w:highlight w:val="none"/>
        </w:rPr>
        <w:fldChar w:fldCharType="end"/>
      </w:r>
    </w:p>
    <w:p w14:paraId="243E277E">
      <w:pPr>
        <w:pStyle w:val="34"/>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_Toc26299 </w:instrText>
      </w:r>
      <w:r>
        <w:rPr>
          <w:rFonts w:hint="eastAsia" w:ascii="宋体" w:hAnsi="宋体" w:eastAsia="宋体" w:cs="宋体"/>
          <w:bCs w:val="0"/>
          <w:kern w:val="0"/>
          <w:szCs w:val="21"/>
          <w:highlight w:val="none"/>
        </w:rPr>
        <w:fldChar w:fldCharType="separate"/>
      </w:r>
      <w:r>
        <w:rPr>
          <w:rFonts w:hint="eastAsia" w:ascii="宋体" w:hAnsi="宋体" w:eastAsia="宋体" w:cs="宋体"/>
          <w:kern w:val="2"/>
          <w:szCs w:val="30"/>
          <w:highlight w:val="none"/>
          <w:lang w:val="en-US" w:eastAsia="zh-CN" w:bidi="ar-SA"/>
        </w:rPr>
        <w:t>22．</w:t>
      </w:r>
      <w:r>
        <w:rPr>
          <w:rFonts w:hint="eastAsia" w:ascii="宋体" w:hAnsi="宋体" w:eastAsia="宋体" w:cs="宋体"/>
          <w:highlight w:val="none"/>
        </w:rPr>
        <w:t>终止情形</w:t>
      </w:r>
      <w:r>
        <w:tab/>
      </w:r>
      <w:r>
        <w:fldChar w:fldCharType="begin"/>
      </w:r>
      <w:r>
        <w:instrText xml:space="preserve"> PAGEREF _Toc26299 \h </w:instrText>
      </w:r>
      <w:r>
        <w:fldChar w:fldCharType="separate"/>
      </w:r>
      <w:r>
        <w:t>21</w:t>
      </w:r>
      <w:r>
        <w:fldChar w:fldCharType="end"/>
      </w:r>
      <w:r>
        <w:rPr>
          <w:rFonts w:hint="eastAsia" w:ascii="宋体" w:hAnsi="宋体" w:eastAsia="宋体" w:cs="宋体"/>
          <w:bCs w:val="0"/>
          <w:color w:val="auto"/>
          <w:kern w:val="0"/>
          <w:szCs w:val="21"/>
          <w:highlight w:val="none"/>
        </w:rPr>
        <w:fldChar w:fldCharType="end"/>
      </w:r>
    </w:p>
    <w:p w14:paraId="56C856D2">
      <w:pPr>
        <w:pStyle w:val="54"/>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_Toc11222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十、处罚</w:t>
      </w:r>
      <w:r>
        <w:tab/>
      </w:r>
      <w:r>
        <w:fldChar w:fldCharType="begin"/>
      </w:r>
      <w:r>
        <w:instrText xml:space="preserve"> PAGEREF _Toc11222 \h </w:instrText>
      </w:r>
      <w:r>
        <w:fldChar w:fldCharType="separate"/>
      </w:r>
      <w:r>
        <w:t>21</w:t>
      </w:r>
      <w:r>
        <w:fldChar w:fldCharType="end"/>
      </w:r>
      <w:r>
        <w:rPr>
          <w:rFonts w:hint="eastAsia" w:ascii="宋体" w:hAnsi="宋体" w:eastAsia="宋体" w:cs="宋体"/>
          <w:bCs w:val="0"/>
          <w:color w:val="auto"/>
          <w:kern w:val="0"/>
          <w:szCs w:val="21"/>
          <w:highlight w:val="none"/>
        </w:rPr>
        <w:fldChar w:fldCharType="end"/>
      </w:r>
    </w:p>
    <w:p w14:paraId="484756FD">
      <w:pPr>
        <w:pStyle w:val="34"/>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_Toc14243 </w:instrText>
      </w:r>
      <w:r>
        <w:rPr>
          <w:rFonts w:hint="eastAsia" w:ascii="宋体" w:hAnsi="宋体" w:eastAsia="宋体" w:cs="宋体"/>
          <w:bCs w:val="0"/>
          <w:kern w:val="0"/>
          <w:szCs w:val="21"/>
          <w:highlight w:val="none"/>
        </w:rPr>
        <w:fldChar w:fldCharType="separate"/>
      </w:r>
      <w:r>
        <w:rPr>
          <w:rFonts w:hint="eastAsia" w:ascii="宋体" w:hAnsi="宋体" w:eastAsia="宋体" w:cs="宋体"/>
          <w:kern w:val="2"/>
          <w:szCs w:val="30"/>
          <w:highlight w:val="none"/>
          <w:lang w:val="en-US" w:eastAsia="zh-CN" w:bidi="ar-SA"/>
        </w:rPr>
        <w:t>23．</w:t>
      </w:r>
      <w:r>
        <w:rPr>
          <w:rFonts w:hint="eastAsia" w:ascii="宋体" w:hAnsi="宋体" w:eastAsia="宋体" w:cs="宋体"/>
          <w:highlight w:val="none"/>
        </w:rPr>
        <w:t>处罚情形</w:t>
      </w:r>
      <w:r>
        <w:tab/>
      </w:r>
      <w:r>
        <w:fldChar w:fldCharType="begin"/>
      </w:r>
      <w:r>
        <w:instrText xml:space="preserve"> PAGEREF _Toc14243 \h </w:instrText>
      </w:r>
      <w:r>
        <w:fldChar w:fldCharType="separate"/>
      </w:r>
      <w:r>
        <w:t>21</w:t>
      </w:r>
      <w:r>
        <w:fldChar w:fldCharType="end"/>
      </w:r>
      <w:r>
        <w:rPr>
          <w:rFonts w:hint="eastAsia" w:ascii="宋体" w:hAnsi="宋体" w:eastAsia="宋体" w:cs="宋体"/>
          <w:bCs w:val="0"/>
          <w:color w:val="auto"/>
          <w:kern w:val="0"/>
          <w:szCs w:val="21"/>
          <w:highlight w:val="none"/>
        </w:rPr>
        <w:fldChar w:fldCharType="end"/>
      </w:r>
    </w:p>
    <w:p w14:paraId="70B6A4E8">
      <w:pPr>
        <w:pStyle w:val="54"/>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_Toc15438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十一、其他</w:t>
      </w:r>
      <w:r>
        <w:tab/>
      </w:r>
      <w:r>
        <w:fldChar w:fldCharType="begin"/>
      </w:r>
      <w:r>
        <w:instrText xml:space="preserve"> PAGEREF _Toc15438 \h </w:instrText>
      </w:r>
      <w:r>
        <w:fldChar w:fldCharType="separate"/>
      </w:r>
      <w:r>
        <w:t>21</w:t>
      </w:r>
      <w:r>
        <w:fldChar w:fldCharType="end"/>
      </w:r>
      <w:r>
        <w:rPr>
          <w:rFonts w:hint="eastAsia" w:ascii="宋体" w:hAnsi="宋体" w:eastAsia="宋体" w:cs="宋体"/>
          <w:bCs w:val="0"/>
          <w:color w:val="auto"/>
          <w:kern w:val="0"/>
          <w:szCs w:val="21"/>
          <w:highlight w:val="none"/>
        </w:rPr>
        <w:fldChar w:fldCharType="end"/>
      </w:r>
    </w:p>
    <w:p w14:paraId="2BCAE4D4">
      <w:pPr>
        <w:pStyle w:val="2"/>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_Toc18889 </w:instrText>
      </w:r>
      <w:r>
        <w:rPr>
          <w:rFonts w:hint="eastAsia" w:ascii="宋体" w:hAnsi="宋体" w:eastAsia="宋体" w:cs="宋体"/>
          <w:bCs w:val="0"/>
          <w:kern w:val="0"/>
          <w:szCs w:val="21"/>
          <w:highlight w:val="none"/>
        </w:rPr>
        <w:fldChar w:fldCharType="separate"/>
      </w:r>
      <w:r>
        <w:rPr>
          <w:rFonts w:hint="eastAsia" w:ascii="宋体" w:hAnsi="宋体" w:eastAsia="宋体" w:cs="宋体"/>
          <w:szCs w:val="60"/>
          <w:highlight w:val="none"/>
        </w:rPr>
        <w:t>第四部分</w:t>
      </w:r>
      <w:r>
        <w:rPr>
          <w:rFonts w:hint="eastAsia" w:ascii="宋体" w:hAnsi="宋体" w:eastAsia="宋体" w:cs="宋体"/>
          <w:szCs w:val="60"/>
          <w:highlight w:val="none"/>
          <w:lang w:val="en-US" w:eastAsia="zh-CN"/>
        </w:rPr>
        <w:t xml:space="preserve">  </w:t>
      </w:r>
      <w:r>
        <w:rPr>
          <w:rFonts w:hint="eastAsia" w:ascii="宋体" w:hAnsi="宋体" w:eastAsia="宋体" w:cs="宋体"/>
          <w:szCs w:val="60"/>
          <w:highlight w:val="none"/>
        </w:rPr>
        <w:t>青海省政府采购项目合同书范本</w:t>
      </w:r>
      <w:r>
        <w:tab/>
      </w:r>
      <w:r>
        <w:fldChar w:fldCharType="begin"/>
      </w:r>
      <w:r>
        <w:instrText xml:space="preserve"> PAGEREF _Toc18889 \h </w:instrText>
      </w:r>
      <w:r>
        <w:fldChar w:fldCharType="separate"/>
      </w:r>
      <w:r>
        <w:t>22</w:t>
      </w:r>
      <w:r>
        <w:fldChar w:fldCharType="end"/>
      </w:r>
      <w:r>
        <w:rPr>
          <w:rFonts w:hint="eastAsia" w:ascii="宋体" w:hAnsi="宋体" w:eastAsia="宋体" w:cs="宋体"/>
          <w:bCs w:val="0"/>
          <w:color w:val="auto"/>
          <w:kern w:val="0"/>
          <w:szCs w:val="21"/>
          <w:highlight w:val="none"/>
        </w:rPr>
        <w:fldChar w:fldCharType="end"/>
      </w:r>
    </w:p>
    <w:p w14:paraId="3A13F360">
      <w:pPr>
        <w:pStyle w:val="2"/>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_Toc21460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第五部分</w:t>
      </w:r>
      <w:r>
        <w:rPr>
          <w:rFonts w:hint="eastAsia" w:ascii="宋体" w:hAnsi="宋体" w:eastAsia="宋体" w:cs="宋体"/>
          <w:highlight w:val="none"/>
          <w:lang w:val="en-US" w:eastAsia="zh-CN"/>
        </w:rPr>
        <w:t xml:space="preserve">  </w:t>
      </w:r>
      <w:r>
        <w:rPr>
          <w:rFonts w:hint="eastAsia" w:ascii="宋体" w:hAnsi="宋体" w:eastAsia="宋体" w:cs="宋体"/>
          <w:highlight w:val="none"/>
        </w:rPr>
        <w:t>磋商响应文件格式</w:t>
      </w:r>
      <w:r>
        <w:tab/>
      </w:r>
      <w:r>
        <w:fldChar w:fldCharType="begin"/>
      </w:r>
      <w:r>
        <w:instrText xml:space="preserve"> PAGEREF _Toc21460 \h </w:instrText>
      </w:r>
      <w:r>
        <w:fldChar w:fldCharType="separate"/>
      </w:r>
      <w:r>
        <w:t>34</w:t>
      </w:r>
      <w:r>
        <w:fldChar w:fldCharType="end"/>
      </w:r>
      <w:r>
        <w:rPr>
          <w:rFonts w:hint="eastAsia" w:ascii="宋体" w:hAnsi="宋体" w:eastAsia="宋体" w:cs="宋体"/>
          <w:bCs w:val="0"/>
          <w:color w:val="auto"/>
          <w:kern w:val="0"/>
          <w:szCs w:val="21"/>
          <w:highlight w:val="none"/>
        </w:rPr>
        <w:fldChar w:fldCharType="end"/>
      </w:r>
    </w:p>
    <w:p w14:paraId="222064FC">
      <w:pPr>
        <w:pStyle w:val="54"/>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_Toc20338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附件1：磋商响应文件封面</w:t>
      </w:r>
      <w:r>
        <w:tab/>
      </w:r>
      <w:r>
        <w:fldChar w:fldCharType="begin"/>
      </w:r>
      <w:r>
        <w:instrText xml:space="preserve"> PAGEREF _Toc20338 \h </w:instrText>
      </w:r>
      <w:r>
        <w:fldChar w:fldCharType="separate"/>
      </w:r>
      <w:r>
        <w:t>34</w:t>
      </w:r>
      <w:r>
        <w:fldChar w:fldCharType="end"/>
      </w:r>
      <w:r>
        <w:rPr>
          <w:rFonts w:hint="eastAsia" w:ascii="宋体" w:hAnsi="宋体" w:eastAsia="宋体" w:cs="宋体"/>
          <w:bCs w:val="0"/>
          <w:color w:val="auto"/>
          <w:kern w:val="0"/>
          <w:szCs w:val="21"/>
          <w:highlight w:val="none"/>
        </w:rPr>
        <w:fldChar w:fldCharType="end"/>
      </w:r>
    </w:p>
    <w:p w14:paraId="51BEA8F2">
      <w:pPr>
        <w:pStyle w:val="54"/>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_Toc15302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附件2：目录格式</w:t>
      </w:r>
      <w:r>
        <w:tab/>
      </w:r>
      <w:r>
        <w:fldChar w:fldCharType="begin"/>
      </w:r>
      <w:r>
        <w:instrText xml:space="preserve"> PAGEREF _Toc15302 \h </w:instrText>
      </w:r>
      <w:r>
        <w:fldChar w:fldCharType="separate"/>
      </w:r>
      <w:r>
        <w:t>35</w:t>
      </w:r>
      <w:r>
        <w:fldChar w:fldCharType="end"/>
      </w:r>
      <w:r>
        <w:rPr>
          <w:rFonts w:hint="eastAsia" w:ascii="宋体" w:hAnsi="宋体" w:eastAsia="宋体" w:cs="宋体"/>
          <w:bCs w:val="0"/>
          <w:color w:val="auto"/>
          <w:kern w:val="0"/>
          <w:szCs w:val="21"/>
          <w:highlight w:val="none"/>
        </w:rPr>
        <w:fldChar w:fldCharType="end"/>
      </w:r>
    </w:p>
    <w:p w14:paraId="66A53DB7">
      <w:pPr>
        <w:pStyle w:val="54"/>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_Toc5101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附件3：磋商函</w:t>
      </w:r>
      <w:r>
        <w:tab/>
      </w:r>
      <w:r>
        <w:fldChar w:fldCharType="begin"/>
      </w:r>
      <w:r>
        <w:instrText xml:space="preserve"> PAGEREF _Toc5101 \h </w:instrText>
      </w:r>
      <w:r>
        <w:fldChar w:fldCharType="separate"/>
      </w:r>
      <w:r>
        <w:t>36</w:t>
      </w:r>
      <w:r>
        <w:fldChar w:fldCharType="end"/>
      </w:r>
      <w:r>
        <w:rPr>
          <w:rFonts w:hint="eastAsia" w:ascii="宋体" w:hAnsi="宋体" w:eastAsia="宋体" w:cs="宋体"/>
          <w:bCs w:val="0"/>
          <w:color w:val="auto"/>
          <w:kern w:val="0"/>
          <w:szCs w:val="21"/>
          <w:highlight w:val="none"/>
        </w:rPr>
        <w:fldChar w:fldCharType="end"/>
      </w:r>
    </w:p>
    <w:p w14:paraId="0C6AA4BF">
      <w:pPr>
        <w:pStyle w:val="54"/>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_Toc17407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附件4：最初报价表</w:t>
      </w:r>
      <w:r>
        <w:tab/>
      </w:r>
      <w:r>
        <w:fldChar w:fldCharType="begin"/>
      </w:r>
      <w:r>
        <w:instrText xml:space="preserve"> PAGEREF _Toc17407 \h </w:instrText>
      </w:r>
      <w:r>
        <w:fldChar w:fldCharType="separate"/>
      </w:r>
      <w:r>
        <w:t>37</w:t>
      </w:r>
      <w:r>
        <w:fldChar w:fldCharType="end"/>
      </w:r>
      <w:r>
        <w:rPr>
          <w:rFonts w:hint="eastAsia" w:ascii="宋体" w:hAnsi="宋体" w:eastAsia="宋体" w:cs="宋体"/>
          <w:bCs w:val="0"/>
          <w:color w:val="auto"/>
          <w:kern w:val="0"/>
          <w:szCs w:val="21"/>
          <w:highlight w:val="none"/>
        </w:rPr>
        <w:fldChar w:fldCharType="end"/>
      </w:r>
    </w:p>
    <w:p w14:paraId="4D04AC11">
      <w:pPr>
        <w:pStyle w:val="54"/>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_Toc6760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附件5：服务条款偏离表</w:t>
      </w:r>
      <w:r>
        <w:tab/>
      </w:r>
      <w:r>
        <w:fldChar w:fldCharType="begin"/>
      </w:r>
      <w:r>
        <w:instrText xml:space="preserve"> PAGEREF _Toc6760 \h </w:instrText>
      </w:r>
      <w:r>
        <w:fldChar w:fldCharType="separate"/>
      </w:r>
      <w:r>
        <w:t>38</w:t>
      </w:r>
      <w:r>
        <w:fldChar w:fldCharType="end"/>
      </w:r>
      <w:r>
        <w:rPr>
          <w:rFonts w:hint="eastAsia" w:ascii="宋体" w:hAnsi="宋体" w:eastAsia="宋体" w:cs="宋体"/>
          <w:bCs w:val="0"/>
          <w:color w:val="auto"/>
          <w:kern w:val="0"/>
          <w:szCs w:val="21"/>
          <w:highlight w:val="none"/>
        </w:rPr>
        <w:fldChar w:fldCharType="end"/>
      </w:r>
    </w:p>
    <w:p w14:paraId="1BD4B8C1">
      <w:pPr>
        <w:pStyle w:val="54"/>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_Toc29382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附件6：商务条款偏离表</w:t>
      </w:r>
      <w:r>
        <w:tab/>
      </w:r>
      <w:r>
        <w:fldChar w:fldCharType="begin"/>
      </w:r>
      <w:r>
        <w:instrText xml:space="preserve"> PAGEREF _Toc29382 \h </w:instrText>
      </w:r>
      <w:r>
        <w:fldChar w:fldCharType="separate"/>
      </w:r>
      <w:r>
        <w:t>39</w:t>
      </w:r>
      <w:r>
        <w:fldChar w:fldCharType="end"/>
      </w:r>
      <w:r>
        <w:rPr>
          <w:rFonts w:hint="eastAsia" w:ascii="宋体" w:hAnsi="宋体" w:eastAsia="宋体" w:cs="宋体"/>
          <w:bCs w:val="0"/>
          <w:color w:val="auto"/>
          <w:kern w:val="0"/>
          <w:szCs w:val="21"/>
          <w:highlight w:val="none"/>
        </w:rPr>
        <w:fldChar w:fldCharType="end"/>
      </w:r>
    </w:p>
    <w:p w14:paraId="0843C2B0">
      <w:pPr>
        <w:pStyle w:val="54"/>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_Toc26769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附件7：法定代表人证明书</w:t>
      </w:r>
      <w:r>
        <w:tab/>
      </w:r>
      <w:r>
        <w:fldChar w:fldCharType="begin"/>
      </w:r>
      <w:r>
        <w:instrText xml:space="preserve"> PAGEREF _Toc26769 \h </w:instrText>
      </w:r>
      <w:r>
        <w:fldChar w:fldCharType="separate"/>
      </w:r>
      <w:r>
        <w:t>40</w:t>
      </w:r>
      <w:r>
        <w:fldChar w:fldCharType="end"/>
      </w:r>
      <w:r>
        <w:rPr>
          <w:rFonts w:hint="eastAsia" w:ascii="宋体" w:hAnsi="宋体" w:eastAsia="宋体" w:cs="宋体"/>
          <w:bCs w:val="0"/>
          <w:color w:val="auto"/>
          <w:kern w:val="0"/>
          <w:szCs w:val="21"/>
          <w:highlight w:val="none"/>
        </w:rPr>
        <w:fldChar w:fldCharType="end"/>
      </w:r>
    </w:p>
    <w:p w14:paraId="6FEEC521">
      <w:pPr>
        <w:pStyle w:val="54"/>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_Toc5485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附件8：法定代表人授权书</w:t>
      </w:r>
      <w:r>
        <w:tab/>
      </w:r>
      <w:r>
        <w:fldChar w:fldCharType="begin"/>
      </w:r>
      <w:r>
        <w:instrText xml:space="preserve"> PAGEREF _Toc5485 \h </w:instrText>
      </w:r>
      <w:r>
        <w:fldChar w:fldCharType="separate"/>
      </w:r>
      <w:r>
        <w:t>41</w:t>
      </w:r>
      <w:r>
        <w:fldChar w:fldCharType="end"/>
      </w:r>
      <w:r>
        <w:rPr>
          <w:rFonts w:hint="eastAsia" w:ascii="宋体" w:hAnsi="宋体" w:eastAsia="宋体" w:cs="宋体"/>
          <w:bCs w:val="0"/>
          <w:color w:val="auto"/>
          <w:kern w:val="0"/>
          <w:szCs w:val="21"/>
          <w:highlight w:val="none"/>
        </w:rPr>
        <w:fldChar w:fldCharType="end"/>
      </w:r>
    </w:p>
    <w:p w14:paraId="42B22267">
      <w:pPr>
        <w:pStyle w:val="54"/>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_Toc848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附件9：供应商承诺函</w:t>
      </w:r>
      <w:r>
        <w:tab/>
      </w:r>
      <w:r>
        <w:fldChar w:fldCharType="begin"/>
      </w:r>
      <w:r>
        <w:instrText xml:space="preserve"> PAGEREF _Toc848 \h </w:instrText>
      </w:r>
      <w:r>
        <w:fldChar w:fldCharType="separate"/>
      </w:r>
      <w:r>
        <w:t>42</w:t>
      </w:r>
      <w:r>
        <w:fldChar w:fldCharType="end"/>
      </w:r>
      <w:r>
        <w:rPr>
          <w:rFonts w:hint="eastAsia" w:ascii="宋体" w:hAnsi="宋体" w:eastAsia="宋体" w:cs="宋体"/>
          <w:bCs w:val="0"/>
          <w:color w:val="auto"/>
          <w:kern w:val="0"/>
          <w:szCs w:val="21"/>
          <w:highlight w:val="none"/>
        </w:rPr>
        <w:fldChar w:fldCharType="end"/>
      </w:r>
    </w:p>
    <w:p w14:paraId="5FFA6552">
      <w:pPr>
        <w:pStyle w:val="54"/>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_Toc16053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附件10：供应商诚信承诺书</w:t>
      </w:r>
      <w:r>
        <w:tab/>
      </w:r>
      <w:r>
        <w:fldChar w:fldCharType="begin"/>
      </w:r>
      <w:r>
        <w:instrText xml:space="preserve"> PAGEREF _Toc16053 \h </w:instrText>
      </w:r>
      <w:r>
        <w:fldChar w:fldCharType="separate"/>
      </w:r>
      <w:r>
        <w:t>44</w:t>
      </w:r>
      <w:r>
        <w:fldChar w:fldCharType="end"/>
      </w:r>
      <w:r>
        <w:rPr>
          <w:rFonts w:hint="eastAsia" w:ascii="宋体" w:hAnsi="宋体" w:eastAsia="宋体" w:cs="宋体"/>
          <w:bCs w:val="0"/>
          <w:color w:val="auto"/>
          <w:kern w:val="0"/>
          <w:szCs w:val="21"/>
          <w:highlight w:val="none"/>
        </w:rPr>
        <w:fldChar w:fldCharType="end"/>
      </w:r>
    </w:p>
    <w:p w14:paraId="7BC06C37">
      <w:pPr>
        <w:pStyle w:val="54"/>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_Toc5643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附件11：资格证明材料</w:t>
      </w:r>
      <w:r>
        <w:tab/>
      </w:r>
      <w:r>
        <w:fldChar w:fldCharType="begin"/>
      </w:r>
      <w:r>
        <w:instrText xml:space="preserve"> PAGEREF _Toc5643 \h </w:instrText>
      </w:r>
      <w:r>
        <w:fldChar w:fldCharType="separate"/>
      </w:r>
      <w:r>
        <w:t>45</w:t>
      </w:r>
      <w:r>
        <w:fldChar w:fldCharType="end"/>
      </w:r>
      <w:r>
        <w:rPr>
          <w:rFonts w:hint="eastAsia" w:ascii="宋体" w:hAnsi="宋体" w:eastAsia="宋体" w:cs="宋体"/>
          <w:bCs w:val="0"/>
          <w:color w:val="auto"/>
          <w:kern w:val="0"/>
          <w:szCs w:val="21"/>
          <w:highlight w:val="none"/>
        </w:rPr>
        <w:fldChar w:fldCharType="end"/>
      </w:r>
    </w:p>
    <w:p w14:paraId="5D046A3B">
      <w:pPr>
        <w:pStyle w:val="54"/>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_Toc26986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附件12：财务状况、缴纳税收和社会保障资金证明</w:t>
      </w:r>
      <w:r>
        <w:tab/>
      </w:r>
      <w:r>
        <w:fldChar w:fldCharType="begin"/>
      </w:r>
      <w:r>
        <w:instrText xml:space="preserve"> PAGEREF _Toc26986 \h </w:instrText>
      </w:r>
      <w:r>
        <w:fldChar w:fldCharType="separate"/>
      </w:r>
      <w:r>
        <w:t>46</w:t>
      </w:r>
      <w:r>
        <w:fldChar w:fldCharType="end"/>
      </w:r>
      <w:r>
        <w:rPr>
          <w:rFonts w:hint="eastAsia" w:ascii="宋体" w:hAnsi="宋体" w:eastAsia="宋体" w:cs="宋体"/>
          <w:bCs w:val="0"/>
          <w:color w:val="auto"/>
          <w:kern w:val="0"/>
          <w:szCs w:val="21"/>
          <w:highlight w:val="none"/>
        </w:rPr>
        <w:fldChar w:fldCharType="end"/>
      </w:r>
    </w:p>
    <w:p w14:paraId="7803CBFF">
      <w:pPr>
        <w:pStyle w:val="54"/>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_Toc16729 </w:instrText>
      </w:r>
      <w:r>
        <w:rPr>
          <w:rFonts w:hint="eastAsia" w:ascii="宋体" w:hAnsi="宋体" w:eastAsia="宋体" w:cs="宋体"/>
          <w:bCs w:val="0"/>
          <w:kern w:val="0"/>
          <w:szCs w:val="21"/>
          <w:highlight w:val="none"/>
        </w:rPr>
        <w:fldChar w:fldCharType="separate"/>
      </w:r>
      <w:r>
        <w:rPr>
          <w:rFonts w:hint="eastAsia" w:ascii="宋体" w:hAnsi="宋体" w:eastAsia="宋体" w:cs="宋体"/>
          <w:szCs w:val="28"/>
          <w:highlight w:val="none"/>
        </w:rPr>
        <w:t>附件</w:t>
      </w:r>
      <w:r>
        <w:rPr>
          <w:rFonts w:hint="eastAsia" w:ascii="宋体" w:hAnsi="宋体" w:eastAsia="宋体" w:cs="宋体"/>
          <w:smallCaps/>
          <w:spacing w:val="20"/>
          <w:kern w:val="2"/>
          <w:szCs w:val="28"/>
          <w:highlight w:val="none"/>
        </w:rPr>
        <w:t>13：</w:t>
      </w:r>
      <w:r>
        <w:rPr>
          <w:rFonts w:hint="eastAsia" w:ascii="宋体" w:hAnsi="宋体" w:eastAsia="宋体" w:cs="宋体"/>
          <w:smallCaps/>
          <w:spacing w:val="20"/>
          <w:kern w:val="2"/>
          <w:szCs w:val="28"/>
          <w:highlight w:val="none"/>
          <w:lang w:val="zh-CN"/>
        </w:rPr>
        <w:t>具备履行合同所必须的设备和专业技术能力证明</w:t>
      </w:r>
      <w:r>
        <w:tab/>
      </w:r>
      <w:r>
        <w:fldChar w:fldCharType="begin"/>
      </w:r>
      <w:r>
        <w:instrText xml:space="preserve"> PAGEREF _Toc16729 \h </w:instrText>
      </w:r>
      <w:r>
        <w:fldChar w:fldCharType="separate"/>
      </w:r>
      <w:r>
        <w:t>47</w:t>
      </w:r>
      <w:r>
        <w:fldChar w:fldCharType="end"/>
      </w:r>
      <w:r>
        <w:rPr>
          <w:rFonts w:hint="eastAsia" w:ascii="宋体" w:hAnsi="宋体" w:eastAsia="宋体" w:cs="宋体"/>
          <w:bCs w:val="0"/>
          <w:color w:val="auto"/>
          <w:kern w:val="0"/>
          <w:szCs w:val="21"/>
          <w:highlight w:val="none"/>
        </w:rPr>
        <w:fldChar w:fldCharType="end"/>
      </w:r>
    </w:p>
    <w:p w14:paraId="0773EEEC">
      <w:pPr>
        <w:pStyle w:val="54"/>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_Toc26843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附件14：无重大违法记录声明</w:t>
      </w:r>
      <w:r>
        <w:tab/>
      </w:r>
      <w:r>
        <w:fldChar w:fldCharType="begin"/>
      </w:r>
      <w:r>
        <w:instrText xml:space="preserve"> PAGEREF _Toc26843 \h </w:instrText>
      </w:r>
      <w:r>
        <w:fldChar w:fldCharType="separate"/>
      </w:r>
      <w:r>
        <w:t>48</w:t>
      </w:r>
      <w:r>
        <w:fldChar w:fldCharType="end"/>
      </w:r>
      <w:r>
        <w:rPr>
          <w:rFonts w:hint="eastAsia" w:ascii="宋体" w:hAnsi="宋体" w:eastAsia="宋体" w:cs="宋体"/>
          <w:bCs w:val="0"/>
          <w:color w:val="auto"/>
          <w:kern w:val="0"/>
          <w:szCs w:val="21"/>
          <w:highlight w:val="none"/>
        </w:rPr>
        <w:fldChar w:fldCharType="end"/>
      </w:r>
    </w:p>
    <w:p w14:paraId="4BA93FBD">
      <w:pPr>
        <w:pStyle w:val="54"/>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_Toc13332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附件15：类似业绩证明材料</w:t>
      </w:r>
      <w:r>
        <w:tab/>
      </w:r>
      <w:r>
        <w:fldChar w:fldCharType="begin"/>
      </w:r>
      <w:r>
        <w:instrText xml:space="preserve"> PAGEREF _Toc13332 \h </w:instrText>
      </w:r>
      <w:r>
        <w:fldChar w:fldCharType="separate"/>
      </w:r>
      <w:r>
        <w:t>49</w:t>
      </w:r>
      <w:r>
        <w:fldChar w:fldCharType="end"/>
      </w:r>
      <w:r>
        <w:rPr>
          <w:rFonts w:hint="eastAsia" w:ascii="宋体" w:hAnsi="宋体" w:eastAsia="宋体" w:cs="宋体"/>
          <w:bCs w:val="0"/>
          <w:color w:val="auto"/>
          <w:kern w:val="0"/>
          <w:szCs w:val="21"/>
          <w:highlight w:val="none"/>
        </w:rPr>
        <w:fldChar w:fldCharType="end"/>
      </w:r>
    </w:p>
    <w:p w14:paraId="6929802B">
      <w:pPr>
        <w:pStyle w:val="54"/>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_Toc24090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附件1</w:t>
      </w:r>
      <w:r>
        <w:rPr>
          <w:rFonts w:hint="eastAsia" w:ascii="宋体" w:hAnsi="宋体" w:cs="宋体"/>
          <w:highlight w:val="none"/>
          <w:lang w:val="en-US" w:eastAsia="zh-CN"/>
        </w:rPr>
        <w:t>6</w:t>
      </w:r>
      <w:r>
        <w:rPr>
          <w:rFonts w:hint="eastAsia" w:ascii="宋体" w:hAnsi="宋体" w:eastAsia="宋体" w:cs="宋体"/>
          <w:highlight w:val="none"/>
        </w:rPr>
        <w:t>：服务能力与方案</w:t>
      </w:r>
      <w:r>
        <w:tab/>
      </w:r>
      <w:r>
        <w:fldChar w:fldCharType="begin"/>
      </w:r>
      <w:r>
        <w:instrText xml:space="preserve"> PAGEREF _Toc24090 \h </w:instrText>
      </w:r>
      <w:r>
        <w:fldChar w:fldCharType="separate"/>
      </w:r>
      <w:r>
        <w:t>50</w:t>
      </w:r>
      <w:r>
        <w:fldChar w:fldCharType="end"/>
      </w:r>
      <w:r>
        <w:rPr>
          <w:rFonts w:hint="eastAsia" w:ascii="宋体" w:hAnsi="宋体" w:eastAsia="宋体" w:cs="宋体"/>
          <w:bCs w:val="0"/>
          <w:color w:val="auto"/>
          <w:kern w:val="0"/>
          <w:szCs w:val="21"/>
          <w:highlight w:val="none"/>
        </w:rPr>
        <w:fldChar w:fldCharType="end"/>
      </w:r>
    </w:p>
    <w:p w14:paraId="4178E260">
      <w:pPr>
        <w:pStyle w:val="54"/>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_Toc2596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附件1</w:t>
      </w:r>
      <w:r>
        <w:rPr>
          <w:rFonts w:hint="eastAsia" w:ascii="宋体" w:hAnsi="宋体" w:cs="宋体"/>
          <w:highlight w:val="none"/>
          <w:lang w:val="en-US" w:eastAsia="zh-CN"/>
        </w:rPr>
        <w:t>7</w:t>
      </w:r>
      <w:r>
        <w:rPr>
          <w:rFonts w:hint="eastAsia" w:ascii="宋体" w:hAnsi="宋体" w:eastAsia="宋体" w:cs="宋体"/>
          <w:highlight w:val="none"/>
        </w:rPr>
        <w:t>：最终报价表</w:t>
      </w:r>
      <w:r>
        <w:tab/>
      </w:r>
      <w:r>
        <w:fldChar w:fldCharType="begin"/>
      </w:r>
      <w:r>
        <w:instrText xml:space="preserve"> PAGEREF _Toc2596 \h </w:instrText>
      </w:r>
      <w:r>
        <w:fldChar w:fldCharType="separate"/>
      </w:r>
      <w:r>
        <w:t>51</w:t>
      </w:r>
      <w:r>
        <w:fldChar w:fldCharType="end"/>
      </w:r>
      <w:r>
        <w:rPr>
          <w:rFonts w:hint="eastAsia" w:ascii="宋体" w:hAnsi="宋体" w:eastAsia="宋体" w:cs="宋体"/>
          <w:bCs w:val="0"/>
          <w:color w:val="auto"/>
          <w:kern w:val="0"/>
          <w:szCs w:val="21"/>
          <w:highlight w:val="none"/>
        </w:rPr>
        <w:fldChar w:fldCharType="end"/>
      </w:r>
    </w:p>
    <w:p w14:paraId="52D6A029">
      <w:pPr>
        <w:pStyle w:val="54"/>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_Toc24612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附件1</w:t>
      </w:r>
      <w:r>
        <w:rPr>
          <w:rFonts w:hint="eastAsia" w:ascii="宋体" w:hAnsi="宋体" w:cs="宋体"/>
          <w:highlight w:val="none"/>
          <w:lang w:val="en-US" w:eastAsia="zh-CN"/>
        </w:rPr>
        <w:t>8</w:t>
      </w:r>
      <w:r>
        <w:rPr>
          <w:rFonts w:hint="eastAsia" w:ascii="宋体" w:hAnsi="宋体" w:eastAsia="宋体" w:cs="宋体"/>
          <w:highlight w:val="none"/>
        </w:rPr>
        <w:t>：</w:t>
      </w:r>
      <w:r>
        <w:rPr>
          <w:rFonts w:hint="eastAsia" w:ascii="宋体" w:hAnsi="宋体" w:eastAsia="宋体" w:cs="宋体"/>
          <w:highlight w:val="none"/>
          <w:lang w:eastAsia="zh-CN"/>
        </w:rPr>
        <w:t>供应商认为在其他方面有必要说明的事项</w:t>
      </w:r>
      <w:r>
        <w:tab/>
      </w:r>
      <w:r>
        <w:fldChar w:fldCharType="begin"/>
      </w:r>
      <w:r>
        <w:instrText xml:space="preserve"> PAGEREF _Toc24612 \h </w:instrText>
      </w:r>
      <w:r>
        <w:fldChar w:fldCharType="separate"/>
      </w:r>
      <w:r>
        <w:t>52</w:t>
      </w:r>
      <w:r>
        <w:fldChar w:fldCharType="end"/>
      </w:r>
      <w:r>
        <w:rPr>
          <w:rFonts w:hint="eastAsia" w:ascii="宋体" w:hAnsi="宋体" w:eastAsia="宋体" w:cs="宋体"/>
          <w:bCs w:val="0"/>
          <w:color w:val="auto"/>
          <w:kern w:val="0"/>
          <w:szCs w:val="21"/>
          <w:highlight w:val="none"/>
        </w:rPr>
        <w:fldChar w:fldCharType="end"/>
      </w:r>
    </w:p>
    <w:p w14:paraId="46D10FB6">
      <w:pPr>
        <w:pStyle w:val="54"/>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_Toc1660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附件</w:t>
      </w:r>
      <w:r>
        <w:rPr>
          <w:rFonts w:hint="eastAsia" w:ascii="宋体" w:hAnsi="宋体" w:cs="宋体"/>
          <w:highlight w:val="none"/>
          <w:lang w:val="en-US" w:eastAsia="zh-CN"/>
        </w:rPr>
        <w:t>19</w:t>
      </w:r>
      <w:r>
        <w:rPr>
          <w:rFonts w:hint="eastAsia" w:ascii="宋体" w:hAnsi="宋体" w:eastAsia="宋体" w:cs="宋体"/>
          <w:highlight w:val="none"/>
        </w:rPr>
        <w:t>：享受政府采购政策优惠的证明资料</w:t>
      </w:r>
      <w:r>
        <w:tab/>
      </w:r>
      <w:r>
        <w:fldChar w:fldCharType="begin"/>
      </w:r>
      <w:r>
        <w:instrText xml:space="preserve"> PAGEREF _Toc1660 \h </w:instrText>
      </w:r>
      <w:r>
        <w:fldChar w:fldCharType="separate"/>
      </w:r>
      <w:r>
        <w:t>53</w:t>
      </w:r>
      <w:r>
        <w:fldChar w:fldCharType="end"/>
      </w:r>
      <w:r>
        <w:rPr>
          <w:rFonts w:hint="eastAsia" w:ascii="宋体" w:hAnsi="宋体" w:eastAsia="宋体" w:cs="宋体"/>
          <w:bCs w:val="0"/>
          <w:color w:val="auto"/>
          <w:kern w:val="0"/>
          <w:szCs w:val="21"/>
          <w:highlight w:val="none"/>
        </w:rPr>
        <w:fldChar w:fldCharType="end"/>
      </w:r>
    </w:p>
    <w:p w14:paraId="75379C2C">
      <w:pPr>
        <w:pStyle w:val="2"/>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_Toc13920 </w:instrText>
      </w:r>
      <w:r>
        <w:rPr>
          <w:rFonts w:hint="eastAsia" w:ascii="宋体" w:hAnsi="宋体" w:eastAsia="宋体" w:cs="宋体"/>
          <w:bCs w:val="0"/>
          <w:kern w:val="0"/>
          <w:szCs w:val="21"/>
          <w:highlight w:val="none"/>
        </w:rPr>
        <w:fldChar w:fldCharType="separate"/>
      </w:r>
      <w:r>
        <w:rPr>
          <w:rFonts w:hint="eastAsia" w:ascii="宋体" w:hAnsi="宋体" w:eastAsia="宋体" w:cs="宋体"/>
          <w:highlight w:val="none"/>
        </w:rPr>
        <w:t>第六部分 磋商及采购项目技术要求</w:t>
      </w:r>
      <w:r>
        <w:tab/>
      </w:r>
      <w:r>
        <w:fldChar w:fldCharType="begin"/>
      </w:r>
      <w:r>
        <w:instrText xml:space="preserve"> PAGEREF _Toc13920 \h </w:instrText>
      </w:r>
      <w:r>
        <w:fldChar w:fldCharType="separate"/>
      </w:r>
      <w:r>
        <w:t>56</w:t>
      </w:r>
      <w:r>
        <w:fldChar w:fldCharType="end"/>
      </w:r>
      <w:r>
        <w:rPr>
          <w:rFonts w:hint="eastAsia" w:ascii="宋体" w:hAnsi="宋体" w:eastAsia="宋体" w:cs="宋体"/>
          <w:bCs w:val="0"/>
          <w:color w:val="auto"/>
          <w:kern w:val="0"/>
          <w:szCs w:val="21"/>
          <w:highlight w:val="none"/>
        </w:rPr>
        <w:fldChar w:fldCharType="end"/>
      </w:r>
    </w:p>
    <w:p w14:paraId="0383B27C">
      <w:pPr>
        <w:pStyle w:val="54"/>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_Toc10780 </w:instrText>
      </w:r>
      <w:r>
        <w:rPr>
          <w:rFonts w:hint="eastAsia" w:ascii="宋体" w:hAnsi="宋体" w:eastAsia="宋体" w:cs="宋体"/>
          <w:bCs w:val="0"/>
          <w:kern w:val="0"/>
          <w:szCs w:val="21"/>
          <w:highlight w:val="none"/>
        </w:rPr>
        <w:fldChar w:fldCharType="separate"/>
      </w:r>
      <w:r>
        <w:rPr>
          <w:rFonts w:hint="eastAsia" w:ascii="宋体" w:hAnsi="宋体"/>
          <w:bCs/>
          <w:szCs w:val="27"/>
          <w:highlight w:val="none"/>
        </w:rPr>
        <w:t>1、投标说明</w:t>
      </w:r>
      <w:r>
        <w:tab/>
      </w:r>
      <w:r>
        <w:fldChar w:fldCharType="begin"/>
      </w:r>
      <w:r>
        <w:instrText xml:space="preserve"> PAGEREF _Toc10780 \h </w:instrText>
      </w:r>
      <w:r>
        <w:fldChar w:fldCharType="separate"/>
      </w:r>
      <w:r>
        <w:t>56</w:t>
      </w:r>
      <w:r>
        <w:fldChar w:fldCharType="end"/>
      </w:r>
      <w:r>
        <w:rPr>
          <w:rFonts w:hint="eastAsia" w:ascii="宋体" w:hAnsi="宋体" w:eastAsia="宋体" w:cs="宋体"/>
          <w:bCs w:val="0"/>
          <w:color w:val="auto"/>
          <w:kern w:val="0"/>
          <w:szCs w:val="21"/>
          <w:highlight w:val="none"/>
        </w:rPr>
        <w:fldChar w:fldCharType="end"/>
      </w:r>
    </w:p>
    <w:p w14:paraId="243604B2">
      <w:pPr>
        <w:pStyle w:val="54"/>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_Toc16416 </w:instrText>
      </w:r>
      <w:r>
        <w:rPr>
          <w:rFonts w:hint="eastAsia" w:ascii="宋体" w:hAnsi="宋体" w:eastAsia="宋体" w:cs="宋体"/>
          <w:bCs w:val="0"/>
          <w:kern w:val="0"/>
          <w:szCs w:val="21"/>
          <w:highlight w:val="none"/>
        </w:rPr>
        <w:fldChar w:fldCharType="separate"/>
      </w:r>
      <w:r>
        <w:rPr>
          <w:rFonts w:hint="eastAsia" w:ascii="宋体" w:hAnsi="宋体"/>
          <w:bCs/>
          <w:szCs w:val="27"/>
          <w:highlight w:val="none"/>
        </w:rPr>
        <w:t>2、报价说明</w:t>
      </w:r>
      <w:r>
        <w:tab/>
      </w:r>
      <w:r>
        <w:fldChar w:fldCharType="begin"/>
      </w:r>
      <w:r>
        <w:instrText xml:space="preserve"> PAGEREF _Toc16416 \h </w:instrText>
      </w:r>
      <w:r>
        <w:fldChar w:fldCharType="separate"/>
      </w:r>
      <w:r>
        <w:t>56</w:t>
      </w:r>
      <w:r>
        <w:fldChar w:fldCharType="end"/>
      </w:r>
      <w:r>
        <w:rPr>
          <w:rFonts w:hint="eastAsia" w:ascii="宋体" w:hAnsi="宋体" w:eastAsia="宋体" w:cs="宋体"/>
          <w:bCs w:val="0"/>
          <w:color w:val="auto"/>
          <w:kern w:val="0"/>
          <w:szCs w:val="21"/>
          <w:highlight w:val="none"/>
        </w:rPr>
        <w:fldChar w:fldCharType="end"/>
      </w:r>
    </w:p>
    <w:p w14:paraId="105808B3">
      <w:pPr>
        <w:pStyle w:val="54"/>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_Toc30748 </w:instrText>
      </w:r>
      <w:r>
        <w:rPr>
          <w:rFonts w:hint="eastAsia" w:ascii="宋体" w:hAnsi="宋体" w:eastAsia="宋体" w:cs="宋体"/>
          <w:bCs w:val="0"/>
          <w:kern w:val="0"/>
          <w:szCs w:val="21"/>
          <w:highlight w:val="none"/>
        </w:rPr>
        <w:fldChar w:fldCharType="separate"/>
      </w:r>
      <w:r>
        <w:rPr>
          <w:rFonts w:hint="eastAsia" w:ascii="宋体" w:hAnsi="宋体"/>
          <w:bCs/>
          <w:szCs w:val="27"/>
          <w:highlight w:val="none"/>
        </w:rPr>
        <w:t>3、商务要求</w:t>
      </w:r>
      <w:r>
        <w:tab/>
      </w:r>
      <w:r>
        <w:fldChar w:fldCharType="begin"/>
      </w:r>
      <w:r>
        <w:instrText xml:space="preserve"> PAGEREF _Toc30748 \h </w:instrText>
      </w:r>
      <w:r>
        <w:fldChar w:fldCharType="separate"/>
      </w:r>
      <w:r>
        <w:t>56</w:t>
      </w:r>
      <w:r>
        <w:fldChar w:fldCharType="end"/>
      </w:r>
      <w:r>
        <w:rPr>
          <w:rFonts w:hint="eastAsia" w:ascii="宋体" w:hAnsi="宋体" w:eastAsia="宋体" w:cs="宋体"/>
          <w:bCs w:val="0"/>
          <w:color w:val="auto"/>
          <w:kern w:val="0"/>
          <w:szCs w:val="21"/>
          <w:highlight w:val="none"/>
        </w:rPr>
        <w:fldChar w:fldCharType="end"/>
      </w:r>
    </w:p>
    <w:p w14:paraId="70AF6A91">
      <w:pPr>
        <w:pStyle w:val="54"/>
        <w:tabs>
          <w:tab w:val="right" w:leader="dot" w:pos="9690"/>
        </w:tabs>
      </w:pPr>
      <w:r>
        <w:rPr>
          <w:rFonts w:hint="eastAsia" w:ascii="宋体" w:hAnsi="宋体" w:eastAsia="宋体" w:cs="宋体"/>
          <w:bCs w:val="0"/>
          <w:color w:val="auto"/>
          <w:kern w:val="0"/>
          <w:szCs w:val="21"/>
          <w:highlight w:val="none"/>
        </w:rPr>
        <w:fldChar w:fldCharType="begin"/>
      </w:r>
      <w:r>
        <w:rPr>
          <w:rFonts w:hint="eastAsia" w:ascii="宋体" w:hAnsi="宋体" w:eastAsia="宋体" w:cs="宋体"/>
          <w:bCs w:val="0"/>
          <w:kern w:val="0"/>
          <w:szCs w:val="21"/>
          <w:highlight w:val="none"/>
        </w:rPr>
        <w:instrText xml:space="preserve"> HYPERLINK \l _Toc14591 </w:instrText>
      </w:r>
      <w:r>
        <w:rPr>
          <w:rFonts w:hint="eastAsia" w:ascii="宋体" w:hAnsi="宋体" w:eastAsia="宋体" w:cs="宋体"/>
          <w:bCs w:val="0"/>
          <w:kern w:val="0"/>
          <w:szCs w:val="21"/>
          <w:highlight w:val="none"/>
        </w:rPr>
        <w:fldChar w:fldCharType="separate"/>
      </w:r>
      <w:r>
        <w:rPr>
          <w:rFonts w:hint="eastAsia" w:ascii="宋体" w:hAnsi="宋体" w:cs="宋体"/>
          <w:kern w:val="2"/>
          <w:highlight w:val="none"/>
          <w:lang w:val="en-US" w:eastAsia="zh-CN" w:bidi="ar-SA"/>
        </w:rPr>
        <w:t>4</w:t>
      </w:r>
      <w:r>
        <w:rPr>
          <w:rFonts w:hint="eastAsia" w:ascii="宋体" w:hAnsi="宋体" w:eastAsia="宋体" w:cs="宋体"/>
          <w:kern w:val="2"/>
          <w:highlight w:val="none"/>
          <w:lang w:val="zh-CN" w:eastAsia="zh-CN" w:bidi="ar-SA"/>
        </w:rPr>
        <w:t>、</w:t>
      </w:r>
      <w:r>
        <w:rPr>
          <w:rFonts w:hint="eastAsia" w:ascii="宋体" w:hAnsi="宋体" w:eastAsia="宋体" w:cs="宋体"/>
          <w:highlight w:val="none"/>
          <w:lang w:val="zh-CN" w:eastAsia="zh-CN"/>
        </w:rPr>
        <w:t>采购需求</w:t>
      </w:r>
      <w:r>
        <w:tab/>
      </w:r>
      <w:r>
        <w:fldChar w:fldCharType="begin"/>
      </w:r>
      <w:r>
        <w:instrText xml:space="preserve"> PAGEREF _Toc14591 \h </w:instrText>
      </w:r>
      <w:r>
        <w:fldChar w:fldCharType="separate"/>
      </w:r>
      <w:r>
        <w:t>57</w:t>
      </w:r>
      <w:r>
        <w:fldChar w:fldCharType="end"/>
      </w:r>
      <w:r>
        <w:rPr>
          <w:rFonts w:hint="eastAsia" w:ascii="宋体" w:hAnsi="宋体" w:eastAsia="宋体" w:cs="宋体"/>
          <w:bCs w:val="0"/>
          <w:color w:val="auto"/>
          <w:kern w:val="0"/>
          <w:szCs w:val="21"/>
          <w:highlight w:val="none"/>
        </w:rPr>
        <w:fldChar w:fldCharType="end"/>
      </w:r>
    </w:p>
    <w:p w14:paraId="3D208C8B">
      <w:pPr>
        <w:pStyle w:val="2"/>
        <w:keepNext w:val="0"/>
        <w:keepLines w:val="0"/>
        <w:pageBreakBefore w:val="0"/>
        <w:widowControl w:val="0"/>
        <w:tabs>
          <w:tab w:val="right" w:leader="dot" w:pos="8723"/>
        </w:tabs>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caps w:val="0"/>
          <w:color w:val="auto"/>
          <w:sz w:val="21"/>
          <w:szCs w:val="22"/>
          <w:highlight w:val="none"/>
        </w:rPr>
        <w:sectPr>
          <w:headerReference r:id="rId5" w:type="first"/>
          <w:footerReference r:id="rId8" w:type="first"/>
          <w:footerReference r:id="rId6" w:type="default"/>
          <w:footerReference r:id="rId7" w:type="even"/>
          <w:pgSz w:w="11850" w:h="16783"/>
          <w:pgMar w:top="1440" w:right="1080" w:bottom="1440" w:left="1080" w:header="680" w:footer="1021" w:gutter="0"/>
          <w:pgNumType w:start="0" w:chapStyle="1"/>
          <w:cols w:space="425" w:num="1"/>
          <w:titlePg/>
          <w:docGrid w:linePitch="312" w:charSpace="0"/>
        </w:sectPr>
      </w:pPr>
      <w:r>
        <w:rPr>
          <w:rFonts w:hint="eastAsia" w:ascii="宋体" w:hAnsi="宋体" w:eastAsia="宋体" w:cs="宋体"/>
          <w:bCs w:val="0"/>
          <w:color w:val="auto"/>
          <w:kern w:val="0"/>
          <w:szCs w:val="21"/>
          <w:highlight w:val="none"/>
        </w:rPr>
        <w:fldChar w:fldCharType="end"/>
      </w:r>
      <w:bookmarkStart w:id="0" w:name="_Toc447725347"/>
    </w:p>
    <w:p w14:paraId="43BDAAF6">
      <w:pPr>
        <w:pStyle w:val="3"/>
        <w:numPr>
          <w:ilvl w:val="0"/>
          <w:numId w:val="0"/>
        </w:numPr>
        <w:bidi w:val="0"/>
        <w:ind w:leftChars="0"/>
        <w:jc w:val="center"/>
        <w:rPr>
          <w:rFonts w:hint="eastAsia" w:ascii="宋体" w:hAnsi="宋体" w:eastAsia="宋体" w:cs="宋体"/>
          <w:color w:val="auto"/>
          <w:highlight w:val="none"/>
        </w:rPr>
      </w:pPr>
      <w:bookmarkStart w:id="1" w:name="_Toc15780"/>
      <w:r>
        <w:rPr>
          <w:rFonts w:hint="eastAsia" w:ascii="宋体" w:hAnsi="宋体" w:eastAsia="宋体" w:cs="宋体"/>
          <w:color w:val="auto"/>
          <w:highlight w:val="none"/>
        </w:rPr>
        <w:t>第一部分</w:t>
      </w:r>
      <w:bookmarkEnd w:id="0"/>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竞争性磋商公告</w:t>
      </w:r>
      <w:bookmarkEnd w:id="1"/>
    </w:p>
    <w:p w14:paraId="214BAC4D">
      <w:pPr>
        <w:pStyle w:val="63"/>
        <w:numPr>
          <w:ilvl w:val="0"/>
          <w:numId w:val="0"/>
        </w:numPr>
        <w:spacing w:line="360" w:lineRule="auto"/>
        <w:jc w:val="center"/>
        <w:rPr>
          <w:rFonts w:hint="eastAsia" w:ascii="宋体" w:hAnsi="宋体" w:eastAsia="宋体" w:cs="华文中宋"/>
          <w:b/>
          <w:bCs/>
          <w:color w:val="auto"/>
          <w:sz w:val="28"/>
          <w:szCs w:val="28"/>
          <w:lang w:val="zh-CN"/>
        </w:rPr>
      </w:pPr>
      <w:bookmarkStart w:id="2" w:name="_Toc16357"/>
      <w:bookmarkStart w:id="3" w:name="_Toc13815"/>
      <w:r>
        <w:rPr>
          <w:rFonts w:hint="eastAsia" w:ascii="宋体" w:hAnsi="宋体" w:cs="华文中宋"/>
          <w:b/>
          <w:bCs/>
          <w:color w:val="auto"/>
          <w:sz w:val="28"/>
          <w:szCs w:val="28"/>
          <w:lang w:val="zh-CN"/>
        </w:rPr>
        <w:t>海东市乐都区2026-2027年度政策性农村住房保险</w:t>
      </w:r>
      <w:r>
        <w:rPr>
          <w:rFonts w:hint="eastAsia" w:ascii="宋体" w:hAnsi="宋体" w:eastAsia="宋体" w:cs="华文中宋"/>
          <w:b/>
          <w:bCs/>
          <w:color w:val="auto"/>
          <w:sz w:val="28"/>
          <w:szCs w:val="28"/>
          <w:lang w:val="zh-CN"/>
        </w:rPr>
        <w:t>竞争性磋商公告</w:t>
      </w:r>
      <w:bookmarkEnd w:id="2"/>
      <w:bookmarkEnd w:id="3"/>
    </w:p>
    <w:p w14:paraId="3D2B10E9">
      <w:pPr>
        <w:jc w:val="center"/>
        <w:rPr>
          <w:rFonts w:hint="eastAsia" w:ascii="宋体" w:hAnsi="宋体" w:eastAsia="宋体" w:cs="华文中宋"/>
          <w:b/>
          <w:bCs/>
          <w:color w:val="auto"/>
          <w:kern w:val="0"/>
          <w:sz w:val="28"/>
          <w:szCs w:val="28"/>
          <w:lang w:val="zh-CN" w:eastAsia="zh-CN" w:bidi="ar-SA"/>
        </w:rPr>
      </w:pPr>
      <w:r>
        <w:rPr>
          <w:rFonts w:hint="eastAsia" w:ascii="宋体" w:hAnsi="宋体" w:cs="华文中宋"/>
          <w:b/>
          <w:bCs/>
          <w:color w:val="auto"/>
          <w:kern w:val="0"/>
          <w:sz w:val="28"/>
          <w:szCs w:val="28"/>
          <w:lang w:val="zh-CN" w:eastAsia="zh-CN" w:bidi="ar-SA"/>
        </w:rPr>
        <w:t>乐欣中堃竞磋（服务）2026-020</w:t>
      </w:r>
    </w:p>
    <w:p w14:paraId="21EA760D">
      <w:pPr>
        <w:numPr>
          <w:ilvl w:val="0"/>
          <w:numId w:val="0"/>
        </w:numPr>
      </w:pPr>
    </w:p>
    <w:p w14:paraId="6078F3C2">
      <w:pPr>
        <w:pStyle w:val="61"/>
        <w:widowControl/>
        <w:pBdr>
          <w:top w:val="single" w:color="auto" w:sz="4" w:space="0"/>
          <w:left w:val="single" w:color="auto" w:sz="4" w:space="0"/>
          <w:bottom w:val="single" w:color="auto" w:sz="4" w:space="0"/>
          <w:right w:val="single" w:color="auto" w:sz="4" w:space="0"/>
        </w:pBdr>
        <w:spacing w:line="360" w:lineRule="auto"/>
        <w:ind w:firstLine="480" w:firstLineChars="200"/>
        <w:rPr>
          <w:rFonts w:cs="宋体"/>
          <w:color w:val="auto"/>
        </w:rPr>
      </w:pPr>
      <w:r>
        <w:rPr>
          <w:rFonts w:hint="eastAsia" w:cs="宋体"/>
          <w:color w:val="auto"/>
        </w:rPr>
        <w:t>项目概况</w:t>
      </w:r>
    </w:p>
    <w:p w14:paraId="196353BC">
      <w:pPr>
        <w:pStyle w:val="61"/>
        <w:widowControl/>
        <w:pBdr>
          <w:top w:val="single" w:color="auto" w:sz="4" w:space="0"/>
          <w:left w:val="single" w:color="auto" w:sz="4" w:space="0"/>
          <w:bottom w:val="single" w:color="auto" w:sz="4" w:space="0"/>
          <w:right w:val="single" w:color="auto" w:sz="4" w:space="0"/>
        </w:pBdr>
        <w:spacing w:line="360" w:lineRule="auto"/>
        <w:ind w:firstLine="480" w:firstLineChars="200"/>
        <w:rPr>
          <w:rFonts w:hint="eastAsia" w:cs="宋体"/>
          <w:color w:val="auto"/>
        </w:rPr>
      </w:pPr>
      <w:r>
        <w:rPr>
          <w:rFonts w:hint="eastAsia" w:cs="宋体"/>
          <w:color w:val="auto"/>
          <w:u w:val="single"/>
          <w:lang w:eastAsia="zh-CN"/>
        </w:rPr>
        <w:t>海东市乐都区2026-2027年度政策性农村住房保险</w:t>
      </w:r>
      <w:r>
        <w:rPr>
          <w:rFonts w:hint="eastAsia" w:cs="宋体"/>
          <w:color w:val="auto"/>
        </w:rPr>
        <w:t>的潜在供应商应</w:t>
      </w:r>
      <w:r>
        <w:rPr>
          <w:rFonts w:hint="eastAsia" w:cs="宋体"/>
          <w:color w:val="auto"/>
          <w:u w:val="single"/>
        </w:rPr>
        <w:t>登录政采云平https://www.zcygov.cn/</w:t>
      </w:r>
      <w:r>
        <w:rPr>
          <w:rFonts w:hint="eastAsia" w:cs="宋体"/>
          <w:color w:val="auto"/>
        </w:rPr>
        <w:t>在线申请获取采购文件获取采购文件，并于</w:t>
      </w:r>
      <w:r>
        <w:rPr>
          <w:rFonts w:hint="eastAsia" w:cs="宋体"/>
          <w:color w:val="auto"/>
          <w:lang w:eastAsia="zh-CN"/>
        </w:rPr>
        <w:t>2026年6月29日</w:t>
      </w:r>
      <w:r>
        <w:rPr>
          <w:rFonts w:hint="eastAsia" w:cs="宋体"/>
          <w:color w:val="auto"/>
          <w:lang w:val="en-US" w:eastAsia="zh-CN"/>
        </w:rPr>
        <w:t>09</w:t>
      </w:r>
      <w:r>
        <w:rPr>
          <w:rFonts w:hint="eastAsia" w:cs="宋体"/>
          <w:color w:val="auto"/>
          <w:lang w:eastAsia="zh-CN"/>
        </w:rPr>
        <w:t>:</w:t>
      </w:r>
      <w:r>
        <w:rPr>
          <w:rFonts w:hint="eastAsia" w:cs="宋体"/>
          <w:color w:val="auto"/>
          <w:lang w:val="en-US" w:eastAsia="zh-CN"/>
        </w:rPr>
        <w:t>0</w:t>
      </w:r>
      <w:r>
        <w:rPr>
          <w:rFonts w:hint="eastAsia" w:cs="宋体"/>
          <w:color w:val="auto"/>
          <w:lang w:eastAsia="zh-CN"/>
        </w:rPr>
        <w:t>0分</w:t>
      </w:r>
      <w:r>
        <w:rPr>
          <w:rFonts w:hint="eastAsia" w:cs="宋体"/>
          <w:color w:val="auto"/>
        </w:rPr>
        <w:t>前提交响应文件。</w:t>
      </w:r>
    </w:p>
    <w:p w14:paraId="59213E5E">
      <w:pPr>
        <w:spacing w:before="0" w:after="0" w:line="360" w:lineRule="auto"/>
        <w:ind w:left="0" w:right="0" w:firstLine="0"/>
        <w:jc w:val="both"/>
        <w:rPr>
          <w:rFonts w:hint="eastAsia" w:asciiTheme="minorEastAsia" w:hAnsiTheme="minorEastAsia" w:eastAsiaTheme="minorEastAsia" w:cstheme="minorEastAsia"/>
          <w:b/>
          <w:color w:val="auto"/>
          <w:spacing w:val="0"/>
          <w:position w:val="0"/>
          <w:sz w:val="24"/>
          <w:szCs w:val="24"/>
          <w:shd w:val="clear" w:fill="auto"/>
        </w:rPr>
      </w:pPr>
    </w:p>
    <w:p w14:paraId="462F158B">
      <w:pPr>
        <w:spacing w:before="0" w:after="0" w:line="360" w:lineRule="auto"/>
        <w:ind w:left="0" w:right="0" w:firstLine="0"/>
        <w:jc w:val="both"/>
        <w:rPr>
          <w:rFonts w:hint="eastAsia" w:asciiTheme="minorEastAsia" w:hAnsiTheme="minorEastAsia" w:eastAsiaTheme="minorEastAsia" w:cstheme="minorEastAsia"/>
          <w:b/>
          <w:color w:val="auto"/>
          <w:spacing w:val="0"/>
          <w:position w:val="0"/>
          <w:sz w:val="24"/>
          <w:szCs w:val="24"/>
          <w:shd w:val="clear" w:fill="auto"/>
        </w:rPr>
      </w:pPr>
      <w:r>
        <w:rPr>
          <w:rFonts w:hint="eastAsia" w:asciiTheme="minorEastAsia" w:hAnsiTheme="minorEastAsia" w:eastAsiaTheme="minorEastAsia" w:cstheme="minorEastAsia"/>
          <w:b/>
          <w:color w:val="auto"/>
          <w:spacing w:val="0"/>
          <w:position w:val="0"/>
          <w:sz w:val="24"/>
          <w:szCs w:val="24"/>
          <w:shd w:val="clear" w:fill="auto"/>
        </w:rPr>
        <w:t>一、项目基本情况</w:t>
      </w:r>
    </w:p>
    <w:p w14:paraId="2066B6E7">
      <w:pPr>
        <w:spacing w:before="0" w:after="0" w:line="360" w:lineRule="auto"/>
        <w:ind w:left="0" w:right="0" w:firstLine="420"/>
        <w:jc w:val="left"/>
        <w:rPr>
          <w:rFonts w:hint="eastAsia"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eastAsiaTheme="minorEastAsia" w:cstheme="minorEastAsia"/>
          <w:color w:val="auto"/>
          <w:spacing w:val="0"/>
          <w:position w:val="0"/>
          <w:sz w:val="24"/>
          <w:szCs w:val="24"/>
          <w:shd w:val="clear" w:fill="auto"/>
        </w:rPr>
        <w:t>项目编号：</w:t>
      </w:r>
      <w:r>
        <w:rPr>
          <w:rFonts w:hint="eastAsia" w:asciiTheme="minorEastAsia" w:hAnsiTheme="minorEastAsia" w:eastAsiaTheme="minorEastAsia" w:cstheme="minorEastAsia"/>
          <w:color w:val="auto"/>
          <w:spacing w:val="0"/>
          <w:position w:val="0"/>
          <w:sz w:val="24"/>
          <w:szCs w:val="24"/>
          <w:shd w:val="clear" w:fill="auto"/>
          <w:lang w:val="zh-CN" w:eastAsia="zh-CN"/>
        </w:rPr>
        <w:t>乐欣中堃竞磋（服务）2026-020</w:t>
      </w:r>
      <w:r>
        <w:rPr>
          <w:rFonts w:hint="eastAsia" w:asciiTheme="minorEastAsia" w:hAnsiTheme="minorEastAsia" w:eastAsiaTheme="minorEastAsia" w:cstheme="minorEastAsia"/>
          <w:color w:val="auto"/>
          <w:spacing w:val="0"/>
          <w:position w:val="0"/>
          <w:sz w:val="24"/>
          <w:szCs w:val="24"/>
          <w:shd w:val="clear" w:fill="auto"/>
        </w:rPr>
        <w:t>；</w:t>
      </w:r>
    </w:p>
    <w:p w14:paraId="43854AD3">
      <w:pPr>
        <w:spacing w:before="0" w:after="0" w:line="360" w:lineRule="auto"/>
        <w:ind w:left="0" w:right="0" w:firstLine="420"/>
        <w:jc w:val="left"/>
        <w:rPr>
          <w:rFonts w:hint="eastAsia" w:asciiTheme="minorEastAsia" w:hAnsiTheme="minorEastAsia" w:eastAsiaTheme="minorEastAsia" w:cstheme="minorEastAsia"/>
          <w:color w:val="auto"/>
          <w:spacing w:val="0"/>
          <w:position w:val="0"/>
          <w:sz w:val="24"/>
          <w:szCs w:val="24"/>
          <w:shd w:val="clear" w:fill="auto"/>
          <w:lang w:val="zh-CN" w:eastAsia="zh-CN"/>
        </w:rPr>
      </w:pPr>
      <w:r>
        <w:rPr>
          <w:rFonts w:hint="eastAsia" w:asciiTheme="minorEastAsia" w:hAnsiTheme="minorEastAsia" w:eastAsiaTheme="minorEastAsia" w:cstheme="minorEastAsia"/>
          <w:color w:val="auto"/>
          <w:spacing w:val="0"/>
          <w:position w:val="0"/>
          <w:sz w:val="24"/>
          <w:szCs w:val="24"/>
          <w:shd w:val="clear" w:fill="auto"/>
        </w:rPr>
        <w:t>项目名称：</w:t>
      </w:r>
      <w:r>
        <w:rPr>
          <w:rFonts w:hint="eastAsia" w:asciiTheme="minorEastAsia" w:hAnsiTheme="minorEastAsia" w:eastAsiaTheme="minorEastAsia" w:cstheme="minorEastAsia"/>
          <w:color w:val="auto"/>
          <w:spacing w:val="0"/>
          <w:position w:val="0"/>
          <w:sz w:val="24"/>
          <w:szCs w:val="24"/>
          <w:shd w:val="clear" w:fill="auto"/>
          <w:lang w:val="zh-CN" w:eastAsia="zh-CN"/>
        </w:rPr>
        <w:t>海东市乐都区2026-2027年度政策性农村住房保险</w:t>
      </w:r>
    </w:p>
    <w:p w14:paraId="3AE1E201">
      <w:pPr>
        <w:spacing w:before="0" w:after="0" w:line="360" w:lineRule="auto"/>
        <w:ind w:left="0" w:right="0" w:firstLine="420"/>
        <w:jc w:val="left"/>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rPr>
        <w:t>采购方式：竞争性磋商；</w:t>
      </w:r>
    </w:p>
    <w:p w14:paraId="24949BCF">
      <w:pPr>
        <w:spacing w:before="0" w:after="0" w:line="360" w:lineRule="auto"/>
        <w:ind w:left="0" w:right="0" w:firstLine="420"/>
        <w:jc w:val="left"/>
        <w:rPr>
          <w:rFonts w:hint="default"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eastAsiaTheme="minorEastAsia" w:cstheme="minorEastAsia"/>
          <w:color w:val="auto"/>
          <w:spacing w:val="0"/>
          <w:position w:val="0"/>
          <w:sz w:val="24"/>
          <w:szCs w:val="24"/>
          <w:shd w:val="clear" w:fill="auto"/>
        </w:rPr>
        <w:t>预算金额：</w:t>
      </w:r>
      <w:r>
        <w:rPr>
          <w:rFonts w:hint="eastAsia" w:asciiTheme="minorEastAsia" w:hAnsiTheme="minorEastAsia" w:eastAsiaTheme="minorEastAsia" w:cstheme="minorEastAsia"/>
          <w:color w:val="auto"/>
          <w:spacing w:val="0"/>
          <w:position w:val="0"/>
          <w:sz w:val="24"/>
          <w:szCs w:val="24"/>
          <w:shd w:val="clear" w:fill="auto"/>
          <w:lang w:val="en-US" w:eastAsia="zh-CN"/>
        </w:rPr>
        <w:t>小写：611，390.00</w:t>
      </w:r>
      <w:r>
        <w:rPr>
          <w:rFonts w:hint="eastAsia" w:asciiTheme="minorEastAsia" w:hAnsiTheme="minorEastAsia" w:eastAsiaTheme="minorEastAsia" w:cstheme="minorEastAsia"/>
          <w:color w:val="auto"/>
          <w:spacing w:val="0"/>
          <w:position w:val="0"/>
          <w:sz w:val="24"/>
          <w:szCs w:val="24"/>
          <w:shd w:val="clear" w:fill="auto"/>
        </w:rPr>
        <w:t>元</w:t>
      </w:r>
      <w:r>
        <w:rPr>
          <w:rFonts w:hint="eastAsia" w:asciiTheme="minorEastAsia" w:hAnsiTheme="minorEastAsia" w:eastAsiaTheme="minorEastAsia" w:cstheme="minorEastAsia"/>
          <w:color w:val="auto"/>
          <w:spacing w:val="0"/>
          <w:position w:val="0"/>
          <w:sz w:val="24"/>
          <w:szCs w:val="24"/>
          <w:shd w:val="clear" w:fill="auto"/>
          <w:lang w:val="en-US" w:eastAsia="zh-CN"/>
        </w:rPr>
        <w:t>(大写：陆拾壹万壹仟叁佰玖拾元整）</w:t>
      </w:r>
    </w:p>
    <w:p w14:paraId="55D71A25">
      <w:pPr>
        <w:spacing w:before="0" w:after="0" w:line="360" w:lineRule="auto"/>
        <w:ind w:left="0" w:right="0" w:firstLine="420"/>
        <w:jc w:val="left"/>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rPr>
        <w:t>最高限价：</w:t>
      </w:r>
      <w:r>
        <w:rPr>
          <w:rFonts w:hint="eastAsia" w:asciiTheme="minorEastAsia" w:hAnsiTheme="minorEastAsia" w:eastAsiaTheme="minorEastAsia" w:cstheme="minorEastAsia"/>
          <w:color w:val="auto"/>
          <w:spacing w:val="0"/>
          <w:position w:val="0"/>
          <w:sz w:val="24"/>
          <w:szCs w:val="24"/>
          <w:shd w:val="clear" w:fill="auto"/>
          <w:lang w:val="en-US" w:eastAsia="zh-CN"/>
        </w:rPr>
        <w:t>小写：611，390.00</w:t>
      </w:r>
      <w:r>
        <w:rPr>
          <w:rFonts w:hint="eastAsia" w:asciiTheme="minorEastAsia" w:hAnsiTheme="minorEastAsia" w:eastAsiaTheme="minorEastAsia" w:cstheme="minorEastAsia"/>
          <w:color w:val="auto"/>
          <w:spacing w:val="0"/>
          <w:position w:val="0"/>
          <w:sz w:val="24"/>
          <w:szCs w:val="24"/>
          <w:shd w:val="clear" w:fill="auto"/>
        </w:rPr>
        <w:t>元</w:t>
      </w:r>
      <w:r>
        <w:rPr>
          <w:rFonts w:hint="eastAsia" w:asciiTheme="minorEastAsia" w:hAnsiTheme="minorEastAsia" w:eastAsiaTheme="minorEastAsia" w:cstheme="minorEastAsia"/>
          <w:color w:val="auto"/>
          <w:spacing w:val="0"/>
          <w:position w:val="0"/>
          <w:sz w:val="24"/>
          <w:szCs w:val="24"/>
          <w:shd w:val="clear" w:fill="auto"/>
          <w:lang w:val="en-US" w:eastAsia="zh-CN"/>
        </w:rPr>
        <w:t>(大写：陆拾壹万壹仟叁佰玖拾元整）</w:t>
      </w:r>
    </w:p>
    <w:p w14:paraId="6F21BB25">
      <w:pPr>
        <w:spacing w:before="0" w:after="0" w:line="360" w:lineRule="auto"/>
        <w:ind w:left="0" w:right="0" w:firstLine="420"/>
        <w:jc w:val="left"/>
        <w:rPr>
          <w:rFonts w:hint="eastAsia"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eastAsiaTheme="minorEastAsia" w:cstheme="minorEastAsia"/>
          <w:color w:val="000000" w:themeColor="text1"/>
          <w:spacing w:val="0"/>
          <w:position w:val="0"/>
          <w:sz w:val="24"/>
          <w:szCs w:val="24"/>
          <w:shd w:val="clear" w:fill="auto"/>
          <w14:textFill>
            <w14:solidFill>
              <w14:schemeClr w14:val="tx1"/>
            </w14:solidFill>
          </w14:textFill>
        </w:rPr>
        <w:t>采购</w:t>
      </w:r>
      <w:r>
        <w:rPr>
          <w:rFonts w:hint="eastAsia" w:asciiTheme="minorEastAsia" w:hAnsiTheme="minorEastAsia" w:eastAsiaTheme="minorEastAsia" w:cstheme="minorEastAsia"/>
          <w:color w:val="000000" w:themeColor="text1"/>
          <w:spacing w:val="0"/>
          <w:position w:val="0"/>
          <w:sz w:val="24"/>
          <w:szCs w:val="24"/>
          <w:shd w:val="clear" w:fill="auto"/>
          <w:lang w:val="en-US" w:eastAsia="zh-CN"/>
          <w14:textFill>
            <w14:solidFill>
              <w14:schemeClr w14:val="tx1"/>
            </w14:solidFill>
          </w14:textFill>
        </w:rPr>
        <w:t>内容</w:t>
      </w:r>
      <w:r>
        <w:rPr>
          <w:rFonts w:hint="eastAsia" w:asciiTheme="minorEastAsia" w:hAnsiTheme="minorEastAsia" w:eastAsiaTheme="minorEastAsia" w:cstheme="minorEastAsia"/>
          <w:color w:val="auto"/>
          <w:spacing w:val="0"/>
          <w:position w:val="0"/>
          <w:sz w:val="24"/>
          <w:szCs w:val="24"/>
          <w:shd w:val="clear" w:fill="auto"/>
        </w:rPr>
        <w:t>：</w:t>
      </w:r>
      <w:r>
        <w:rPr>
          <w:rFonts w:hint="eastAsia" w:asciiTheme="minorEastAsia" w:hAnsiTheme="minorEastAsia" w:eastAsiaTheme="minorEastAsia" w:cstheme="minorEastAsia"/>
          <w:color w:val="auto"/>
          <w:spacing w:val="0"/>
          <w:position w:val="0"/>
          <w:sz w:val="24"/>
          <w:szCs w:val="24"/>
          <w:shd w:val="clear" w:fill="auto"/>
          <w:lang w:val="en-US" w:eastAsia="zh-CN"/>
        </w:rPr>
        <w:t>详见采购文件“第六部分 磋商及采购项目技术要求”。</w:t>
      </w:r>
    </w:p>
    <w:p w14:paraId="742A6C51">
      <w:pPr>
        <w:spacing w:before="0" w:after="0" w:line="360" w:lineRule="auto"/>
        <w:ind w:left="0" w:right="0" w:firstLine="420"/>
        <w:jc w:val="left"/>
        <w:rPr>
          <w:rFonts w:hint="eastAsia"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eastAsiaTheme="minorEastAsia" w:cstheme="minorEastAsia"/>
          <w:color w:val="auto"/>
          <w:spacing w:val="0"/>
          <w:position w:val="0"/>
          <w:sz w:val="24"/>
          <w:szCs w:val="24"/>
          <w:shd w:val="clear" w:fill="auto"/>
          <w:lang w:val="en-US" w:eastAsia="zh-CN"/>
        </w:rPr>
        <w:t>数量：1</w:t>
      </w:r>
    </w:p>
    <w:p w14:paraId="76D1EDB1">
      <w:pPr>
        <w:spacing w:before="0" w:after="0" w:line="360" w:lineRule="auto"/>
        <w:ind w:left="0" w:right="0" w:firstLine="420"/>
        <w:jc w:val="left"/>
        <w:rPr>
          <w:rFonts w:hint="eastAsia"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eastAsiaTheme="minorEastAsia" w:cstheme="minorEastAsia"/>
          <w:color w:val="auto"/>
          <w:spacing w:val="0"/>
          <w:position w:val="0"/>
          <w:sz w:val="24"/>
          <w:szCs w:val="24"/>
          <w:shd w:val="clear" w:fill="auto"/>
        </w:rPr>
        <w:t>预算金额：</w:t>
      </w:r>
      <w:r>
        <w:rPr>
          <w:rFonts w:hint="eastAsia" w:asciiTheme="minorEastAsia" w:hAnsiTheme="minorEastAsia" w:eastAsiaTheme="minorEastAsia" w:cstheme="minorEastAsia"/>
          <w:color w:val="auto"/>
          <w:spacing w:val="0"/>
          <w:position w:val="0"/>
          <w:sz w:val="24"/>
          <w:szCs w:val="24"/>
          <w:shd w:val="clear" w:fill="auto"/>
          <w:lang w:val="en-US" w:eastAsia="zh-CN"/>
        </w:rPr>
        <w:t>小写：611，390.00</w:t>
      </w:r>
      <w:r>
        <w:rPr>
          <w:rFonts w:hint="eastAsia" w:asciiTheme="minorEastAsia" w:hAnsiTheme="minorEastAsia" w:eastAsiaTheme="minorEastAsia" w:cstheme="minorEastAsia"/>
          <w:color w:val="auto"/>
          <w:spacing w:val="0"/>
          <w:position w:val="0"/>
          <w:sz w:val="24"/>
          <w:szCs w:val="24"/>
          <w:shd w:val="clear" w:fill="auto"/>
        </w:rPr>
        <w:t>元</w:t>
      </w:r>
      <w:r>
        <w:rPr>
          <w:rFonts w:hint="eastAsia" w:asciiTheme="minorEastAsia" w:hAnsiTheme="minorEastAsia" w:eastAsiaTheme="minorEastAsia" w:cstheme="minorEastAsia"/>
          <w:color w:val="auto"/>
          <w:spacing w:val="0"/>
          <w:position w:val="0"/>
          <w:sz w:val="24"/>
          <w:szCs w:val="24"/>
          <w:shd w:val="clear" w:fill="auto"/>
          <w:lang w:val="en-US" w:eastAsia="zh-CN"/>
        </w:rPr>
        <w:t>(大写：陆拾壹万壹仟叁佰玖拾元整）</w:t>
      </w:r>
    </w:p>
    <w:p w14:paraId="3023F148">
      <w:pPr>
        <w:spacing w:before="0" w:after="0" w:line="360" w:lineRule="auto"/>
        <w:ind w:left="0" w:right="0" w:firstLine="420"/>
        <w:jc w:val="left"/>
        <w:rPr>
          <w:rFonts w:hint="eastAsia"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eastAsiaTheme="minorEastAsia" w:cstheme="minorEastAsia"/>
          <w:color w:val="auto"/>
          <w:spacing w:val="0"/>
          <w:position w:val="0"/>
          <w:sz w:val="24"/>
          <w:szCs w:val="24"/>
          <w:shd w:val="clear" w:fill="auto"/>
          <w:lang w:val="en-US" w:eastAsia="zh-CN"/>
        </w:rPr>
        <w:t>单位：项</w:t>
      </w:r>
    </w:p>
    <w:p w14:paraId="035D75C6">
      <w:pPr>
        <w:spacing w:before="0" w:after="0" w:line="360" w:lineRule="auto"/>
        <w:ind w:left="0" w:right="0" w:firstLine="420"/>
        <w:jc w:val="left"/>
        <w:rPr>
          <w:rFonts w:hint="default" w:asciiTheme="minorEastAsia" w:hAnsiTheme="minorEastAsia" w:eastAsiaTheme="minorEastAsia" w:cstheme="minorEastAsia"/>
          <w:color w:val="auto"/>
          <w:spacing w:val="0"/>
          <w:position w:val="0"/>
          <w:sz w:val="24"/>
          <w:szCs w:val="24"/>
          <w:highlight w:val="none"/>
          <w:shd w:val="clear" w:fill="auto"/>
          <w:lang w:val="en-US" w:eastAsia="zh-CN"/>
        </w:rPr>
      </w:pPr>
      <w:r>
        <w:rPr>
          <w:rFonts w:hint="eastAsia" w:asciiTheme="minorEastAsia" w:hAnsiTheme="minorEastAsia" w:eastAsiaTheme="minorEastAsia" w:cstheme="minorEastAsia"/>
          <w:color w:val="000000" w:themeColor="text1"/>
          <w:spacing w:val="0"/>
          <w:position w:val="0"/>
          <w:sz w:val="24"/>
          <w:szCs w:val="24"/>
          <w:highlight w:val="none"/>
          <w:shd w:val="clear" w:fill="auto"/>
          <w:lang w:val="en-US" w:eastAsia="zh-CN"/>
          <w14:textFill>
            <w14:solidFill>
              <w14:schemeClr w14:val="tx1"/>
            </w14:solidFill>
          </w14:textFill>
        </w:rPr>
        <w:t>服务</w:t>
      </w:r>
      <w:r>
        <w:rPr>
          <w:rFonts w:hint="eastAsia" w:asciiTheme="minorEastAsia" w:hAnsiTheme="minorEastAsia" w:eastAsiaTheme="minorEastAsia" w:cstheme="minorEastAsia"/>
          <w:color w:val="auto"/>
          <w:spacing w:val="0"/>
          <w:position w:val="0"/>
          <w:sz w:val="24"/>
          <w:szCs w:val="24"/>
          <w:highlight w:val="none"/>
          <w:shd w:val="clear" w:fill="auto"/>
          <w:lang w:val="en-US" w:eastAsia="zh-CN"/>
        </w:rPr>
        <w:t>期限</w:t>
      </w:r>
      <w:r>
        <w:rPr>
          <w:rFonts w:hint="eastAsia" w:asciiTheme="minorEastAsia" w:hAnsiTheme="minorEastAsia" w:eastAsiaTheme="minorEastAsia" w:cstheme="minorEastAsia"/>
          <w:color w:val="auto"/>
          <w:spacing w:val="0"/>
          <w:position w:val="0"/>
          <w:sz w:val="24"/>
          <w:szCs w:val="24"/>
          <w:highlight w:val="none"/>
          <w:shd w:val="clear" w:fill="auto"/>
          <w:lang w:val="en-US" w:eastAsia="zh-CN"/>
        </w:rPr>
        <w:t>：</w:t>
      </w:r>
      <w:r>
        <w:rPr>
          <w:rFonts w:hint="eastAsia" w:ascii="宋体" w:hAnsi="Cambria" w:cs="宋体"/>
          <w:color w:val="auto"/>
          <w:kern w:val="0"/>
          <w:sz w:val="24"/>
          <w:lang w:val="en-US" w:eastAsia="zh-CN"/>
        </w:rPr>
        <w:t>2026年至2027年</w:t>
      </w:r>
      <w:r>
        <w:rPr>
          <w:rFonts w:hint="eastAsia" w:ascii="宋体" w:hAnsi="Cambria" w:cs="宋体"/>
          <w:color w:val="000000" w:themeColor="text1"/>
          <w:kern w:val="0"/>
          <w:sz w:val="24"/>
          <w:lang w:val="en-US" w:eastAsia="zh-CN"/>
          <w14:textFill>
            <w14:solidFill>
              <w14:schemeClr w14:val="tx1"/>
            </w14:solidFill>
          </w14:textFill>
        </w:rPr>
        <w:t>。</w:t>
      </w:r>
    </w:p>
    <w:p w14:paraId="6C85EC97">
      <w:pPr>
        <w:spacing w:before="0" w:after="0" w:line="360" w:lineRule="auto"/>
        <w:ind w:left="0" w:right="0" w:firstLine="420"/>
        <w:jc w:val="left"/>
        <w:rPr>
          <w:rFonts w:hint="default" w:asciiTheme="minorEastAsia" w:hAnsiTheme="minorEastAsia" w:eastAsiaTheme="minorEastAsia" w:cstheme="minorEastAsia"/>
          <w:color w:val="auto"/>
          <w:spacing w:val="0"/>
          <w:position w:val="0"/>
          <w:sz w:val="24"/>
          <w:szCs w:val="24"/>
          <w:highlight w:val="none"/>
          <w:shd w:val="clear" w:fill="auto"/>
          <w:lang w:val="en-US" w:eastAsia="zh-CN"/>
        </w:rPr>
      </w:pPr>
      <w:r>
        <w:rPr>
          <w:rFonts w:hint="eastAsia" w:ascii="宋体" w:cs="宋体"/>
          <w:color w:val="000000" w:themeColor="text1"/>
          <w:kern w:val="0"/>
          <w:sz w:val="24"/>
          <w:szCs w:val="24"/>
          <w:highlight w:val="none"/>
          <w:lang w:val="zh-CN"/>
          <w14:textFill>
            <w14:solidFill>
              <w14:schemeClr w14:val="tx1"/>
            </w14:solidFill>
          </w14:textFill>
        </w:rPr>
        <w:t>服务地点：</w:t>
      </w:r>
      <w:r>
        <w:rPr>
          <w:rFonts w:hint="eastAsia" w:ascii="宋体" w:cs="宋体"/>
          <w:color w:val="000000" w:themeColor="text1"/>
          <w:kern w:val="0"/>
          <w:sz w:val="24"/>
          <w:szCs w:val="24"/>
          <w:highlight w:val="none"/>
          <w:lang w:val="en-US" w:eastAsia="zh-CN"/>
          <w14:textFill>
            <w14:solidFill>
              <w14:schemeClr w14:val="tx1"/>
            </w14:solidFill>
          </w14:textFill>
        </w:rPr>
        <w:t>乐都区</w:t>
      </w:r>
      <w:r>
        <w:rPr>
          <w:rFonts w:hint="eastAsia" w:ascii="宋体" w:cs="宋体"/>
          <w:color w:val="000000" w:themeColor="text1"/>
          <w:kern w:val="0"/>
          <w:sz w:val="24"/>
          <w:szCs w:val="24"/>
          <w:highlight w:val="none"/>
          <w:lang w:val="zh-CN"/>
          <w14:textFill>
            <w14:solidFill>
              <w14:schemeClr w14:val="tx1"/>
            </w14:solidFill>
          </w14:textFill>
        </w:rPr>
        <w:t>。</w:t>
      </w:r>
    </w:p>
    <w:p w14:paraId="4DD707F0">
      <w:pPr>
        <w:spacing w:before="0" w:after="0" w:line="360" w:lineRule="auto"/>
        <w:ind w:left="0" w:right="0" w:firstLine="0"/>
        <w:jc w:val="both"/>
        <w:rPr>
          <w:rFonts w:ascii="宋体" w:hAnsi="宋体" w:eastAsia="宋体" w:cs="宋体"/>
          <w:b/>
          <w:color w:val="auto"/>
          <w:spacing w:val="0"/>
          <w:position w:val="0"/>
          <w:sz w:val="24"/>
          <w:szCs w:val="24"/>
          <w:highlight w:val="none"/>
          <w:shd w:val="clear" w:fill="auto"/>
        </w:rPr>
      </w:pPr>
      <w:r>
        <w:rPr>
          <w:rFonts w:ascii="宋体" w:hAnsi="宋体" w:eastAsia="宋体" w:cs="宋体"/>
          <w:b/>
          <w:color w:val="auto"/>
          <w:spacing w:val="0"/>
          <w:position w:val="0"/>
          <w:sz w:val="24"/>
          <w:szCs w:val="24"/>
          <w:highlight w:val="none"/>
          <w:shd w:val="clear" w:fill="auto"/>
        </w:rPr>
        <w:t>二、申请人的资格要求：</w:t>
      </w:r>
    </w:p>
    <w:p w14:paraId="63B27FC8">
      <w:pPr>
        <w:spacing w:line="360" w:lineRule="auto"/>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1.满足《中华人民共和国政府采购法》第二十二条规定； </w:t>
      </w:r>
    </w:p>
    <w:p w14:paraId="1F4A5853">
      <w:pPr>
        <w:spacing w:line="360" w:lineRule="auto"/>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cs="宋体"/>
          <w:color w:val="auto"/>
          <w:highlight w:val="none"/>
          <w:lang w:val="en-US" w:eastAsia="zh-CN"/>
        </w:rPr>
        <w:t>供应商的营业执照等证明文件，自然人的身份证明。（分支机构参与本项目政府采购活动须提供总公司针对本项目的授权,同时提供总公司和分支机构营业执照副本复印件。（银行、保险、电信、电力、石油石化、邮政、铁路等特殊行业，可出具总公司的有关文件或制度等能够证明总公司授权其独立开展业务的证明））</w:t>
      </w:r>
      <w:r>
        <w:rPr>
          <w:rFonts w:hint="eastAsia" w:ascii="宋体" w:hAnsi="宋体" w:eastAsia="宋体" w:cs="宋体"/>
          <w:color w:val="auto"/>
          <w:sz w:val="24"/>
          <w:szCs w:val="24"/>
          <w:lang w:val="en-US" w:eastAsia="zh-CN"/>
        </w:rPr>
        <w:t xml:space="preserve">。 </w:t>
      </w:r>
    </w:p>
    <w:p w14:paraId="52B2FA0A">
      <w:pPr>
        <w:spacing w:line="360" w:lineRule="auto"/>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（2）财务状况报告，依法缴纳税收和社会保障资金的相关材料。 </w:t>
      </w:r>
    </w:p>
    <w:p w14:paraId="486D6039">
      <w:pPr>
        <w:spacing w:line="360" w:lineRule="auto"/>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（3）具备履行合同所必需的设备和专业技术能力的证明材料。 </w:t>
      </w:r>
    </w:p>
    <w:p w14:paraId="15118E8C">
      <w:pPr>
        <w:spacing w:line="360" w:lineRule="auto"/>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（4）参加政府采购活动前 3 年内在经营活动中没有重大违法记录的书面声明。 </w:t>
      </w:r>
    </w:p>
    <w:p w14:paraId="25E75C38">
      <w:pPr>
        <w:spacing w:line="360" w:lineRule="auto"/>
        <w:ind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（5）具备法律、行政法规规定的其他条件的证明材料。</w:t>
      </w:r>
    </w:p>
    <w:p w14:paraId="733F8B29">
      <w:pPr>
        <w:numPr>
          <w:ilvl w:val="0"/>
          <w:numId w:val="27"/>
        </w:numPr>
        <w:spacing w:line="360" w:lineRule="auto"/>
        <w:ind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经 信 用 中 国 （ www.creditchina.gov.cn ） 、 中 国 政 府 采 购 网 （www.ccgp.gov.cn）等渠道查询后，列入失信被执行人、重大税收违法案件当事人名单</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政府采购严重违法失信行为记录名单的，取消</w:t>
      </w:r>
      <w:r>
        <w:rPr>
          <w:rFonts w:hint="eastAsia" w:ascii="宋体" w:hAnsi="宋体" w:cs="宋体"/>
          <w:color w:val="auto"/>
          <w:sz w:val="24"/>
          <w:szCs w:val="24"/>
          <w:lang w:val="en-US" w:eastAsia="zh-CN"/>
        </w:rPr>
        <w:t>递交响应文件</w:t>
      </w:r>
      <w:r>
        <w:rPr>
          <w:rFonts w:hint="eastAsia" w:ascii="宋体" w:hAnsi="宋体" w:eastAsia="宋体" w:cs="宋体"/>
          <w:color w:val="auto"/>
          <w:sz w:val="24"/>
          <w:szCs w:val="24"/>
          <w:lang w:val="en-US" w:eastAsia="zh-CN"/>
        </w:rPr>
        <w:t xml:space="preserve">资格。（提供“信用中国”网站的查询截图）； </w:t>
      </w:r>
    </w:p>
    <w:p w14:paraId="19151167">
      <w:pPr>
        <w:numPr>
          <w:ilvl w:val="0"/>
          <w:numId w:val="27"/>
        </w:numPr>
        <w:spacing w:line="360" w:lineRule="auto"/>
        <w:ind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财务要求：</w:t>
      </w:r>
      <w:r>
        <w:rPr>
          <w:rFonts w:hint="eastAsia" w:ascii="宋体" w:hAnsi="宋体" w:cs="宋体"/>
          <w:color w:val="auto"/>
          <w:sz w:val="24"/>
          <w:szCs w:val="24"/>
          <w:lang w:val="en-US" w:eastAsia="zh-CN"/>
        </w:rPr>
        <w:t>供应商须提供经第三方机构出具的2025年的财务审计报告</w:t>
      </w:r>
      <w:r>
        <w:rPr>
          <w:rFonts w:hint="eastAsia" w:ascii="宋体" w:hAnsi="宋体" w:eastAsia="宋体" w:cs="宋体"/>
          <w:color w:val="auto"/>
          <w:sz w:val="24"/>
          <w:szCs w:val="24"/>
          <w:lang w:val="en-US" w:eastAsia="zh-CN"/>
        </w:rPr>
        <w:t>，包括但不限于资产负债表、现金流量表、利润表和财务（会计）报表附注,并提供第三方机构的营业执照、执业证书或提供基本开户银行出具近三个月内的资信证明（同时提供基本存款账户开户许可证）。扫描（或复印）件应全面、完整、清晰。</w:t>
      </w:r>
    </w:p>
    <w:p w14:paraId="0B082F07">
      <w:pPr>
        <w:spacing w:line="360" w:lineRule="auto"/>
        <w:ind w:firstLine="240" w:firstLineChars="100"/>
        <w:jc w:val="left"/>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default"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t>单位负责人为同一人或者存在直接控股、管理关系的不同</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，不得参加同一合同项下的政府采购活动。否则，皆取消</w:t>
      </w:r>
      <w:r>
        <w:rPr>
          <w:rFonts w:hint="eastAsia" w:ascii="宋体" w:hAnsi="宋体" w:cs="宋体"/>
          <w:color w:val="auto"/>
          <w:sz w:val="24"/>
          <w:szCs w:val="24"/>
          <w:lang w:val="en-US" w:eastAsia="zh-CN"/>
        </w:rPr>
        <w:t>递交响应文件</w:t>
      </w:r>
      <w:r>
        <w:rPr>
          <w:rFonts w:hint="eastAsia" w:ascii="宋体" w:hAnsi="宋体" w:eastAsia="宋体" w:cs="宋体"/>
          <w:color w:val="auto"/>
          <w:sz w:val="24"/>
          <w:szCs w:val="24"/>
          <w:lang w:val="en-US" w:eastAsia="zh-CN"/>
        </w:rPr>
        <w:t xml:space="preserve">资格； </w:t>
      </w:r>
    </w:p>
    <w:p w14:paraId="0296405F">
      <w:pPr>
        <w:spacing w:line="360" w:lineRule="auto"/>
        <w:ind w:firstLine="240" w:firstLineChars="100"/>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default"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t xml:space="preserve">为本采购项目提供整体设计、规范编制或者项目管理、监理、检测等服务的投标人，不得再参加该采购项目的其他采购活动； </w:t>
      </w:r>
    </w:p>
    <w:p w14:paraId="29E9F5ED">
      <w:pPr>
        <w:spacing w:line="360" w:lineRule="auto"/>
        <w:ind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r>
        <w:rPr>
          <w:rFonts w:hint="default"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t xml:space="preserve">本项目不接受供应商以联合体方式进行投标； </w:t>
      </w:r>
    </w:p>
    <w:p w14:paraId="43C81492">
      <w:pPr>
        <w:spacing w:line="360" w:lineRule="auto"/>
        <w:ind w:firstLine="240" w:firstLineChars="100"/>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eastAsia="zh-CN"/>
        </w:rPr>
        <w:t>投标供应商须具备中国银行保险监督管理委员会颁发的《保险许可证》。</w:t>
      </w:r>
    </w:p>
    <w:p w14:paraId="27F3C07A">
      <w:pPr>
        <w:spacing w:before="0" w:after="0" w:line="360" w:lineRule="auto"/>
        <w:ind w:left="0" w:right="0" w:firstLine="0"/>
        <w:jc w:val="both"/>
        <w:rPr>
          <w:rFonts w:hint="eastAsia" w:asciiTheme="minorEastAsia" w:hAnsiTheme="minorEastAsia" w:eastAsiaTheme="minorEastAsia" w:cstheme="minorEastAsia"/>
          <w:b/>
          <w:color w:val="auto"/>
          <w:spacing w:val="0"/>
          <w:position w:val="0"/>
          <w:sz w:val="24"/>
          <w:szCs w:val="24"/>
          <w:shd w:val="clear" w:fill="auto"/>
        </w:rPr>
      </w:pPr>
      <w:r>
        <w:rPr>
          <w:rFonts w:hint="eastAsia" w:asciiTheme="minorEastAsia" w:hAnsiTheme="minorEastAsia" w:eastAsiaTheme="minorEastAsia" w:cstheme="minorEastAsia"/>
          <w:b/>
          <w:color w:val="auto"/>
          <w:spacing w:val="0"/>
          <w:position w:val="0"/>
          <w:sz w:val="24"/>
          <w:szCs w:val="24"/>
          <w:shd w:val="clear" w:fill="auto"/>
        </w:rPr>
        <w:t>三、获取采购文件</w:t>
      </w:r>
    </w:p>
    <w:p w14:paraId="70BC6599">
      <w:pPr>
        <w:spacing w:before="0" w:after="0" w:line="360" w:lineRule="auto"/>
        <w:ind w:left="0" w:right="0" w:firstLine="420"/>
        <w:jc w:val="both"/>
        <w:rPr>
          <w:rFonts w:hint="eastAsia" w:asciiTheme="minorEastAsia" w:hAnsiTheme="minorEastAsia" w:eastAsiaTheme="minorEastAsia" w:cstheme="minorEastAsia"/>
          <w:color w:val="auto"/>
          <w:spacing w:val="0"/>
          <w:position w:val="0"/>
          <w:sz w:val="24"/>
          <w:szCs w:val="24"/>
          <w:highlight w:val="none"/>
          <w:shd w:val="clear" w:fill="auto"/>
        </w:rPr>
      </w:pPr>
      <w:r>
        <w:rPr>
          <w:rFonts w:hint="eastAsia" w:asciiTheme="minorEastAsia" w:hAnsiTheme="minorEastAsia" w:eastAsiaTheme="minorEastAsia" w:cstheme="minorEastAsia"/>
          <w:color w:val="auto"/>
          <w:spacing w:val="0"/>
          <w:position w:val="0"/>
          <w:sz w:val="24"/>
          <w:szCs w:val="24"/>
          <w:shd w:val="clear" w:fill="auto"/>
        </w:rPr>
        <w:t>时间：</w:t>
      </w:r>
      <w:r>
        <w:rPr>
          <w:rFonts w:hint="eastAsia" w:asciiTheme="minorEastAsia" w:hAnsiTheme="minorEastAsia" w:eastAsiaTheme="minorEastAsia" w:cstheme="minorEastAsia"/>
          <w:color w:val="auto"/>
          <w:spacing w:val="0"/>
          <w:position w:val="0"/>
          <w:sz w:val="24"/>
          <w:szCs w:val="24"/>
          <w:highlight w:val="none"/>
          <w:u w:val="single"/>
          <w:shd w:val="clear" w:fill="auto"/>
          <w:lang w:eastAsia="zh-CN"/>
        </w:rPr>
        <w:t>2026年06月17日至2026年06月25日</w:t>
      </w:r>
      <w:r>
        <w:rPr>
          <w:rFonts w:hint="eastAsia" w:asciiTheme="minorEastAsia" w:hAnsiTheme="minorEastAsia" w:eastAsiaTheme="minorEastAsia" w:cstheme="minorEastAsia"/>
          <w:color w:val="auto"/>
          <w:spacing w:val="0"/>
          <w:position w:val="0"/>
          <w:sz w:val="24"/>
          <w:szCs w:val="24"/>
          <w:highlight w:val="none"/>
          <w:u w:val="single"/>
          <w:shd w:val="clear" w:fill="auto"/>
          <w:lang w:eastAsia="zh-CN"/>
        </w:rPr>
        <w:t xml:space="preserve">，上午00：00至12:00，下午12:00 至23:59（北京时间，法定节假日除外） </w:t>
      </w:r>
    </w:p>
    <w:p w14:paraId="7C0F961B">
      <w:pPr>
        <w:spacing w:before="0" w:after="0" w:line="360" w:lineRule="auto"/>
        <w:ind w:left="0" w:right="0" w:firstLine="42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rPr>
        <w:t>地点：供应商登录政采云平台https://www.zcygov.cn/在线申请获取采购文件</w:t>
      </w:r>
    </w:p>
    <w:p w14:paraId="2B2D781C">
      <w:pPr>
        <w:spacing w:before="0" w:after="0" w:line="360" w:lineRule="auto"/>
        <w:ind w:left="0" w:right="0" w:firstLine="42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rPr>
        <w:t>方式：供应商登录政采云平台https://www.zcygov.cn/在线申请获取采购文件（进入“项目采购”应用，在获取采购文件菜单中选择项目，申请获取采购文件）。</w:t>
      </w:r>
    </w:p>
    <w:p w14:paraId="6B771C26">
      <w:pPr>
        <w:spacing w:before="0" w:after="0" w:line="360" w:lineRule="auto"/>
        <w:ind w:left="0" w:right="0" w:firstLine="0"/>
        <w:jc w:val="both"/>
        <w:rPr>
          <w:rFonts w:hint="eastAsia" w:asciiTheme="minorEastAsia" w:hAnsiTheme="minorEastAsia" w:eastAsiaTheme="minorEastAsia" w:cstheme="minorEastAsia"/>
          <w:b/>
          <w:color w:val="auto"/>
          <w:spacing w:val="0"/>
          <w:position w:val="0"/>
          <w:sz w:val="24"/>
          <w:szCs w:val="24"/>
          <w:shd w:val="clear" w:fill="auto"/>
        </w:rPr>
      </w:pPr>
      <w:r>
        <w:rPr>
          <w:rFonts w:hint="eastAsia" w:asciiTheme="minorEastAsia" w:hAnsiTheme="minorEastAsia" w:eastAsiaTheme="minorEastAsia" w:cstheme="minorEastAsia"/>
          <w:b/>
          <w:color w:val="auto"/>
          <w:spacing w:val="0"/>
          <w:position w:val="0"/>
          <w:sz w:val="24"/>
          <w:szCs w:val="24"/>
          <w:shd w:val="clear" w:fill="auto"/>
        </w:rPr>
        <w:t>四、响应文件提交</w:t>
      </w:r>
    </w:p>
    <w:p w14:paraId="4E718195">
      <w:pPr>
        <w:spacing w:before="0" w:after="0" w:line="360" w:lineRule="auto"/>
        <w:ind w:right="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rPr>
        <w:t>截止时间：</w:t>
      </w:r>
      <w:r>
        <w:rPr>
          <w:rFonts w:hint="eastAsia" w:asciiTheme="minorEastAsia" w:hAnsiTheme="minorEastAsia" w:eastAsiaTheme="minorEastAsia" w:cstheme="minorEastAsia"/>
          <w:color w:val="auto"/>
          <w:spacing w:val="0"/>
          <w:position w:val="0"/>
          <w:sz w:val="24"/>
          <w:szCs w:val="24"/>
          <w:highlight w:val="none"/>
          <w:shd w:val="clear"/>
          <w:lang w:eastAsia="zh-CN"/>
        </w:rPr>
        <w:t>2026年6月29日上午09点00分</w:t>
      </w:r>
      <w:r>
        <w:rPr>
          <w:rFonts w:hint="eastAsia" w:asciiTheme="minorEastAsia" w:hAnsiTheme="minorEastAsia" w:eastAsiaTheme="minorEastAsia" w:cstheme="minorEastAsia"/>
          <w:color w:val="auto"/>
          <w:spacing w:val="0"/>
          <w:position w:val="0"/>
          <w:sz w:val="24"/>
          <w:szCs w:val="24"/>
          <w:highlight w:val="none"/>
          <w:shd w:val="clear" w:fill="auto"/>
        </w:rPr>
        <w:t>（北京时间）</w:t>
      </w:r>
    </w:p>
    <w:p w14:paraId="0056FB04">
      <w:pPr>
        <w:spacing w:before="0" w:after="0" w:line="360" w:lineRule="auto"/>
        <w:ind w:right="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rPr>
        <w:t xml:space="preserve">地点：线上政采云平台上传投标文件（政采云平台（https://www.zcygov.cn/）） </w:t>
      </w:r>
    </w:p>
    <w:p w14:paraId="5DA75AF4">
      <w:pPr>
        <w:numPr>
          <w:ilvl w:val="0"/>
          <w:numId w:val="28"/>
        </w:numPr>
        <w:spacing w:before="0" w:after="0" w:line="360" w:lineRule="auto"/>
        <w:ind w:left="0" w:right="0" w:firstLine="0"/>
        <w:jc w:val="both"/>
        <w:rPr>
          <w:rFonts w:hint="eastAsia" w:asciiTheme="minorEastAsia" w:hAnsiTheme="minorEastAsia" w:eastAsiaTheme="minorEastAsia" w:cstheme="minorEastAsia"/>
          <w:b/>
          <w:color w:val="auto"/>
          <w:spacing w:val="0"/>
          <w:position w:val="0"/>
          <w:sz w:val="24"/>
          <w:szCs w:val="24"/>
          <w:shd w:val="clear" w:fill="auto"/>
        </w:rPr>
      </w:pPr>
      <w:r>
        <w:rPr>
          <w:rFonts w:hint="eastAsia" w:asciiTheme="minorEastAsia" w:hAnsiTheme="minorEastAsia" w:eastAsiaTheme="minorEastAsia" w:cstheme="minorEastAsia"/>
          <w:b/>
          <w:color w:val="auto"/>
          <w:spacing w:val="0"/>
          <w:position w:val="0"/>
          <w:sz w:val="24"/>
          <w:szCs w:val="24"/>
          <w:shd w:val="clear" w:fill="auto"/>
        </w:rPr>
        <w:t>开启</w:t>
      </w:r>
    </w:p>
    <w:p w14:paraId="5D4ED560">
      <w:pPr>
        <w:numPr>
          <w:ilvl w:val="0"/>
          <w:numId w:val="0"/>
        </w:numPr>
        <w:spacing w:before="0" w:after="0" w:line="360" w:lineRule="auto"/>
        <w:ind w:leftChars="0" w:right="0" w:rightChars="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rPr>
        <w:t>时间：</w:t>
      </w:r>
      <w:r>
        <w:rPr>
          <w:rFonts w:hint="eastAsia" w:asciiTheme="minorEastAsia" w:hAnsiTheme="minorEastAsia" w:eastAsiaTheme="minorEastAsia" w:cstheme="minorEastAsia"/>
          <w:color w:val="auto"/>
          <w:spacing w:val="0"/>
          <w:position w:val="0"/>
          <w:sz w:val="24"/>
          <w:szCs w:val="24"/>
          <w:highlight w:val="none"/>
          <w:shd w:val="clear"/>
          <w:lang w:eastAsia="zh-CN"/>
        </w:rPr>
        <w:t>2026年6月29日上午09点00分</w:t>
      </w:r>
      <w:r>
        <w:rPr>
          <w:rFonts w:hint="eastAsia" w:asciiTheme="minorEastAsia" w:hAnsiTheme="minorEastAsia" w:eastAsiaTheme="minorEastAsia" w:cstheme="minorEastAsia"/>
          <w:color w:val="auto"/>
          <w:spacing w:val="0"/>
          <w:position w:val="0"/>
          <w:sz w:val="24"/>
          <w:szCs w:val="24"/>
          <w:shd w:val="clear" w:fill="auto"/>
        </w:rPr>
        <w:t>（北京时间）</w:t>
      </w:r>
    </w:p>
    <w:p w14:paraId="4B8C00F2">
      <w:pPr>
        <w:spacing w:before="0" w:after="0" w:line="360" w:lineRule="auto"/>
        <w:ind w:right="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rPr>
        <w:t>地点：</w:t>
      </w:r>
      <w:r>
        <w:rPr>
          <w:rFonts w:hint="eastAsia" w:asciiTheme="minorEastAsia" w:hAnsiTheme="minorEastAsia" w:eastAsiaTheme="minorEastAsia" w:cstheme="minorEastAsia"/>
          <w:color w:val="auto"/>
          <w:spacing w:val="0"/>
          <w:position w:val="0"/>
          <w:sz w:val="24"/>
          <w:szCs w:val="24"/>
          <w:shd w:val="clear" w:fill="auto"/>
          <w:lang w:eastAsia="zh-CN"/>
        </w:rPr>
        <w:t>海东乐都区乐欣中堃项目管理有限公司</w:t>
      </w:r>
      <w:r>
        <w:rPr>
          <w:rFonts w:hint="eastAsia" w:asciiTheme="minorEastAsia" w:hAnsiTheme="minorEastAsia" w:eastAsiaTheme="minorEastAsia" w:cstheme="minorEastAsia"/>
          <w:color w:val="auto"/>
          <w:spacing w:val="0"/>
          <w:position w:val="0"/>
          <w:sz w:val="24"/>
          <w:szCs w:val="24"/>
          <w:shd w:val="clear" w:fill="auto"/>
        </w:rPr>
        <w:t>(</w:t>
      </w:r>
      <w:r>
        <w:rPr>
          <w:rFonts w:hint="eastAsia" w:asciiTheme="minorEastAsia" w:hAnsiTheme="minorEastAsia" w:eastAsiaTheme="minorEastAsia" w:cstheme="minorEastAsia"/>
          <w:color w:val="auto"/>
          <w:spacing w:val="0"/>
          <w:position w:val="0"/>
          <w:sz w:val="24"/>
          <w:szCs w:val="24"/>
          <w:shd w:val="clear" w:fill="auto"/>
          <w:lang w:eastAsia="zh-CN"/>
        </w:rPr>
        <w:t>海东市乐都区碾伯镇滨河北路10号</w:t>
      </w:r>
      <w:r>
        <w:rPr>
          <w:rFonts w:hint="eastAsia" w:asciiTheme="minorEastAsia" w:hAnsiTheme="minorEastAsia" w:eastAsiaTheme="minorEastAsia" w:cstheme="minorEastAsia"/>
          <w:color w:val="auto"/>
          <w:spacing w:val="0"/>
          <w:position w:val="0"/>
          <w:sz w:val="24"/>
          <w:szCs w:val="24"/>
          <w:shd w:val="clear" w:fill="auto"/>
        </w:rPr>
        <w:t>)</w:t>
      </w:r>
    </w:p>
    <w:p w14:paraId="695E9BA9">
      <w:pPr>
        <w:spacing w:before="0" w:after="0" w:line="360" w:lineRule="auto"/>
        <w:ind w:left="0" w:right="0" w:firstLine="0"/>
        <w:jc w:val="both"/>
        <w:rPr>
          <w:rFonts w:hint="eastAsia" w:asciiTheme="minorEastAsia" w:hAnsiTheme="minorEastAsia" w:eastAsiaTheme="minorEastAsia" w:cstheme="minorEastAsia"/>
          <w:b/>
          <w:color w:val="auto"/>
          <w:spacing w:val="0"/>
          <w:position w:val="0"/>
          <w:sz w:val="24"/>
          <w:szCs w:val="24"/>
          <w:shd w:val="clear" w:fill="auto"/>
        </w:rPr>
      </w:pPr>
      <w:r>
        <w:rPr>
          <w:rFonts w:hint="eastAsia" w:asciiTheme="minorEastAsia" w:hAnsiTheme="minorEastAsia" w:eastAsiaTheme="minorEastAsia" w:cstheme="minorEastAsia"/>
          <w:b/>
          <w:color w:val="auto"/>
          <w:spacing w:val="0"/>
          <w:position w:val="0"/>
          <w:sz w:val="24"/>
          <w:szCs w:val="24"/>
          <w:shd w:val="clear" w:fill="auto"/>
        </w:rPr>
        <w:t>六、公告期限</w:t>
      </w:r>
    </w:p>
    <w:p w14:paraId="752265CE">
      <w:pPr>
        <w:spacing w:before="0" w:after="0" w:line="360" w:lineRule="auto"/>
        <w:ind w:left="0" w:right="0" w:firstLine="42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rPr>
        <w:t>自本公告发布之日起</w:t>
      </w:r>
      <w:r>
        <w:rPr>
          <w:rFonts w:hint="eastAsia" w:asciiTheme="minorEastAsia" w:hAnsiTheme="minorEastAsia" w:eastAsiaTheme="minorEastAsia" w:cstheme="minorEastAsia"/>
          <w:color w:val="auto"/>
          <w:spacing w:val="0"/>
          <w:position w:val="0"/>
          <w:sz w:val="24"/>
          <w:szCs w:val="24"/>
          <w:shd w:val="clear" w:fill="auto"/>
          <w:lang w:val="en-US" w:eastAsia="zh-CN"/>
        </w:rPr>
        <w:t>5</w:t>
      </w:r>
      <w:r>
        <w:rPr>
          <w:rFonts w:hint="eastAsia" w:asciiTheme="minorEastAsia" w:hAnsiTheme="minorEastAsia" w:eastAsiaTheme="minorEastAsia" w:cstheme="minorEastAsia"/>
          <w:color w:val="auto"/>
          <w:spacing w:val="0"/>
          <w:position w:val="0"/>
          <w:sz w:val="24"/>
          <w:szCs w:val="24"/>
          <w:shd w:val="clear" w:fill="auto"/>
        </w:rPr>
        <w:t>个工作日。</w:t>
      </w:r>
    </w:p>
    <w:p w14:paraId="07019F31">
      <w:pPr>
        <w:spacing w:before="0" w:after="0" w:line="360" w:lineRule="auto"/>
        <w:ind w:left="0" w:right="0" w:firstLine="0"/>
        <w:jc w:val="both"/>
        <w:rPr>
          <w:rFonts w:hint="eastAsia" w:asciiTheme="minorEastAsia" w:hAnsiTheme="minorEastAsia" w:eastAsiaTheme="minorEastAsia" w:cstheme="minorEastAsia"/>
          <w:b/>
          <w:color w:val="auto"/>
          <w:spacing w:val="0"/>
          <w:position w:val="0"/>
          <w:sz w:val="24"/>
          <w:szCs w:val="24"/>
          <w:shd w:val="clear" w:fill="auto"/>
        </w:rPr>
      </w:pPr>
      <w:r>
        <w:rPr>
          <w:rFonts w:hint="eastAsia" w:asciiTheme="minorEastAsia" w:hAnsiTheme="minorEastAsia" w:eastAsiaTheme="minorEastAsia" w:cstheme="minorEastAsia"/>
          <w:b/>
          <w:color w:val="auto"/>
          <w:spacing w:val="0"/>
          <w:position w:val="0"/>
          <w:sz w:val="24"/>
          <w:szCs w:val="24"/>
          <w:shd w:val="clear" w:fill="auto"/>
        </w:rPr>
        <w:t>七、其他补充事宜：</w:t>
      </w:r>
    </w:p>
    <w:p w14:paraId="3062B45E">
      <w:pPr>
        <w:numPr>
          <w:ilvl w:val="0"/>
          <w:numId w:val="0"/>
        </w:numPr>
        <w:spacing w:before="0" w:after="0" w:line="360" w:lineRule="auto"/>
        <w:ind w:leftChars="0" w:right="0" w:rightChars="0" w:firstLine="480" w:firstLineChars="200"/>
        <w:jc w:val="both"/>
        <w:rPr>
          <w:rFonts w:hint="eastAsia" w:asciiTheme="minorEastAsia" w:hAnsiTheme="minorEastAsia" w:eastAsiaTheme="minorEastAsia" w:cstheme="minorEastAsia"/>
          <w:color w:val="auto"/>
          <w:spacing w:val="0"/>
          <w:position w:val="0"/>
          <w:sz w:val="24"/>
          <w:szCs w:val="24"/>
          <w:shd w:val="clear" w:fill="auto"/>
          <w:lang w:val="zh-CN"/>
        </w:rPr>
      </w:pPr>
      <w:r>
        <w:rPr>
          <w:rFonts w:hint="eastAsia" w:asciiTheme="minorEastAsia" w:hAnsiTheme="minorEastAsia" w:eastAsiaTheme="minorEastAsia" w:cstheme="minorEastAsia"/>
          <w:color w:val="auto"/>
          <w:spacing w:val="0"/>
          <w:position w:val="0"/>
          <w:sz w:val="24"/>
          <w:szCs w:val="24"/>
          <w:shd w:val="clear" w:fill="auto"/>
          <w:lang w:val="zh-CN"/>
        </w:rPr>
        <w:t>1、本项目磋商公告在《青海政府采购网》、《中国招标投标公共服务平台》、《青海省电子招标投标公共服务平台》、《中国采购与招标网》同时发布，具体以《青海政府采购网》为准。</w:t>
      </w:r>
    </w:p>
    <w:p w14:paraId="2D887292">
      <w:pPr>
        <w:numPr>
          <w:ilvl w:val="0"/>
          <w:numId w:val="0"/>
        </w:numPr>
        <w:spacing w:before="0" w:after="0" w:line="360" w:lineRule="auto"/>
        <w:ind w:leftChars="0" w:right="0" w:rightChars="0" w:firstLine="480" w:firstLineChars="200"/>
        <w:jc w:val="both"/>
        <w:rPr>
          <w:rFonts w:hint="eastAsia" w:asciiTheme="minorEastAsia" w:hAnsiTheme="minorEastAsia" w:eastAsiaTheme="minorEastAsia" w:cstheme="minorEastAsia"/>
          <w:color w:val="auto"/>
          <w:spacing w:val="0"/>
          <w:position w:val="0"/>
          <w:sz w:val="24"/>
          <w:szCs w:val="24"/>
          <w:shd w:val="clear" w:fill="auto"/>
          <w:lang w:val="zh-CN"/>
        </w:rPr>
      </w:pPr>
      <w:r>
        <w:rPr>
          <w:rFonts w:hint="eastAsia" w:asciiTheme="minorEastAsia" w:hAnsiTheme="minorEastAsia" w:eastAsiaTheme="minorEastAsia" w:cstheme="minorEastAsia"/>
          <w:color w:val="auto"/>
          <w:spacing w:val="0"/>
          <w:position w:val="0"/>
          <w:sz w:val="24"/>
          <w:szCs w:val="24"/>
          <w:shd w:val="clear" w:fill="auto"/>
          <w:lang w:val="zh-CN"/>
        </w:rPr>
        <w:t xml:space="preserve">2、公告期限：自青海政府采购网发布之日起 </w:t>
      </w:r>
      <w:r>
        <w:rPr>
          <w:rFonts w:hint="eastAsia" w:asciiTheme="minorEastAsia" w:hAnsiTheme="minorEastAsia" w:eastAsiaTheme="minorEastAsia" w:cstheme="minorEastAsia"/>
          <w:color w:val="auto"/>
          <w:spacing w:val="0"/>
          <w:position w:val="0"/>
          <w:sz w:val="24"/>
          <w:szCs w:val="24"/>
          <w:shd w:val="clear" w:fill="auto"/>
          <w:lang w:val="en-US" w:eastAsia="zh-CN"/>
        </w:rPr>
        <w:t>5</w:t>
      </w:r>
      <w:r>
        <w:rPr>
          <w:rFonts w:hint="eastAsia" w:asciiTheme="minorEastAsia" w:hAnsiTheme="minorEastAsia" w:eastAsiaTheme="minorEastAsia" w:cstheme="minorEastAsia"/>
          <w:color w:val="auto"/>
          <w:spacing w:val="0"/>
          <w:position w:val="0"/>
          <w:sz w:val="24"/>
          <w:szCs w:val="24"/>
          <w:shd w:val="clear" w:fill="auto"/>
          <w:lang w:val="zh-CN"/>
        </w:rPr>
        <w:t xml:space="preserve"> 个工作日。  </w:t>
      </w:r>
    </w:p>
    <w:p w14:paraId="1728D7D5">
      <w:pPr>
        <w:numPr>
          <w:ilvl w:val="0"/>
          <w:numId w:val="0"/>
        </w:numPr>
        <w:spacing w:before="0" w:after="0" w:line="360" w:lineRule="auto"/>
        <w:ind w:leftChars="0" w:right="0" w:rightChars="0" w:firstLine="480" w:firstLineChars="200"/>
        <w:jc w:val="both"/>
        <w:rPr>
          <w:rFonts w:hint="eastAsia" w:asciiTheme="minorEastAsia" w:hAnsiTheme="minorEastAsia" w:eastAsiaTheme="minorEastAsia" w:cstheme="minorEastAsia"/>
          <w:color w:val="auto"/>
          <w:spacing w:val="0"/>
          <w:position w:val="0"/>
          <w:sz w:val="24"/>
          <w:szCs w:val="24"/>
          <w:shd w:val="clear" w:fill="auto"/>
          <w:lang w:val="zh-CN"/>
        </w:rPr>
      </w:pPr>
      <w:r>
        <w:rPr>
          <w:rFonts w:hint="eastAsia" w:asciiTheme="minorEastAsia" w:hAnsiTheme="minorEastAsia" w:eastAsiaTheme="minorEastAsia" w:cstheme="minorEastAsia"/>
          <w:color w:val="auto"/>
          <w:spacing w:val="0"/>
          <w:position w:val="0"/>
          <w:sz w:val="24"/>
          <w:szCs w:val="24"/>
          <w:shd w:val="clear" w:fill="auto"/>
          <w:lang w:val="zh-CN"/>
        </w:rPr>
        <w:t xml:space="preserve">3、公告内容以青海政府采购网发布的为准。 </w:t>
      </w:r>
    </w:p>
    <w:p w14:paraId="6482012F">
      <w:pPr>
        <w:numPr>
          <w:ilvl w:val="0"/>
          <w:numId w:val="0"/>
        </w:numPr>
        <w:spacing w:before="0" w:after="0" w:line="360" w:lineRule="auto"/>
        <w:ind w:leftChars="0" w:right="0" w:rightChars="0" w:firstLine="480" w:firstLineChars="200"/>
        <w:jc w:val="both"/>
        <w:rPr>
          <w:rFonts w:hint="eastAsia" w:asciiTheme="minorEastAsia" w:hAnsiTheme="minorEastAsia" w:eastAsiaTheme="minorEastAsia" w:cstheme="minorEastAsia"/>
          <w:color w:val="auto"/>
          <w:spacing w:val="0"/>
          <w:position w:val="0"/>
          <w:sz w:val="24"/>
          <w:szCs w:val="24"/>
          <w:shd w:val="clear" w:fill="auto"/>
          <w:lang w:val="zh-CN"/>
        </w:rPr>
      </w:pPr>
      <w:r>
        <w:rPr>
          <w:rFonts w:hint="eastAsia" w:asciiTheme="minorEastAsia" w:hAnsiTheme="minorEastAsia" w:eastAsiaTheme="minorEastAsia" w:cstheme="minorEastAsia"/>
          <w:color w:val="auto"/>
          <w:spacing w:val="0"/>
          <w:position w:val="0"/>
          <w:sz w:val="24"/>
          <w:szCs w:val="24"/>
          <w:shd w:val="clear" w:fill="auto"/>
          <w:lang w:val="zh-CN"/>
        </w:rPr>
        <w:t>4、本次</w:t>
      </w:r>
      <w:r>
        <w:rPr>
          <w:rFonts w:hint="eastAsia" w:asciiTheme="minorEastAsia" w:hAnsiTheme="minorEastAsia" w:eastAsiaTheme="minorEastAsia" w:cstheme="minorEastAsia"/>
          <w:color w:val="auto"/>
          <w:spacing w:val="0"/>
          <w:position w:val="0"/>
          <w:sz w:val="24"/>
          <w:szCs w:val="24"/>
          <w:shd w:val="clear" w:fill="auto"/>
          <w:lang w:val="en-US" w:eastAsia="zh-CN"/>
        </w:rPr>
        <w:t>采购</w:t>
      </w:r>
      <w:r>
        <w:rPr>
          <w:rFonts w:hint="eastAsia" w:asciiTheme="minorEastAsia" w:hAnsiTheme="minorEastAsia" w:eastAsiaTheme="minorEastAsia" w:cstheme="minorEastAsia"/>
          <w:color w:val="auto"/>
          <w:spacing w:val="0"/>
          <w:position w:val="0"/>
          <w:sz w:val="24"/>
          <w:szCs w:val="24"/>
          <w:shd w:val="clear" w:fill="auto"/>
          <w:lang w:val="zh-CN"/>
        </w:rPr>
        <w:t>采用线上提交响应文件的方式进行采购，线上响应文件必须在递交截止时间前上传至政采云平台。</w:t>
      </w:r>
    </w:p>
    <w:p w14:paraId="16EA29FA">
      <w:pPr>
        <w:numPr>
          <w:ilvl w:val="0"/>
          <w:numId w:val="0"/>
        </w:numPr>
        <w:spacing w:before="0" w:after="0" w:line="360" w:lineRule="auto"/>
        <w:ind w:leftChars="0" w:right="0" w:rightChars="0" w:firstLine="480" w:firstLineChars="200"/>
        <w:jc w:val="both"/>
        <w:rPr>
          <w:rFonts w:hint="eastAsia" w:asciiTheme="minorEastAsia" w:hAnsiTheme="minorEastAsia" w:eastAsiaTheme="minorEastAsia" w:cstheme="minorEastAsia"/>
          <w:color w:val="auto"/>
          <w:spacing w:val="0"/>
          <w:position w:val="0"/>
          <w:sz w:val="24"/>
          <w:szCs w:val="24"/>
          <w:shd w:val="clear" w:fill="auto"/>
          <w:lang w:val="zh-CN"/>
        </w:rPr>
      </w:pPr>
      <w:r>
        <w:rPr>
          <w:rFonts w:hint="eastAsia" w:asciiTheme="minorEastAsia" w:hAnsiTheme="minorEastAsia" w:eastAsiaTheme="minorEastAsia" w:cstheme="minorEastAsia"/>
          <w:color w:val="auto"/>
          <w:spacing w:val="0"/>
          <w:position w:val="0"/>
          <w:sz w:val="24"/>
          <w:szCs w:val="24"/>
          <w:shd w:val="clear" w:fill="auto"/>
          <w:lang w:val="zh-CN"/>
        </w:rPr>
        <w:t xml:space="preserve">5、若对项目采购电子交易系统操作有疑问，可登录政采云（https://www.zcygov.cn/），点击右侧咨询小采，获取采小蜜 智能服务管家帮助，或拨打政采云服务热线 400-881-7190 获取热线服务帮助。CA 问题 PC 咨询网址（可及时反馈问题截图让 客服快速定位问题）:http://tseal.cn/k.html，联系电话（人 工）：400-087-8198。 </w:t>
      </w:r>
    </w:p>
    <w:p w14:paraId="3005EB3F">
      <w:pPr>
        <w:numPr>
          <w:ilvl w:val="0"/>
          <w:numId w:val="0"/>
        </w:numPr>
        <w:spacing w:before="0" w:after="0" w:line="360" w:lineRule="auto"/>
        <w:ind w:leftChars="0" w:right="0" w:rightChars="0" w:firstLine="480" w:firstLineChars="200"/>
        <w:jc w:val="both"/>
        <w:rPr>
          <w:rFonts w:hint="eastAsia" w:asciiTheme="minorEastAsia" w:hAnsiTheme="minorEastAsia" w:eastAsiaTheme="minorEastAsia" w:cstheme="minorEastAsia"/>
          <w:color w:val="auto"/>
          <w:spacing w:val="0"/>
          <w:position w:val="0"/>
          <w:sz w:val="24"/>
          <w:szCs w:val="24"/>
          <w:shd w:val="clear" w:fill="auto"/>
          <w:lang w:val="zh-CN"/>
        </w:rPr>
      </w:pPr>
      <w:r>
        <w:rPr>
          <w:rFonts w:hint="eastAsia" w:asciiTheme="minorEastAsia" w:hAnsiTheme="minorEastAsia" w:eastAsiaTheme="minorEastAsia" w:cstheme="minorEastAsia"/>
          <w:color w:val="auto"/>
          <w:spacing w:val="0"/>
          <w:position w:val="0"/>
          <w:sz w:val="24"/>
          <w:szCs w:val="24"/>
          <w:shd w:val="clear" w:fill="auto"/>
          <w:lang w:val="zh-CN"/>
        </w:rPr>
        <w:t>6、磋商供应商须在固定电脑设备前登陆等待解密和磋商报价，磋商供应商须在规定的时间内完成，如超时，则视为无效投标。</w:t>
      </w:r>
    </w:p>
    <w:p w14:paraId="44FD208A">
      <w:pPr>
        <w:numPr>
          <w:ilvl w:val="0"/>
          <w:numId w:val="0"/>
        </w:numPr>
        <w:spacing w:before="0" w:after="0" w:line="360" w:lineRule="auto"/>
        <w:ind w:leftChars="0" w:right="0" w:rightChars="0" w:firstLine="480" w:firstLineChars="200"/>
        <w:jc w:val="both"/>
        <w:rPr>
          <w:rFonts w:hint="eastAsia" w:asciiTheme="minorEastAsia" w:hAnsiTheme="minorEastAsia" w:eastAsiaTheme="minorEastAsia" w:cstheme="minorEastAsia"/>
          <w:color w:val="auto"/>
          <w:spacing w:val="0"/>
          <w:position w:val="0"/>
          <w:sz w:val="24"/>
          <w:szCs w:val="24"/>
          <w:shd w:val="clear" w:fill="auto"/>
          <w:lang w:val="zh-CN"/>
        </w:rPr>
      </w:pPr>
      <w:r>
        <w:rPr>
          <w:rFonts w:hint="eastAsia" w:asciiTheme="minorEastAsia" w:hAnsiTheme="minorEastAsia" w:eastAsiaTheme="minorEastAsia" w:cstheme="minorEastAsia"/>
          <w:color w:val="auto"/>
          <w:spacing w:val="0"/>
          <w:position w:val="0"/>
          <w:sz w:val="24"/>
          <w:szCs w:val="24"/>
          <w:shd w:val="clear" w:fill="auto"/>
          <w:lang w:val="en-US" w:eastAsia="zh-CN"/>
        </w:rPr>
        <w:t>7</w:t>
      </w:r>
      <w:r>
        <w:rPr>
          <w:rFonts w:hint="eastAsia" w:asciiTheme="minorEastAsia" w:hAnsiTheme="minorEastAsia" w:eastAsiaTheme="minorEastAsia" w:cstheme="minorEastAsia"/>
          <w:color w:val="auto"/>
          <w:spacing w:val="0"/>
          <w:position w:val="0"/>
          <w:sz w:val="24"/>
          <w:szCs w:val="24"/>
          <w:shd w:val="clear" w:fill="auto"/>
          <w:lang w:val="zh-CN"/>
        </w:rPr>
        <w:t>、成交供应商在领取成交通知书时应提交纸质响应文件（1份正本、2份副本和相应的电子文档（U盘）1份），纸质响应文件应与上传至政府采购云平台加密的电子响应文件一致。成交供应商提供的每份纸质响应文件都必须清楚地标明“正本”或“副本”字样。响应文件统一使用A4幅面的纸张印制，必须胶装成册并编码，以其他方式装订的响应文件一概不予接受。</w:t>
      </w:r>
    </w:p>
    <w:p w14:paraId="40E3E0D8">
      <w:pPr>
        <w:spacing w:before="0" w:after="0" w:line="360" w:lineRule="auto"/>
        <w:ind w:left="0" w:right="0" w:firstLine="0"/>
        <w:jc w:val="both"/>
        <w:rPr>
          <w:rFonts w:ascii="宋体" w:hAnsi="宋体" w:eastAsia="宋体" w:cs="宋体"/>
          <w:b/>
          <w:color w:val="auto"/>
          <w:spacing w:val="0"/>
          <w:position w:val="0"/>
          <w:sz w:val="21"/>
          <w:shd w:val="clear" w:fill="auto"/>
        </w:rPr>
      </w:pPr>
      <w:r>
        <w:rPr>
          <w:rFonts w:ascii="宋体" w:hAnsi="宋体" w:eastAsia="宋体" w:cs="宋体"/>
          <w:b/>
          <w:color w:val="auto"/>
          <w:spacing w:val="0"/>
          <w:position w:val="0"/>
          <w:sz w:val="21"/>
          <w:shd w:val="clear" w:fill="auto"/>
        </w:rPr>
        <w:t>八、凡对本次采购提出询问，请按以下方式联系。</w:t>
      </w:r>
    </w:p>
    <w:p w14:paraId="468685E2">
      <w:pPr>
        <w:pStyle w:val="61"/>
        <w:widowControl/>
        <w:spacing w:line="360" w:lineRule="auto"/>
        <w:ind w:firstLine="480" w:firstLineChars="200"/>
        <w:rPr>
          <w:rFonts w:hint="eastAsia" w:cs="宋体"/>
          <w:color w:val="auto"/>
        </w:rPr>
      </w:pPr>
      <w:r>
        <w:rPr>
          <w:rFonts w:hint="eastAsia" w:cs="宋体"/>
          <w:color w:val="auto"/>
        </w:rPr>
        <w:t>1.采购人信息</w:t>
      </w:r>
    </w:p>
    <w:p w14:paraId="73FD04E3">
      <w:pPr>
        <w:pStyle w:val="61"/>
        <w:widowControl/>
        <w:spacing w:line="360" w:lineRule="auto"/>
        <w:ind w:firstLine="720" w:firstLineChars="300"/>
        <w:rPr>
          <w:rFonts w:hint="eastAsia" w:cs="宋体"/>
          <w:color w:val="auto"/>
          <w:lang w:val="zh-CN"/>
        </w:rPr>
      </w:pPr>
      <w:r>
        <w:rPr>
          <w:rFonts w:hint="eastAsia" w:cs="宋体"/>
          <w:color w:val="auto"/>
          <w:lang w:val="zh-CN"/>
        </w:rPr>
        <w:t>采 购 人：海东市乐都区应急管理局（本级）</w:t>
      </w:r>
    </w:p>
    <w:p w14:paraId="7469133B">
      <w:pPr>
        <w:pStyle w:val="61"/>
        <w:widowControl/>
        <w:spacing w:line="360" w:lineRule="auto"/>
        <w:ind w:firstLine="720" w:firstLineChars="300"/>
        <w:rPr>
          <w:rFonts w:hint="default" w:cs="宋体"/>
          <w:color w:val="auto"/>
          <w:lang w:val="en-US"/>
        </w:rPr>
      </w:pPr>
      <w:r>
        <w:rPr>
          <w:rFonts w:hint="eastAsia" w:cs="宋体"/>
          <w:color w:val="auto"/>
          <w:lang w:val="zh-CN"/>
        </w:rPr>
        <w:t>联 系 人：</w:t>
      </w:r>
      <w:r>
        <w:rPr>
          <w:rFonts w:hint="eastAsia" w:cs="宋体"/>
          <w:color w:val="auto"/>
          <w:lang w:val="en-US" w:eastAsia="zh-CN"/>
        </w:rPr>
        <w:t>盛老师</w:t>
      </w:r>
    </w:p>
    <w:p w14:paraId="58FDAC7C">
      <w:pPr>
        <w:pStyle w:val="61"/>
        <w:widowControl/>
        <w:spacing w:line="360" w:lineRule="auto"/>
        <w:ind w:firstLine="720" w:firstLineChars="300"/>
        <w:rPr>
          <w:rFonts w:hint="eastAsia" w:cs="宋体"/>
          <w:color w:val="auto"/>
          <w:lang w:val="zh-CN" w:eastAsia="zh-CN"/>
        </w:rPr>
      </w:pPr>
      <w:r>
        <w:rPr>
          <w:rFonts w:hint="eastAsia" w:cs="宋体"/>
          <w:color w:val="auto"/>
          <w:lang w:val="zh-CN" w:eastAsia="zh-CN"/>
        </w:rPr>
        <w:t>联系电话：0972-8622428</w:t>
      </w:r>
    </w:p>
    <w:p w14:paraId="7D042AEC">
      <w:pPr>
        <w:pStyle w:val="61"/>
        <w:widowControl/>
        <w:spacing w:line="360" w:lineRule="auto"/>
        <w:ind w:firstLine="720" w:firstLineChars="300"/>
        <w:rPr>
          <w:rFonts w:hint="eastAsia" w:cs="宋体"/>
          <w:color w:val="auto"/>
          <w:lang w:val="zh-CN"/>
        </w:rPr>
      </w:pPr>
      <w:r>
        <w:rPr>
          <w:rFonts w:hint="eastAsia" w:cs="宋体"/>
          <w:color w:val="auto"/>
          <w:lang w:val="zh-CN"/>
        </w:rPr>
        <w:t>联系地址：</w:t>
      </w:r>
      <w:r>
        <w:rPr>
          <w:rFonts w:hint="eastAsia" w:asciiTheme="minorEastAsia" w:hAnsiTheme="minorEastAsia" w:eastAsiaTheme="minorEastAsia" w:cstheme="minorEastAsia"/>
          <w:color w:val="auto"/>
          <w:spacing w:val="0"/>
          <w:position w:val="0"/>
          <w:sz w:val="24"/>
          <w:szCs w:val="24"/>
          <w:shd w:val="clear" w:fill="auto"/>
          <w:lang w:eastAsia="zh-CN"/>
        </w:rPr>
        <w:t>海东市乐都区碾伯镇滨河北路10号</w:t>
      </w:r>
    </w:p>
    <w:p w14:paraId="64938B08">
      <w:pPr>
        <w:pStyle w:val="61"/>
        <w:widowControl/>
        <w:spacing w:line="360" w:lineRule="auto"/>
        <w:ind w:firstLine="480" w:firstLineChars="200"/>
        <w:rPr>
          <w:rFonts w:hint="eastAsia" w:cs="宋体"/>
          <w:color w:val="auto"/>
        </w:rPr>
      </w:pPr>
      <w:r>
        <w:rPr>
          <w:rFonts w:hint="eastAsia" w:cs="宋体"/>
          <w:color w:val="auto"/>
        </w:rPr>
        <w:t>2.采购代理机构信息</w:t>
      </w:r>
    </w:p>
    <w:p w14:paraId="1CA50EE7">
      <w:pPr>
        <w:pStyle w:val="61"/>
        <w:widowControl/>
        <w:spacing w:line="360" w:lineRule="auto"/>
        <w:ind w:firstLine="720" w:firstLineChars="300"/>
        <w:rPr>
          <w:rFonts w:hint="eastAsia" w:ascii="宋体" w:hAnsi="宋体" w:eastAsia="宋体" w:cs="宋体"/>
          <w:color w:val="auto"/>
          <w:lang w:val="zh-CN" w:eastAsia="zh-CN"/>
        </w:rPr>
      </w:pPr>
      <w:r>
        <w:rPr>
          <w:rFonts w:hint="eastAsia" w:ascii="宋体" w:hAnsi="宋体" w:eastAsia="宋体" w:cs="宋体"/>
          <w:color w:val="auto"/>
          <w:lang w:val="zh-CN"/>
        </w:rPr>
        <w:t>名    称：</w:t>
      </w:r>
      <w:r>
        <w:rPr>
          <w:rFonts w:hint="eastAsia" w:ascii="宋体" w:hAnsi="宋体" w:eastAsia="宋体" w:cs="宋体"/>
          <w:color w:val="auto"/>
          <w:lang w:val="zh-CN" w:eastAsia="zh-CN"/>
        </w:rPr>
        <w:t>海东乐都区乐欣中堃项目管理有限公司</w:t>
      </w:r>
    </w:p>
    <w:p w14:paraId="12253532">
      <w:pPr>
        <w:pStyle w:val="61"/>
        <w:widowControl/>
        <w:spacing w:line="360" w:lineRule="auto"/>
        <w:ind w:firstLine="720" w:firstLineChars="300"/>
        <w:rPr>
          <w:rFonts w:hint="eastAsia" w:ascii="宋体" w:hAnsi="宋体" w:eastAsia="宋体" w:cs="宋体"/>
          <w:color w:val="auto"/>
          <w:lang w:val="zh-CN" w:eastAsia="zh-CN"/>
        </w:rPr>
      </w:pPr>
      <w:r>
        <w:rPr>
          <w:rFonts w:hint="eastAsia" w:ascii="宋体" w:hAnsi="宋体" w:eastAsia="宋体" w:cs="宋体"/>
          <w:color w:val="auto"/>
          <w:lang w:val="zh-CN"/>
        </w:rPr>
        <w:t>联 系 人：</w:t>
      </w:r>
      <w:r>
        <w:rPr>
          <w:rFonts w:hint="eastAsia" w:ascii="宋体" w:hAnsi="宋体" w:eastAsia="宋体" w:cs="宋体"/>
          <w:color w:val="auto"/>
          <w:lang w:val="en-US" w:eastAsia="zh-CN"/>
        </w:rPr>
        <w:t>李</w:t>
      </w:r>
      <w:r>
        <w:rPr>
          <w:rFonts w:hint="eastAsia" w:ascii="宋体" w:hAnsi="宋体" w:eastAsia="宋体" w:cs="宋体"/>
          <w:color w:val="auto"/>
          <w:lang w:val="zh-CN" w:eastAsia="zh-CN"/>
        </w:rPr>
        <w:t>女士</w:t>
      </w:r>
    </w:p>
    <w:p w14:paraId="2A4D3227">
      <w:pPr>
        <w:pStyle w:val="61"/>
        <w:widowControl/>
        <w:spacing w:line="360" w:lineRule="auto"/>
        <w:ind w:firstLine="720" w:firstLineChars="300"/>
        <w:rPr>
          <w:rFonts w:hint="eastAsia" w:ascii="宋体" w:hAnsi="宋体" w:eastAsia="宋体" w:cs="宋体"/>
          <w:color w:val="auto"/>
          <w:lang w:val="zh-CN"/>
        </w:rPr>
      </w:pPr>
      <w:r>
        <w:rPr>
          <w:rFonts w:hint="eastAsia" w:ascii="宋体" w:hAnsi="宋体" w:eastAsia="宋体" w:cs="宋体"/>
          <w:color w:val="auto"/>
          <w:lang w:val="zh-CN"/>
        </w:rPr>
        <w:t>地    址：海东市乐都区碾伯镇滨河北路10号</w:t>
      </w:r>
    </w:p>
    <w:p w14:paraId="7A6AAE6C">
      <w:pPr>
        <w:pStyle w:val="61"/>
        <w:widowControl/>
        <w:spacing w:line="360" w:lineRule="auto"/>
        <w:ind w:firstLine="720" w:firstLineChars="300"/>
        <w:rPr>
          <w:rFonts w:hint="eastAsia" w:ascii="宋体" w:hAnsi="宋体" w:eastAsia="宋体" w:cs="宋体"/>
          <w:color w:val="auto"/>
          <w:lang w:val="en-US" w:eastAsia="zh-CN"/>
        </w:rPr>
      </w:pPr>
      <w:r>
        <w:rPr>
          <w:rFonts w:hint="eastAsia" w:ascii="宋体" w:hAnsi="宋体" w:eastAsia="宋体" w:cs="宋体"/>
          <w:color w:val="auto"/>
          <w:lang w:val="zh-CN"/>
        </w:rPr>
        <w:t>联系方式：</w:t>
      </w:r>
      <w:r>
        <w:rPr>
          <w:rFonts w:hint="eastAsia" w:ascii="宋体" w:hAnsi="宋体" w:eastAsia="宋体" w:cs="宋体"/>
          <w:color w:val="auto"/>
          <w:lang w:val="zh-CN" w:eastAsia="zh-CN"/>
        </w:rPr>
        <w:t>0972-</w:t>
      </w:r>
      <w:r>
        <w:rPr>
          <w:rFonts w:hint="eastAsia" w:ascii="宋体" w:hAnsi="宋体" w:eastAsia="宋体" w:cs="宋体"/>
          <w:color w:val="auto"/>
          <w:lang w:val="en-US" w:eastAsia="zh-CN"/>
        </w:rPr>
        <w:t>5936662</w:t>
      </w:r>
    </w:p>
    <w:p w14:paraId="7E77CEE6">
      <w:pPr>
        <w:pStyle w:val="61"/>
        <w:widowControl/>
        <w:spacing w:line="360" w:lineRule="auto"/>
        <w:ind w:firstLine="720" w:firstLineChars="300"/>
        <w:rPr>
          <w:rFonts w:hint="eastAsia" w:ascii="宋体" w:hAnsi="宋体" w:eastAsia="宋体" w:cs="宋体"/>
          <w:color w:val="auto"/>
          <w:lang w:val="zh-CN"/>
        </w:rPr>
      </w:pPr>
      <w:r>
        <w:rPr>
          <w:rFonts w:hint="eastAsia" w:ascii="宋体" w:hAnsi="宋体" w:eastAsia="宋体" w:cs="宋体"/>
          <w:color w:val="auto"/>
          <w:lang w:val="zh-CN"/>
        </w:rPr>
        <w:t>3.项目联系方式</w:t>
      </w:r>
    </w:p>
    <w:p w14:paraId="32B83D7A">
      <w:pPr>
        <w:pStyle w:val="61"/>
        <w:widowControl/>
        <w:spacing w:line="360" w:lineRule="auto"/>
        <w:ind w:firstLine="720" w:firstLineChars="300"/>
        <w:rPr>
          <w:rFonts w:hint="eastAsia" w:ascii="宋体" w:hAnsi="宋体" w:eastAsia="宋体" w:cs="宋体"/>
          <w:color w:val="auto"/>
          <w:lang w:val="zh-CN" w:eastAsia="zh-CN"/>
        </w:rPr>
      </w:pPr>
      <w:r>
        <w:rPr>
          <w:rFonts w:hint="eastAsia" w:ascii="宋体" w:hAnsi="宋体" w:eastAsia="宋体" w:cs="宋体"/>
          <w:color w:val="auto"/>
          <w:lang w:val="zh-CN"/>
        </w:rPr>
        <w:t>项目联系人：</w:t>
      </w:r>
      <w:r>
        <w:rPr>
          <w:rFonts w:hint="eastAsia" w:ascii="宋体" w:hAnsi="宋体" w:eastAsia="宋体" w:cs="宋体"/>
          <w:color w:val="auto"/>
          <w:lang w:val="en-US" w:eastAsia="zh-CN"/>
        </w:rPr>
        <w:t>李</w:t>
      </w:r>
      <w:r>
        <w:rPr>
          <w:rFonts w:hint="eastAsia" w:ascii="宋体" w:hAnsi="宋体" w:eastAsia="宋体" w:cs="宋体"/>
          <w:color w:val="auto"/>
          <w:lang w:val="zh-CN" w:eastAsia="zh-CN"/>
        </w:rPr>
        <w:t>女士</w:t>
      </w:r>
    </w:p>
    <w:p w14:paraId="43039162">
      <w:pPr>
        <w:pStyle w:val="61"/>
        <w:widowControl/>
        <w:spacing w:line="360" w:lineRule="auto"/>
        <w:ind w:firstLine="720" w:firstLineChars="300"/>
        <w:jc w:val="both"/>
        <w:rPr>
          <w:rFonts w:hint="default" w:ascii="宋体" w:hAnsi="宋体" w:eastAsia="宋体" w:cs="宋体"/>
          <w:color w:val="auto"/>
          <w:lang w:val="en-US"/>
        </w:rPr>
      </w:pPr>
      <w:r>
        <w:rPr>
          <w:rFonts w:hint="eastAsia" w:ascii="宋体" w:hAnsi="宋体" w:eastAsia="宋体" w:cs="宋体"/>
          <w:color w:val="auto"/>
          <w:lang w:val="zh-CN"/>
        </w:rPr>
        <w:t>电话：</w:t>
      </w:r>
      <w:r>
        <w:rPr>
          <w:rFonts w:hint="eastAsia" w:cs="宋体"/>
          <w:color w:val="auto"/>
          <w:lang w:val="en-US" w:eastAsia="zh-CN"/>
        </w:rPr>
        <w:t>0972-5936662</w:t>
      </w:r>
    </w:p>
    <w:p w14:paraId="5CD81E2F">
      <w:pPr>
        <w:spacing w:line="240" w:lineRule="auto"/>
        <w:ind w:firstLine="4320" w:firstLineChars="1800"/>
        <w:jc w:val="right"/>
        <w:rPr>
          <w:rFonts w:hint="eastAsia" w:asciiTheme="minorEastAsia" w:hAnsiTheme="minorEastAsia" w:eastAsiaTheme="minorEastAsia" w:cstheme="minorEastAsia"/>
          <w:color w:val="auto"/>
          <w:spacing w:val="0"/>
          <w:position w:val="0"/>
          <w:sz w:val="24"/>
          <w:szCs w:val="24"/>
          <w:highlight w:val="none"/>
          <w:shd w:val="clear"/>
        </w:rPr>
      </w:pPr>
      <w:r>
        <w:rPr>
          <w:rFonts w:hint="eastAsia" w:ascii="宋体" w:hAnsi="宋体" w:cs="宋体"/>
          <w:color w:val="auto"/>
          <w:sz w:val="24"/>
        </w:rPr>
        <w:t xml:space="preserve">海东乐都区乐欣中堃项目管理有限公司   </w:t>
      </w:r>
      <w:r>
        <w:rPr>
          <w:rFonts w:hint="eastAsia" w:asciiTheme="minorEastAsia" w:hAnsiTheme="minorEastAsia" w:eastAsiaTheme="minorEastAsia" w:cstheme="minorEastAsia"/>
          <w:color w:val="auto"/>
          <w:spacing w:val="0"/>
          <w:position w:val="0"/>
          <w:sz w:val="24"/>
          <w:szCs w:val="24"/>
          <w:highlight w:val="none"/>
          <w:shd w:val="clear"/>
        </w:rPr>
        <w:t xml:space="preserve"> </w:t>
      </w:r>
    </w:p>
    <w:p w14:paraId="2CCF407D">
      <w:pPr>
        <w:spacing w:line="240" w:lineRule="auto"/>
        <w:ind w:firstLine="4320" w:firstLineChars="1800"/>
        <w:jc w:val="right"/>
        <w:rPr>
          <w:rFonts w:hint="eastAsia" w:asciiTheme="minorEastAsia" w:hAnsiTheme="minorEastAsia" w:eastAsiaTheme="minorEastAsia" w:cstheme="minorEastAsia"/>
          <w:color w:val="auto"/>
          <w:spacing w:val="0"/>
          <w:position w:val="0"/>
          <w:sz w:val="24"/>
          <w:szCs w:val="24"/>
          <w:highlight w:val="none"/>
          <w:shd w:val="clear"/>
        </w:rPr>
      </w:pPr>
    </w:p>
    <w:p w14:paraId="634C6DF8">
      <w:pPr>
        <w:wordWrap w:val="0"/>
        <w:bidi w:val="0"/>
        <w:ind w:left="0" w:leftChars="0" w:firstLine="0" w:firstLineChars="0"/>
        <w:jc w:val="right"/>
        <w:rPr>
          <w:rFonts w:hint="eastAsia" w:ascii="宋体" w:hAnsi="宋体" w:eastAsia="宋体" w:cs="宋体"/>
          <w:color w:val="auto"/>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shd w:val="clear"/>
          <w:lang w:eastAsia="zh-CN"/>
        </w:rPr>
        <w:t>2026年06月16日</w:t>
      </w:r>
      <w:r>
        <w:rPr>
          <w:rFonts w:hint="eastAsia" w:ascii="宋体" w:hAnsi="宋体" w:eastAsia="宋体" w:cs="宋体"/>
          <w:color w:val="auto"/>
          <w:highlight w:val="none"/>
          <w:lang w:val="en-US" w:eastAsia="zh-CN"/>
        </w:rPr>
        <w:t xml:space="preserve">  </w:t>
      </w:r>
    </w:p>
    <w:p w14:paraId="341EABE0">
      <w:pPr>
        <w:rPr>
          <w:rFonts w:hint="eastAsia" w:ascii="宋体" w:hAnsi="宋体" w:eastAsia="宋体" w:cs="宋体"/>
          <w:color w:val="auto"/>
          <w:highlight w:val="none"/>
        </w:rPr>
      </w:pPr>
      <w:bookmarkStart w:id="4" w:name="_Toc447725348"/>
      <w:r>
        <w:rPr>
          <w:rFonts w:hint="eastAsia" w:ascii="宋体" w:hAnsi="宋体" w:eastAsia="宋体" w:cs="宋体"/>
          <w:color w:val="auto"/>
          <w:highlight w:val="none"/>
        </w:rPr>
        <w:br w:type="page"/>
      </w:r>
    </w:p>
    <w:p w14:paraId="608984F3">
      <w:pPr>
        <w:pStyle w:val="3"/>
        <w:numPr>
          <w:ilvl w:val="0"/>
          <w:numId w:val="0"/>
        </w:numPr>
        <w:bidi w:val="0"/>
        <w:ind w:left="0" w:leftChars="0" w:firstLine="0" w:firstLineChars="0"/>
        <w:rPr>
          <w:rFonts w:hint="eastAsia" w:ascii="宋体" w:hAnsi="宋体" w:eastAsia="宋体" w:cs="宋体"/>
          <w:color w:val="auto"/>
          <w:highlight w:val="none"/>
        </w:rPr>
      </w:pPr>
      <w:bookmarkStart w:id="5" w:name="_Toc29107"/>
      <w:r>
        <w:rPr>
          <w:rFonts w:hint="eastAsia" w:ascii="宋体" w:hAnsi="宋体" w:eastAsia="宋体" w:cs="宋体"/>
          <w:color w:val="auto"/>
          <w:highlight w:val="none"/>
        </w:rPr>
        <w:t>第二部分</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磋商须知前附表</w:t>
      </w:r>
      <w:bookmarkEnd w:id="4"/>
      <w:bookmarkEnd w:id="5"/>
    </w:p>
    <w:p w14:paraId="6F47AC7F">
      <w:pPr>
        <w:bidi w:val="0"/>
        <w:rPr>
          <w:rFonts w:hint="eastAsia" w:ascii="宋体" w:hAnsi="宋体" w:eastAsia="宋体" w:cs="宋体"/>
          <w:color w:val="auto"/>
          <w:highlight w:val="none"/>
        </w:rPr>
      </w:pPr>
    </w:p>
    <w:tbl>
      <w:tblPr>
        <w:tblStyle w:val="67"/>
        <w:tblW w:w="9510" w:type="dxa"/>
        <w:jc w:val="center"/>
        <w:shd w:val="clear" w:color="auto" w:fill="auto"/>
        <w:tblLayout w:type="fixed"/>
        <w:tblCellMar>
          <w:top w:w="0" w:type="dxa"/>
          <w:left w:w="108" w:type="dxa"/>
          <w:bottom w:w="0" w:type="dxa"/>
          <w:right w:w="108" w:type="dxa"/>
        </w:tblCellMar>
      </w:tblPr>
      <w:tblGrid>
        <w:gridCol w:w="943"/>
        <w:gridCol w:w="2136"/>
        <w:gridCol w:w="6431"/>
      </w:tblGrid>
      <w:tr w14:paraId="4023C3C9">
        <w:tblPrEx>
          <w:shd w:val="clear" w:color="auto" w:fill="auto"/>
          <w:tblCellMar>
            <w:top w:w="0" w:type="dxa"/>
            <w:left w:w="108" w:type="dxa"/>
            <w:bottom w:w="0" w:type="dxa"/>
            <w:right w:w="108" w:type="dxa"/>
          </w:tblCellMar>
        </w:tblPrEx>
        <w:trPr>
          <w:trHeight w:val="465" w:hRule="atLeast"/>
          <w:jc w:val="center"/>
        </w:trPr>
        <w:tc>
          <w:tcPr>
            <w:tcW w:w="94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1074E9">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序号</w:t>
            </w:r>
          </w:p>
        </w:tc>
        <w:tc>
          <w:tcPr>
            <w:tcW w:w="8567"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14:paraId="7C9A5673">
            <w:pPr>
              <w:pStyle w:val="13"/>
              <w:bidi w:val="0"/>
              <w:jc w:val="cente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内容</w:t>
            </w:r>
          </w:p>
        </w:tc>
      </w:tr>
      <w:tr w14:paraId="66F6803E">
        <w:tblPrEx>
          <w:shd w:val="clear" w:color="auto" w:fill="auto"/>
          <w:tblCellMar>
            <w:top w:w="0" w:type="dxa"/>
            <w:left w:w="108" w:type="dxa"/>
            <w:bottom w:w="0" w:type="dxa"/>
            <w:right w:w="108" w:type="dxa"/>
          </w:tblCellMar>
        </w:tblPrEx>
        <w:trPr>
          <w:trHeight w:val="554" w:hRule="atLeast"/>
          <w:jc w:val="center"/>
        </w:trPr>
        <w:tc>
          <w:tcPr>
            <w:tcW w:w="94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706D5C">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w:t>
            </w:r>
          </w:p>
        </w:tc>
        <w:tc>
          <w:tcPr>
            <w:tcW w:w="2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38C47D">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采购项目名称</w:t>
            </w:r>
          </w:p>
        </w:tc>
        <w:tc>
          <w:tcPr>
            <w:tcW w:w="643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7A8A06">
            <w:pPr>
              <w:pStyle w:val="13"/>
              <w:bidi w:val="0"/>
              <w:rPr>
                <w:rFonts w:hint="eastAsia" w:ascii="宋体" w:hAnsi="宋体" w:eastAsia="宋体" w:cs="宋体"/>
                <w:color w:val="auto"/>
                <w:highlight w:val="none"/>
              </w:rPr>
            </w:pPr>
            <w:r>
              <w:rPr>
                <w:rFonts w:hint="eastAsia" w:ascii="宋体" w:hAnsi="宋体" w:cs="宋体"/>
                <w:color w:val="auto"/>
                <w:highlight w:val="none"/>
                <w:lang w:val="zh-CN"/>
              </w:rPr>
              <w:t>海东市乐都区2026-2027年度政策性农村住房保险</w:t>
            </w:r>
          </w:p>
        </w:tc>
      </w:tr>
      <w:tr w14:paraId="326E701C">
        <w:tblPrEx>
          <w:tblCellMar>
            <w:top w:w="0" w:type="dxa"/>
            <w:left w:w="108" w:type="dxa"/>
            <w:bottom w:w="0" w:type="dxa"/>
            <w:right w:w="108" w:type="dxa"/>
          </w:tblCellMar>
        </w:tblPrEx>
        <w:trPr>
          <w:trHeight w:val="292" w:hRule="atLeast"/>
          <w:jc w:val="center"/>
        </w:trPr>
        <w:tc>
          <w:tcPr>
            <w:tcW w:w="94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9A0AAB">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w:t>
            </w:r>
          </w:p>
        </w:tc>
        <w:tc>
          <w:tcPr>
            <w:tcW w:w="2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473083">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采购项目编号</w:t>
            </w:r>
          </w:p>
        </w:tc>
        <w:tc>
          <w:tcPr>
            <w:tcW w:w="643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054473">
            <w:pPr>
              <w:pStyle w:val="13"/>
              <w:bidi w:val="0"/>
              <w:rPr>
                <w:rFonts w:hint="eastAsia" w:ascii="宋体" w:hAnsi="宋体" w:eastAsia="宋体" w:cs="宋体"/>
                <w:color w:val="auto"/>
                <w:highlight w:val="none"/>
              </w:rPr>
            </w:pPr>
            <w:r>
              <w:rPr>
                <w:rFonts w:hint="eastAsia" w:ascii="宋体" w:hAnsi="宋体" w:cs="宋体"/>
                <w:color w:val="auto"/>
                <w:highlight w:val="none"/>
                <w:lang w:val="zh-CN"/>
              </w:rPr>
              <w:t>乐欣中堃竞磋（服务）2026-020</w:t>
            </w:r>
          </w:p>
        </w:tc>
      </w:tr>
      <w:tr w14:paraId="75935580">
        <w:tblPrEx>
          <w:shd w:val="clear" w:color="auto" w:fill="auto"/>
          <w:tblCellMar>
            <w:top w:w="0" w:type="dxa"/>
            <w:left w:w="108" w:type="dxa"/>
            <w:bottom w:w="0" w:type="dxa"/>
            <w:right w:w="108" w:type="dxa"/>
          </w:tblCellMar>
        </w:tblPrEx>
        <w:trPr>
          <w:trHeight w:val="292" w:hRule="atLeast"/>
          <w:jc w:val="center"/>
        </w:trPr>
        <w:tc>
          <w:tcPr>
            <w:tcW w:w="94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E3CDDA8">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w:t>
            </w:r>
          </w:p>
        </w:tc>
        <w:tc>
          <w:tcPr>
            <w:tcW w:w="2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0096A2">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采购人</w:t>
            </w:r>
          </w:p>
        </w:tc>
        <w:tc>
          <w:tcPr>
            <w:tcW w:w="643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940741">
            <w:pPr>
              <w:pStyle w:val="13"/>
              <w:bidi w:val="0"/>
              <w:rPr>
                <w:rFonts w:hint="eastAsia" w:ascii="宋体" w:hAnsi="宋体" w:eastAsia="宋体" w:cs="宋体"/>
                <w:color w:val="auto"/>
                <w:highlight w:val="none"/>
                <w:lang w:eastAsia="zh-CN"/>
              </w:rPr>
            </w:pPr>
            <w:r>
              <w:rPr>
                <w:rFonts w:hint="eastAsia" w:ascii="宋体" w:hAnsi="宋体" w:cs="宋体"/>
                <w:color w:val="auto"/>
                <w:highlight w:val="none"/>
                <w:lang w:eastAsia="zh-CN"/>
              </w:rPr>
              <w:t>海东市乐都区应急管理局（本级）</w:t>
            </w:r>
          </w:p>
        </w:tc>
      </w:tr>
      <w:tr w14:paraId="68BCCB28">
        <w:tblPrEx>
          <w:shd w:val="clear" w:color="auto" w:fill="auto"/>
          <w:tblCellMar>
            <w:top w:w="0" w:type="dxa"/>
            <w:left w:w="108" w:type="dxa"/>
            <w:bottom w:w="0" w:type="dxa"/>
            <w:right w:w="108" w:type="dxa"/>
          </w:tblCellMar>
        </w:tblPrEx>
        <w:trPr>
          <w:trHeight w:val="292" w:hRule="atLeast"/>
          <w:jc w:val="center"/>
        </w:trPr>
        <w:tc>
          <w:tcPr>
            <w:tcW w:w="94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D3F008">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w:t>
            </w:r>
          </w:p>
        </w:tc>
        <w:tc>
          <w:tcPr>
            <w:tcW w:w="2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939DBB">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采购代理机构</w:t>
            </w:r>
          </w:p>
        </w:tc>
        <w:tc>
          <w:tcPr>
            <w:tcW w:w="643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71CD6C">
            <w:pPr>
              <w:pStyle w:val="13"/>
              <w:bidi w:val="0"/>
              <w:rPr>
                <w:rFonts w:hint="eastAsia" w:ascii="宋体" w:hAnsi="宋体" w:eastAsia="宋体" w:cs="宋体"/>
                <w:color w:val="auto"/>
                <w:highlight w:val="none"/>
                <w:lang w:val="zh-CN"/>
              </w:rPr>
            </w:pPr>
            <w:r>
              <w:rPr>
                <w:rFonts w:hint="eastAsia" w:ascii="宋体" w:hAnsi="宋体" w:cs="宋体"/>
                <w:color w:val="auto"/>
                <w:highlight w:val="none"/>
                <w:lang w:val="zh-CN"/>
              </w:rPr>
              <w:t>海东乐都区乐欣中堃项目管理有限公司</w:t>
            </w:r>
          </w:p>
        </w:tc>
      </w:tr>
      <w:tr w14:paraId="6EC36628">
        <w:tblPrEx>
          <w:shd w:val="clear" w:color="auto" w:fill="auto"/>
          <w:tblCellMar>
            <w:top w:w="0" w:type="dxa"/>
            <w:left w:w="108" w:type="dxa"/>
            <w:bottom w:w="0" w:type="dxa"/>
            <w:right w:w="108" w:type="dxa"/>
          </w:tblCellMar>
        </w:tblPrEx>
        <w:trPr>
          <w:trHeight w:val="292" w:hRule="atLeast"/>
          <w:jc w:val="center"/>
        </w:trPr>
        <w:tc>
          <w:tcPr>
            <w:tcW w:w="94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04EFE0">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5</w:t>
            </w:r>
          </w:p>
        </w:tc>
        <w:tc>
          <w:tcPr>
            <w:tcW w:w="2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8A2F6D">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采购方式</w:t>
            </w:r>
          </w:p>
        </w:tc>
        <w:tc>
          <w:tcPr>
            <w:tcW w:w="643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695A4ED">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竞争性磋商</w:t>
            </w:r>
          </w:p>
        </w:tc>
      </w:tr>
      <w:tr w14:paraId="3248367B">
        <w:tblPrEx>
          <w:tblCellMar>
            <w:top w:w="0" w:type="dxa"/>
            <w:left w:w="108" w:type="dxa"/>
            <w:bottom w:w="0" w:type="dxa"/>
            <w:right w:w="108" w:type="dxa"/>
          </w:tblCellMar>
        </w:tblPrEx>
        <w:trPr>
          <w:trHeight w:val="292" w:hRule="atLeast"/>
          <w:jc w:val="center"/>
        </w:trPr>
        <w:tc>
          <w:tcPr>
            <w:tcW w:w="94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C6A37F">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6</w:t>
            </w:r>
          </w:p>
        </w:tc>
        <w:tc>
          <w:tcPr>
            <w:tcW w:w="2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BC3A52">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评分办法</w:t>
            </w:r>
          </w:p>
        </w:tc>
        <w:tc>
          <w:tcPr>
            <w:tcW w:w="643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BA0030">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综合评分法</w:t>
            </w:r>
          </w:p>
        </w:tc>
      </w:tr>
      <w:tr w14:paraId="708BD305">
        <w:tblPrEx>
          <w:shd w:val="clear" w:color="auto" w:fill="auto"/>
          <w:tblCellMar>
            <w:top w:w="0" w:type="dxa"/>
            <w:left w:w="108" w:type="dxa"/>
            <w:bottom w:w="0" w:type="dxa"/>
            <w:right w:w="108" w:type="dxa"/>
          </w:tblCellMar>
        </w:tblPrEx>
        <w:trPr>
          <w:trHeight w:val="292" w:hRule="atLeast"/>
          <w:jc w:val="center"/>
        </w:trPr>
        <w:tc>
          <w:tcPr>
            <w:tcW w:w="94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BB7241">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7</w:t>
            </w:r>
          </w:p>
        </w:tc>
        <w:tc>
          <w:tcPr>
            <w:tcW w:w="2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82BAE2">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项目分包个数</w:t>
            </w:r>
          </w:p>
        </w:tc>
        <w:tc>
          <w:tcPr>
            <w:tcW w:w="643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2FD715">
            <w:pPr>
              <w:pStyle w:val="13"/>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不分包</w:t>
            </w:r>
          </w:p>
        </w:tc>
      </w:tr>
      <w:tr w14:paraId="02941190">
        <w:tblPrEx>
          <w:shd w:val="clear" w:color="auto" w:fill="auto"/>
          <w:tblCellMar>
            <w:top w:w="0" w:type="dxa"/>
            <w:left w:w="108" w:type="dxa"/>
            <w:bottom w:w="0" w:type="dxa"/>
            <w:right w:w="108" w:type="dxa"/>
          </w:tblCellMar>
        </w:tblPrEx>
        <w:trPr>
          <w:trHeight w:val="292" w:hRule="atLeast"/>
          <w:jc w:val="center"/>
        </w:trPr>
        <w:tc>
          <w:tcPr>
            <w:tcW w:w="94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C6EFD6">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8</w:t>
            </w:r>
          </w:p>
        </w:tc>
        <w:tc>
          <w:tcPr>
            <w:tcW w:w="2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952C89">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采购要求</w:t>
            </w:r>
          </w:p>
        </w:tc>
        <w:tc>
          <w:tcPr>
            <w:tcW w:w="643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A0E2896">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具体内容详见《磋商文件》</w:t>
            </w:r>
          </w:p>
        </w:tc>
      </w:tr>
      <w:tr w14:paraId="3CF4207B">
        <w:tblPrEx>
          <w:shd w:val="clear" w:color="auto" w:fill="auto"/>
          <w:tblCellMar>
            <w:top w:w="0" w:type="dxa"/>
            <w:left w:w="108" w:type="dxa"/>
            <w:bottom w:w="0" w:type="dxa"/>
            <w:right w:w="108" w:type="dxa"/>
          </w:tblCellMar>
        </w:tblPrEx>
        <w:trPr>
          <w:trHeight w:val="90" w:hRule="atLeast"/>
          <w:jc w:val="center"/>
        </w:trPr>
        <w:tc>
          <w:tcPr>
            <w:tcW w:w="94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C169EF">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9</w:t>
            </w:r>
          </w:p>
        </w:tc>
        <w:tc>
          <w:tcPr>
            <w:tcW w:w="2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B02116">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供应商资格条件</w:t>
            </w:r>
          </w:p>
        </w:tc>
        <w:tc>
          <w:tcPr>
            <w:tcW w:w="643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FE100C">
            <w:pPr>
              <w:spacing w:line="360" w:lineRule="auto"/>
              <w:ind w:left="0"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1.满足《中华人民共和国政府采购法》第二十二条规定； （1）</w:t>
            </w:r>
            <w:r>
              <w:rPr>
                <w:rFonts w:hint="eastAsia" w:ascii="宋体" w:hAnsi="宋体" w:cs="宋体"/>
                <w:color w:val="auto"/>
                <w:highlight w:val="none"/>
                <w:lang w:val="en-US" w:eastAsia="zh-CN"/>
              </w:rPr>
              <w:t>供应商的营业执照等证明文件，自然人的身份证明。（分支机构参与本项目政府采购活动须提供总公司针对本项目的授权,同时提供总公司和分支机构营业执照副本复印件。（银行、保险、电信、电力、石油石化、邮政、铁路等特殊行业，可出具总公司的有关文件或制度等能够证明总公司授权其独立开展业务的证明））</w:t>
            </w:r>
            <w:r>
              <w:rPr>
                <w:rFonts w:hint="eastAsia" w:ascii="宋体" w:hAnsi="宋体" w:eastAsia="宋体" w:cs="宋体"/>
                <w:color w:val="auto"/>
                <w:sz w:val="24"/>
                <w:szCs w:val="24"/>
                <w:lang w:val="en-US" w:eastAsia="zh-CN"/>
              </w:rPr>
              <w:t xml:space="preserve">。 </w:t>
            </w:r>
          </w:p>
          <w:p w14:paraId="198B15BE">
            <w:pPr>
              <w:spacing w:line="360" w:lineRule="auto"/>
              <w:ind w:left="0" w:lef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（2）财务状况报告，依法缴纳税收和社会保障资金的相关材料。 </w:t>
            </w:r>
          </w:p>
          <w:p w14:paraId="456BAE76">
            <w:pPr>
              <w:spacing w:line="360" w:lineRule="auto"/>
              <w:ind w:left="0" w:lef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（3）具备履行合同所必需的设备和专业技术能力的证明材料。 </w:t>
            </w:r>
          </w:p>
          <w:p w14:paraId="628FD45B">
            <w:pPr>
              <w:spacing w:line="360" w:lineRule="auto"/>
              <w:ind w:left="0" w:lef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（4）参加政府采购活动前 3 年内在经营活动中没有重大违法记录的书面声明。 </w:t>
            </w:r>
          </w:p>
          <w:p w14:paraId="5C8DFB31">
            <w:pPr>
              <w:spacing w:line="360" w:lineRule="auto"/>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（5）具备法律、行政法规规定的其他条件的证明材料。</w:t>
            </w:r>
          </w:p>
          <w:p w14:paraId="3D437FD3">
            <w:pPr>
              <w:numPr>
                <w:ilvl w:val="0"/>
                <w:numId w:val="0"/>
              </w:numPr>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经 信 用 中 国 （ www.creditchina.gov.cn ） 、 中 国 政 府 采 购 网 （www.ccgp.gov.cn）等渠道查询后，列入失信被执行人、重大税收违法案件当事人名单</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政府采购严重违法失信行为记录名单的，取消</w:t>
            </w:r>
            <w:r>
              <w:rPr>
                <w:rFonts w:hint="eastAsia" w:ascii="宋体" w:hAnsi="宋体" w:cs="宋体"/>
                <w:color w:val="auto"/>
                <w:sz w:val="24"/>
                <w:szCs w:val="24"/>
                <w:lang w:val="en-US" w:eastAsia="zh-CN"/>
              </w:rPr>
              <w:t>递交响应文件</w:t>
            </w:r>
            <w:r>
              <w:rPr>
                <w:rFonts w:hint="eastAsia" w:ascii="宋体" w:hAnsi="宋体" w:eastAsia="宋体" w:cs="宋体"/>
                <w:color w:val="auto"/>
                <w:sz w:val="24"/>
                <w:szCs w:val="24"/>
                <w:lang w:val="en-US" w:eastAsia="zh-CN"/>
              </w:rPr>
              <w:t xml:space="preserve">资格。（提供“信用中国”网站的查询截图）； </w:t>
            </w:r>
          </w:p>
          <w:p w14:paraId="0ABC8CB2">
            <w:pPr>
              <w:numPr>
                <w:ilvl w:val="0"/>
                <w:numId w:val="0"/>
              </w:numPr>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财务要求：</w:t>
            </w:r>
            <w:r>
              <w:rPr>
                <w:rFonts w:hint="eastAsia" w:ascii="宋体" w:hAnsi="宋体" w:cs="宋体"/>
                <w:color w:val="auto"/>
                <w:sz w:val="24"/>
                <w:szCs w:val="24"/>
                <w:lang w:val="en-US" w:eastAsia="zh-CN"/>
              </w:rPr>
              <w:t>供应商须提供经第三方机构出具的2025年的财务审计报告</w:t>
            </w:r>
            <w:r>
              <w:rPr>
                <w:rFonts w:hint="eastAsia" w:ascii="宋体" w:hAnsi="宋体" w:eastAsia="宋体" w:cs="宋体"/>
                <w:color w:val="auto"/>
                <w:sz w:val="24"/>
                <w:szCs w:val="24"/>
                <w:lang w:val="en-US" w:eastAsia="zh-CN"/>
              </w:rPr>
              <w:t>，包括但不限于资产负债表、现金流量表、利润表和财务（会计）报表附注,并提供第三方机构的营业执照、执业证书或提供基本开户银行出具近三个月内的资信证明（同时提供基本存款账户开户许可证）。扫描（或复印）件应全面、完整、清晰。</w:t>
            </w:r>
          </w:p>
          <w:p w14:paraId="7B4BBC01">
            <w:pPr>
              <w:spacing w:line="360" w:lineRule="auto"/>
              <w:ind w:left="0" w:leftChars="0" w:firstLine="480" w:firstLineChars="200"/>
              <w:jc w:val="left"/>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default"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t>单位负责人为同一人或者存在直接控股、管理关系的不同</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，不得参加同一合同项下的政府采购活动。否则，皆取消</w:t>
            </w:r>
            <w:r>
              <w:rPr>
                <w:rFonts w:hint="eastAsia" w:ascii="宋体" w:hAnsi="宋体" w:cs="宋体"/>
                <w:color w:val="auto"/>
                <w:sz w:val="24"/>
                <w:szCs w:val="24"/>
                <w:lang w:val="en-US" w:eastAsia="zh-CN"/>
              </w:rPr>
              <w:t>递交响应文件</w:t>
            </w:r>
            <w:r>
              <w:rPr>
                <w:rFonts w:hint="eastAsia" w:ascii="宋体" w:hAnsi="宋体" w:eastAsia="宋体" w:cs="宋体"/>
                <w:color w:val="auto"/>
                <w:sz w:val="24"/>
                <w:szCs w:val="24"/>
                <w:lang w:val="en-US" w:eastAsia="zh-CN"/>
              </w:rPr>
              <w:t xml:space="preserve">资格； </w:t>
            </w:r>
          </w:p>
          <w:p w14:paraId="1175899E">
            <w:pPr>
              <w:spacing w:line="360" w:lineRule="auto"/>
              <w:ind w:left="0" w:leftChars="0" w:firstLine="480" w:firstLineChars="200"/>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default"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t xml:space="preserve">为本采购项目提供整体设计、规范编制或者项目管理、监理、检测等服务的投标人，不得再参加该采购项目的其他采购活动； </w:t>
            </w:r>
          </w:p>
          <w:p w14:paraId="08DBD72C">
            <w:pPr>
              <w:spacing w:line="360" w:lineRule="auto"/>
              <w:ind w:firstLine="480" w:firstLineChars="200"/>
              <w:jc w:val="left"/>
              <w:rPr>
                <w:rFonts w:hint="eastAsia" w:ascii="宋体" w:hAnsi="宋体" w:eastAsia="宋体" w:cs="宋体"/>
                <w:color w:val="0D0D0D" w:themeColor="text1" w:themeTint="F2"/>
                <w:sz w:val="24"/>
                <w:szCs w:val="24"/>
                <w:highlight w:val="red"/>
                <w:lang w:val="en-US" w:eastAsia="zh-CN"/>
                <w14:textFill>
                  <w14:solidFill>
                    <w14:schemeClr w14:val="tx1">
                      <w14:lumMod w14:val="95000"/>
                      <w14:lumOff w14:val="5000"/>
                    </w14:schemeClr>
                  </w14:solidFill>
                </w14:textFill>
              </w:rPr>
            </w:pPr>
            <w:r>
              <w:rPr>
                <w:rFonts w:hint="eastAsia" w:ascii="宋体" w:hAnsi="宋体" w:eastAsia="宋体" w:cs="宋体"/>
                <w:color w:val="auto"/>
                <w:sz w:val="24"/>
                <w:szCs w:val="24"/>
                <w:lang w:val="en-US" w:eastAsia="zh-CN"/>
              </w:rPr>
              <w:t>6</w:t>
            </w:r>
            <w:r>
              <w:rPr>
                <w:rFonts w:hint="default"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t xml:space="preserve">本项目不接受供应商以联合体方式进行投标； </w:t>
            </w:r>
          </w:p>
          <w:p w14:paraId="7FF2C4B1">
            <w:pPr>
              <w:pStyle w:val="13"/>
              <w:bidi w:val="0"/>
              <w:ind w:firstLine="480" w:firstLineChars="200"/>
              <w:rPr>
                <w:rFonts w:hint="default" w:ascii="宋体" w:hAnsi="宋体" w:eastAsia="宋体" w:cs="宋体"/>
                <w:color w:val="auto"/>
                <w:highlight w:val="none"/>
                <w:lang w:val="en-US" w:eastAsia="zh-CN"/>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zh-CN" w:eastAsia="zh-CN"/>
              </w:rPr>
              <w:t>投标供应商须具备中国银行保险监督管理委员会颁发的《保险许可证》。</w:t>
            </w:r>
          </w:p>
        </w:tc>
      </w:tr>
      <w:tr w14:paraId="106B9027">
        <w:tblPrEx>
          <w:shd w:val="clear" w:color="auto" w:fill="auto"/>
          <w:tblCellMar>
            <w:top w:w="0" w:type="dxa"/>
            <w:left w:w="108" w:type="dxa"/>
            <w:bottom w:w="0" w:type="dxa"/>
            <w:right w:w="108" w:type="dxa"/>
          </w:tblCellMar>
        </w:tblPrEx>
        <w:trPr>
          <w:trHeight w:val="90" w:hRule="atLeast"/>
          <w:jc w:val="center"/>
        </w:trPr>
        <w:tc>
          <w:tcPr>
            <w:tcW w:w="94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C234AA">
            <w:pPr>
              <w:pStyle w:val="13"/>
              <w:bidi w:val="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10</w:t>
            </w:r>
          </w:p>
        </w:tc>
        <w:tc>
          <w:tcPr>
            <w:tcW w:w="213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DAA1871">
            <w:pPr>
              <w:autoSpaceDE w:val="0"/>
              <w:autoSpaceDN w:val="0"/>
              <w:adjustRightInd w:val="0"/>
              <w:spacing w:line="360" w:lineRule="auto"/>
              <w:ind w:firstLine="480" w:firstLineChars="200"/>
              <w:jc w:val="left"/>
              <w:rPr>
                <w:rFonts w:hint="eastAsia" w:ascii="Arial" w:hAnsi="Arial" w:eastAsia="宋体" w:cs="Arial"/>
                <w:color w:val="auto"/>
                <w:kern w:val="0"/>
                <w:sz w:val="24"/>
                <w:szCs w:val="24"/>
                <w:lang w:val="zh-CN" w:eastAsia="zh-CN" w:bidi="ar-SA"/>
              </w:rPr>
            </w:pPr>
            <w:r>
              <w:rPr>
                <w:rFonts w:hint="eastAsia" w:ascii="Arial" w:hAnsi="Arial" w:cs="Arial"/>
                <w:color w:val="auto"/>
                <w:kern w:val="0"/>
                <w:sz w:val="24"/>
                <w:lang w:val="zh-CN"/>
              </w:rPr>
              <w:t>磋商保证金</w:t>
            </w:r>
          </w:p>
        </w:tc>
        <w:tc>
          <w:tcPr>
            <w:tcW w:w="6431" w:type="dxa"/>
            <w:tcBorders>
              <w:top w:val="single" w:color="000000" w:sz="6" w:space="0"/>
              <w:left w:val="single" w:color="000000" w:sz="6" w:space="0"/>
              <w:bottom w:val="single" w:color="000000" w:sz="6" w:space="0"/>
              <w:right w:val="single" w:color="000000" w:sz="6" w:space="0"/>
            </w:tcBorders>
            <w:shd w:val="clear" w:color="000000" w:fill="FFFFFF"/>
            <w:vAlign w:val="top"/>
          </w:tcPr>
          <w:p w14:paraId="55999C30">
            <w:pPr>
              <w:spacing w:line="360" w:lineRule="auto"/>
              <w:rPr>
                <w:rFonts w:hint="default" w:asciiTheme="majorEastAsia" w:hAnsiTheme="majorEastAsia" w:eastAsiaTheme="majorEastAsia" w:cstheme="majorEastAsia"/>
                <w:color w:val="auto"/>
                <w:kern w:val="0"/>
                <w:sz w:val="24"/>
                <w:lang w:val="en-US" w:eastAsia="zh-CN"/>
              </w:rPr>
            </w:pPr>
            <w:r>
              <w:rPr>
                <w:rFonts w:hint="eastAsia" w:asciiTheme="majorEastAsia" w:hAnsiTheme="majorEastAsia" w:eastAsiaTheme="majorEastAsia" w:cstheme="majorEastAsia"/>
                <w:color w:val="auto"/>
                <w:kern w:val="0"/>
                <w:sz w:val="24"/>
                <w:lang w:val="zh-CN"/>
              </w:rPr>
              <w:t>磋商保证金：</w:t>
            </w:r>
          </w:p>
          <w:p w14:paraId="04B4548F">
            <w:pPr>
              <w:spacing w:line="360" w:lineRule="auto"/>
              <w:rPr>
                <w:rFonts w:hint="eastAsia" w:asciiTheme="majorEastAsia" w:hAnsiTheme="majorEastAsia" w:eastAsiaTheme="majorEastAsia" w:cstheme="majorEastAsia"/>
                <w:color w:val="auto"/>
                <w:kern w:val="0"/>
                <w:sz w:val="24"/>
                <w:lang w:val="en-US" w:eastAsia="zh-CN"/>
              </w:rPr>
            </w:pPr>
            <w:r>
              <w:rPr>
                <w:rFonts w:hint="eastAsia" w:asciiTheme="majorEastAsia" w:hAnsiTheme="majorEastAsia" w:eastAsiaTheme="majorEastAsia" w:cstheme="majorEastAsia"/>
                <w:color w:val="auto"/>
                <w:kern w:val="0"/>
                <w:sz w:val="24"/>
                <w:lang w:val="zh-CN"/>
              </w:rPr>
              <w:t>人民币大写：</w:t>
            </w:r>
            <w:r>
              <w:rPr>
                <w:rFonts w:hint="eastAsia" w:asciiTheme="majorEastAsia" w:hAnsiTheme="majorEastAsia" w:eastAsiaTheme="majorEastAsia" w:cstheme="majorEastAsia"/>
                <w:color w:val="auto"/>
                <w:kern w:val="0"/>
                <w:sz w:val="24"/>
                <w:lang w:val="en-US" w:eastAsia="zh-CN"/>
              </w:rPr>
              <w:t>壹万元整</w:t>
            </w:r>
          </w:p>
          <w:p w14:paraId="5EA0DAB3">
            <w:pPr>
              <w:spacing w:line="360" w:lineRule="auto"/>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lang w:val="zh-CN"/>
              </w:rPr>
              <w:t>人民币小写：</w:t>
            </w:r>
            <w:r>
              <w:rPr>
                <w:rFonts w:hint="eastAsia" w:asciiTheme="majorEastAsia" w:hAnsiTheme="majorEastAsia" w:eastAsiaTheme="majorEastAsia" w:cstheme="majorEastAsia"/>
                <w:color w:val="auto"/>
                <w:kern w:val="0"/>
                <w:sz w:val="24"/>
                <w:lang w:val="en-US" w:eastAsia="zh-CN"/>
              </w:rPr>
              <w:t>10，000.00</w:t>
            </w:r>
          </w:p>
          <w:p w14:paraId="0C3162A3">
            <w:pPr>
              <w:autoSpaceDE w:val="0"/>
              <w:autoSpaceDN w:val="0"/>
              <w:spacing w:line="360" w:lineRule="auto"/>
              <w:ind w:firstLine="0" w:firstLineChars="0"/>
              <w:jc w:val="left"/>
              <w:rPr>
                <w:rFonts w:hint="eastAsia"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4"/>
                <w:lang w:val="zh-CN" w:eastAsia="zh-CN"/>
                <w14:textFill>
                  <w14:solidFill>
                    <w14:schemeClr w14:val="tx1"/>
                  </w14:solidFill>
                </w14:textFill>
              </w:rPr>
              <w:t>收款单位：海东乐都区乐欣中堃项目管理有限公司</w:t>
            </w:r>
          </w:p>
          <w:p w14:paraId="4BA27793">
            <w:pPr>
              <w:autoSpaceDE w:val="0"/>
              <w:autoSpaceDN w:val="0"/>
              <w:spacing w:line="360" w:lineRule="auto"/>
              <w:ind w:firstLine="0" w:firstLineChars="0"/>
              <w:jc w:val="left"/>
              <w:rPr>
                <w:rFonts w:hint="eastAsia" w:ascii="宋体" w:hAnsi="宋体" w:eastAsia="宋体" w:cs="宋体"/>
                <w:color w:val="000000" w:themeColor="text1"/>
                <w:sz w:val="24"/>
                <w:lang w:val="zh-CN" w:eastAsia="zh-CN"/>
                <w14:textFill>
                  <w14:solidFill>
                    <w14:schemeClr w14:val="tx1"/>
                  </w14:solidFill>
                </w14:textFill>
              </w:rPr>
            </w:pPr>
            <w:r>
              <w:rPr>
                <w:rFonts w:hint="eastAsia" w:ascii="宋体" w:hAnsi="宋体" w:eastAsia="宋体" w:cs="宋体"/>
                <w:color w:val="000000" w:themeColor="text1"/>
                <w:sz w:val="24"/>
                <w:lang w:val="zh-CN" w:eastAsia="zh-CN"/>
                <w14:textFill>
                  <w14:solidFill>
                    <w14:schemeClr w14:val="tx1"/>
                  </w14:solidFill>
                </w14:textFill>
              </w:rPr>
              <w:t>开 户 行：中国建设银行股份有限公司乐都支行</w:t>
            </w:r>
          </w:p>
          <w:p w14:paraId="5CB9BFDC">
            <w:pPr>
              <w:autoSpaceDE w:val="0"/>
              <w:autoSpaceDN w:val="0"/>
              <w:spacing w:line="360" w:lineRule="auto"/>
              <w:ind w:firstLine="0" w:firstLineChars="0"/>
              <w:jc w:val="left"/>
              <w:rPr>
                <w:rFonts w:hint="eastAsia" w:ascii="宋体" w:hAnsi="宋体" w:eastAsia="宋体" w:cs="宋体"/>
                <w:color w:val="000000" w:themeColor="text1"/>
                <w:sz w:val="24"/>
                <w:lang w:val="zh-CN" w:eastAsia="zh-CN"/>
                <w14:textFill>
                  <w14:solidFill>
                    <w14:schemeClr w14:val="tx1"/>
                  </w14:solidFill>
                </w14:textFill>
              </w:rPr>
            </w:pPr>
            <w:r>
              <w:rPr>
                <w:rFonts w:hint="eastAsia" w:ascii="宋体" w:hAnsi="宋体" w:eastAsia="宋体" w:cs="宋体"/>
                <w:color w:val="000000" w:themeColor="text1"/>
                <w:sz w:val="24"/>
                <w:lang w:val="zh-CN" w:eastAsia="zh-CN"/>
                <w14:textFill>
                  <w14:solidFill>
                    <w14:schemeClr w14:val="tx1"/>
                  </w14:solidFill>
                </w14:textFill>
              </w:rPr>
              <w:t>银行账号：6305 0163 7437 0000 0674</w:t>
            </w:r>
          </w:p>
          <w:p w14:paraId="06E87BD0">
            <w:pPr>
              <w:spacing w:line="360" w:lineRule="auto"/>
              <w:ind w:firstLine="480" w:firstLineChars="200"/>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缴费时间：提交响应文件截止时间前，以银行到账时间为准。</w:t>
            </w:r>
          </w:p>
          <w:p w14:paraId="1A4B6F11">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缴费方式：投标保证金应当以支票、汇票、本票或者金融机构、担保机构出具的保函等非现金形式提交。通过银行转账的，必须由供应商汇（转）入采购代理机构指定账户。</w:t>
            </w:r>
          </w:p>
          <w:p w14:paraId="25E2BA34">
            <w:pPr>
              <w:pStyle w:val="2"/>
              <w:rPr>
                <w:rFonts w:hint="eastAsia" w:ascii="Arial" w:hAnsi="Arial" w:cs="Arial"/>
                <w:color w:val="auto"/>
                <w:kern w:val="0"/>
                <w:sz w:val="24"/>
                <w:lang w:val="zh-CN"/>
              </w:rPr>
            </w:pPr>
            <w:r>
              <w:rPr>
                <w:rFonts w:hint="eastAsia" w:ascii="Arial" w:hAnsi="Arial" w:cs="Arial"/>
                <w:color w:val="auto"/>
                <w:kern w:val="0"/>
                <w:sz w:val="24"/>
                <w:lang w:val="zh-CN"/>
              </w:rPr>
              <w:t>投标人未按照竞争性磋商文件要求提交磋商保证金的，响应文件无效。</w:t>
            </w:r>
          </w:p>
          <w:p w14:paraId="00039B33">
            <w:pPr>
              <w:rPr>
                <w:rFonts w:hint="default" w:eastAsia="宋体"/>
                <w:lang w:val="en-US" w:eastAsia="zh-CN"/>
              </w:rPr>
            </w:pPr>
            <w:r>
              <w:rPr>
                <w:rFonts w:hint="eastAsia"/>
                <w:lang w:val="en-US" w:eastAsia="zh-CN"/>
              </w:rPr>
              <w:t>保证金退还：</w:t>
            </w:r>
            <w:r>
              <w:rPr>
                <w:rFonts w:hint="eastAsia" w:ascii="宋体" w:hAnsi="宋体" w:eastAsia="宋体" w:cs="宋体"/>
                <w:color w:val="000000" w:themeColor="text1"/>
                <w:sz w:val="24"/>
                <w:szCs w:val="24"/>
                <w:lang w:val="zh-CN"/>
                <w14:textFill>
                  <w14:solidFill>
                    <w14:schemeClr w14:val="tx1"/>
                  </w14:solidFill>
                </w14:textFill>
              </w:rPr>
              <w:t>未成交供应商的磋商保证金在成交通知书发出后5个工作日内退还，成交供应商的磋商保证金在采购合同签订后5个工作日内退还</w:t>
            </w:r>
            <w:r>
              <w:rPr>
                <w:rFonts w:hint="eastAsia" w:ascii="宋体" w:hAnsi="宋体" w:eastAsia="宋体" w:cs="宋体"/>
                <w:color w:val="000000" w:themeColor="text1"/>
                <w:sz w:val="24"/>
                <w:szCs w:val="24"/>
                <w14:textFill>
                  <w14:solidFill>
                    <w14:schemeClr w14:val="tx1"/>
                  </w14:solidFill>
                </w14:textFill>
              </w:rPr>
              <w:t>。</w:t>
            </w:r>
          </w:p>
        </w:tc>
      </w:tr>
      <w:tr w14:paraId="004466CF">
        <w:tblPrEx>
          <w:shd w:val="clear" w:color="auto" w:fill="auto"/>
          <w:tblCellMar>
            <w:top w:w="0" w:type="dxa"/>
            <w:left w:w="108" w:type="dxa"/>
            <w:bottom w:w="0" w:type="dxa"/>
            <w:right w:w="108" w:type="dxa"/>
          </w:tblCellMar>
        </w:tblPrEx>
        <w:trPr>
          <w:trHeight w:val="1992" w:hRule="atLeast"/>
          <w:jc w:val="center"/>
        </w:trPr>
        <w:tc>
          <w:tcPr>
            <w:tcW w:w="94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89E7DA">
            <w:pPr>
              <w:pStyle w:val="13"/>
              <w:bidi w:val="0"/>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zh-CN"/>
              </w:rPr>
              <w:t>1</w:t>
            </w:r>
            <w:r>
              <w:rPr>
                <w:rFonts w:hint="eastAsia" w:ascii="宋体" w:hAnsi="宋体" w:cs="宋体"/>
                <w:color w:val="auto"/>
                <w:highlight w:val="none"/>
                <w:lang w:val="en-US" w:eastAsia="zh-CN"/>
              </w:rPr>
              <w:t>1</w:t>
            </w:r>
          </w:p>
        </w:tc>
        <w:tc>
          <w:tcPr>
            <w:tcW w:w="2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819CFF">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rPr>
              <w:t>响应</w:t>
            </w:r>
            <w:r>
              <w:rPr>
                <w:rFonts w:hint="eastAsia" w:ascii="宋体" w:hAnsi="宋体" w:eastAsia="宋体" w:cs="宋体"/>
                <w:color w:val="auto"/>
                <w:highlight w:val="none"/>
                <w:lang w:val="zh-CN"/>
              </w:rPr>
              <w:t>文件编制</w:t>
            </w:r>
            <w:r>
              <w:rPr>
                <w:rFonts w:hint="eastAsia" w:ascii="宋体" w:hAnsi="宋体" w:eastAsia="宋体" w:cs="宋体"/>
                <w:color w:val="auto"/>
                <w:highlight w:val="none"/>
              </w:rPr>
              <w:t>和签署</w:t>
            </w:r>
            <w:r>
              <w:rPr>
                <w:rFonts w:hint="eastAsia" w:ascii="宋体" w:hAnsi="宋体" w:eastAsia="宋体" w:cs="宋体"/>
                <w:color w:val="auto"/>
                <w:highlight w:val="none"/>
                <w:lang w:val="zh-CN"/>
              </w:rPr>
              <w:t>要求</w:t>
            </w:r>
          </w:p>
        </w:tc>
        <w:tc>
          <w:tcPr>
            <w:tcW w:w="643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D6CC4F">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1、电子响应文件编制要求按政采云平台操作要求上传。</w:t>
            </w:r>
          </w:p>
          <w:p w14:paraId="13F1B96C">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2、磋商响应文件中的扫描或复印件内容应清晰可辨，且要求正向放置。</w:t>
            </w:r>
          </w:p>
          <w:p w14:paraId="2146BBF3">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3、磋商响应文件要求签字、盖章的地方必须由供应商的法定代表人或委托代理人按要求签字、盖章。</w:t>
            </w:r>
          </w:p>
          <w:p w14:paraId="3A463CC2">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rPr>
              <w:t>4、供应商应在提交磋商响应文件截止时间前上传磋商响应文件。</w:t>
            </w:r>
          </w:p>
        </w:tc>
      </w:tr>
      <w:tr w14:paraId="34652114">
        <w:tblPrEx>
          <w:tblCellMar>
            <w:top w:w="0" w:type="dxa"/>
            <w:left w:w="108" w:type="dxa"/>
            <w:bottom w:w="0" w:type="dxa"/>
            <w:right w:w="108" w:type="dxa"/>
          </w:tblCellMar>
        </w:tblPrEx>
        <w:trPr>
          <w:trHeight w:val="576" w:hRule="atLeast"/>
          <w:jc w:val="center"/>
        </w:trPr>
        <w:tc>
          <w:tcPr>
            <w:tcW w:w="94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4D27B3">
            <w:pPr>
              <w:pStyle w:val="13"/>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zh-CN"/>
              </w:rPr>
              <w:t>1</w:t>
            </w:r>
            <w:r>
              <w:rPr>
                <w:rFonts w:hint="eastAsia" w:ascii="宋体" w:hAnsi="宋体" w:cs="宋体"/>
                <w:color w:val="auto"/>
                <w:highlight w:val="none"/>
                <w:lang w:val="en-US" w:eastAsia="zh-CN"/>
              </w:rPr>
              <w:t>2</w:t>
            </w:r>
          </w:p>
        </w:tc>
        <w:tc>
          <w:tcPr>
            <w:tcW w:w="2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8CE7A0">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递交</w:t>
            </w:r>
            <w:r>
              <w:rPr>
                <w:rFonts w:hint="eastAsia" w:ascii="宋体" w:hAnsi="宋体" w:eastAsia="宋体" w:cs="宋体"/>
                <w:color w:val="auto"/>
                <w:highlight w:val="none"/>
              </w:rPr>
              <w:t>响应文件</w:t>
            </w:r>
            <w:r>
              <w:rPr>
                <w:rFonts w:hint="eastAsia" w:ascii="宋体" w:hAnsi="宋体" w:eastAsia="宋体" w:cs="宋体"/>
                <w:color w:val="auto"/>
                <w:highlight w:val="none"/>
                <w:lang w:val="zh-CN"/>
              </w:rPr>
              <w:t>方式</w:t>
            </w:r>
          </w:p>
        </w:tc>
        <w:tc>
          <w:tcPr>
            <w:tcW w:w="643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895375">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rPr>
              <w:t>政采云平台线上上传。</w:t>
            </w:r>
          </w:p>
        </w:tc>
      </w:tr>
      <w:tr w14:paraId="54CC8DD4">
        <w:tblPrEx>
          <w:shd w:val="clear" w:color="auto" w:fill="auto"/>
          <w:tblCellMar>
            <w:top w:w="0" w:type="dxa"/>
            <w:left w:w="108" w:type="dxa"/>
            <w:bottom w:w="0" w:type="dxa"/>
            <w:right w:w="108" w:type="dxa"/>
          </w:tblCellMar>
        </w:tblPrEx>
        <w:trPr>
          <w:trHeight w:val="576" w:hRule="atLeast"/>
          <w:jc w:val="center"/>
        </w:trPr>
        <w:tc>
          <w:tcPr>
            <w:tcW w:w="94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6D9C9AA">
            <w:pPr>
              <w:pStyle w:val="13"/>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zh-CN"/>
              </w:rPr>
              <w:t>1</w:t>
            </w:r>
            <w:r>
              <w:rPr>
                <w:rFonts w:hint="eastAsia" w:ascii="宋体" w:hAnsi="宋体" w:cs="宋体"/>
                <w:color w:val="auto"/>
                <w:highlight w:val="none"/>
                <w:lang w:val="en-US" w:eastAsia="zh-CN"/>
              </w:rPr>
              <w:t>3</w:t>
            </w:r>
          </w:p>
        </w:tc>
        <w:tc>
          <w:tcPr>
            <w:tcW w:w="2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197B94">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rPr>
              <w:t>提交响应文件截止时间</w:t>
            </w:r>
          </w:p>
        </w:tc>
        <w:tc>
          <w:tcPr>
            <w:tcW w:w="643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59E678">
            <w:pPr>
              <w:pStyle w:val="13"/>
              <w:bidi w:val="0"/>
              <w:rPr>
                <w:rFonts w:hint="eastAsia" w:ascii="宋体" w:hAnsi="宋体" w:eastAsia="宋体" w:cs="宋体"/>
                <w:color w:val="auto"/>
                <w:highlight w:val="none"/>
              </w:rPr>
            </w:pPr>
            <w:r>
              <w:rPr>
                <w:rFonts w:hint="eastAsia" w:ascii="宋体" w:hAnsi="宋体" w:cs="宋体"/>
                <w:color w:val="auto"/>
                <w:highlight w:val="none"/>
                <w:lang w:val="zh-CN"/>
              </w:rPr>
              <w:t>2026年06月29日09时</w:t>
            </w:r>
            <w:r>
              <w:rPr>
                <w:rFonts w:hint="eastAsia" w:ascii="宋体" w:hAnsi="宋体" w:cs="宋体"/>
                <w:color w:val="auto"/>
                <w:highlight w:val="none"/>
                <w:lang w:val="en-US" w:eastAsia="zh-CN"/>
              </w:rPr>
              <w:t>0</w:t>
            </w:r>
            <w:r>
              <w:rPr>
                <w:rFonts w:hint="eastAsia" w:ascii="宋体" w:hAnsi="宋体" w:cs="宋体"/>
                <w:color w:val="auto"/>
                <w:highlight w:val="none"/>
                <w:lang w:val="zh-CN"/>
              </w:rPr>
              <w:t>0分</w:t>
            </w:r>
            <w:r>
              <w:rPr>
                <w:rFonts w:hint="eastAsia" w:ascii="宋体" w:hAnsi="宋体" w:eastAsia="宋体" w:cs="宋体"/>
                <w:color w:val="auto"/>
                <w:highlight w:val="none"/>
                <w:lang w:val="zh-CN"/>
              </w:rPr>
              <w:t>（北京时间）</w:t>
            </w:r>
          </w:p>
        </w:tc>
      </w:tr>
      <w:tr w14:paraId="79C70A2E">
        <w:tblPrEx>
          <w:shd w:val="clear" w:color="auto" w:fill="auto"/>
          <w:tblCellMar>
            <w:top w:w="0" w:type="dxa"/>
            <w:left w:w="108" w:type="dxa"/>
            <w:bottom w:w="0" w:type="dxa"/>
            <w:right w:w="108" w:type="dxa"/>
          </w:tblCellMar>
        </w:tblPrEx>
        <w:trPr>
          <w:trHeight w:val="576" w:hRule="atLeast"/>
          <w:jc w:val="center"/>
        </w:trPr>
        <w:tc>
          <w:tcPr>
            <w:tcW w:w="94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480428">
            <w:pPr>
              <w:pStyle w:val="13"/>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zh-CN"/>
              </w:rPr>
              <w:t>1</w:t>
            </w:r>
            <w:r>
              <w:rPr>
                <w:rFonts w:hint="eastAsia" w:ascii="宋体" w:hAnsi="宋体" w:cs="宋体"/>
                <w:color w:val="auto"/>
                <w:highlight w:val="none"/>
                <w:lang w:val="en-US" w:eastAsia="zh-CN"/>
              </w:rPr>
              <w:t>4</w:t>
            </w:r>
          </w:p>
        </w:tc>
        <w:tc>
          <w:tcPr>
            <w:tcW w:w="2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E5CE58">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响应文件开启时间</w:t>
            </w:r>
          </w:p>
        </w:tc>
        <w:tc>
          <w:tcPr>
            <w:tcW w:w="643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7B67E6">
            <w:pPr>
              <w:pStyle w:val="13"/>
              <w:bidi w:val="0"/>
              <w:rPr>
                <w:rFonts w:hint="eastAsia" w:ascii="宋体" w:hAnsi="宋体" w:eastAsia="宋体" w:cs="宋体"/>
                <w:color w:val="auto"/>
                <w:highlight w:val="none"/>
                <w:lang w:val="zh-CN"/>
              </w:rPr>
            </w:pPr>
            <w:r>
              <w:rPr>
                <w:rFonts w:hint="eastAsia" w:ascii="宋体" w:hAnsi="宋体" w:cs="宋体"/>
                <w:color w:val="auto"/>
                <w:highlight w:val="none"/>
                <w:lang w:val="zh-CN"/>
              </w:rPr>
              <w:t>2026年06月29日09时</w:t>
            </w:r>
            <w:r>
              <w:rPr>
                <w:rFonts w:hint="eastAsia" w:ascii="宋体" w:hAnsi="宋体" w:cs="宋体"/>
                <w:color w:val="auto"/>
                <w:highlight w:val="none"/>
                <w:lang w:val="en-US" w:eastAsia="zh-CN"/>
              </w:rPr>
              <w:t>0</w:t>
            </w:r>
            <w:r>
              <w:rPr>
                <w:rFonts w:hint="eastAsia" w:ascii="宋体" w:hAnsi="宋体" w:cs="宋体"/>
                <w:color w:val="auto"/>
                <w:highlight w:val="none"/>
                <w:lang w:val="zh-CN"/>
              </w:rPr>
              <w:t>0分</w:t>
            </w:r>
            <w:r>
              <w:rPr>
                <w:rFonts w:hint="eastAsia" w:ascii="宋体" w:hAnsi="宋体" w:eastAsia="宋体" w:cs="宋体"/>
                <w:color w:val="auto"/>
                <w:highlight w:val="none"/>
                <w:lang w:val="zh-CN"/>
              </w:rPr>
              <w:t>（北京时间）</w:t>
            </w:r>
          </w:p>
        </w:tc>
      </w:tr>
      <w:tr w14:paraId="4CEF1303">
        <w:tblPrEx>
          <w:shd w:val="clear" w:color="auto" w:fill="auto"/>
          <w:tblCellMar>
            <w:top w:w="0" w:type="dxa"/>
            <w:left w:w="108" w:type="dxa"/>
            <w:bottom w:w="0" w:type="dxa"/>
            <w:right w:w="108" w:type="dxa"/>
          </w:tblCellMar>
        </w:tblPrEx>
        <w:trPr>
          <w:trHeight w:val="90" w:hRule="atLeast"/>
          <w:jc w:val="center"/>
        </w:trPr>
        <w:tc>
          <w:tcPr>
            <w:tcW w:w="94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9AC7C8">
            <w:pPr>
              <w:pStyle w:val="13"/>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zh-CN"/>
              </w:rPr>
              <w:t>1</w:t>
            </w:r>
            <w:r>
              <w:rPr>
                <w:rFonts w:hint="eastAsia" w:ascii="宋体" w:hAnsi="宋体" w:cs="宋体"/>
                <w:color w:val="auto"/>
                <w:highlight w:val="none"/>
                <w:lang w:val="en-US" w:eastAsia="zh-CN"/>
              </w:rPr>
              <w:t>5</w:t>
            </w:r>
          </w:p>
        </w:tc>
        <w:tc>
          <w:tcPr>
            <w:tcW w:w="2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B916C7">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rPr>
              <w:t>提交响应文件地点</w:t>
            </w:r>
          </w:p>
        </w:tc>
        <w:tc>
          <w:tcPr>
            <w:tcW w:w="643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872228">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在政采云平台（https://www.zcygov.cn/）递交，进行线上解密。</w:t>
            </w:r>
          </w:p>
        </w:tc>
      </w:tr>
      <w:tr w14:paraId="756CFBB5">
        <w:tblPrEx>
          <w:tblCellMar>
            <w:top w:w="0" w:type="dxa"/>
            <w:left w:w="108" w:type="dxa"/>
            <w:bottom w:w="0" w:type="dxa"/>
            <w:right w:w="108" w:type="dxa"/>
          </w:tblCellMar>
        </w:tblPrEx>
        <w:trPr>
          <w:trHeight w:val="551" w:hRule="atLeast"/>
          <w:jc w:val="center"/>
        </w:trPr>
        <w:tc>
          <w:tcPr>
            <w:tcW w:w="94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07CAFF">
            <w:pPr>
              <w:pStyle w:val="13"/>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zh-CN"/>
              </w:rPr>
              <w:t>1</w:t>
            </w:r>
            <w:r>
              <w:rPr>
                <w:rFonts w:hint="eastAsia" w:ascii="宋体" w:hAnsi="宋体" w:cs="宋体"/>
                <w:color w:val="auto"/>
                <w:highlight w:val="none"/>
                <w:lang w:val="en-US" w:eastAsia="zh-CN"/>
              </w:rPr>
              <w:t>6</w:t>
            </w:r>
          </w:p>
        </w:tc>
        <w:tc>
          <w:tcPr>
            <w:tcW w:w="2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5402A4">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答疑澄清方式</w:t>
            </w:r>
          </w:p>
        </w:tc>
        <w:tc>
          <w:tcPr>
            <w:tcW w:w="643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3494C4">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线上答疑。</w:t>
            </w:r>
          </w:p>
          <w:p w14:paraId="305AD8F0">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评标委员会根据投标情况确定答疑时间，答疑或澄清采用在政采云平台上进行，</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可在政采云平台上的“我的澄清”界面了解答疑时间等信息。</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提供准确的联系方式（手机和固定电话），在项目开标、评标时须在线了解开标信息，掌握答疑时间，需由法定代表人或委托代理人对评标委员会提出的质疑做出应答。如在规定的时间内联系无果，无法在政采云平台上进行答疑者，视同放弃答疑。</w:t>
            </w:r>
          </w:p>
        </w:tc>
      </w:tr>
      <w:tr w14:paraId="7CF4D798">
        <w:tblPrEx>
          <w:shd w:val="clear" w:color="auto" w:fill="auto"/>
          <w:tblCellMar>
            <w:top w:w="0" w:type="dxa"/>
            <w:left w:w="108" w:type="dxa"/>
            <w:bottom w:w="0" w:type="dxa"/>
            <w:right w:w="108" w:type="dxa"/>
          </w:tblCellMar>
        </w:tblPrEx>
        <w:trPr>
          <w:trHeight w:val="576" w:hRule="atLeast"/>
          <w:jc w:val="center"/>
        </w:trPr>
        <w:tc>
          <w:tcPr>
            <w:tcW w:w="94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F9468C">
            <w:pPr>
              <w:pStyle w:val="13"/>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zh-CN"/>
              </w:rPr>
              <w:t>1</w:t>
            </w:r>
            <w:r>
              <w:rPr>
                <w:rFonts w:hint="eastAsia" w:ascii="宋体" w:hAnsi="宋体" w:cs="宋体"/>
                <w:color w:val="auto"/>
                <w:highlight w:val="none"/>
                <w:lang w:val="en-US" w:eastAsia="zh-CN"/>
              </w:rPr>
              <w:t>7</w:t>
            </w:r>
          </w:p>
        </w:tc>
        <w:tc>
          <w:tcPr>
            <w:tcW w:w="2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1B3A3F">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代理服务费收取</w:t>
            </w:r>
          </w:p>
        </w:tc>
        <w:tc>
          <w:tcPr>
            <w:tcW w:w="643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C48FEA">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收取对象：</w:t>
            </w:r>
            <w:r>
              <w:rPr>
                <w:rFonts w:hint="eastAsia" w:ascii="宋体" w:hAnsi="宋体" w:cs="宋体"/>
                <w:color w:val="auto"/>
                <w:highlight w:val="none"/>
                <w:lang w:val="en-US" w:eastAsia="zh-CN"/>
              </w:rPr>
              <w:t>成交人</w:t>
            </w:r>
            <w:r>
              <w:rPr>
                <w:rFonts w:hint="eastAsia" w:ascii="宋体" w:hAnsi="宋体" w:eastAsia="宋体" w:cs="宋体"/>
                <w:color w:val="auto"/>
                <w:highlight w:val="none"/>
                <w:lang w:val="zh-CN"/>
              </w:rPr>
              <w:t>。</w:t>
            </w:r>
          </w:p>
          <w:p w14:paraId="5D51D056">
            <w:pPr>
              <w:pStyle w:val="13"/>
              <w:bidi w:val="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收费金额：6000.00（陆仟元整）</w:t>
            </w:r>
          </w:p>
          <w:p w14:paraId="729FECEB">
            <w:pPr>
              <w:pStyle w:val="13"/>
              <w:bidi w:val="0"/>
              <w:rPr>
                <w:rFonts w:hint="eastAsia" w:ascii="宋体" w:hAnsi="宋体" w:eastAsia="宋体" w:cs="宋体"/>
                <w:b w:val="0"/>
                <w:bCs w:val="0"/>
                <w:color w:val="auto"/>
                <w:highlight w:val="none"/>
                <w:lang w:val="zh-CN"/>
              </w:rPr>
            </w:pPr>
            <w:r>
              <w:rPr>
                <w:rFonts w:hint="eastAsia" w:ascii="宋体" w:hAnsi="宋体" w:eastAsia="宋体" w:cs="宋体"/>
                <w:color w:val="auto"/>
                <w:highlight w:val="none"/>
                <w:lang w:val="zh-CN"/>
              </w:rPr>
              <w:t>收费标准：根据《关于进一步放开建设项目专项业务服务价格的通知》（发改价格[20</w:t>
            </w:r>
            <w:bookmarkStart w:id="225" w:name="_GoBack"/>
            <w:bookmarkEnd w:id="225"/>
            <w:r>
              <w:rPr>
                <w:rFonts w:hint="eastAsia" w:ascii="宋体" w:hAnsi="宋体" w:eastAsia="宋体" w:cs="宋体"/>
                <w:color w:val="auto"/>
                <w:highlight w:val="none"/>
                <w:lang w:val="zh-CN"/>
              </w:rPr>
              <w:t>15]299号）规定，实行市场调节价，应严格遵守《价格法》、《关于商品和服务实行明码标价的规定》等法律法规的规定</w:t>
            </w:r>
            <w:r>
              <w:rPr>
                <w:rFonts w:hint="eastAsia" w:ascii="宋体" w:hAnsi="宋体" w:eastAsia="宋体" w:cs="宋体"/>
                <w:b w:val="0"/>
                <w:bCs w:val="0"/>
                <w:color w:val="auto"/>
                <w:highlight w:val="none"/>
                <w:lang w:val="zh-CN"/>
              </w:rPr>
              <w:t>。</w:t>
            </w:r>
          </w:p>
          <w:p w14:paraId="005143EC">
            <w:pPr>
              <w:pStyle w:val="13"/>
              <w:bidi w:val="0"/>
              <w:rPr>
                <w:rFonts w:hint="default" w:ascii="宋体" w:hAnsi="宋体" w:eastAsia="宋体" w:cs="宋体"/>
                <w:b w:val="0"/>
                <w:bCs w:val="0"/>
                <w:color w:val="auto"/>
                <w:highlight w:val="none"/>
                <w:lang w:val="en-US" w:eastAsia="zh-CN"/>
              </w:rPr>
            </w:pPr>
            <w:r>
              <w:rPr>
                <w:rFonts w:hint="default" w:ascii="宋体" w:hAnsi="宋体" w:eastAsia="宋体" w:cs="宋体"/>
                <w:b w:val="0"/>
                <w:bCs w:val="0"/>
                <w:color w:val="auto"/>
                <w:highlight w:val="none"/>
                <w:lang w:val="en-US" w:eastAsia="zh-CN"/>
              </w:rPr>
              <w:t>收款单位：海东乐都区乐欣中堃项目管理有限公司</w:t>
            </w:r>
          </w:p>
          <w:p w14:paraId="66F1CF30">
            <w:pPr>
              <w:pStyle w:val="13"/>
              <w:bidi w:val="0"/>
              <w:rPr>
                <w:rFonts w:hint="default" w:ascii="宋体" w:hAnsi="宋体" w:eastAsia="宋体" w:cs="宋体"/>
                <w:b w:val="0"/>
                <w:bCs w:val="0"/>
                <w:color w:val="auto"/>
                <w:highlight w:val="none"/>
                <w:lang w:val="en-US" w:eastAsia="zh-CN"/>
              </w:rPr>
            </w:pPr>
            <w:r>
              <w:rPr>
                <w:rFonts w:hint="default" w:ascii="宋体" w:hAnsi="宋体" w:eastAsia="宋体" w:cs="宋体"/>
                <w:b w:val="0"/>
                <w:bCs w:val="0"/>
                <w:color w:val="auto"/>
                <w:highlight w:val="none"/>
                <w:lang w:val="en-US" w:eastAsia="zh-CN"/>
              </w:rPr>
              <w:t>开 户 行：中国建设银行股份有限公司乐都支行</w:t>
            </w:r>
          </w:p>
          <w:p w14:paraId="4E2F0506">
            <w:pPr>
              <w:pStyle w:val="13"/>
              <w:bidi w:val="0"/>
              <w:rPr>
                <w:rFonts w:hint="default" w:ascii="宋体" w:hAnsi="宋体" w:eastAsia="宋体" w:cs="宋体"/>
                <w:b w:val="0"/>
                <w:bCs w:val="0"/>
                <w:color w:val="auto"/>
                <w:highlight w:val="none"/>
                <w:lang w:val="en-US" w:eastAsia="zh-CN"/>
              </w:rPr>
            </w:pPr>
            <w:r>
              <w:rPr>
                <w:rFonts w:hint="default" w:ascii="宋体" w:hAnsi="宋体" w:eastAsia="宋体" w:cs="宋体"/>
                <w:b w:val="0"/>
                <w:bCs w:val="0"/>
                <w:color w:val="auto"/>
                <w:highlight w:val="none"/>
                <w:lang w:val="en-US" w:eastAsia="zh-CN"/>
              </w:rPr>
              <w:t>银行账号：6305 0163 7437 0000 0674</w:t>
            </w:r>
          </w:p>
        </w:tc>
      </w:tr>
      <w:tr w14:paraId="0E8F2432">
        <w:tblPrEx>
          <w:shd w:val="clear" w:color="auto" w:fill="auto"/>
          <w:tblCellMar>
            <w:top w:w="0" w:type="dxa"/>
            <w:left w:w="108" w:type="dxa"/>
            <w:bottom w:w="0" w:type="dxa"/>
            <w:right w:w="108" w:type="dxa"/>
          </w:tblCellMar>
        </w:tblPrEx>
        <w:trPr>
          <w:trHeight w:val="435" w:hRule="atLeast"/>
          <w:jc w:val="center"/>
        </w:trPr>
        <w:tc>
          <w:tcPr>
            <w:tcW w:w="94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0659CC4">
            <w:pPr>
              <w:pStyle w:val="13"/>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zh-CN"/>
              </w:rPr>
              <w:t>1</w:t>
            </w:r>
            <w:r>
              <w:rPr>
                <w:rFonts w:hint="eastAsia" w:ascii="宋体" w:hAnsi="宋体" w:cs="宋体"/>
                <w:color w:val="auto"/>
                <w:highlight w:val="none"/>
                <w:lang w:val="en-US" w:eastAsia="zh-CN"/>
              </w:rPr>
              <w:t>8</w:t>
            </w:r>
          </w:p>
        </w:tc>
        <w:tc>
          <w:tcPr>
            <w:tcW w:w="2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A6AD41">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合同签订有效期</w:t>
            </w:r>
          </w:p>
        </w:tc>
        <w:tc>
          <w:tcPr>
            <w:tcW w:w="643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39F9AAC">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自</w:t>
            </w:r>
            <w:r>
              <w:rPr>
                <w:rFonts w:hint="eastAsia" w:ascii="宋体" w:hAnsi="宋体" w:eastAsia="宋体" w:cs="宋体"/>
                <w:color w:val="auto"/>
                <w:highlight w:val="none"/>
                <w:lang w:val="en-US" w:eastAsia="zh-CN"/>
              </w:rPr>
              <w:t>成交</w:t>
            </w:r>
            <w:r>
              <w:rPr>
                <w:rFonts w:hint="eastAsia" w:ascii="宋体" w:hAnsi="宋体" w:eastAsia="宋体" w:cs="宋体"/>
                <w:color w:val="auto"/>
                <w:highlight w:val="none"/>
                <w:lang w:val="zh-CN"/>
              </w:rPr>
              <w:t>通知书发出之日起</w:t>
            </w:r>
            <w:r>
              <w:rPr>
                <w:rFonts w:hint="eastAsia" w:ascii="宋体" w:hAnsi="宋体" w:eastAsia="宋体" w:cs="宋体"/>
                <w:color w:val="auto"/>
                <w:highlight w:val="none"/>
              </w:rPr>
              <w:t>30</w:t>
            </w:r>
            <w:r>
              <w:rPr>
                <w:rFonts w:hint="eastAsia" w:ascii="宋体" w:hAnsi="宋体" w:eastAsia="宋体" w:cs="宋体"/>
                <w:color w:val="auto"/>
                <w:highlight w:val="none"/>
                <w:lang w:val="zh-CN"/>
              </w:rPr>
              <w:t>日内与采购人签订合同。</w:t>
            </w:r>
          </w:p>
        </w:tc>
      </w:tr>
      <w:tr w14:paraId="3F108E76">
        <w:tblPrEx>
          <w:shd w:val="clear" w:color="auto" w:fill="auto"/>
          <w:tblCellMar>
            <w:top w:w="0" w:type="dxa"/>
            <w:left w:w="108" w:type="dxa"/>
            <w:bottom w:w="0" w:type="dxa"/>
            <w:right w:w="108" w:type="dxa"/>
          </w:tblCellMar>
        </w:tblPrEx>
        <w:trPr>
          <w:trHeight w:val="576" w:hRule="atLeast"/>
          <w:jc w:val="center"/>
        </w:trPr>
        <w:tc>
          <w:tcPr>
            <w:tcW w:w="94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E15C587">
            <w:pPr>
              <w:pStyle w:val="13"/>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zh-CN"/>
              </w:rPr>
              <w:t>1</w:t>
            </w:r>
            <w:r>
              <w:rPr>
                <w:rFonts w:hint="eastAsia" w:ascii="宋体" w:hAnsi="宋体" w:cs="宋体"/>
                <w:color w:val="auto"/>
                <w:highlight w:val="none"/>
                <w:lang w:val="en-US" w:eastAsia="zh-CN"/>
              </w:rPr>
              <w:t>9</w:t>
            </w:r>
          </w:p>
        </w:tc>
        <w:tc>
          <w:tcPr>
            <w:tcW w:w="2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4BD82D">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政府采购合同备案</w:t>
            </w:r>
          </w:p>
        </w:tc>
        <w:tc>
          <w:tcPr>
            <w:tcW w:w="643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749BBB">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采购合同全数返回采购代理机构鉴证，盖章。</w:t>
            </w:r>
          </w:p>
          <w:p w14:paraId="2ED4EDC8">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采购代理机构留存</w:t>
            </w:r>
            <w:r>
              <w:rPr>
                <w:rFonts w:hint="eastAsia" w:ascii="宋体" w:hAnsi="宋体" w:cs="宋体"/>
                <w:color w:val="auto"/>
                <w:highlight w:val="none"/>
                <w:lang w:val="en-US" w:eastAsia="zh-CN"/>
              </w:rPr>
              <w:t>叁</w:t>
            </w:r>
            <w:r>
              <w:rPr>
                <w:rFonts w:hint="eastAsia" w:ascii="宋体" w:hAnsi="宋体" w:eastAsia="宋体" w:cs="宋体"/>
                <w:color w:val="auto"/>
                <w:highlight w:val="none"/>
                <w:lang w:val="zh-CN"/>
              </w:rPr>
              <w:t>份备案。</w:t>
            </w:r>
          </w:p>
        </w:tc>
      </w:tr>
      <w:tr w14:paraId="6D6C239E">
        <w:tblPrEx>
          <w:shd w:val="clear" w:color="auto" w:fill="auto"/>
          <w:tblCellMar>
            <w:top w:w="0" w:type="dxa"/>
            <w:left w:w="108" w:type="dxa"/>
            <w:bottom w:w="0" w:type="dxa"/>
            <w:right w:w="108" w:type="dxa"/>
          </w:tblCellMar>
        </w:tblPrEx>
        <w:trPr>
          <w:trHeight w:val="402" w:hRule="atLeast"/>
          <w:jc w:val="center"/>
        </w:trPr>
        <w:tc>
          <w:tcPr>
            <w:tcW w:w="94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13240D">
            <w:pPr>
              <w:pStyle w:val="13"/>
              <w:bidi w:val="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20</w:t>
            </w:r>
          </w:p>
        </w:tc>
        <w:tc>
          <w:tcPr>
            <w:tcW w:w="2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BDCBCF">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rPr>
              <w:t>磋商有效期</w:t>
            </w:r>
          </w:p>
        </w:tc>
        <w:tc>
          <w:tcPr>
            <w:tcW w:w="643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D3BA28">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rPr>
              <w:t>磋商有效期为自磋商开始之日起60天</w:t>
            </w:r>
            <w:r>
              <w:rPr>
                <w:rFonts w:hint="eastAsia" w:ascii="宋体" w:hAnsi="宋体" w:eastAsia="宋体" w:cs="宋体"/>
                <w:color w:val="auto"/>
                <w:highlight w:val="none"/>
                <w:lang w:val="zh-CN"/>
              </w:rPr>
              <w:t>。</w:t>
            </w:r>
          </w:p>
        </w:tc>
      </w:tr>
      <w:tr w14:paraId="7A21F7FD">
        <w:tblPrEx>
          <w:shd w:val="clear" w:color="auto" w:fill="auto"/>
          <w:tblCellMar>
            <w:top w:w="0" w:type="dxa"/>
            <w:left w:w="108" w:type="dxa"/>
            <w:bottom w:w="0" w:type="dxa"/>
            <w:right w:w="108" w:type="dxa"/>
          </w:tblCellMar>
        </w:tblPrEx>
        <w:trPr>
          <w:trHeight w:val="984" w:hRule="atLeast"/>
          <w:jc w:val="center"/>
        </w:trPr>
        <w:tc>
          <w:tcPr>
            <w:tcW w:w="94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1C742A">
            <w:pPr>
              <w:pStyle w:val="13"/>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zh-CN"/>
              </w:rPr>
              <w:t>2</w:t>
            </w:r>
            <w:r>
              <w:rPr>
                <w:rFonts w:hint="eastAsia" w:ascii="宋体" w:hAnsi="宋体" w:cs="宋体"/>
                <w:color w:val="auto"/>
                <w:highlight w:val="none"/>
                <w:lang w:val="en-US" w:eastAsia="zh-CN"/>
              </w:rPr>
              <w:t>1</w:t>
            </w:r>
          </w:p>
        </w:tc>
        <w:tc>
          <w:tcPr>
            <w:tcW w:w="2136"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34A153">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其他事项</w:t>
            </w:r>
          </w:p>
        </w:tc>
        <w:tc>
          <w:tcPr>
            <w:tcW w:w="643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649276">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1、本次磋商采用线上提交响应文件的方式进行采购，线上投标文件必须在投标文件递交截止时间前上传平台。</w:t>
            </w:r>
          </w:p>
          <w:p w14:paraId="5E66E4F7">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2、线上电子化开评标系统操作及办理CA锁等相关事宜请咨询政采云：咨询电话：95763。</w:t>
            </w:r>
          </w:p>
          <w:p w14:paraId="0E67879C">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3、本项目磋商公告在《青海省政府采购网》、《青海省公共资源交易网》、</w:t>
            </w:r>
            <w:r>
              <w:rPr>
                <w:rFonts w:hint="eastAsia" w:ascii="宋体" w:hAnsi="宋体" w:cs="宋体"/>
                <w:color w:val="auto"/>
                <w:highlight w:val="none"/>
                <w:lang w:val="zh-CN"/>
              </w:rPr>
              <w:t>《</w:t>
            </w:r>
            <w:r>
              <w:rPr>
                <w:rFonts w:hint="eastAsia" w:ascii="宋体" w:hAnsi="宋体" w:cs="宋体"/>
                <w:color w:val="auto"/>
                <w:highlight w:val="none"/>
                <w:lang w:val="en-US" w:eastAsia="zh-CN"/>
              </w:rPr>
              <w:t>中国招标投标公共服务平台</w:t>
            </w:r>
            <w:r>
              <w:rPr>
                <w:rFonts w:hint="eastAsia" w:ascii="宋体" w:hAnsi="宋体" w:cs="宋体"/>
                <w:color w:val="auto"/>
                <w:highlight w:val="none"/>
                <w:lang w:val="zh-CN"/>
              </w:rPr>
              <w:t>》、</w:t>
            </w:r>
            <w:r>
              <w:rPr>
                <w:rFonts w:hint="eastAsia" w:ascii="宋体" w:hAnsi="宋体" w:eastAsia="宋体" w:cs="宋体"/>
                <w:color w:val="auto"/>
                <w:highlight w:val="none"/>
                <w:lang w:val="zh-CN"/>
              </w:rPr>
              <w:t>《中国采购与招标网》上发布。以《青海省政府采购网》为准。</w:t>
            </w:r>
          </w:p>
          <w:p w14:paraId="2C8AF31D">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4、本项目线上进行，供应商无需到现场开标；如非系统原因造成无法解密的或非系统原因加密文件上传不成功的或没办理CA锁而造成加密投标文件无法解密、加密投标文件无法上传的视为无效投标。</w:t>
            </w:r>
          </w:p>
          <w:p w14:paraId="33114EA5">
            <w:pPr>
              <w:pStyle w:val="13"/>
              <w:bidi w:val="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5、</w:t>
            </w:r>
            <w:r>
              <w:rPr>
                <w:rFonts w:hint="eastAsia" w:asciiTheme="minorEastAsia" w:hAnsiTheme="minorEastAsia" w:eastAsiaTheme="minorEastAsia" w:cstheme="minorEastAsia"/>
                <w:color w:val="auto"/>
                <w:spacing w:val="0"/>
                <w:position w:val="0"/>
                <w:sz w:val="24"/>
                <w:szCs w:val="24"/>
                <w:shd w:val="clear" w:fill="auto"/>
                <w:lang w:val="zh-CN"/>
              </w:rPr>
              <w:t>成交供应商在领取成交通知书时应提交纸质响应文件（1份正本、2份副本和相应的电子文档（U盘）1份），纸质响应文件应与上传至政府采购云平台加密的电子响应文件一致。成交供应商提供的每份纸质响应文件都必须清楚地标明“正本”或“副本”字样。响应文件统一使用A4幅面的纸张印制，必须胶装成册并编码，以其他方式装订的响应文件一概不予接受。</w:t>
            </w:r>
          </w:p>
          <w:p w14:paraId="4007C9D6">
            <w:pPr>
              <w:pStyle w:val="13"/>
              <w:bidi w:val="0"/>
              <w:rPr>
                <w:rFonts w:hint="eastAsia" w:ascii="宋体" w:hAnsi="宋体" w:eastAsia="宋体" w:cs="宋体"/>
                <w:color w:val="auto"/>
                <w:highlight w:val="none"/>
                <w:lang w:val="en-US" w:eastAsia="zh-CN"/>
              </w:rPr>
            </w:pPr>
            <w:r>
              <w:rPr>
                <w:rFonts w:hint="eastAsia" w:ascii="宋体" w:hAnsi="宋体" w:cs="宋体"/>
                <w:b/>
                <w:bCs/>
                <w:color w:val="auto"/>
                <w:highlight w:val="none"/>
                <w:lang w:val="en-US" w:eastAsia="zh-CN"/>
              </w:rPr>
              <w:t>6</w:t>
            </w:r>
            <w:r>
              <w:rPr>
                <w:rFonts w:hint="eastAsia" w:ascii="宋体" w:hAnsi="宋体" w:eastAsia="宋体" w:cs="宋体"/>
                <w:b/>
                <w:bCs/>
                <w:color w:val="auto"/>
                <w:highlight w:val="none"/>
                <w:lang w:val="zh-CN"/>
              </w:rPr>
              <w:t>、不同投标人编制或者提交投标文件的计算机网卡MAC地址、IP地址、CPU序列号、硬盘序列号等硬件信息异常一致并触发预警的，由此原因导致投标无效的责任自负。</w:t>
            </w:r>
          </w:p>
        </w:tc>
      </w:tr>
    </w:tbl>
    <w:p w14:paraId="75B0CD1E">
      <w:pPr>
        <w:bidi w:val="0"/>
        <w:rPr>
          <w:rFonts w:hint="eastAsia" w:ascii="宋体" w:hAnsi="宋体" w:eastAsia="宋体" w:cs="宋体"/>
          <w:color w:val="auto"/>
          <w:highlight w:val="none"/>
        </w:rPr>
      </w:pPr>
      <w:bookmarkStart w:id="6" w:name="_Toc376936727"/>
    </w:p>
    <w:p w14:paraId="714EABC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B1F23B3">
      <w:pPr>
        <w:pStyle w:val="3"/>
        <w:numPr>
          <w:ilvl w:val="0"/>
          <w:numId w:val="0"/>
        </w:numPr>
        <w:bidi w:val="0"/>
        <w:ind w:left="0" w:leftChars="0" w:firstLine="0" w:firstLineChars="0"/>
        <w:rPr>
          <w:rFonts w:hint="eastAsia" w:ascii="宋体" w:hAnsi="宋体" w:eastAsia="宋体" w:cs="宋体"/>
          <w:color w:val="auto"/>
          <w:highlight w:val="none"/>
        </w:rPr>
      </w:pPr>
      <w:bookmarkStart w:id="7" w:name="_Toc12818"/>
      <w:r>
        <w:rPr>
          <w:rFonts w:hint="eastAsia" w:ascii="宋体" w:hAnsi="宋体" w:eastAsia="宋体" w:cs="宋体"/>
          <w:color w:val="auto"/>
          <w:highlight w:val="none"/>
        </w:rPr>
        <w:t>第三部分</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磋商供应商须知</w:t>
      </w:r>
      <w:bookmarkEnd w:id="6"/>
      <w:bookmarkEnd w:id="7"/>
      <w:bookmarkStart w:id="8" w:name="_Toc325725997"/>
    </w:p>
    <w:p w14:paraId="7D45AA47">
      <w:pPr>
        <w:pStyle w:val="5"/>
        <w:bidi w:val="0"/>
        <w:rPr>
          <w:rFonts w:hint="eastAsia" w:ascii="宋体" w:hAnsi="宋体" w:eastAsia="宋体" w:cs="宋体"/>
          <w:color w:val="auto"/>
          <w:highlight w:val="none"/>
        </w:rPr>
      </w:pPr>
      <w:bookmarkStart w:id="9" w:name="_Toc376936728"/>
      <w:bookmarkStart w:id="10" w:name="_Toc9599"/>
      <w:r>
        <w:rPr>
          <w:rFonts w:hint="eastAsia" w:ascii="宋体" w:hAnsi="宋体" w:eastAsia="宋体" w:cs="宋体"/>
          <w:color w:val="auto"/>
          <w:highlight w:val="none"/>
        </w:rPr>
        <w:t>一、说  明</w:t>
      </w:r>
      <w:bookmarkEnd w:id="8"/>
      <w:bookmarkEnd w:id="9"/>
      <w:bookmarkEnd w:id="10"/>
    </w:p>
    <w:p w14:paraId="0A4B792A">
      <w:pPr>
        <w:pStyle w:val="6"/>
        <w:numPr>
          <w:ilvl w:val="2"/>
          <w:numId w:val="0"/>
        </w:numPr>
        <w:bidi w:val="0"/>
        <w:ind w:left="0" w:leftChars="0" w:firstLine="400" w:firstLineChars="0"/>
        <w:rPr>
          <w:rFonts w:hint="eastAsia" w:ascii="宋体" w:hAnsi="宋体" w:eastAsia="宋体" w:cs="宋体"/>
          <w:color w:val="auto"/>
          <w:highlight w:val="none"/>
        </w:rPr>
      </w:pPr>
      <w:bookmarkStart w:id="11" w:name="_Toc3852"/>
      <w:bookmarkStart w:id="12" w:name="_Toc325725998"/>
      <w:bookmarkStart w:id="13" w:name="_Toc376936729"/>
      <w:r>
        <w:rPr>
          <w:rFonts w:hint="eastAsia" w:ascii="宋体" w:hAnsi="宋体" w:eastAsia="宋体" w:cs="宋体"/>
          <w:b/>
          <w:color w:val="auto"/>
          <w:kern w:val="2"/>
          <w:sz w:val="30"/>
          <w:szCs w:val="30"/>
          <w:highlight w:val="none"/>
          <w:lang w:val="en-US" w:eastAsia="zh-CN" w:bidi="ar-SA"/>
        </w:rPr>
        <w:t>1．</w:t>
      </w:r>
      <w:r>
        <w:rPr>
          <w:rFonts w:hint="eastAsia" w:ascii="宋体" w:hAnsi="宋体" w:eastAsia="宋体" w:cs="宋体"/>
          <w:color w:val="auto"/>
          <w:highlight w:val="none"/>
        </w:rPr>
        <w:t>适用范围</w:t>
      </w:r>
      <w:bookmarkEnd w:id="11"/>
      <w:bookmarkEnd w:id="12"/>
      <w:bookmarkEnd w:id="13"/>
    </w:p>
    <w:p w14:paraId="75FD11B4">
      <w:pPr>
        <w:bidi w:val="0"/>
        <w:rPr>
          <w:rFonts w:hint="eastAsia" w:ascii="宋体" w:hAnsi="宋体" w:eastAsia="宋体" w:cs="宋体"/>
          <w:color w:val="auto"/>
          <w:highlight w:val="none"/>
          <w:lang w:val="zh-CN"/>
        </w:rPr>
      </w:pPr>
      <w:r>
        <w:rPr>
          <w:rFonts w:hint="eastAsia" w:ascii="宋体" w:hAnsi="宋体" w:eastAsia="宋体" w:cs="宋体"/>
          <w:color w:val="auto"/>
          <w:highlight w:val="none"/>
        </w:rPr>
        <w:t>1.1本次采购依据</w:t>
      </w:r>
      <w:r>
        <w:rPr>
          <w:rFonts w:hint="eastAsia" w:ascii="宋体" w:hAnsi="宋体" w:eastAsia="宋体" w:cs="宋体"/>
          <w:color w:val="auto"/>
          <w:highlight w:val="none"/>
          <w:lang w:val="zh-CN"/>
        </w:rPr>
        <w:t>采购人的采购计划</w:t>
      </w:r>
      <w:r>
        <w:rPr>
          <w:rFonts w:hint="eastAsia" w:ascii="宋体" w:hAnsi="宋体" w:eastAsia="宋体" w:cs="宋体"/>
          <w:color w:val="auto"/>
          <w:highlight w:val="none"/>
        </w:rPr>
        <w:t>，仅适用于本竞争性磋商文件（以下简称“磋商文件”）中所叙述的项目。</w:t>
      </w:r>
    </w:p>
    <w:p w14:paraId="305A2BDB">
      <w:pPr>
        <w:pStyle w:val="6"/>
        <w:numPr>
          <w:ilvl w:val="2"/>
          <w:numId w:val="0"/>
        </w:numPr>
        <w:bidi w:val="0"/>
        <w:ind w:left="0" w:leftChars="0" w:firstLine="400" w:firstLineChars="0"/>
        <w:rPr>
          <w:rFonts w:hint="eastAsia" w:ascii="宋体" w:hAnsi="宋体" w:eastAsia="宋体" w:cs="宋体"/>
          <w:color w:val="auto"/>
          <w:highlight w:val="none"/>
          <w:lang w:eastAsia="zh-CN"/>
        </w:rPr>
      </w:pPr>
      <w:bookmarkStart w:id="14" w:name="_Toc325725999"/>
      <w:bookmarkStart w:id="15" w:name="_Toc376936730"/>
      <w:bookmarkStart w:id="16" w:name="_Toc8859"/>
      <w:r>
        <w:rPr>
          <w:rFonts w:hint="eastAsia" w:ascii="宋体" w:hAnsi="宋体" w:eastAsia="宋体" w:cs="宋体"/>
          <w:b/>
          <w:color w:val="auto"/>
          <w:kern w:val="2"/>
          <w:sz w:val="30"/>
          <w:szCs w:val="30"/>
          <w:highlight w:val="none"/>
          <w:lang w:val="en-US" w:eastAsia="zh-CN" w:bidi="ar-SA"/>
        </w:rPr>
        <w:t>2．</w:t>
      </w:r>
      <w:r>
        <w:rPr>
          <w:rFonts w:hint="eastAsia" w:ascii="宋体" w:hAnsi="宋体" w:eastAsia="宋体" w:cs="宋体"/>
          <w:color w:val="auto"/>
          <w:highlight w:val="none"/>
        </w:rPr>
        <w:t>采购方式、合格的</w:t>
      </w:r>
      <w:bookmarkEnd w:id="14"/>
      <w:bookmarkEnd w:id="15"/>
      <w:r>
        <w:rPr>
          <w:rFonts w:hint="eastAsia" w:ascii="宋体" w:hAnsi="宋体" w:eastAsia="宋体" w:cs="宋体"/>
          <w:color w:val="auto"/>
          <w:highlight w:val="none"/>
          <w:lang w:eastAsia="zh-CN"/>
        </w:rPr>
        <w:t>供应商</w:t>
      </w:r>
      <w:bookmarkEnd w:id="16"/>
    </w:p>
    <w:p w14:paraId="062DFDBB">
      <w:pPr>
        <w:bidi w:val="0"/>
        <w:rPr>
          <w:rFonts w:hint="eastAsia" w:ascii="宋体" w:hAnsi="宋体" w:eastAsia="宋体" w:cs="宋体"/>
          <w:color w:val="auto"/>
          <w:highlight w:val="none"/>
        </w:rPr>
      </w:pPr>
      <w:r>
        <w:rPr>
          <w:rFonts w:hint="eastAsia" w:ascii="宋体" w:hAnsi="宋体" w:eastAsia="宋体" w:cs="宋体"/>
          <w:color w:val="auto"/>
          <w:highlight w:val="none"/>
        </w:rPr>
        <w:t>2.1本次采购采取竞争性磋商方式。</w:t>
      </w:r>
    </w:p>
    <w:p w14:paraId="08191BC6">
      <w:pPr>
        <w:bidi w:val="0"/>
        <w:rPr>
          <w:rFonts w:hint="eastAsia" w:ascii="宋体" w:hAnsi="宋体" w:eastAsia="宋体" w:cs="宋体"/>
          <w:color w:val="auto"/>
          <w:highlight w:val="none"/>
        </w:rPr>
      </w:pPr>
      <w:bookmarkStart w:id="17" w:name="_Toc376936731"/>
      <w:bookmarkStart w:id="18" w:name="_Toc325726000"/>
      <w:r>
        <w:rPr>
          <w:rFonts w:hint="eastAsia" w:ascii="宋体" w:hAnsi="宋体" w:eastAsia="宋体" w:cs="宋体"/>
          <w:color w:val="auto"/>
          <w:highlight w:val="none"/>
          <w:lang w:val="zh-CN"/>
        </w:rPr>
        <w:t>2.2合格的</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供应商</w:t>
      </w:r>
      <w:r>
        <w:rPr>
          <w:rFonts w:hint="eastAsia" w:ascii="宋体" w:hAnsi="宋体" w:eastAsia="宋体" w:cs="宋体"/>
          <w:color w:val="auto"/>
          <w:highlight w:val="none"/>
          <w:lang w:val="zh-CN"/>
        </w:rPr>
        <w:t>：详见第一部分</w:t>
      </w:r>
      <w:r>
        <w:rPr>
          <w:rFonts w:hint="eastAsia" w:ascii="宋体" w:hAnsi="宋体" w:eastAsia="宋体" w:cs="宋体"/>
          <w:color w:val="auto"/>
          <w:highlight w:val="none"/>
        </w:rPr>
        <w:t>“供应商资格条件”。</w:t>
      </w:r>
    </w:p>
    <w:p w14:paraId="3510BA84">
      <w:pPr>
        <w:pStyle w:val="6"/>
        <w:numPr>
          <w:ilvl w:val="2"/>
          <w:numId w:val="0"/>
        </w:numPr>
        <w:bidi w:val="0"/>
        <w:ind w:left="0" w:leftChars="0" w:firstLine="400" w:firstLineChars="0"/>
        <w:rPr>
          <w:rFonts w:hint="eastAsia" w:ascii="宋体" w:hAnsi="宋体" w:eastAsia="宋体" w:cs="宋体"/>
          <w:color w:val="auto"/>
          <w:highlight w:val="none"/>
        </w:rPr>
      </w:pPr>
      <w:bookmarkStart w:id="19" w:name="_Toc25659"/>
      <w:r>
        <w:rPr>
          <w:rFonts w:hint="eastAsia" w:ascii="宋体" w:hAnsi="宋体" w:eastAsia="宋体" w:cs="宋体"/>
          <w:b/>
          <w:color w:val="auto"/>
          <w:kern w:val="2"/>
          <w:sz w:val="30"/>
          <w:szCs w:val="30"/>
          <w:highlight w:val="none"/>
          <w:lang w:val="en-US" w:eastAsia="zh-CN" w:bidi="ar-SA"/>
        </w:rPr>
        <w:t>3．</w:t>
      </w:r>
      <w:r>
        <w:rPr>
          <w:rFonts w:hint="eastAsia" w:ascii="宋体" w:hAnsi="宋体" w:eastAsia="宋体" w:cs="宋体"/>
          <w:color w:val="auto"/>
          <w:highlight w:val="none"/>
        </w:rPr>
        <w:t>磋商费用</w:t>
      </w:r>
      <w:bookmarkEnd w:id="17"/>
      <w:bookmarkEnd w:id="18"/>
      <w:bookmarkEnd w:id="19"/>
    </w:p>
    <w:p w14:paraId="04745122">
      <w:pPr>
        <w:bidi w:val="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供应商应自愿承担与参加本次</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有关的费用。采购代理机构对</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供应商发生的费用不承担任何责任。</w:t>
      </w:r>
      <w:bookmarkStart w:id="20" w:name="_Toc325726001"/>
      <w:bookmarkStart w:id="21" w:name="_Toc376936732"/>
    </w:p>
    <w:p w14:paraId="66209E32">
      <w:pPr>
        <w:pStyle w:val="5"/>
        <w:bidi w:val="0"/>
        <w:rPr>
          <w:rFonts w:hint="eastAsia" w:ascii="宋体" w:hAnsi="宋体" w:eastAsia="宋体" w:cs="宋体"/>
          <w:color w:val="auto"/>
          <w:highlight w:val="none"/>
        </w:rPr>
      </w:pPr>
      <w:bookmarkStart w:id="22" w:name="_Toc9124"/>
      <w:r>
        <w:rPr>
          <w:rFonts w:hint="eastAsia" w:ascii="宋体" w:hAnsi="宋体" w:eastAsia="宋体" w:cs="宋体"/>
          <w:color w:val="auto"/>
          <w:highlight w:val="none"/>
        </w:rPr>
        <w:t>二、磋商文件说明</w:t>
      </w:r>
      <w:bookmarkEnd w:id="22"/>
    </w:p>
    <w:bookmarkEnd w:id="20"/>
    <w:bookmarkEnd w:id="21"/>
    <w:p w14:paraId="4F0A6857">
      <w:pPr>
        <w:pStyle w:val="6"/>
        <w:numPr>
          <w:ilvl w:val="2"/>
          <w:numId w:val="0"/>
        </w:numPr>
        <w:bidi w:val="0"/>
        <w:ind w:left="0" w:leftChars="0" w:firstLine="400" w:firstLineChars="0"/>
        <w:rPr>
          <w:rFonts w:hint="eastAsia" w:ascii="宋体" w:hAnsi="宋体" w:eastAsia="宋体" w:cs="宋体"/>
          <w:color w:val="auto"/>
          <w:highlight w:val="none"/>
        </w:rPr>
      </w:pPr>
      <w:bookmarkStart w:id="23" w:name="_Toc325726002"/>
      <w:bookmarkStart w:id="24" w:name="_Toc11514"/>
      <w:bookmarkStart w:id="25" w:name="_Toc376936733"/>
      <w:r>
        <w:rPr>
          <w:rFonts w:hint="eastAsia" w:ascii="宋体" w:hAnsi="宋体" w:eastAsia="宋体" w:cs="宋体"/>
          <w:b/>
          <w:color w:val="auto"/>
          <w:kern w:val="2"/>
          <w:sz w:val="30"/>
          <w:szCs w:val="30"/>
          <w:highlight w:val="none"/>
          <w:lang w:val="en-US" w:eastAsia="zh-CN" w:bidi="ar-SA"/>
        </w:rPr>
        <w:t>4．</w:t>
      </w:r>
      <w:r>
        <w:rPr>
          <w:rFonts w:hint="eastAsia" w:ascii="宋体" w:hAnsi="宋体" w:eastAsia="宋体" w:cs="宋体"/>
          <w:color w:val="auto"/>
          <w:highlight w:val="none"/>
        </w:rPr>
        <w:t>磋商文件的构成</w:t>
      </w:r>
      <w:bookmarkEnd w:id="23"/>
      <w:bookmarkEnd w:id="24"/>
      <w:bookmarkEnd w:id="25"/>
    </w:p>
    <w:p w14:paraId="3A5354D7">
      <w:pPr>
        <w:bidi w:val="0"/>
        <w:rPr>
          <w:rFonts w:hint="eastAsia" w:ascii="宋体" w:hAnsi="宋体" w:eastAsia="宋体" w:cs="宋体"/>
          <w:color w:val="auto"/>
          <w:highlight w:val="none"/>
        </w:rPr>
      </w:pPr>
      <w:r>
        <w:rPr>
          <w:rFonts w:hint="eastAsia" w:ascii="宋体" w:hAnsi="宋体" w:eastAsia="宋体" w:cs="宋体"/>
          <w:color w:val="auto"/>
          <w:highlight w:val="none"/>
        </w:rPr>
        <w:t>4.1磋商文件包括：</w:t>
      </w:r>
    </w:p>
    <w:p w14:paraId="070C0289">
      <w:pPr>
        <w:bidi w:val="0"/>
        <w:rPr>
          <w:rFonts w:hint="eastAsia" w:ascii="宋体" w:hAnsi="宋体" w:eastAsia="宋体" w:cs="宋体"/>
          <w:color w:val="auto"/>
          <w:highlight w:val="none"/>
        </w:rPr>
      </w:pPr>
      <w:r>
        <w:rPr>
          <w:rFonts w:hint="eastAsia" w:ascii="宋体" w:hAnsi="宋体" w:eastAsia="宋体" w:cs="宋体"/>
          <w:color w:val="auto"/>
          <w:highlight w:val="none"/>
        </w:rPr>
        <w:t>（1）磋商须知前附表</w:t>
      </w:r>
    </w:p>
    <w:p w14:paraId="16B8CC21">
      <w:pPr>
        <w:bidi w:val="0"/>
        <w:rPr>
          <w:rFonts w:hint="eastAsia" w:ascii="宋体" w:hAnsi="宋体" w:eastAsia="宋体" w:cs="宋体"/>
          <w:color w:val="auto"/>
          <w:highlight w:val="none"/>
        </w:rPr>
      </w:pPr>
      <w:r>
        <w:rPr>
          <w:rFonts w:hint="eastAsia" w:ascii="宋体" w:hAnsi="宋体" w:eastAsia="宋体" w:cs="宋体"/>
          <w:color w:val="auto"/>
          <w:highlight w:val="none"/>
        </w:rPr>
        <w:t>（2）磋商供应商须知</w:t>
      </w:r>
    </w:p>
    <w:p w14:paraId="101D9221">
      <w:pPr>
        <w:bidi w:val="0"/>
        <w:rPr>
          <w:rFonts w:hint="eastAsia" w:ascii="宋体" w:hAnsi="宋体" w:eastAsia="宋体" w:cs="宋体"/>
          <w:color w:val="auto"/>
          <w:highlight w:val="none"/>
        </w:rPr>
      </w:pPr>
      <w:r>
        <w:rPr>
          <w:rFonts w:hint="eastAsia" w:ascii="宋体" w:hAnsi="宋体" w:eastAsia="宋体" w:cs="宋体"/>
          <w:color w:val="auto"/>
          <w:highlight w:val="none"/>
        </w:rPr>
        <w:t>（3）青海省政府采购项目合同书范本</w:t>
      </w:r>
    </w:p>
    <w:p w14:paraId="0923AE7E">
      <w:pPr>
        <w:bidi w:val="0"/>
        <w:rPr>
          <w:rFonts w:hint="eastAsia" w:ascii="宋体" w:hAnsi="宋体" w:eastAsia="宋体" w:cs="宋体"/>
          <w:color w:val="auto"/>
          <w:highlight w:val="none"/>
        </w:rPr>
      </w:pPr>
      <w:r>
        <w:rPr>
          <w:rFonts w:hint="eastAsia" w:ascii="宋体" w:hAnsi="宋体" w:eastAsia="宋体" w:cs="宋体"/>
          <w:color w:val="auto"/>
          <w:highlight w:val="none"/>
        </w:rPr>
        <w:t>（4）磋商响应文件格式（相关附件）</w:t>
      </w:r>
    </w:p>
    <w:p w14:paraId="326B37DC">
      <w:pPr>
        <w:bidi w:val="0"/>
        <w:rPr>
          <w:rFonts w:hint="eastAsia" w:ascii="宋体" w:hAnsi="宋体" w:eastAsia="宋体" w:cs="宋体"/>
          <w:color w:val="auto"/>
          <w:highlight w:val="none"/>
        </w:rPr>
      </w:pPr>
      <w:r>
        <w:rPr>
          <w:rFonts w:hint="eastAsia" w:ascii="宋体" w:hAnsi="宋体" w:eastAsia="宋体" w:cs="宋体"/>
          <w:color w:val="auto"/>
          <w:highlight w:val="none"/>
        </w:rPr>
        <w:t>（5）磋商及采购项目技术要求</w:t>
      </w:r>
    </w:p>
    <w:p w14:paraId="5DA6B20F">
      <w:pPr>
        <w:bidi w:val="0"/>
        <w:rPr>
          <w:rFonts w:hint="eastAsia" w:ascii="宋体" w:hAnsi="宋体" w:eastAsia="宋体" w:cs="宋体"/>
          <w:color w:val="auto"/>
          <w:highlight w:val="none"/>
        </w:rPr>
      </w:pPr>
      <w:r>
        <w:rPr>
          <w:rFonts w:hint="eastAsia" w:ascii="宋体" w:hAnsi="宋体" w:eastAsia="宋体" w:cs="宋体"/>
          <w:color w:val="auto"/>
          <w:highlight w:val="none"/>
        </w:rPr>
        <w:t>（6）磋商过程中发生的澄清、变更和补充文件</w:t>
      </w:r>
    </w:p>
    <w:p w14:paraId="3E5508BF">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4.2 </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供应商应认真阅读磋商文件中列示的事项、格式、条款和要求等内容。如果</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供应商未按磋商文件要求提交全部资料，或者对磋商文件未作出实质性响应的，将视为无效响应。</w:t>
      </w:r>
    </w:p>
    <w:p w14:paraId="420413F9">
      <w:pPr>
        <w:pStyle w:val="6"/>
        <w:numPr>
          <w:ilvl w:val="2"/>
          <w:numId w:val="0"/>
        </w:numPr>
        <w:bidi w:val="0"/>
        <w:ind w:left="0" w:leftChars="0" w:firstLine="400" w:firstLineChars="0"/>
        <w:rPr>
          <w:rFonts w:hint="eastAsia" w:ascii="宋体" w:hAnsi="宋体" w:eastAsia="宋体" w:cs="宋体"/>
          <w:color w:val="auto"/>
          <w:highlight w:val="none"/>
        </w:rPr>
      </w:pPr>
      <w:bookmarkStart w:id="26" w:name="_Toc325726003"/>
      <w:bookmarkStart w:id="27" w:name="_Toc376936734"/>
      <w:bookmarkStart w:id="28" w:name="_Toc31989"/>
      <w:r>
        <w:rPr>
          <w:rFonts w:hint="eastAsia" w:ascii="宋体" w:hAnsi="宋体" w:eastAsia="宋体" w:cs="宋体"/>
          <w:b/>
          <w:color w:val="auto"/>
          <w:kern w:val="2"/>
          <w:sz w:val="30"/>
          <w:szCs w:val="30"/>
          <w:highlight w:val="none"/>
          <w:lang w:val="en-US" w:eastAsia="zh-CN" w:bidi="ar-SA"/>
        </w:rPr>
        <w:t>5．</w:t>
      </w:r>
      <w:r>
        <w:rPr>
          <w:rFonts w:hint="eastAsia" w:ascii="宋体" w:hAnsi="宋体" w:eastAsia="宋体" w:cs="宋体"/>
          <w:color w:val="auto"/>
          <w:highlight w:val="none"/>
        </w:rPr>
        <w:t>磋商文件的</w:t>
      </w:r>
      <w:bookmarkEnd w:id="26"/>
      <w:bookmarkEnd w:id="27"/>
      <w:r>
        <w:rPr>
          <w:rFonts w:hint="eastAsia" w:ascii="宋体" w:hAnsi="宋体" w:eastAsia="宋体" w:cs="宋体"/>
          <w:color w:val="auto"/>
          <w:highlight w:val="none"/>
        </w:rPr>
        <w:t>质疑</w:t>
      </w:r>
      <w:bookmarkEnd w:id="28"/>
    </w:p>
    <w:p w14:paraId="20716306">
      <w:pPr>
        <w:bidi w:val="0"/>
        <w:rPr>
          <w:rFonts w:hint="eastAsia" w:ascii="宋体" w:hAnsi="宋体" w:eastAsia="宋体" w:cs="宋体"/>
          <w:color w:val="auto"/>
          <w:highlight w:val="none"/>
        </w:rPr>
      </w:pPr>
      <w:r>
        <w:rPr>
          <w:rFonts w:hint="eastAsia" w:ascii="宋体" w:hAnsi="宋体" w:eastAsia="宋体" w:cs="宋体"/>
          <w:color w:val="auto"/>
          <w:highlight w:val="none"/>
        </w:rPr>
        <w:t>供应商认为磋商文件使自己的权益受到损害的，应在获取磋商文件之后以书面形式提出质疑（不接受匿名质疑），供应商须在法定质疑期内一次性提出针对同一采购程序环节的质疑。采购人、采购代理机构在收到供应商的书面质疑后7个工作日内予以答复，并将变更事宜在青海省政府采购网上发布公告，告知本项目的所有潜在供应商。</w:t>
      </w:r>
      <w:bookmarkStart w:id="29" w:name="_Toc325726004"/>
      <w:bookmarkStart w:id="30" w:name="_Toc376936735"/>
    </w:p>
    <w:p w14:paraId="31511D8E">
      <w:pPr>
        <w:pStyle w:val="6"/>
        <w:numPr>
          <w:ilvl w:val="2"/>
          <w:numId w:val="0"/>
        </w:numPr>
        <w:bidi w:val="0"/>
        <w:ind w:left="0" w:leftChars="0" w:firstLine="400" w:firstLineChars="0"/>
        <w:rPr>
          <w:rFonts w:hint="eastAsia" w:ascii="宋体" w:hAnsi="宋体" w:eastAsia="宋体" w:cs="宋体"/>
          <w:color w:val="auto"/>
          <w:highlight w:val="none"/>
        </w:rPr>
      </w:pPr>
      <w:bookmarkStart w:id="31" w:name="_Toc16636"/>
      <w:r>
        <w:rPr>
          <w:rFonts w:hint="eastAsia" w:ascii="宋体" w:hAnsi="宋体" w:eastAsia="宋体" w:cs="宋体"/>
          <w:b/>
          <w:color w:val="auto"/>
          <w:kern w:val="2"/>
          <w:sz w:val="30"/>
          <w:szCs w:val="30"/>
          <w:highlight w:val="none"/>
          <w:lang w:val="en-US" w:eastAsia="zh-CN" w:bidi="ar-SA"/>
        </w:rPr>
        <w:t>6．</w:t>
      </w:r>
      <w:r>
        <w:rPr>
          <w:rFonts w:hint="eastAsia" w:ascii="宋体" w:hAnsi="宋体" w:eastAsia="宋体" w:cs="宋体"/>
          <w:color w:val="auto"/>
          <w:highlight w:val="none"/>
        </w:rPr>
        <w:t>磋商文件的澄清、修改</w:t>
      </w:r>
      <w:bookmarkEnd w:id="29"/>
      <w:bookmarkEnd w:id="30"/>
      <w:bookmarkEnd w:id="31"/>
    </w:p>
    <w:p w14:paraId="60455CE4">
      <w:pPr>
        <w:bidi w:val="0"/>
        <w:rPr>
          <w:rFonts w:hint="eastAsia" w:ascii="宋体" w:hAnsi="宋体" w:eastAsia="宋体" w:cs="宋体"/>
          <w:color w:val="auto"/>
          <w:highlight w:val="none"/>
        </w:rPr>
      </w:pPr>
      <w:r>
        <w:rPr>
          <w:rFonts w:hint="eastAsia" w:ascii="宋体" w:hAnsi="宋体" w:eastAsia="宋体" w:cs="宋体"/>
          <w:color w:val="auto"/>
          <w:highlight w:val="none"/>
        </w:rPr>
        <w:t>6.1 在磋商响应文件递交截止期前，采购代理机构可对磋商文件进行必要的修改或者澄清。</w:t>
      </w:r>
    </w:p>
    <w:p w14:paraId="733D744B">
      <w:pPr>
        <w:bidi w:val="0"/>
        <w:rPr>
          <w:rFonts w:hint="eastAsia" w:ascii="宋体" w:hAnsi="宋体" w:eastAsia="宋体" w:cs="宋体"/>
          <w:color w:val="auto"/>
          <w:highlight w:val="none"/>
        </w:rPr>
      </w:pPr>
      <w:r>
        <w:rPr>
          <w:rFonts w:hint="eastAsia" w:ascii="宋体" w:hAnsi="宋体" w:eastAsia="宋体" w:cs="宋体"/>
          <w:color w:val="auto"/>
          <w:highlight w:val="none"/>
        </w:rPr>
        <w:t>6.2 采购代理机构对已发出磋商文件进行必要的澄清或者修改的，在磋商文件要求提交首次磋商响应文件截止时间至少5日前，在青海省政府采购网上发布公告；不足5日的，顺延提交首次磋商响应文件的截止时间。该澄清或者修改的内容为磋商文件的组成部分。</w:t>
      </w:r>
    </w:p>
    <w:p w14:paraId="4B4D4704">
      <w:pPr>
        <w:bidi w:val="0"/>
        <w:rPr>
          <w:rFonts w:hint="eastAsia" w:ascii="宋体" w:hAnsi="宋体" w:eastAsia="宋体" w:cs="宋体"/>
          <w:color w:val="auto"/>
          <w:highlight w:val="none"/>
        </w:rPr>
      </w:pPr>
      <w:r>
        <w:rPr>
          <w:rFonts w:hint="eastAsia" w:ascii="宋体" w:hAnsi="宋体" w:eastAsia="宋体" w:cs="宋体"/>
          <w:color w:val="auto"/>
          <w:highlight w:val="none"/>
        </w:rPr>
        <w:t>6.3在磋商响应文件递交截止期前，采购人或采购代理机构可以视采购具体情况，延长</w:t>
      </w:r>
      <w:r>
        <w:rPr>
          <w:rFonts w:hint="eastAsia" w:ascii="宋体" w:hAnsi="宋体" w:eastAsia="宋体" w:cs="宋体"/>
          <w:color w:val="auto"/>
          <w:highlight w:val="none"/>
          <w:lang w:val="en-US" w:eastAsia="zh-CN"/>
        </w:rPr>
        <w:t>响应文件</w:t>
      </w:r>
      <w:r>
        <w:rPr>
          <w:rFonts w:hint="eastAsia" w:ascii="宋体" w:hAnsi="宋体" w:eastAsia="宋体" w:cs="宋体"/>
          <w:color w:val="auto"/>
          <w:highlight w:val="none"/>
        </w:rPr>
        <w:t>截止时间和</w:t>
      </w:r>
      <w:r>
        <w:rPr>
          <w:rFonts w:hint="eastAsia" w:ascii="宋体" w:hAnsi="宋体" w:eastAsia="宋体" w:cs="宋体"/>
          <w:color w:val="auto"/>
          <w:highlight w:val="none"/>
          <w:lang w:val="en-US" w:eastAsia="zh-CN"/>
        </w:rPr>
        <w:t>开启</w:t>
      </w:r>
      <w:r>
        <w:rPr>
          <w:rFonts w:hint="eastAsia" w:ascii="宋体" w:hAnsi="宋体" w:eastAsia="宋体" w:cs="宋体"/>
          <w:color w:val="auto"/>
          <w:highlight w:val="none"/>
        </w:rPr>
        <w:t>时间，并在磋商文件中要求的磋商截止时间和磋商时间的三日前，将变更公告发布在青海省政府采购网上。</w:t>
      </w:r>
    </w:p>
    <w:p w14:paraId="022A524C">
      <w:pPr>
        <w:pStyle w:val="5"/>
        <w:bidi w:val="0"/>
        <w:rPr>
          <w:rFonts w:hint="eastAsia" w:ascii="宋体" w:hAnsi="宋体" w:eastAsia="宋体" w:cs="宋体"/>
          <w:color w:val="auto"/>
          <w:highlight w:val="none"/>
        </w:rPr>
      </w:pPr>
      <w:bookmarkStart w:id="32" w:name="_Toc376936736"/>
      <w:bookmarkStart w:id="33" w:name="_Toc12591"/>
      <w:bookmarkStart w:id="34" w:name="_Toc325726005"/>
      <w:r>
        <w:rPr>
          <w:rFonts w:hint="eastAsia" w:ascii="宋体" w:hAnsi="宋体" w:eastAsia="宋体" w:cs="宋体"/>
          <w:color w:val="auto"/>
          <w:highlight w:val="none"/>
        </w:rPr>
        <w:t>三、磋商响应文件的编制</w:t>
      </w:r>
      <w:bookmarkEnd w:id="32"/>
      <w:bookmarkEnd w:id="33"/>
      <w:bookmarkEnd w:id="34"/>
    </w:p>
    <w:p w14:paraId="6AAB4BEF">
      <w:pPr>
        <w:pStyle w:val="6"/>
        <w:numPr>
          <w:ilvl w:val="2"/>
          <w:numId w:val="0"/>
        </w:numPr>
        <w:bidi w:val="0"/>
        <w:ind w:left="0" w:leftChars="0" w:firstLine="400" w:firstLineChars="0"/>
        <w:rPr>
          <w:rFonts w:hint="eastAsia" w:ascii="宋体" w:hAnsi="宋体" w:eastAsia="宋体" w:cs="宋体"/>
          <w:color w:val="auto"/>
          <w:highlight w:val="none"/>
        </w:rPr>
      </w:pPr>
      <w:bookmarkStart w:id="35" w:name="_Toc376936737"/>
      <w:bookmarkStart w:id="36" w:name="_Toc25393"/>
      <w:bookmarkStart w:id="37" w:name="_Toc325726006"/>
      <w:r>
        <w:rPr>
          <w:rFonts w:hint="eastAsia" w:ascii="宋体" w:hAnsi="宋体" w:eastAsia="宋体" w:cs="宋体"/>
          <w:b/>
          <w:color w:val="auto"/>
          <w:kern w:val="2"/>
          <w:sz w:val="30"/>
          <w:szCs w:val="30"/>
          <w:highlight w:val="none"/>
          <w:lang w:val="en-US" w:eastAsia="zh-CN" w:bidi="ar-SA"/>
        </w:rPr>
        <w:t>7．</w:t>
      </w:r>
      <w:r>
        <w:rPr>
          <w:rFonts w:hint="eastAsia" w:ascii="宋体" w:hAnsi="宋体" w:eastAsia="宋体" w:cs="宋体"/>
          <w:color w:val="auto"/>
          <w:highlight w:val="none"/>
        </w:rPr>
        <w:t>磋商响应文件的语言及度量衡单位</w:t>
      </w:r>
      <w:bookmarkEnd w:id="35"/>
      <w:bookmarkEnd w:id="36"/>
      <w:bookmarkEnd w:id="37"/>
    </w:p>
    <w:p w14:paraId="6875B6D4">
      <w:pPr>
        <w:bidi w:val="0"/>
        <w:rPr>
          <w:rFonts w:hint="eastAsia" w:ascii="宋体" w:hAnsi="宋体" w:eastAsia="宋体" w:cs="宋体"/>
          <w:color w:val="auto"/>
          <w:highlight w:val="none"/>
        </w:rPr>
      </w:pPr>
      <w:r>
        <w:rPr>
          <w:rFonts w:hint="eastAsia" w:ascii="宋体" w:hAnsi="宋体" w:eastAsia="宋体" w:cs="宋体"/>
          <w:color w:val="auto"/>
          <w:highlight w:val="none"/>
        </w:rPr>
        <w:t>7.1</w:t>
      </w:r>
      <w:r>
        <w:rPr>
          <w:rFonts w:hint="eastAsia" w:ascii="宋体" w:hAnsi="宋体" w:eastAsia="宋体" w:cs="宋体"/>
          <w:color w:val="auto"/>
          <w:highlight w:val="none"/>
          <w:lang w:eastAsia="zh-CN"/>
        </w:rPr>
        <w:t>磋商供应商</w:t>
      </w:r>
      <w:r>
        <w:rPr>
          <w:rFonts w:hint="eastAsia" w:ascii="宋体" w:hAnsi="宋体" w:eastAsia="宋体" w:cs="宋体"/>
          <w:color w:val="auto"/>
          <w:highlight w:val="none"/>
        </w:rPr>
        <w:t>提交的磋商响应文件以及</w:t>
      </w:r>
      <w:r>
        <w:rPr>
          <w:rFonts w:hint="eastAsia" w:ascii="宋体" w:hAnsi="宋体" w:eastAsia="宋体" w:cs="宋体"/>
          <w:color w:val="auto"/>
          <w:highlight w:val="none"/>
          <w:lang w:eastAsia="zh-CN"/>
        </w:rPr>
        <w:t>磋商供应商</w:t>
      </w:r>
      <w:r>
        <w:rPr>
          <w:rFonts w:hint="eastAsia" w:ascii="宋体" w:hAnsi="宋体" w:eastAsia="宋体" w:cs="宋体"/>
          <w:color w:val="auto"/>
          <w:highlight w:val="none"/>
        </w:rPr>
        <w:t>与采购代理机构就此磋商发生的所有来往函电均应使用简体中文。除签名、盖章、专用名称等特殊情形外，以中文汉语以外的文字表述的磋商响应文件视同未提供。</w:t>
      </w:r>
    </w:p>
    <w:p w14:paraId="2F6B2250">
      <w:pPr>
        <w:bidi w:val="0"/>
        <w:rPr>
          <w:rFonts w:hint="eastAsia" w:ascii="宋体" w:hAnsi="宋体" w:eastAsia="宋体" w:cs="宋体"/>
          <w:color w:val="auto"/>
          <w:highlight w:val="none"/>
        </w:rPr>
      </w:pPr>
      <w:r>
        <w:rPr>
          <w:rFonts w:hint="eastAsia" w:ascii="宋体" w:hAnsi="宋体" w:eastAsia="宋体" w:cs="宋体"/>
          <w:color w:val="auto"/>
          <w:highlight w:val="none"/>
        </w:rPr>
        <w:t>7.2 除磋商文件中另有规定外，磋商响应文件所使用的度量衡单位，均须采用国家法定计量单位。</w:t>
      </w:r>
    </w:p>
    <w:p w14:paraId="61727498">
      <w:pPr>
        <w:bidi w:val="0"/>
        <w:rPr>
          <w:rFonts w:hint="eastAsia" w:ascii="宋体" w:hAnsi="宋体" w:eastAsia="宋体" w:cs="宋体"/>
          <w:color w:val="auto"/>
          <w:highlight w:val="none"/>
        </w:rPr>
      </w:pPr>
      <w:r>
        <w:rPr>
          <w:rFonts w:hint="eastAsia" w:ascii="宋体" w:hAnsi="宋体" w:eastAsia="宋体" w:cs="宋体"/>
          <w:color w:val="auto"/>
          <w:highlight w:val="none"/>
        </w:rPr>
        <w:t>7.3附有外文资料的，须翻译成中文并加盖供应商公章，如果翻译的中文资料与外文资料存在差异和矛盾时，以中文资料为准。其准确性由磋商供应商负责。</w:t>
      </w:r>
    </w:p>
    <w:p w14:paraId="5CC93262">
      <w:pPr>
        <w:pStyle w:val="6"/>
        <w:numPr>
          <w:ilvl w:val="2"/>
          <w:numId w:val="0"/>
        </w:numPr>
        <w:bidi w:val="0"/>
        <w:ind w:left="0" w:leftChars="0" w:firstLine="400" w:firstLineChars="0"/>
        <w:rPr>
          <w:rFonts w:hint="eastAsia" w:ascii="宋体" w:hAnsi="宋体" w:eastAsia="宋体" w:cs="宋体"/>
          <w:color w:val="auto"/>
          <w:highlight w:val="none"/>
        </w:rPr>
      </w:pPr>
      <w:bookmarkStart w:id="38" w:name="_Toc376936738"/>
      <w:bookmarkStart w:id="39" w:name="_Toc325726007"/>
      <w:bookmarkStart w:id="40" w:name="_Toc24330"/>
      <w:r>
        <w:rPr>
          <w:rFonts w:hint="eastAsia" w:ascii="宋体" w:hAnsi="宋体" w:eastAsia="宋体" w:cs="宋体"/>
          <w:b/>
          <w:color w:val="auto"/>
          <w:kern w:val="2"/>
          <w:sz w:val="30"/>
          <w:szCs w:val="30"/>
          <w:highlight w:val="none"/>
          <w:lang w:val="en-US" w:eastAsia="zh-CN" w:bidi="ar-SA"/>
        </w:rPr>
        <w:t>8．</w:t>
      </w:r>
      <w:r>
        <w:rPr>
          <w:rFonts w:hint="eastAsia" w:ascii="宋体" w:hAnsi="宋体" w:eastAsia="宋体" w:cs="宋体"/>
          <w:color w:val="auto"/>
          <w:highlight w:val="none"/>
        </w:rPr>
        <w:t>磋商报价及币种</w:t>
      </w:r>
      <w:bookmarkEnd w:id="38"/>
      <w:bookmarkEnd w:id="39"/>
      <w:bookmarkEnd w:id="40"/>
    </w:p>
    <w:p w14:paraId="46C05FFD">
      <w:pPr>
        <w:bidi w:val="0"/>
        <w:rPr>
          <w:rFonts w:hint="eastAsia" w:ascii="宋体" w:hAnsi="宋体" w:eastAsia="宋体" w:cs="宋体"/>
          <w:color w:val="auto"/>
          <w:highlight w:val="none"/>
          <w:lang w:eastAsia="zh-CN"/>
        </w:rPr>
      </w:pPr>
      <w:r>
        <w:rPr>
          <w:rFonts w:hint="eastAsia" w:ascii="宋体" w:hAnsi="宋体" w:eastAsia="宋体" w:cs="宋体"/>
          <w:color w:val="auto"/>
          <w:highlight w:val="none"/>
        </w:rPr>
        <w:t>8.l磋商报价为总报价。必须包括：</w:t>
      </w:r>
      <w:r>
        <w:rPr>
          <w:rFonts w:hint="eastAsia" w:ascii="宋体" w:hAnsi="宋体" w:cs="宋体"/>
          <w:color w:val="auto"/>
          <w:highlight w:val="none"/>
          <w:lang w:eastAsia="zh-CN"/>
        </w:rPr>
        <w:t>服务费、保险费、差旅费、人员工资、招标代理费、税金及不可预见费等全部费用。</w:t>
      </w:r>
    </w:p>
    <w:p w14:paraId="08B27200">
      <w:pPr>
        <w:bidi w:val="0"/>
        <w:rPr>
          <w:rFonts w:hint="eastAsia" w:ascii="宋体" w:hAnsi="宋体" w:eastAsia="宋体" w:cs="宋体"/>
          <w:color w:val="auto"/>
          <w:highlight w:val="none"/>
        </w:rPr>
      </w:pPr>
      <w:r>
        <w:rPr>
          <w:rFonts w:hint="eastAsia" w:ascii="宋体" w:hAnsi="宋体" w:eastAsia="宋体" w:cs="宋体"/>
          <w:color w:val="auto"/>
          <w:highlight w:val="none"/>
        </w:rPr>
        <w:t>8.2 磋商函中应注明磋商有效期。</w:t>
      </w:r>
    </w:p>
    <w:p w14:paraId="7FB62A58">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8.3 </w:t>
      </w:r>
      <w:r>
        <w:rPr>
          <w:rFonts w:hint="eastAsia" w:ascii="宋体" w:hAnsi="宋体" w:eastAsia="宋体" w:cs="宋体"/>
          <w:color w:val="auto"/>
          <w:highlight w:val="none"/>
          <w:lang w:eastAsia="zh-CN"/>
        </w:rPr>
        <w:t>磋商供应商</w:t>
      </w:r>
      <w:r>
        <w:rPr>
          <w:rFonts w:hint="eastAsia" w:ascii="宋体" w:hAnsi="宋体" w:eastAsia="宋体" w:cs="宋体"/>
          <w:color w:val="auto"/>
          <w:highlight w:val="none"/>
        </w:rPr>
        <w:t>应根据磋商文件规定的格式完整填写所有内容，并保证所提供的全部资料真实可信，自愿承担相应责任。</w:t>
      </w:r>
    </w:p>
    <w:p w14:paraId="587C0B57">
      <w:pPr>
        <w:bidi w:val="0"/>
        <w:rPr>
          <w:rFonts w:hint="eastAsia" w:ascii="宋体" w:hAnsi="宋体" w:eastAsia="宋体" w:cs="宋体"/>
          <w:color w:val="auto"/>
          <w:highlight w:val="none"/>
        </w:rPr>
      </w:pPr>
      <w:r>
        <w:rPr>
          <w:rFonts w:hint="eastAsia" w:ascii="宋体" w:hAnsi="宋体" w:eastAsia="宋体" w:cs="宋体"/>
          <w:color w:val="auto"/>
          <w:highlight w:val="none"/>
        </w:rPr>
        <w:t>8.4 磋商最后报价为闭口价，即成交后在合同有效期内价格不变。</w:t>
      </w:r>
    </w:p>
    <w:p w14:paraId="02673D34">
      <w:pPr>
        <w:bidi w:val="0"/>
        <w:rPr>
          <w:rFonts w:hint="eastAsia" w:ascii="宋体" w:hAnsi="宋体" w:eastAsia="宋体" w:cs="宋体"/>
          <w:color w:val="auto"/>
          <w:highlight w:val="none"/>
        </w:rPr>
      </w:pPr>
      <w:r>
        <w:rPr>
          <w:rFonts w:hint="eastAsia" w:ascii="宋体" w:hAnsi="宋体" w:eastAsia="宋体" w:cs="宋体"/>
          <w:color w:val="auto"/>
          <w:highlight w:val="none"/>
        </w:rPr>
        <w:t>8.5 磋商币种为人民币。</w:t>
      </w:r>
    </w:p>
    <w:p w14:paraId="04528424">
      <w:pPr>
        <w:pStyle w:val="6"/>
        <w:numPr>
          <w:ilvl w:val="2"/>
          <w:numId w:val="0"/>
        </w:numPr>
        <w:bidi w:val="0"/>
        <w:ind w:left="0" w:leftChars="0" w:firstLine="400" w:firstLineChars="0"/>
        <w:rPr>
          <w:rFonts w:hint="eastAsia" w:ascii="宋体" w:hAnsi="宋体" w:eastAsia="宋体" w:cs="宋体"/>
          <w:color w:val="auto"/>
          <w:highlight w:val="none"/>
        </w:rPr>
      </w:pPr>
      <w:bookmarkStart w:id="41" w:name="_Toc10449"/>
      <w:bookmarkStart w:id="42" w:name="_Toc325726013"/>
      <w:bookmarkStart w:id="43" w:name="_Toc376936744"/>
      <w:r>
        <w:rPr>
          <w:rFonts w:hint="eastAsia" w:ascii="宋体" w:hAnsi="宋体" w:eastAsia="宋体" w:cs="宋体"/>
          <w:b/>
          <w:color w:val="auto"/>
          <w:kern w:val="2"/>
          <w:sz w:val="30"/>
          <w:szCs w:val="30"/>
          <w:highlight w:val="none"/>
          <w:lang w:val="en-US" w:eastAsia="zh-CN" w:bidi="ar-SA"/>
        </w:rPr>
        <w:t>9．</w:t>
      </w:r>
      <w:r>
        <w:rPr>
          <w:rFonts w:hint="eastAsia" w:ascii="宋体" w:hAnsi="宋体" w:eastAsia="宋体" w:cs="宋体"/>
          <w:color w:val="auto"/>
          <w:highlight w:val="none"/>
        </w:rPr>
        <w:t>磋商有效期</w:t>
      </w:r>
      <w:bookmarkEnd w:id="41"/>
      <w:bookmarkEnd w:id="42"/>
      <w:bookmarkEnd w:id="43"/>
    </w:p>
    <w:p w14:paraId="0256744A">
      <w:pPr>
        <w:ind w:firstLine="480"/>
        <w:rPr>
          <w:rFonts w:hint="eastAsia" w:ascii="宋体" w:hAnsi="宋体" w:eastAsia="宋体" w:cs="宋体"/>
          <w:color w:val="auto"/>
          <w:highlight w:val="none"/>
        </w:rPr>
      </w:pPr>
      <w:r>
        <w:rPr>
          <w:rFonts w:hint="eastAsia" w:ascii="宋体" w:hAnsi="宋体" w:eastAsia="宋体" w:cs="宋体"/>
          <w:color w:val="auto"/>
          <w:highlight w:val="none"/>
        </w:rPr>
        <w:t>磋商有效期为自磋商开始之日起60天。</w:t>
      </w:r>
    </w:p>
    <w:p w14:paraId="58BA0DF9">
      <w:pPr>
        <w:pStyle w:val="6"/>
        <w:numPr>
          <w:ilvl w:val="2"/>
          <w:numId w:val="0"/>
        </w:numPr>
        <w:bidi w:val="0"/>
        <w:ind w:left="0" w:leftChars="0" w:firstLine="400" w:firstLineChars="0"/>
        <w:rPr>
          <w:rFonts w:hint="eastAsia" w:ascii="宋体" w:hAnsi="宋体" w:eastAsia="宋体" w:cs="宋体"/>
          <w:color w:val="auto"/>
          <w:highlight w:val="none"/>
        </w:rPr>
      </w:pPr>
      <w:bookmarkStart w:id="44" w:name="_Toc325726008"/>
      <w:bookmarkStart w:id="45" w:name="_Toc376936739"/>
      <w:bookmarkStart w:id="46" w:name="_Toc31418"/>
      <w:r>
        <w:rPr>
          <w:rFonts w:hint="eastAsia" w:ascii="宋体" w:hAnsi="宋体" w:eastAsia="宋体" w:cs="宋体"/>
          <w:b/>
          <w:color w:val="auto"/>
          <w:kern w:val="2"/>
          <w:sz w:val="30"/>
          <w:szCs w:val="30"/>
          <w:highlight w:val="none"/>
          <w:lang w:val="en-US" w:eastAsia="zh-CN" w:bidi="ar-SA"/>
        </w:rPr>
        <w:t>10．</w:t>
      </w:r>
      <w:r>
        <w:rPr>
          <w:rFonts w:hint="eastAsia" w:ascii="宋体" w:hAnsi="宋体" w:eastAsia="宋体" w:cs="宋体"/>
          <w:color w:val="auto"/>
          <w:highlight w:val="none"/>
        </w:rPr>
        <w:t>磋商响应文件构成</w:t>
      </w:r>
      <w:bookmarkEnd w:id="44"/>
      <w:bookmarkEnd w:id="45"/>
      <w:bookmarkEnd w:id="46"/>
    </w:p>
    <w:p w14:paraId="6616C569">
      <w:pPr>
        <w:bidi w:val="0"/>
        <w:rPr>
          <w:rFonts w:hint="eastAsia" w:ascii="宋体" w:hAnsi="宋体" w:eastAsia="宋体" w:cs="宋体"/>
          <w:color w:val="auto"/>
          <w:highlight w:val="none"/>
        </w:rPr>
      </w:pPr>
      <w:r>
        <w:rPr>
          <w:rFonts w:hint="eastAsia" w:ascii="宋体" w:hAnsi="宋体" w:eastAsia="宋体" w:cs="宋体"/>
          <w:color w:val="auto"/>
          <w:highlight w:val="none"/>
          <w:lang w:val="zh-CN"/>
        </w:rPr>
        <w:t>10.1</w:t>
      </w:r>
      <w:r>
        <w:rPr>
          <w:rFonts w:hint="eastAsia" w:ascii="宋体" w:hAnsi="宋体" w:eastAsia="宋体" w:cs="宋体"/>
          <w:color w:val="auto"/>
          <w:highlight w:val="none"/>
          <w:lang w:eastAsia="zh-CN"/>
        </w:rPr>
        <w:t>磋商供应商</w:t>
      </w:r>
      <w:r>
        <w:rPr>
          <w:rFonts w:hint="eastAsia" w:ascii="宋体" w:hAnsi="宋体" w:eastAsia="宋体" w:cs="宋体"/>
          <w:color w:val="auto"/>
          <w:highlight w:val="none"/>
        </w:rPr>
        <w:t>应提交相关证明材料，作为其参加磋商和成交后有能力履行合同的证明。编写的磋商响应文件须包括以下内容（格式详见磋商文件第五部分内容）：</w:t>
      </w:r>
    </w:p>
    <w:p w14:paraId="534CBB44">
      <w:pPr>
        <w:bidi w:val="0"/>
        <w:rPr>
          <w:rFonts w:hint="eastAsia" w:ascii="宋体" w:hAnsi="宋体" w:eastAsia="宋体" w:cs="宋体"/>
          <w:color w:val="auto"/>
          <w:highlight w:val="none"/>
        </w:rPr>
      </w:pPr>
      <w:r>
        <w:rPr>
          <w:rFonts w:hint="eastAsia" w:ascii="宋体" w:hAnsi="宋体" w:eastAsia="宋体" w:cs="宋体"/>
          <w:color w:val="auto"/>
          <w:highlight w:val="none"/>
        </w:rPr>
        <w:t>（1）磋商响应文件封面</w:t>
      </w:r>
    </w:p>
    <w:p w14:paraId="57608D8F">
      <w:pPr>
        <w:bidi w:val="0"/>
        <w:rPr>
          <w:rFonts w:hint="eastAsia" w:ascii="宋体" w:hAnsi="宋体" w:eastAsia="宋体" w:cs="宋体"/>
          <w:color w:val="auto"/>
          <w:highlight w:val="none"/>
        </w:rPr>
      </w:pPr>
      <w:r>
        <w:rPr>
          <w:rFonts w:hint="eastAsia" w:ascii="宋体" w:hAnsi="宋体" w:eastAsia="宋体" w:cs="宋体"/>
          <w:color w:val="auto"/>
          <w:highlight w:val="none"/>
        </w:rPr>
        <w:t>（2）磋商函</w:t>
      </w:r>
    </w:p>
    <w:p w14:paraId="1DBE9C64">
      <w:pPr>
        <w:bidi w:val="0"/>
        <w:rPr>
          <w:rFonts w:hint="eastAsia" w:ascii="宋体" w:hAnsi="宋体" w:eastAsia="宋体" w:cs="宋体"/>
          <w:color w:val="auto"/>
          <w:highlight w:val="none"/>
        </w:rPr>
      </w:pPr>
      <w:r>
        <w:rPr>
          <w:rFonts w:hint="eastAsia" w:ascii="宋体" w:hAnsi="宋体" w:eastAsia="宋体" w:cs="宋体"/>
          <w:color w:val="auto"/>
          <w:highlight w:val="none"/>
        </w:rPr>
        <w:t>（3）最初报价表</w:t>
      </w:r>
    </w:p>
    <w:p w14:paraId="449346B5">
      <w:pPr>
        <w:bidi w:val="0"/>
        <w:rPr>
          <w:rFonts w:hint="eastAsia" w:ascii="宋体" w:hAnsi="宋体" w:eastAsia="宋体" w:cs="宋体"/>
          <w:color w:val="auto"/>
          <w:highlight w:val="none"/>
        </w:rPr>
      </w:pPr>
      <w:r>
        <w:rPr>
          <w:rFonts w:hint="eastAsia" w:ascii="宋体" w:hAnsi="宋体" w:eastAsia="宋体" w:cs="宋体"/>
          <w:color w:val="auto"/>
          <w:highlight w:val="none"/>
        </w:rPr>
        <w:t>（4）服务条款偏离表</w:t>
      </w:r>
    </w:p>
    <w:p w14:paraId="253A8C77">
      <w:pPr>
        <w:bidi w:val="0"/>
        <w:rPr>
          <w:rFonts w:hint="eastAsia" w:ascii="宋体" w:hAnsi="宋体" w:eastAsia="宋体" w:cs="宋体"/>
          <w:color w:val="auto"/>
          <w:highlight w:val="none"/>
        </w:rPr>
      </w:pPr>
      <w:r>
        <w:rPr>
          <w:rFonts w:hint="eastAsia" w:ascii="宋体" w:hAnsi="宋体" w:eastAsia="宋体" w:cs="宋体"/>
          <w:color w:val="auto"/>
          <w:highlight w:val="none"/>
        </w:rPr>
        <w:t>（5）商务条款偏离表</w:t>
      </w:r>
    </w:p>
    <w:p w14:paraId="2AF0B209">
      <w:pPr>
        <w:bidi w:val="0"/>
        <w:rPr>
          <w:rFonts w:hint="eastAsia" w:ascii="宋体" w:hAnsi="宋体" w:eastAsia="宋体" w:cs="宋体"/>
          <w:color w:val="auto"/>
          <w:highlight w:val="none"/>
        </w:rPr>
      </w:pPr>
      <w:r>
        <w:rPr>
          <w:rFonts w:hint="eastAsia" w:ascii="宋体" w:hAnsi="宋体" w:eastAsia="宋体" w:cs="宋体"/>
          <w:color w:val="auto"/>
          <w:highlight w:val="none"/>
        </w:rPr>
        <w:t>（6）法定代表人证明书</w:t>
      </w:r>
    </w:p>
    <w:p w14:paraId="1724ABFA">
      <w:pPr>
        <w:bidi w:val="0"/>
        <w:rPr>
          <w:rFonts w:hint="eastAsia" w:ascii="宋体" w:hAnsi="宋体" w:eastAsia="宋体" w:cs="宋体"/>
          <w:color w:val="auto"/>
          <w:highlight w:val="none"/>
        </w:rPr>
      </w:pPr>
      <w:r>
        <w:rPr>
          <w:rFonts w:hint="eastAsia" w:ascii="宋体" w:hAnsi="宋体" w:eastAsia="宋体" w:cs="宋体"/>
          <w:color w:val="auto"/>
          <w:highlight w:val="none"/>
        </w:rPr>
        <w:t>（7）法定代表人授权书</w:t>
      </w:r>
    </w:p>
    <w:p w14:paraId="370C3FB6">
      <w:pPr>
        <w:bidi w:val="0"/>
        <w:rPr>
          <w:rFonts w:hint="eastAsia" w:ascii="宋体" w:hAnsi="宋体" w:eastAsia="宋体" w:cs="宋体"/>
          <w:color w:val="auto"/>
          <w:highlight w:val="none"/>
        </w:rPr>
      </w:pPr>
      <w:r>
        <w:rPr>
          <w:rFonts w:hint="eastAsia" w:ascii="宋体" w:hAnsi="宋体" w:eastAsia="宋体" w:cs="宋体"/>
          <w:color w:val="auto"/>
          <w:highlight w:val="none"/>
        </w:rPr>
        <w:t>（8）</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承诺函</w:t>
      </w:r>
    </w:p>
    <w:p w14:paraId="08A013B0">
      <w:pPr>
        <w:bidi w:val="0"/>
        <w:rPr>
          <w:rFonts w:hint="eastAsia" w:ascii="宋体" w:hAnsi="宋体" w:eastAsia="宋体" w:cs="宋体"/>
          <w:color w:val="auto"/>
          <w:highlight w:val="none"/>
        </w:rPr>
      </w:pPr>
      <w:r>
        <w:rPr>
          <w:rFonts w:hint="eastAsia" w:ascii="宋体" w:hAnsi="宋体" w:eastAsia="宋体" w:cs="宋体"/>
          <w:color w:val="auto"/>
          <w:highlight w:val="none"/>
        </w:rPr>
        <w:t>（9）供应商诚信承诺书</w:t>
      </w:r>
    </w:p>
    <w:p w14:paraId="75644186">
      <w:pPr>
        <w:bidi w:val="0"/>
        <w:rPr>
          <w:rFonts w:hint="eastAsia" w:ascii="宋体" w:hAnsi="宋体" w:eastAsia="宋体" w:cs="宋体"/>
          <w:color w:val="auto"/>
          <w:highlight w:val="none"/>
        </w:rPr>
      </w:pPr>
      <w:r>
        <w:rPr>
          <w:rFonts w:hint="eastAsia" w:ascii="宋体" w:hAnsi="宋体" w:eastAsia="宋体" w:cs="宋体"/>
          <w:color w:val="auto"/>
          <w:highlight w:val="none"/>
        </w:rPr>
        <w:t>（10）资格证明材料</w:t>
      </w:r>
    </w:p>
    <w:p w14:paraId="672FC46B">
      <w:pPr>
        <w:bidi w:val="0"/>
        <w:rPr>
          <w:rFonts w:hint="eastAsia" w:ascii="宋体" w:hAnsi="宋体" w:eastAsia="宋体" w:cs="宋体"/>
          <w:color w:val="auto"/>
          <w:highlight w:val="none"/>
        </w:rPr>
      </w:pPr>
      <w:r>
        <w:rPr>
          <w:rFonts w:hint="eastAsia" w:ascii="宋体" w:hAnsi="宋体" w:eastAsia="宋体" w:cs="宋体"/>
          <w:color w:val="auto"/>
          <w:highlight w:val="none"/>
        </w:rPr>
        <w:t>（11）财务状况、缴纳税收和社会保障资金证明</w:t>
      </w:r>
    </w:p>
    <w:p w14:paraId="13216318">
      <w:pPr>
        <w:bidi w:val="0"/>
        <w:rPr>
          <w:rFonts w:hint="eastAsia" w:ascii="宋体" w:hAnsi="宋体" w:eastAsia="宋体" w:cs="宋体"/>
          <w:color w:val="auto"/>
          <w:highlight w:val="none"/>
        </w:rPr>
      </w:pPr>
      <w:r>
        <w:rPr>
          <w:rFonts w:hint="eastAsia" w:ascii="宋体" w:hAnsi="宋体" w:eastAsia="宋体" w:cs="宋体"/>
          <w:color w:val="auto"/>
          <w:highlight w:val="none"/>
        </w:rPr>
        <w:t>（12）</w:t>
      </w:r>
      <w:r>
        <w:rPr>
          <w:rFonts w:hint="eastAsia" w:ascii="宋体" w:hAnsi="宋体" w:eastAsia="宋体" w:cs="宋体"/>
          <w:color w:val="auto"/>
          <w:highlight w:val="none"/>
          <w:lang w:val="zh-CN"/>
        </w:rPr>
        <w:t>具备履行合同所必须的设备和专业技术能力证明</w:t>
      </w:r>
    </w:p>
    <w:p w14:paraId="5969FDC2">
      <w:pPr>
        <w:bidi w:val="0"/>
        <w:rPr>
          <w:rFonts w:hint="eastAsia" w:ascii="宋体" w:hAnsi="宋体" w:eastAsia="宋体" w:cs="宋体"/>
          <w:color w:val="auto"/>
          <w:highlight w:val="none"/>
        </w:rPr>
      </w:pPr>
      <w:r>
        <w:rPr>
          <w:rFonts w:hint="eastAsia" w:ascii="宋体" w:hAnsi="宋体" w:eastAsia="宋体" w:cs="宋体"/>
          <w:color w:val="auto"/>
          <w:highlight w:val="none"/>
        </w:rPr>
        <w:t>（13）无重大违法记录声明</w:t>
      </w:r>
    </w:p>
    <w:p w14:paraId="6359FCA4">
      <w:pPr>
        <w:bidi w:val="0"/>
        <w:rPr>
          <w:rFonts w:hint="eastAsia" w:ascii="宋体" w:hAnsi="宋体" w:eastAsia="宋体" w:cs="宋体"/>
          <w:color w:val="auto"/>
          <w:highlight w:val="none"/>
        </w:rPr>
      </w:pPr>
      <w:r>
        <w:rPr>
          <w:rFonts w:hint="eastAsia" w:ascii="宋体" w:hAnsi="宋体" w:eastAsia="宋体" w:cs="宋体"/>
          <w:color w:val="auto"/>
          <w:highlight w:val="none"/>
        </w:rPr>
        <w:t>（14）类似业绩证明材料</w:t>
      </w:r>
    </w:p>
    <w:p w14:paraId="2661812D">
      <w:pPr>
        <w:bidi w:val="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cs="宋体"/>
          <w:color w:val="auto"/>
          <w:highlight w:val="none"/>
          <w:lang w:val="en-US" w:eastAsia="zh-CN"/>
        </w:rPr>
        <w:t>5</w:t>
      </w:r>
      <w:r>
        <w:rPr>
          <w:rFonts w:hint="eastAsia" w:ascii="宋体" w:hAnsi="宋体" w:eastAsia="宋体" w:cs="宋体"/>
          <w:color w:val="auto"/>
          <w:highlight w:val="none"/>
        </w:rPr>
        <w:t>）服务能力与方案</w:t>
      </w:r>
    </w:p>
    <w:p w14:paraId="339B5CD3">
      <w:pPr>
        <w:bidi w:val="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cs="宋体"/>
          <w:color w:val="auto"/>
          <w:highlight w:val="none"/>
          <w:lang w:val="en-US" w:eastAsia="zh-CN"/>
        </w:rPr>
        <w:t>6</w:t>
      </w:r>
      <w:r>
        <w:rPr>
          <w:rFonts w:hint="eastAsia" w:ascii="宋体" w:hAnsi="宋体" w:eastAsia="宋体" w:cs="宋体"/>
          <w:color w:val="auto"/>
          <w:highlight w:val="none"/>
        </w:rPr>
        <w:t>）最终报价表</w:t>
      </w:r>
    </w:p>
    <w:p w14:paraId="7F87D34D">
      <w:pPr>
        <w:bidi w:val="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cs="宋体"/>
          <w:color w:val="auto"/>
          <w:highlight w:val="none"/>
          <w:lang w:val="en-US" w:eastAsia="zh-CN"/>
        </w:rPr>
        <w:t>7</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供应商认为有必要说明的其他方面事项</w:t>
      </w:r>
    </w:p>
    <w:p w14:paraId="62DFA603">
      <w:pPr>
        <w:bidi w:val="0"/>
        <w:rPr>
          <w:rFonts w:hint="eastAsia" w:ascii="宋体" w:hAnsi="宋体" w:eastAsia="宋体" w:cs="宋体"/>
          <w:color w:val="auto"/>
          <w:highlight w:val="none"/>
          <w:lang w:val="zh-CN"/>
        </w:rPr>
      </w:pPr>
      <w:r>
        <w:rPr>
          <w:rFonts w:hint="eastAsia" w:ascii="宋体" w:hAnsi="宋体" w:eastAsia="宋体" w:cs="宋体"/>
          <w:color w:val="auto"/>
          <w:highlight w:val="none"/>
        </w:rPr>
        <w:t>（1</w:t>
      </w:r>
      <w:r>
        <w:rPr>
          <w:rFonts w:hint="eastAsia" w:ascii="宋体" w:hAnsi="宋体" w:cs="宋体"/>
          <w:color w:val="auto"/>
          <w:highlight w:val="none"/>
          <w:lang w:val="en-US" w:eastAsia="zh-CN"/>
        </w:rPr>
        <w:t>8</w:t>
      </w:r>
      <w:r>
        <w:rPr>
          <w:rFonts w:hint="eastAsia" w:ascii="宋体" w:hAnsi="宋体" w:eastAsia="宋体" w:cs="宋体"/>
          <w:color w:val="auto"/>
          <w:highlight w:val="none"/>
        </w:rPr>
        <w:t>）享受政府采购政策优惠的证明资料</w:t>
      </w:r>
    </w:p>
    <w:p w14:paraId="10CEC24D">
      <w:pPr>
        <w:bidi w:val="0"/>
        <w:rPr>
          <w:rFonts w:hint="eastAsia" w:ascii="宋体" w:hAnsi="宋体" w:eastAsia="宋体" w:cs="宋体"/>
          <w:color w:val="auto"/>
          <w:highlight w:val="none"/>
        </w:rPr>
      </w:pPr>
      <w:r>
        <w:rPr>
          <w:rFonts w:hint="eastAsia" w:ascii="宋体" w:hAnsi="宋体" w:eastAsia="宋体" w:cs="宋体"/>
          <w:color w:val="auto"/>
          <w:highlight w:val="none"/>
        </w:rPr>
        <w:t>注：磋商文件要求签字、盖章的地方必须由</w:t>
      </w:r>
      <w:r>
        <w:rPr>
          <w:rFonts w:hint="eastAsia" w:ascii="宋体" w:hAnsi="宋体" w:eastAsia="宋体" w:cs="宋体"/>
          <w:color w:val="auto"/>
          <w:highlight w:val="none"/>
          <w:lang w:eastAsia="zh-CN"/>
        </w:rPr>
        <w:t>磋商供应商</w:t>
      </w:r>
      <w:r>
        <w:rPr>
          <w:rFonts w:hint="eastAsia" w:ascii="宋体" w:hAnsi="宋体" w:eastAsia="宋体" w:cs="宋体"/>
          <w:color w:val="auto"/>
          <w:highlight w:val="none"/>
        </w:rPr>
        <w:t>的法定代表人或委托代理人按要求签字、盖章；</w:t>
      </w:r>
      <w:r>
        <w:rPr>
          <w:rFonts w:hint="eastAsia" w:ascii="宋体" w:hAnsi="宋体" w:eastAsia="宋体" w:cs="宋体"/>
          <w:color w:val="auto"/>
          <w:highlight w:val="none"/>
          <w:lang w:eastAsia="zh-CN"/>
        </w:rPr>
        <w:t>磋商供应商</w:t>
      </w:r>
      <w:r>
        <w:rPr>
          <w:rFonts w:hint="eastAsia" w:ascii="宋体" w:hAnsi="宋体" w:eastAsia="宋体" w:cs="宋体"/>
          <w:color w:val="auto"/>
          <w:highlight w:val="none"/>
        </w:rPr>
        <w:t>提供的扫描（或复印）件均需加盖公章。</w:t>
      </w:r>
      <w:r>
        <w:rPr>
          <w:rFonts w:hint="eastAsia" w:ascii="宋体" w:hAnsi="宋体" w:eastAsia="宋体" w:cs="宋体"/>
          <w:color w:val="auto"/>
          <w:highlight w:val="none"/>
          <w:lang w:eastAsia="zh-CN"/>
        </w:rPr>
        <w:t>磋商供应商</w:t>
      </w:r>
      <w:r>
        <w:rPr>
          <w:rFonts w:hint="eastAsia" w:ascii="宋体" w:hAnsi="宋体" w:eastAsia="宋体" w:cs="宋体"/>
          <w:color w:val="auto"/>
          <w:highlight w:val="none"/>
        </w:rPr>
        <w:t>须按上述内容、顺序和格式编制磋商响应文件，并按要求编制目录、页码。</w:t>
      </w:r>
    </w:p>
    <w:p w14:paraId="411F6AD9">
      <w:pPr>
        <w:pStyle w:val="6"/>
        <w:numPr>
          <w:ilvl w:val="2"/>
          <w:numId w:val="0"/>
        </w:numPr>
        <w:bidi w:val="0"/>
        <w:ind w:left="0" w:leftChars="0" w:firstLine="400" w:firstLineChars="0"/>
        <w:rPr>
          <w:rFonts w:hint="eastAsia" w:ascii="宋体" w:hAnsi="宋体" w:eastAsia="宋体" w:cs="宋体"/>
          <w:color w:val="auto"/>
          <w:highlight w:val="none"/>
        </w:rPr>
      </w:pPr>
      <w:bookmarkStart w:id="47" w:name="_Toc412617729"/>
      <w:bookmarkStart w:id="48" w:name="_Toc432"/>
      <w:bookmarkStart w:id="49" w:name="_Toc373392580"/>
      <w:r>
        <w:rPr>
          <w:rFonts w:hint="eastAsia" w:ascii="宋体" w:hAnsi="宋体" w:eastAsia="宋体" w:cs="宋体"/>
          <w:b/>
          <w:color w:val="auto"/>
          <w:kern w:val="2"/>
          <w:sz w:val="30"/>
          <w:szCs w:val="30"/>
          <w:highlight w:val="none"/>
          <w:lang w:val="en-US" w:eastAsia="zh-CN" w:bidi="ar-SA"/>
        </w:rPr>
        <w:t>11．</w:t>
      </w:r>
      <w:r>
        <w:rPr>
          <w:rFonts w:hint="eastAsia" w:ascii="宋体" w:hAnsi="宋体" w:eastAsia="宋体" w:cs="宋体"/>
          <w:color w:val="auto"/>
          <w:highlight w:val="none"/>
        </w:rPr>
        <w:t>磋商响应文件编印和签署</w:t>
      </w:r>
      <w:bookmarkEnd w:id="47"/>
      <w:bookmarkEnd w:id="48"/>
      <w:bookmarkEnd w:id="49"/>
    </w:p>
    <w:p w14:paraId="2D8E9D7D">
      <w:pPr>
        <w:bidi w:val="0"/>
        <w:rPr>
          <w:rFonts w:hint="eastAsia" w:ascii="宋体" w:hAnsi="宋体" w:eastAsia="宋体" w:cs="宋体"/>
          <w:color w:val="auto"/>
          <w:highlight w:val="none"/>
        </w:rPr>
      </w:pPr>
      <w:r>
        <w:rPr>
          <w:rFonts w:hint="eastAsia" w:ascii="宋体" w:hAnsi="宋体" w:eastAsia="宋体" w:cs="宋体"/>
          <w:color w:val="auto"/>
          <w:highlight w:val="none"/>
        </w:rPr>
        <w:t>11.1 磋商文件编制和签署：详见磋商须知前附表。</w:t>
      </w:r>
    </w:p>
    <w:p w14:paraId="67BD3FC4">
      <w:pPr>
        <w:bidi w:val="0"/>
        <w:rPr>
          <w:rFonts w:hint="eastAsia" w:ascii="宋体" w:hAnsi="宋体" w:eastAsia="宋体" w:cs="宋体"/>
          <w:color w:val="auto"/>
          <w:highlight w:val="none"/>
        </w:rPr>
      </w:pPr>
      <w:r>
        <w:rPr>
          <w:rFonts w:hint="eastAsia" w:ascii="宋体" w:hAnsi="宋体" w:eastAsia="宋体" w:cs="宋体"/>
          <w:color w:val="auto"/>
          <w:highlight w:val="none"/>
        </w:rPr>
        <w:t>11.2磋商供应商须在 “法定代表人授权书”中提供被授权人（委托代理人）准确的联系方式（手机或固定电话）。</w:t>
      </w:r>
    </w:p>
    <w:p w14:paraId="5A907D8D">
      <w:pPr>
        <w:bidi w:val="0"/>
        <w:rPr>
          <w:rFonts w:hint="eastAsia" w:ascii="宋体" w:hAnsi="宋体" w:eastAsia="宋体" w:cs="宋体"/>
          <w:color w:val="auto"/>
          <w:highlight w:val="none"/>
        </w:rPr>
      </w:pPr>
      <w:r>
        <w:rPr>
          <w:rFonts w:hint="eastAsia" w:ascii="宋体" w:hAnsi="宋体" w:eastAsia="宋体" w:cs="宋体"/>
          <w:color w:val="auto"/>
          <w:highlight w:val="none"/>
        </w:rPr>
        <w:t>11.3</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必须按照磋商文件的要求编制</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响应文件。</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响应文件必须对磋商文件提出的要求和条件作出明确响应。</w:t>
      </w:r>
    </w:p>
    <w:p w14:paraId="07E38B48">
      <w:pPr>
        <w:bidi w:val="0"/>
        <w:rPr>
          <w:rFonts w:hint="eastAsia" w:ascii="宋体" w:hAnsi="宋体" w:eastAsia="宋体" w:cs="宋体"/>
          <w:color w:val="auto"/>
          <w:highlight w:val="none"/>
        </w:rPr>
      </w:pPr>
      <w:r>
        <w:rPr>
          <w:rFonts w:hint="eastAsia" w:ascii="宋体" w:hAnsi="宋体" w:eastAsia="宋体" w:cs="宋体"/>
          <w:color w:val="auto"/>
          <w:highlight w:val="none"/>
        </w:rPr>
        <w:t>11.4</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应对</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响应文件中所提供资料的真实性负责，若有虚假，将依法承担相应责任。</w:t>
      </w:r>
    </w:p>
    <w:p w14:paraId="6C26ABA8">
      <w:pPr>
        <w:bidi w:val="0"/>
        <w:rPr>
          <w:rFonts w:hint="eastAsia" w:ascii="宋体" w:hAnsi="宋体" w:eastAsia="宋体" w:cs="宋体"/>
          <w:color w:val="auto"/>
          <w:highlight w:val="none"/>
        </w:rPr>
      </w:pPr>
      <w:r>
        <w:rPr>
          <w:rFonts w:hint="eastAsia" w:ascii="宋体" w:hAnsi="宋体" w:eastAsia="宋体" w:cs="宋体"/>
          <w:color w:val="auto"/>
          <w:highlight w:val="none"/>
        </w:rPr>
        <w:t>11.5因</w:t>
      </w:r>
      <w:r>
        <w:rPr>
          <w:rFonts w:hint="eastAsia" w:ascii="宋体" w:hAnsi="宋体" w:eastAsia="宋体" w:cs="宋体"/>
          <w:color w:val="auto"/>
          <w:highlight w:val="none"/>
          <w:lang w:val="en-US" w:eastAsia="zh-CN"/>
        </w:rPr>
        <w:t>供应商磋商</w:t>
      </w:r>
      <w:r>
        <w:rPr>
          <w:rFonts w:hint="eastAsia" w:ascii="宋体" w:hAnsi="宋体" w:eastAsia="宋体" w:cs="宋体"/>
          <w:color w:val="auto"/>
          <w:highlight w:val="none"/>
        </w:rPr>
        <w:t>响应文件填报的内容不详，或没有提供磋商文件中所要求的全部资料及数据等，由此产生的后果及责任由</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自行承担。</w:t>
      </w:r>
    </w:p>
    <w:p w14:paraId="4CC6E8A7">
      <w:pPr>
        <w:pStyle w:val="5"/>
        <w:bidi w:val="0"/>
        <w:rPr>
          <w:rFonts w:hint="eastAsia" w:ascii="宋体" w:hAnsi="宋体" w:eastAsia="宋体" w:cs="宋体"/>
          <w:color w:val="auto"/>
          <w:highlight w:val="none"/>
        </w:rPr>
      </w:pPr>
      <w:bookmarkStart w:id="50" w:name="_Toc412617730"/>
      <w:bookmarkStart w:id="51" w:name="_Toc5996"/>
      <w:bookmarkStart w:id="52" w:name="_Toc376936748"/>
      <w:bookmarkStart w:id="53" w:name="_Toc371090029"/>
      <w:r>
        <w:rPr>
          <w:rFonts w:hint="eastAsia" w:ascii="宋体" w:hAnsi="宋体" w:eastAsia="宋体" w:cs="宋体"/>
          <w:color w:val="auto"/>
          <w:highlight w:val="none"/>
        </w:rPr>
        <w:t>四、磋商响应文件的递交</w:t>
      </w:r>
      <w:bookmarkEnd w:id="50"/>
      <w:bookmarkEnd w:id="51"/>
    </w:p>
    <w:p w14:paraId="26336336">
      <w:pPr>
        <w:pStyle w:val="6"/>
        <w:numPr>
          <w:ilvl w:val="2"/>
          <w:numId w:val="0"/>
        </w:numPr>
        <w:bidi w:val="0"/>
        <w:ind w:left="0" w:leftChars="0" w:firstLine="400" w:firstLineChars="0"/>
        <w:rPr>
          <w:rFonts w:hint="eastAsia" w:ascii="宋体" w:hAnsi="宋体" w:eastAsia="宋体" w:cs="宋体"/>
          <w:color w:val="auto"/>
          <w:highlight w:val="none"/>
        </w:rPr>
      </w:pPr>
      <w:bookmarkStart w:id="54" w:name="_Toc373392582"/>
      <w:bookmarkStart w:id="55" w:name="_Toc13388"/>
      <w:bookmarkStart w:id="56" w:name="_Toc412617731"/>
      <w:bookmarkStart w:id="57" w:name="_Toc325726016"/>
      <w:r>
        <w:rPr>
          <w:rFonts w:hint="eastAsia" w:ascii="宋体" w:hAnsi="宋体" w:eastAsia="宋体" w:cs="宋体"/>
          <w:b/>
          <w:color w:val="auto"/>
          <w:kern w:val="2"/>
          <w:sz w:val="30"/>
          <w:szCs w:val="30"/>
          <w:highlight w:val="none"/>
          <w:lang w:val="en-US" w:eastAsia="zh-CN" w:bidi="ar-SA"/>
        </w:rPr>
        <w:t>12．</w:t>
      </w:r>
      <w:r>
        <w:rPr>
          <w:rFonts w:hint="eastAsia" w:ascii="宋体" w:hAnsi="宋体" w:eastAsia="宋体" w:cs="宋体"/>
          <w:color w:val="auto"/>
          <w:highlight w:val="none"/>
        </w:rPr>
        <w:t>磋商响应文件的密封和标记</w:t>
      </w:r>
      <w:bookmarkEnd w:id="54"/>
      <w:bookmarkEnd w:id="55"/>
      <w:bookmarkEnd w:id="56"/>
      <w:bookmarkEnd w:id="57"/>
    </w:p>
    <w:p w14:paraId="001C91D2">
      <w:pPr>
        <w:bidi w:val="0"/>
        <w:rPr>
          <w:rFonts w:hint="eastAsia" w:ascii="宋体" w:hAnsi="宋体" w:eastAsia="宋体" w:cs="宋体"/>
          <w:color w:val="auto"/>
          <w:highlight w:val="none"/>
        </w:rPr>
      </w:pPr>
      <w:r>
        <w:rPr>
          <w:rFonts w:hint="eastAsia" w:ascii="宋体" w:hAnsi="宋体" w:eastAsia="宋体" w:cs="宋体"/>
          <w:color w:val="auto"/>
          <w:highlight w:val="none"/>
        </w:rPr>
        <w:t>12.1 磋商响应文件的密封和标记：本次采用政采云平台线上上传磋商响应文件。</w:t>
      </w:r>
    </w:p>
    <w:bookmarkEnd w:id="52"/>
    <w:bookmarkEnd w:id="53"/>
    <w:p w14:paraId="1F1E5E27">
      <w:pPr>
        <w:pStyle w:val="6"/>
        <w:numPr>
          <w:ilvl w:val="2"/>
          <w:numId w:val="0"/>
        </w:numPr>
        <w:bidi w:val="0"/>
        <w:ind w:left="0" w:leftChars="0" w:firstLine="400" w:firstLineChars="0"/>
        <w:rPr>
          <w:rFonts w:hint="eastAsia" w:ascii="宋体" w:hAnsi="宋体" w:eastAsia="宋体" w:cs="宋体"/>
          <w:color w:val="auto"/>
          <w:highlight w:val="none"/>
        </w:rPr>
      </w:pPr>
      <w:bookmarkStart w:id="58" w:name="_Toc27041"/>
      <w:bookmarkStart w:id="59" w:name="_Toc325726017"/>
      <w:bookmarkStart w:id="60" w:name="_Toc412617732"/>
      <w:bookmarkStart w:id="61" w:name="_Toc373392583"/>
      <w:bookmarkStart w:id="62" w:name="_Toc376936749"/>
      <w:bookmarkStart w:id="63" w:name="_Toc371090030"/>
      <w:r>
        <w:rPr>
          <w:rFonts w:hint="eastAsia" w:ascii="宋体" w:hAnsi="宋体" w:eastAsia="宋体" w:cs="宋体"/>
          <w:b/>
          <w:color w:val="auto"/>
          <w:kern w:val="2"/>
          <w:sz w:val="30"/>
          <w:szCs w:val="30"/>
          <w:highlight w:val="none"/>
          <w:lang w:val="en-US" w:eastAsia="zh-CN" w:bidi="ar-SA"/>
        </w:rPr>
        <w:t>13．</w:t>
      </w:r>
      <w:r>
        <w:rPr>
          <w:rFonts w:hint="eastAsia" w:ascii="宋体" w:hAnsi="宋体" w:eastAsia="宋体" w:cs="宋体"/>
          <w:color w:val="auto"/>
          <w:highlight w:val="none"/>
        </w:rPr>
        <w:t>递送磋商响应文件的地点、截止日期</w:t>
      </w:r>
      <w:bookmarkEnd w:id="58"/>
      <w:bookmarkEnd w:id="59"/>
      <w:bookmarkEnd w:id="60"/>
      <w:bookmarkEnd w:id="61"/>
    </w:p>
    <w:p w14:paraId="2DC5E2A6">
      <w:pPr>
        <w:bidi w:val="0"/>
        <w:rPr>
          <w:rFonts w:hint="eastAsia" w:ascii="宋体" w:hAnsi="宋体" w:eastAsia="宋体" w:cs="宋体"/>
          <w:color w:val="auto"/>
          <w:highlight w:val="none"/>
        </w:rPr>
      </w:pPr>
      <w:r>
        <w:rPr>
          <w:rFonts w:hint="eastAsia" w:ascii="宋体" w:hAnsi="宋体" w:eastAsia="宋体" w:cs="宋体"/>
          <w:color w:val="auto"/>
          <w:highlight w:val="none"/>
        </w:rPr>
        <w:t>13.1磋商响应文件的递交地点与磋商地点相同。</w:t>
      </w:r>
    </w:p>
    <w:p w14:paraId="13C326A1">
      <w:pPr>
        <w:bidi w:val="0"/>
        <w:rPr>
          <w:rFonts w:hint="eastAsia" w:ascii="宋体" w:hAnsi="宋体" w:eastAsia="宋体" w:cs="宋体"/>
          <w:color w:val="auto"/>
          <w:highlight w:val="none"/>
        </w:rPr>
      </w:pPr>
      <w:r>
        <w:rPr>
          <w:rFonts w:hint="eastAsia" w:ascii="宋体" w:hAnsi="宋体" w:eastAsia="宋体" w:cs="宋体"/>
          <w:color w:val="auto"/>
          <w:highlight w:val="none"/>
        </w:rPr>
        <w:t>13.2所有磋商响应文件都必须按“磋商须知前附表”中规定的磋商截止时间之前上传至政采云平台。</w:t>
      </w:r>
    </w:p>
    <w:p w14:paraId="6A7DF39A">
      <w:pPr>
        <w:bidi w:val="0"/>
        <w:rPr>
          <w:rFonts w:hint="eastAsia" w:ascii="宋体" w:hAnsi="宋体" w:eastAsia="宋体" w:cs="宋体"/>
          <w:color w:val="auto"/>
          <w:highlight w:val="none"/>
        </w:rPr>
      </w:pPr>
      <w:r>
        <w:rPr>
          <w:rFonts w:hint="eastAsia" w:ascii="宋体" w:hAnsi="宋体" w:eastAsia="宋体" w:cs="宋体"/>
          <w:color w:val="auto"/>
          <w:highlight w:val="none"/>
        </w:rPr>
        <w:t>13.3采购代理机构将拒绝接受在磋商截止时间之后上传的磋商响应文件。</w:t>
      </w:r>
    </w:p>
    <w:p w14:paraId="5C47B8B5">
      <w:pPr>
        <w:pStyle w:val="6"/>
        <w:numPr>
          <w:ilvl w:val="2"/>
          <w:numId w:val="0"/>
        </w:numPr>
        <w:bidi w:val="0"/>
        <w:ind w:left="0" w:leftChars="0" w:firstLine="400" w:firstLineChars="0"/>
        <w:rPr>
          <w:rFonts w:hint="eastAsia" w:ascii="宋体" w:hAnsi="宋体" w:eastAsia="宋体" w:cs="宋体"/>
          <w:color w:val="auto"/>
          <w:highlight w:val="none"/>
        </w:rPr>
      </w:pPr>
      <w:bookmarkStart w:id="64" w:name="_Toc29492"/>
      <w:r>
        <w:rPr>
          <w:rFonts w:hint="eastAsia" w:ascii="宋体" w:hAnsi="宋体" w:eastAsia="宋体" w:cs="宋体"/>
          <w:b/>
          <w:color w:val="auto"/>
          <w:kern w:val="2"/>
          <w:sz w:val="30"/>
          <w:szCs w:val="30"/>
          <w:highlight w:val="none"/>
          <w:lang w:val="en-US" w:eastAsia="zh-CN" w:bidi="ar-SA"/>
        </w:rPr>
        <w:t>14．</w:t>
      </w:r>
      <w:r>
        <w:rPr>
          <w:rFonts w:hint="eastAsia" w:ascii="宋体" w:hAnsi="宋体" w:eastAsia="宋体" w:cs="宋体"/>
          <w:color w:val="auto"/>
          <w:highlight w:val="none"/>
        </w:rPr>
        <w:t>磋商响应文件的撤回</w:t>
      </w:r>
      <w:bookmarkEnd w:id="62"/>
      <w:bookmarkEnd w:id="63"/>
      <w:bookmarkEnd w:id="64"/>
    </w:p>
    <w:p w14:paraId="1476FEA3">
      <w:pPr>
        <w:bidi w:val="0"/>
        <w:rPr>
          <w:rFonts w:hint="eastAsia" w:ascii="宋体" w:hAnsi="宋体" w:eastAsia="宋体" w:cs="宋体"/>
          <w:color w:val="auto"/>
          <w:highlight w:val="none"/>
        </w:rPr>
      </w:pPr>
      <w:r>
        <w:rPr>
          <w:rFonts w:hint="eastAsia" w:ascii="宋体" w:hAnsi="宋体" w:eastAsia="宋体" w:cs="宋体"/>
          <w:color w:val="auto"/>
          <w:highlight w:val="none"/>
        </w:rPr>
        <w:t>允许</w:t>
      </w:r>
      <w:r>
        <w:rPr>
          <w:rFonts w:hint="eastAsia" w:ascii="宋体" w:hAnsi="宋体" w:eastAsia="宋体" w:cs="宋体"/>
          <w:color w:val="auto"/>
          <w:highlight w:val="none"/>
          <w:lang w:eastAsia="zh-CN"/>
        </w:rPr>
        <w:t>磋商供应商</w:t>
      </w:r>
      <w:r>
        <w:rPr>
          <w:rFonts w:hint="eastAsia" w:ascii="宋体" w:hAnsi="宋体" w:eastAsia="宋体" w:cs="宋体"/>
          <w:color w:val="auto"/>
          <w:highlight w:val="none"/>
        </w:rPr>
        <w:t>在提交最后报价之前声明撤回磋商响应文件，但提交最后报价之后不得撤回其投标。</w:t>
      </w:r>
    </w:p>
    <w:p w14:paraId="3751BCD5">
      <w:pPr>
        <w:pStyle w:val="5"/>
        <w:bidi w:val="0"/>
        <w:rPr>
          <w:rFonts w:hint="eastAsia" w:ascii="宋体" w:hAnsi="宋体" w:eastAsia="宋体" w:cs="宋体"/>
          <w:color w:val="auto"/>
          <w:highlight w:val="none"/>
        </w:rPr>
      </w:pPr>
      <w:bookmarkStart w:id="65" w:name="_Toc325726019"/>
      <w:bookmarkStart w:id="66" w:name="_Toc376936750"/>
      <w:bookmarkStart w:id="67" w:name="_Toc12660"/>
      <w:r>
        <w:rPr>
          <w:rFonts w:hint="eastAsia" w:ascii="宋体" w:hAnsi="宋体" w:eastAsia="宋体" w:cs="宋体"/>
          <w:color w:val="auto"/>
          <w:highlight w:val="none"/>
        </w:rPr>
        <w:t>五、</w:t>
      </w:r>
      <w:bookmarkEnd w:id="65"/>
      <w:bookmarkEnd w:id="66"/>
      <w:r>
        <w:rPr>
          <w:rFonts w:hint="eastAsia" w:ascii="宋体" w:hAnsi="宋体" w:eastAsia="宋体" w:cs="宋体"/>
          <w:color w:val="auto"/>
          <w:highlight w:val="none"/>
        </w:rPr>
        <w:t>磋商过程</w:t>
      </w:r>
      <w:bookmarkEnd w:id="67"/>
    </w:p>
    <w:p w14:paraId="5E09E33C">
      <w:pPr>
        <w:pStyle w:val="6"/>
        <w:numPr>
          <w:ilvl w:val="2"/>
          <w:numId w:val="0"/>
        </w:numPr>
        <w:bidi w:val="0"/>
        <w:ind w:left="0" w:leftChars="0" w:firstLine="400" w:firstLineChars="0"/>
        <w:rPr>
          <w:rFonts w:hint="eastAsia" w:ascii="宋体" w:hAnsi="宋体" w:eastAsia="宋体" w:cs="宋体"/>
          <w:color w:val="auto"/>
          <w:highlight w:val="none"/>
        </w:rPr>
      </w:pPr>
      <w:bookmarkStart w:id="68" w:name="_Toc7863"/>
      <w:r>
        <w:rPr>
          <w:rFonts w:hint="eastAsia" w:ascii="宋体" w:hAnsi="宋体" w:eastAsia="宋体" w:cs="宋体"/>
          <w:b/>
          <w:color w:val="auto"/>
          <w:kern w:val="2"/>
          <w:sz w:val="30"/>
          <w:szCs w:val="30"/>
          <w:highlight w:val="none"/>
          <w:lang w:val="en-US" w:eastAsia="zh-CN" w:bidi="ar-SA"/>
        </w:rPr>
        <w:t>15．</w:t>
      </w:r>
      <w:r>
        <w:rPr>
          <w:rFonts w:hint="eastAsia" w:ascii="宋体" w:hAnsi="宋体" w:eastAsia="宋体" w:cs="宋体"/>
          <w:color w:val="auto"/>
          <w:highlight w:val="none"/>
        </w:rPr>
        <w:t>磋商过程</w:t>
      </w:r>
      <w:bookmarkEnd w:id="68"/>
    </w:p>
    <w:p w14:paraId="7B00FE9F">
      <w:pPr>
        <w:bidi w:val="0"/>
        <w:rPr>
          <w:rFonts w:hint="eastAsia" w:ascii="宋体" w:hAnsi="宋体" w:eastAsia="宋体" w:cs="宋体"/>
          <w:color w:val="auto"/>
          <w:highlight w:val="none"/>
        </w:rPr>
      </w:pPr>
      <w:r>
        <w:rPr>
          <w:rFonts w:hint="eastAsia" w:ascii="宋体" w:hAnsi="宋体" w:eastAsia="宋体" w:cs="宋体"/>
          <w:color w:val="auto"/>
          <w:highlight w:val="none"/>
        </w:rPr>
        <w:t>15.1采购代理机构按本磋商文件中确定的时间和地点组织本项目的磋商活动。</w:t>
      </w:r>
    </w:p>
    <w:p w14:paraId="49D4F3F5">
      <w:pPr>
        <w:bidi w:val="0"/>
        <w:rPr>
          <w:rFonts w:hint="eastAsia" w:ascii="宋体" w:hAnsi="宋体" w:eastAsia="宋体" w:cs="宋体"/>
          <w:color w:val="auto"/>
          <w:highlight w:val="none"/>
        </w:rPr>
      </w:pPr>
      <w:r>
        <w:rPr>
          <w:rFonts w:hint="eastAsia" w:ascii="宋体" w:hAnsi="宋体" w:eastAsia="宋体" w:cs="宋体"/>
          <w:color w:val="auto"/>
          <w:highlight w:val="none"/>
        </w:rPr>
        <w:t>15.2  磋商时，磋商响应文件中大写金额与小写金额不一致的，以大写金额为准；总价金额与按单价汇总金额不一致的，以单价汇总金额计算结果为准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单价金额小数点有明显错位的，以总价为准，并修改单价；对不同文字文本磋商响应文件的解释发生异议的，以中文文本为准。</w:t>
      </w:r>
    </w:p>
    <w:p w14:paraId="4DA35E05">
      <w:pPr>
        <w:bidi w:val="0"/>
        <w:rPr>
          <w:rFonts w:hint="eastAsia" w:ascii="宋体" w:hAnsi="宋体" w:eastAsia="宋体" w:cs="宋体"/>
          <w:color w:val="auto"/>
          <w:highlight w:val="none"/>
        </w:rPr>
      </w:pPr>
      <w:r>
        <w:rPr>
          <w:rFonts w:hint="eastAsia" w:ascii="宋体" w:hAnsi="宋体" w:eastAsia="宋体" w:cs="宋体"/>
          <w:color w:val="auto"/>
          <w:highlight w:val="none"/>
        </w:rPr>
        <w:t>15.3磋商工作由采购代理机构组织，采购人、采购监管、纪检监察等有关方面代表可根据采购项目的具体情况列席。</w:t>
      </w:r>
    </w:p>
    <w:p w14:paraId="7F9859D5">
      <w:pPr>
        <w:bidi w:val="0"/>
        <w:rPr>
          <w:rFonts w:hint="eastAsia" w:ascii="宋体" w:hAnsi="宋体" w:eastAsia="宋体" w:cs="宋体"/>
          <w:color w:val="auto"/>
          <w:highlight w:val="none"/>
        </w:rPr>
      </w:pPr>
      <w:r>
        <w:rPr>
          <w:rFonts w:hint="eastAsia" w:ascii="宋体" w:hAnsi="宋体" w:eastAsia="宋体" w:cs="宋体"/>
          <w:color w:val="auto"/>
          <w:highlight w:val="none"/>
        </w:rPr>
        <w:t>15.4磋商过程有专人记录，并存档备查。</w:t>
      </w:r>
      <w:bookmarkStart w:id="69" w:name="_Toc376936752"/>
      <w:bookmarkStart w:id="70" w:name="_Toc325726021"/>
    </w:p>
    <w:p w14:paraId="62EB2B19">
      <w:pPr>
        <w:bidi w:val="0"/>
        <w:rPr>
          <w:rFonts w:hint="eastAsia" w:ascii="宋体" w:hAnsi="宋体" w:eastAsia="宋体" w:cs="宋体"/>
          <w:color w:val="auto"/>
          <w:highlight w:val="none"/>
        </w:rPr>
      </w:pPr>
      <w:r>
        <w:rPr>
          <w:rFonts w:hint="eastAsia" w:ascii="宋体" w:hAnsi="宋体" w:eastAsia="宋体" w:cs="宋体"/>
          <w:color w:val="auto"/>
          <w:highlight w:val="none"/>
        </w:rPr>
        <w:t>15.5磋商报价不能超过磋商文件中规定的最高限价。</w:t>
      </w:r>
    </w:p>
    <w:p w14:paraId="5E9848DF">
      <w:p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15.6响应文件解密时间为30分钟，</w:t>
      </w:r>
      <w:r>
        <w:rPr>
          <w:rFonts w:hint="eastAsia" w:ascii="宋体" w:hAnsi="宋体" w:eastAsia="宋体" w:cs="宋体"/>
          <w:color w:val="auto"/>
          <w:highlight w:val="none"/>
        </w:rPr>
        <w:t>开</w:t>
      </w:r>
      <w:r>
        <w:rPr>
          <w:rFonts w:hint="eastAsia" w:ascii="宋体" w:hAnsi="宋体" w:eastAsia="宋体" w:cs="宋体"/>
          <w:color w:val="auto"/>
          <w:highlight w:val="none"/>
          <w:lang w:val="en-US" w:eastAsia="zh-CN"/>
        </w:rPr>
        <w:t>启</w:t>
      </w:r>
      <w:r>
        <w:rPr>
          <w:rFonts w:hint="eastAsia" w:ascii="宋体" w:hAnsi="宋体" w:eastAsia="宋体" w:cs="宋体"/>
          <w:color w:val="auto"/>
          <w:highlight w:val="none"/>
        </w:rPr>
        <w:t>后</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必须在规定的时间内解密文件，因</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原因未能按时完成解密、或上传的</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文件损坏无法正常打开的，将会被视为无效投标。</w:t>
      </w:r>
    </w:p>
    <w:p w14:paraId="5B5EB62A">
      <w:pPr>
        <w:pStyle w:val="5"/>
        <w:bidi w:val="0"/>
        <w:rPr>
          <w:rFonts w:hint="eastAsia" w:ascii="宋体" w:hAnsi="宋体" w:eastAsia="宋体" w:cs="宋体"/>
          <w:color w:val="auto"/>
          <w:highlight w:val="none"/>
        </w:rPr>
      </w:pPr>
      <w:bookmarkStart w:id="71" w:name="_Toc29716"/>
      <w:r>
        <w:rPr>
          <w:rFonts w:hint="eastAsia" w:ascii="宋体" w:hAnsi="宋体" w:eastAsia="宋体" w:cs="宋体"/>
          <w:color w:val="auto"/>
          <w:highlight w:val="none"/>
        </w:rPr>
        <w:t>六、磋商程序及方法</w:t>
      </w:r>
      <w:bookmarkEnd w:id="69"/>
      <w:bookmarkEnd w:id="70"/>
      <w:bookmarkEnd w:id="71"/>
    </w:p>
    <w:p w14:paraId="0B236F7B">
      <w:pPr>
        <w:pStyle w:val="6"/>
        <w:numPr>
          <w:ilvl w:val="2"/>
          <w:numId w:val="0"/>
        </w:numPr>
        <w:bidi w:val="0"/>
        <w:ind w:left="0" w:leftChars="0" w:firstLine="400" w:firstLineChars="0"/>
        <w:rPr>
          <w:rFonts w:hint="eastAsia" w:ascii="宋体" w:hAnsi="宋体" w:eastAsia="宋体" w:cs="宋体"/>
          <w:color w:val="auto"/>
          <w:highlight w:val="none"/>
        </w:rPr>
      </w:pPr>
      <w:bookmarkStart w:id="72" w:name="_Toc376936753"/>
      <w:bookmarkStart w:id="73" w:name="_Toc7422"/>
      <w:bookmarkStart w:id="74" w:name="_Toc325726022"/>
      <w:r>
        <w:rPr>
          <w:rFonts w:hint="eastAsia" w:ascii="宋体" w:hAnsi="宋体" w:eastAsia="宋体" w:cs="宋体"/>
          <w:b/>
          <w:color w:val="auto"/>
          <w:kern w:val="2"/>
          <w:sz w:val="30"/>
          <w:szCs w:val="30"/>
          <w:highlight w:val="none"/>
          <w:lang w:val="en-US" w:eastAsia="zh-CN" w:bidi="ar-SA"/>
        </w:rPr>
        <w:t>16．</w:t>
      </w:r>
      <w:r>
        <w:rPr>
          <w:rFonts w:hint="eastAsia" w:ascii="宋体" w:hAnsi="宋体" w:eastAsia="宋体" w:cs="宋体"/>
          <w:color w:val="auto"/>
          <w:highlight w:val="none"/>
        </w:rPr>
        <w:t>磋商小组</w:t>
      </w:r>
      <w:bookmarkEnd w:id="72"/>
      <w:bookmarkEnd w:id="73"/>
      <w:bookmarkEnd w:id="74"/>
    </w:p>
    <w:p w14:paraId="71443209">
      <w:pPr>
        <w:bidi w:val="0"/>
        <w:rPr>
          <w:rFonts w:hint="eastAsia" w:ascii="宋体" w:hAnsi="宋体" w:eastAsia="宋体" w:cs="宋体"/>
          <w:color w:val="auto"/>
          <w:highlight w:val="none"/>
        </w:rPr>
      </w:pPr>
      <w:r>
        <w:rPr>
          <w:rFonts w:hint="eastAsia" w:ascii="宋体" w:hAnsi="宋体" w:eastAsia="宋体" w:cs="宋体"/>
          <w:color w:val="auto"/>
          <w:highlight w:val="none"/>
        </w:rPr>
        <w:t>16.1 采购代理机构将根据采购项目的特点依法组建磋商小组，其成员由具有一定专业水平的技术、经济等方面的专家和采购人代表等三人以上单数组成。其中技术、经济等方面的专家不少于成员总数的三分之二。</w:t>
      </w:r>
    </w:p>
    <w:p w14:paraId="3A82E56E">
      <w:pPr>
        <w:bidi w:val="0"/>
        <w:rPr>
          <w:rFonts w:hint="eastAsia" w:ascii="宋体" w:hAnsi="宋体" w:eastAsia="宋体" w:cs="宋体"/>
          <w:color w:val="auto"/>
          <w:highlight w:val="none"/>
        </w:rPr>
      </w:pPr>
      <w:r>
        <w:rPr>
          <w:rFonts w:hint="eastAsia" w:ascii="宋体" w:hAnsi="宋体" w:eastAsia="宋体" w:cs="宋体"/>
          <w:color w:val="auto"/>
          <w:highlight w:val="none"/>
        </w:rPr>
        <w:t>16.2磋商由采购代理机构负责组织，具体磋商事务由依法组建的磋商小组负责，并独立履行下列职责：</w:t>
      </w:r>
    </w:p>
    <w:p w14:paraId="34567E19">
      <w:pPr>
        <w:bidi w:val="0"/>
        <w:rPr>
          <w:rFonts w:hint="eastAsia" w:ascii="宋体" w:hAnsi="宋体" w:eastAsia="宋体" w:cs="宋体"/>
          <w:color w:val="auto"/>
          <w:highlight w:val="none"/>
        </w:rPr>
      </w:pPr>
      <w:r>
        <w:rPr>
          <w:rFonts w:hint="eastAsia" w:ascii="宋体" w:hAnsi="宋体" w:eastAsia="宋体" w:cs="宋体"/>
          <w:color w:val="auto"/>
          <w:highlight w:val="none"/>
        </w:rPr>
        <w:t>（1）审查磋商响应文件是否符合磋商文件要求，并作出评价；</w:t>
      </w:r>
    </w:p>
    <w:p w14:paraId="1F78E3E0">
      <w:pPr>
        <w:bidi w:val="0"/>
        <w:rPr>
          <w:rFonts w:hint="eastAsia" w:ascii="宋体" w:hAnsi="宋体" w:eastAsia="宋体" w:cs="宋体"/>
          <w:color w:val="auto"/>
          <w:highlight w:val="none"/>
        </w:rPr>
      </w:pPr>
      <w:r>
        <w:rPr>
          <w:rFonts w:hint="eastAsia" w:ascii="宋体" w:hAnsi="宋体" w:eastAsia="宋体" w:cs="宋体"/>
          <w:color w:val="auto"/>
          <w:highlight w:val="none"/>
        </w:rPr>
        <w:t>（2）要求</w:t>
      </w:r>
      <w:r>
        <w:rPr>
          <w:rFonts w:hint="eastAsia" w:ascii="宋体" w:hAnsi="宋体" w:eastAsia="宋体" w:cs="宋体"/>
          <w:color w:val="auto"/>
          <w:highlight w:val="none"/>
          <w:lang w:eastAsia="zh-CN"/>
        </w:rPr>
        <w:t>磋商供应商</w:t>
      </w:r>
      <w:r>
        <w:rPr>
          <w:rFonts w:hint="eastAsia" w:ascii="宋体" w:hAnsi="宋体" w:eastAsia="宋体" w:cs="宋体"/>
          <w:color w:val="auto"/>
          <w:highlight w:val="none"/>
        </w:rPr>
        <w:t>对磋商响应文件有关事项作出解释或澄清；</w:t>
      </w:r>
    </w:p>
    <w:p w14:paraId="5177DF9F">
      <w:pPr>
        <w:bidi w:val="0"/>
        <w:rPr>
          <w:rFonts w:hint="eastAsia" w:ascii="宋体" w:hAnsi="宋体" w:eastAsia="宋体" w:cs="宋体"/>
          <w:color w:val="auto"/>
          <w:highlight w:val="none"/>
        </w:rPr>
      </w:pPr>
      <w:r>
        <w:rPr>
          <w:rFonts w:hint="eastAsia" w:ascii="宋体" w:hAnsi="宋体" w:eastAsia="宋体" w:cs="宋体"/>
          <w:color w:val="auto"/>
          <w:highlight w:val="none"/>
        </w:rPr>
        <w:t>（3）推荐预成交候选供应商；</w:t>
      </w:r>
    </w:p>
    <w:p w14:paraId="4DF4A622">
      <w:pPr>
        <w:bidi w:val="0"/>
        <w:rPr>
          <w:rFonts w:hint="eastAsia" w:ascii="宋体" w:hAnsi="宋体" w:eastAsia="宋体" w:cs="宋体"/>
          <w:color w:val="auto"/>
          <w:highlight w:val="none"/>
        </w:rPr>
      </w:pPr>
      <w:r>
        <w:rPr>
          <w:rFonts w:hint="eastAsia" w:ascii="宋体" w:hAnsi="宋体" w:eastAsia="宋体" w:cs="宋体"/>
          <w:color w:val="auto"/>
          <w:highlight w:val="none"/>
        </w:rPr>
        <w:t>（4）对非法干预评标工作的人员和机构进行举报或投诉。</w:t>
      </w:r>
    </w:p>
    <w:p w14:paraId="526BA334">
      <w:pPr>
        <w:bidi w:val="0"/>
        <w:rPr>
          <w:rFonts w:hint="eastAsia" w:ascii="宋体" w:hAnsi="宋体" w:eastAsia="宋体" w:cs="宋体"/>
          <w:color w:val="auto"/>
          <w:highlight w:val="none"/>
        </w:rPr>
      </w:pPr>
      <w:r>
        <w:rPr>
          <w:rFonts w:hint="eastAsia" w:ascii="宋体" w:hAnsi="宋体" w:eastAsia="宋体" w:cs="宋体"/>
          <w:color w:val="auto"/>
          <w:highlight w:val="none"/>
        </w:rPr>
        <w:t>16.3磋商小组应遵守并履行下列义务：</w:t>
      </w:r>
    </w:p>
    <w:p w14:paraId="71BC2199">
      <w:pPr>
        <w:bidi w:val="0"/>
        <w:rPr>
          <w:rFonts w:hint="eastAsia" w:ascii="宋体" w:hAnsi="宋体" w:eastAsia="宋体" w:cs="宋体"/>
          <w:color w:val="auto"/>
          <w:highlight w:val="none"/>
        </w:rPr>
      </w:pPr>
      <w:r>
        <w:rPr>
          <w:rFonts w:hint="eastAsia" w:ascii="宋体" w:hAnsi="宋体" w:eastAsia="宋体" w:cs="宋体"/>
          <w:color w:val="auto"/>
          <w:highlight w:val="none"/>
        </w:rPr>
        <w:t>（1）遵纪守法，客观、公正、廉洁地履行职责；</w:t>
      </w:r>
    </w:p>
    <w:p w14:paraId="3681F792">
      <w:pPr>
        <w:bidi w:val="0"/>
        <w:rPr>
          <w:rFonts w:hint="eastAsia" w:ascii="宋体" w:hAnsi="宋体" w:eastAsia="宋体" w:cs="宋体"/>
          <w:color w:val="auto"/>
          <w:highlight w:val="none"/>
        </w:rPr>
      </w:pPr>
      <w:r>
        <w:rPr>
          <w:rFonts w:hint="eastAsia" w:ascii="宋体" w:hAnsi="宋体" w:eastAsia="宋体" w:cs="宋体"/>
          <w:color w:val="auto"/>
          <w:highlight w:val="none"/>
        </w:rPr>
        <w:t>（2）按照磋商文件规定的评审方法和评审标准进行评审，对评审意见承担磋商小组成员责任；</w:t>
      </w:r>
    </w:p>
    <w:p w14:paraId="7AF71694">
      <w:pPr>
        <w:bidi w:val="0"/>
        <w:rPr>
          <w:rFonts w:hint="eastAsia" w:ascii="宋体" w:hAnsi="宋体" w:eastAsia="宋体" w:cs="宋体"/>
          <w:color w:val="auto"/>
          <w:highlight w:val="none"/>
        </w:rPr>
      </w:pPr>
      <w:r>
        <w:rPr>
          <w:rFonts w:hint="eastAsia" w:ascii="宋体" w:hAnsi="宋体" w:eastAsia="宋体" w:cs="宋体"/>
          <w:color w:val="auto"/>
          <w:highlight w:val="none"/>
        </w:rPr>
        <w:t>（3）对磋商响应文件、磋商情况和磋商中获悉的商业秘密保密；</w:t>
      </w:r>
    </w:p>
    <w:p w14:paraId="1E24EA39">
      <w:pPr>
        <w:bidi w:val="0"/>
        <w:rPr>
          <w:rFonts w:hint="eastAsia" w:ascii="宋体" w:hAnsi="宋体" w:eastAsia="宋体" w:cs="宋体"/>
          <w:color w:val="auto"/>
          <w:highlight w:val="none"/>
        </w:rPr>
      </w:pPr>
      <w:r>
        <w:rPr>
          <w:rFonts w:hint="eastAsia" w:ascii="宋体" w:hAnsi="宋体" w:eastAsia="宋体" w:cs="宋体"/>
          <w:color w:val="auto"/>
          <w:highlight w:val="none"/>
        </w:rPr>
        <w:t>（4）参与磋商报告的起草；</w:t>
      </w:r>
    </w:p>
    <w:p w14:paraId="28D25968">
      <w:pPr>
        <w:bidi w:val="0"/>
        <w:rPr>
          <w:rFonts w:hint="eastAsia" w:ascii="宋体" w:hAnsi="宋体" w:eastAsia="宋体" w:cs="宋体"/>
          <w:color w:val="auto"/>
          <w:highlight w:val="none"/>
        </w:rPr>
      </w:pPr>
      <w:r>
        <w:rPr>
          <w:rFonts w:hint="eastAsia" w:ascii="宋体" w:hAnsi="宋体" w:eastAsia="宋体" w:cs="宋体"/>
          <w:color w:val="auto"/>
          <w:highlight w:val="none"/>
        </w:rPr>
        <w:t>（5）解答</w:t>
      </w:r>
      <w:r>
        <w:rPr>
          <w:rFonts w:hint="eastAsia" w:ascii="宋体" w:hAnsi="宋体" w:eastAsia="宋体" w:cs="宋体"/>
          <w:color w:val="auto"/>
          <w:highlight w:val="none"/>
          <w:lang w:eastAsia="zh-CN"/>
        </w:rPr>
        <w:t>磋商供应商</w:t>
      </w:r>
      <w:r>
        <w:rPr>
          <w:rFonts w:hint="eastAsia" w:ascii="宋体" w:hAnsi="宋体" w:eastAsia="宋体" w:cs="宋体"/>
          <w:color w:val="auto"/>
          <w:highlight w:val="none"/>
        </w:rPr>
        <w:t>及有关方面的质疑；</w:t>
      </w:r>
    </w:p>
    <w:p w14:paraId="7D27F86F">
      <w:pPr>
        <w:bidi w:val="0"/>
        <w:rPr>
          <w:rFonts w:hint="eastAsia" w:ascii="宋体" w:hAnsi="宋体" w:eastAsia="宋体" w:cs="宋体"/>
          <w:color w:val="auto"/>
          <w:highlight w:val="none"/>
        </w:rPr>
      </w:pPr>
      <w:r>
        <w:rPr>
          <w:rFonts w:hint="eastAsia" w:ascii="宋体" w:hAnsi="宋体" w:eastAsia="宋体" w:cs="宋体"/>
          <w:color w:val="auto"/>
          <w:highlight w:val="none"/>
        </w:rPr>
        <w:t>（6）配合纪检部门进行投诉处理工作。</w:t>
      </w:r>
    </w:p>
    <w:p w14:paraId="062FF90E">
      <w:pPr>
        <w:bidi w:val="0"/>
        <w:rPr>
          <w:rFonts w:hint="eastAsia" w:ascii="宋体" w:hAnsi="宋体" w:eastAsia="宋体" w:cs="宋体"/>
          <w:color w:val="auto"/>
          <w:highlight w:val="none"/>
        </w:rPr>
      </w:pPr>
      <w:r>
        <w:rPr>
          <w:rFonts w:hint="eastAsia" w:ascii="宋体" w:hAnsi="宋体" w:eastAsia="宋体" w:cs="宋体"/>
          <w:color w:val="auto"/>
          <w:highlight w:val="none"/>
        </w:rPr>
        <w:t>16.4磋商小组所有成员应当集中与单一供应商分别进行磋商，并给予所有参加磋商的供应商平等的磋商机会。</w:t>
      </w:r>
    </w:p>
    <w:p w14:paraId="245E0218">
      <w:pPr>
        <w:bidi w:val="0"/>
        <w:rPr>
          <w:rFonts w:hint="eastAsia" w:ascii="宋体" w:hAnsi="宋体" w:eastAsia="宋体" w:cs="宋体"/>
          <w:color w:val="auto"/>
          <w:highlight w:val="none"/>
        </w:rPr>
      </w:pPr>
      <w:r>
        <w:rPr>
          <w:rFonts w:hint="eastAsia" w:ascii="宋体" w:hAnsi="宋体" w:eastAsia="宋体" w:cs="宋体"/>
          <w:color w:val="auto"/>
          <w:highlight w:val="none"/>
        </w:rPr>
        <w:t>16.5磋商工作在有关部门的监督和严格保密的情况下依法开展，任何单位和个人不得非法干预、影响磋商工作和磋商结果。</w:t>
      </w:r>
    </w:p>
    <w:p w14:paraId="7656E4E7">
      <w:pPr>
        <w:pStyle w:val="6"/>
        <w:numPr>
          <w:ilvl w:val="2"/>
          <w:numId w:val="0"/>
        </w:numPr>
        <w:bidi w:val="0"/>
        <w:ind w:left="0" w:leftChars="0" w:firstLine="400" w:firstLineChars="0"/>
        <w:rPr>
          <w:rFonts w:hint="eastAsia" w:ascii="宋体" w:hAnsi="宋体" w:eastAsia="宋体" w:cs="宋体"/>
          <w:color w:val="auto"/>
          <w:highlight w:val="none"/>
        </w:rPr>
      </w:pPr>
      <w:bookmarkStart w:id="75" w:name="_Toc325726023"/>
      <w:bookmarkStart w:id="76" w:name="_Toc376936754"/>
      <w:bookmarkStart w:id="77" w:name="_Toc26095"/>
      <w:r>
        <w:rPr>
          <w:rFonts w:hint="eastAsia" w:ascii="宋体" w:hAnsi="宋体" w:eastAsia="宋体" w:cs="宋体"/>
          <w:b/>
          <w:color w:val="auto"/>
          <w:kern w:val="2"/>
          <w:sz w:val="30"/>
          <w:szCs w:val="30"/>
          <w:highlight w:val="none"/>
          <w:lang w:val="en-US" w:eastAsia="zh-CN" w:bidi="ar-SA"/>
        </w:rPr>
        <w:t>17．</w:t>
      </w:r>
      <w:r>
        <w:rPr>
          <w:rFonts w:hint="eastAsia" w:ascii="宋体" w:hAnsi="宋体" w:eastAsia="宋体" w:cs="宋体"/>
          <w:color w:val="auto"/>
          <w:highlight w:val="none"/>
        </w:rPr>
        <w:t>磋商程序</w:t>
      </w:r>
      <w:bookmarkEnd w:id="75"/>
      <w:bookmarkEnd w:id="76"/>
      <w:bookmarkEnd w:id="77"/>
    </w:p>
    <w:p w14:paraId="322DF7FB">
      <w:pPr>
        <w:bidi w:val="0"/>
        <w:rPr>
          <w:rFonts w:hint="eastAsia" w:ascii="宋体" w:hAnsi="宋体" w:eastAsia="宋体" w:cs="宋体"/>
          <w:color w:val="auto"/>
          <w:highlight w:val="none"/>
        </w:rPr>
      </w:pPr>
      <w:r>
        <w:rPr>
          <w:rFonts w:hint="eastAsia" w:ascii="宋体" w:hAnsi="宋体" w:eastAsia="宋体" w:cs="宋体"/>
          <w:color w:val="auto"/>
          <w:highlight w:val="none"/>
        </w:rPr>
        <w:t>17.1进入磋商阶段后，磋商小组成员按照客观、公正、审慎的原则，根据磋商文件规定的评审程序、评审方法和评审标准进行独立开展评审工作，负责审议所有磋商响应文件，并按先初审、后复审的程序对磋商响应文件进行评审、评分。</w:t>
      </w:r>
    </w:p>
    <w:p w14:paraId="3F996D1C">
      <w:pPr>
        <w:bidi w:val="0"/>
        <w:rPr>
          <w:rFonts w:hint="eastAsia" w:ascii="宋体" w:hAnsi="宋体" w:eastAsia="宋体" w:cs="宋体"/>
          <w:color w:val="auto"/>
          <w:highlight w:val="none"/>
        </w:rPr>
      </w:pPr>
      <w:r>
        <w:rPr>
          <w:rFonts w:hint="eastAsia" w:ascii="宋体" w:hAnsi="宋体" w:eastAsia="宋体" w:cs="宋体"/>
          <w:color w:val="auto"/>
          <w:highlight w:val="none"/>
        </w:rPr>
        <w:t>17.2初审阶段为资格性审查和符合性审查。磋商响应文件在响应磋商文件要求方面出现的偏离，分为实质性偏离和非实质性偏离。</w:t>
      </w:r>
    </w:p>
    <w:p w14:paraId="085B634E">
      <w:pPr>
        <w:bidi w:val="0"/>
        <w:rPr>
          <w:rFonts w:hint="eastAsia" w:ascii="宋体" w:hAnsi="宋体" w:eastAsia="宋体" w:cs="宋体"/>
          <w:color w:val="auto"/>
          <w:highlight w:val="none"/>
        </w:rPr>
      </w:pPr>
      <w:r>
        <w:rPr>
          <w:rFonts w:hint="eastAsia" w:ascii="宋体" w:hAnsi="宋体" w:eastAsia="宋体" w:cs="宋体"/>
          <w:color w:val="auto"/>
          <w:highlight w:val="none"/>
        </w:rPr>
        <w:t>17.2.1实质性偏离是指磋商响应文件未能实质性响应磋商文件的要求。以下情况属于实质性偏离，磋商响应文件有下列情况之一的，按无效响应处理。</w:t>
      </w:r>
    </w:p>
    <w:p w14:paraId="02BAE0F8">
      <w:pPr>
        <w:bidi w:val="0"/>
        <w:rPr>
          <w:rFonts w:hint="eastAsia" w:ascii="宋体" w:hAnsi="宋体" w:eastAsia="宋体" w:cs="宋体"/>
          <w:color w:val="auto"/>
          <w:highlight w:val="none"/>
        </w:rPr>
      </w:pPr>
      <w:r>
        <w:rPr>
          <w:rFonts w:hint="eastAsia" w:ascii="宋体" w:hAnsi="宋体" w:eastAsia="宋体" w:cs="宋体"/>
          <w:color w:val="auto"/>
          <w:highlight w:val="none"/>
        </w:rPr>
        <w:t>（1）不符合第</w:t>
      </w:r>
      <w:r>
        <w:rPr>
          <w:rFonts w:hint="eastAsia" w:ascii="宋体" w:hAnsi="宋体" w:eastAsia="宋体" w:cs="宋体"/>
          <w:color w:val="auto"/>
          <w:highlight w:val="none"/>
          <w:lang w:val="zh-CN"/>
        </w:rPr>
        <w:t>2</w:t>
      </w:r>
      <w:r>
        <w:rPr>
          <w:rFonts w:hint="eastAsia" w:ascii="宋体" w:hAnsi="宋体" w:eastAsia="宋体" w:cs="宋体"/>
          <w:color w:val="auto"/>
          <w:highlight w:val="none"/>
        </w:rPr>
        <w:t>.</w:t>
      </w:r>
      <w:r>
        <w:rPr>
          <w:rFonts w:hint="eastAsia" w:ascii="宋体" w:hAnsi="宋体" w:eastAsia="宋体" w:cs="宋体"/>
          <w:color w:val="auto"/>
          <w:highlight w:val="none"/>
          <w:lang w:val="zh-CN"/>
        </w:rPr>
        <w:t>2款“合格的磋商供应商”之规定的；</w:t>
      </w:r>
    </w:p>
    <w:p w14:paraId="4F8BEB0E">
      <w:pPr>
        <w:bidi w:val="0"/>
        <w:rPr>
          <w:rFonts w:hint="eastAsia" w:ascii="宋体" w:hAnsi="宋体" w:eastAsia="宋体" w:cs="宋体"/>
          <w:color w:val="auto"/>
          <w:highlight w:val="none"/>
        </w:rPr>
      </w:pPr>
      <w:r>
        <w:rPr>
          <w:rFonts w:hint="eastAsia" w:ascii="宋体" w:hAnsi="宋体" w:eastAsia="宋体" w:cs="宋体"/>
          <w:color w:val="auto"/>
          <w:highlight w:val="none"/>
          <w:lang w:val="zh-CN"/>
        </w:rPr>
        <w:t>（2）未按第10</w:t>
      </w:r>
      <w:r>
        <w:rPr>
          <w:rFonts w:hint="eastAsia" w:ascii="宋体" w:hAnsi="宋体" w:eastAsia="宋体" w:cs="宋体"/>
          <w:color w:val="auto"/>
          <w:highlight w:val="none"/>
        </w:rPr>
        <w:t>.</w:t>
      </w:r>
      <w:r>
        <w:rPr>
          <w:rFonts w:hint="eastAsia" w:ascii="宋体" w:hAnsi="宋体" w:eastAsia="宋体" w:cs="宋体"/>
          <w:color w:val="auto"/>
          <w:highlight w:val="none"/>
          <w:lang w:val="zh-CN"/>
        </w:rPr>
        <w:t>1款（1）-（1</w:t>
      </w:r>
      <w:r>
        <w:rPr>
          <w:rFonts w:hint="eastAsia" w:ascii="宋体" w:hAnsi="宋体" w:cs="宋体"/>
          <w:color w:val="auto"/>
          <w:highlight w:val="none"/>
          <w:lang w:val="en-US" w:eastAsia="zh-CN"/>
        </w:rPr>
        <w:t>3</w:t>
      </w:r>
      <w:r>
        <w:rPr>
          <w:rFonts w:hint="eastAsia" w:ascii="宋体" w:hAnsi="宋体" w:eastAsia="宋体" w:cs="宋体"/>
          <w:color w:val="auto"/>
          <w:highlight w:val="none"/>
          <w:lang w:val="zh-CN"/>
        </w:rPr>
        <w:t>）要求提供相关资料的；</w:t>
      </w:r>
    </w:p>
    <w:p w14:paraId="47E3E2EB">
      <w:pPr>
        <w:bidi w:val="0"/>
        <w:rPr>
          <w:rFonts w:hint="eastAsia" w:ascii="宋体" w:hAnsi="宋体" w:eastAsia="宋体" w:cs="宋体"/>
          <w:color w:val="auto"/>
          <w:highlight w:val="none"/>
        </w:rPr>
      </w:pPr>
      <w:r>
        <w:rPr>
          <w:rFonts w:hint="eastAsia" w:ascii="宋体" w:hAnsi="宋体" w:eastAsia="宋体" w:cs="宋体"/>
          <w:color w:val="auto"/>
          <w:highlight w:val="none"/>
        </w:rPr>
        <w:t>（3）磋商响应文件内容没有按磋商文件规定和要求签字、盖章的；</w:t>
      </w:r>
    </w:p>
    <w:p w14:paraId="6D54073F">
      <w:pPr>
        <w:bidi w:val="0"/>
        <w:rPr>
          <w:rFonts w:hint="eastAsia" w:ascii="宋体" w:hAnsi="宋体" w:eastAsia="宋体" w:cs="宋体"/>
          <w:color w:val="auto"/>
          <w:highlight w:val="none"/>
        </w:rPr>
      </w:pPr>
      <w:r>
        <w:rPr>
          <w:rFonts w:hint="eastAsia" w:ascii="宋体" w:hAnsi="宋体" w:eastAsia="宋体" w:cs="宋体"/>
          <w:color w:val="auto"/>
          <w:highlight w:val="none"/>
        </w:rPr>
        <w:t>（4）磋商响应文件编排混乱，且擅自修改磋商文件规定的格式内容的；</w:t>
      </w:r>
    </w:p>
    <w:p w14:paraId="4B576242">
      <w:pPr>
        <w:bidi w:val="0"/>
        <w:rPr>
          <w:rFonts w:hint="eastAsia" w:ascii="宋体" w:hAnsi="宋体" w:eastAsia="宋体" w:cs="宋体"/>
          <w:color w:val="auto"/>
          <w:highlight w:val="none"/>
        </w:rPr>
      </w:pPr>
      <w:r>
        <w:rPr>
          <w:rFonts w:hint="eastAsia" w:ascii="宋体" w:hAnsi="宋体" w:eastAsia="宋体" w:cs="宋体"/>
          <w:color w:val="auto"/>
          <w:highlight w:val="none"/>
        </w:rPr>
        <w:t>（5）项目服务期、磋商有效期、法定代表人授权期限不能满足磋商文件要求的；</w:t>
      </w:r>
    </w:p>
    <w:p w14:paraId="1062F98E">
      <w:pPr>
        <w:bidi w:val="0"/>
        <w:rPr>
          <w:rFonts w:hint="eastAsia" w:ascii="宋体" w:hAnsi="宋体" w:eastAsia="宋体" w:cs="宋体"/>
          <w:color w:val="auto"/>
          <w:highlight w:val="none"/>
        </w:rPr>
      </w:pPr>
      <w:r>
        <w:rPr>
          <w:rFonts w:hint="eastAsia" w:ascii="宋体" w:hAnsi="宋体" w:eastAsia="宋体" w:cs="宋体"/>
          <w:color w:val="auto"/>
          <w:highlight w:val="none"/>
        </w:rPr>
        <w:t>（6）磋商项目的服务内容、服务标准明显不符合采购项目要求的；</w:t>
      </w:r>
    </w:p>
    <w:p w14:paraId="24C22236">
      <w:pPr>
        <w:bidi w:val="0"/>
        <w:rPr>
          <w:rFonts w:hint="eastAsia" w:ascii="宋体" w:hAnsi="宋体" w:eastAsia="宋体" w:cs="宋体"/>
          <w:color w:val="auto"/>
          <w:highlight w:val="none"/>
        </w:rPr>
      </w:pPr>
      <w:r>
        <w:rPr>
          <w:rFonts w:hint="eastAsia" w:ascii="宋体" w:hAnsi="宋体" w:eastAsia="宋体" w:cs="宋体"/>
          <w:color w:val="auto"/>
          <w:highlight w:val="none"/>
        </w:rPr>
        <w:t>（7）磋商响应文件中附有采购人不能接受的条件的；</w:t>
      </w:r>
    </w:p>
    <w:p w14:paraId="1707D4AD">
      <w:pPr>
        <w:bidi w:val="0"/>
        <w:rPr>
          <w:rFonts w:hint="eastAsia" w:ascii="宋体" w:hAnsi="宋体" w:eastAsia="宋体" w:cs="宋体"/>
          <w:color w:val="auto"/>
          <w:highlight w:val="none"/>
        </w:rPr>
      </w:pPr>
      <w:r>
        <w:rPr>
          <w:rFonts w:hint="eastAsia" w:ascii="宋体" w:hAnsi="宋体" w:eastAsia="宋体" w:cs="宋体"/>
          <w:color w:val="auto"/>
          <w:highlight w:val="none"/>
        </w:rPr>
        <w:t>（8）磋商小组认为应按无效响应处理的其他情况；</w:t>
      </w:r>
    </w:p>
    <w:p w14:paraId="3872B608">
      <w:pPr>
        <w:bidi w:val="0"/>
        <w:rPr>
          <w:rFonts w:hint="eastAsia" w:ascii="宋体" w:hAnsi="宋体" w:eastAsia="宋体" w:cs="宋体"/>
          <w:color w:val="auto"/>
          <w:highlight w:val="none"/>
        </w:rPr>
      </w:pPr>
      <w:r>
        <w:rPr>
          <w:rFonts w:hint="eastAsia" w:ascii="宋体" w:hAnsi="宋体" w:eastAsia="宋体" w:cs="宋体"/>
          <w:color w:val="auto"/>
          <w:highlight w:val="none"/>
        </w:rPr>
        <w:t>（9）法律、法规规定的其他情形。</w:t>
      </w:r>
    </w:p>
    <w:p w14:paraId="545F1671">
      <w:pPr>
        <w:bidi w:val="0"/>
        <w:rPr>
          <w:rFonts w:hint="eastAsia" w:ascii="宋体" w:hAnsi="宋体" w:eastAsia="宋体" w:cs="宋体"/>
          <w:color w:val="auto"/>
          <w:highlight w:val="none"/>
        </w:rPr>
      </w:pPr>
      <w:r>
        <w:rPr>
          <w:rFonts w:hint="eastAsia" w:ascii="宋体" w:hAnsi="宋体" w:eastAsia="宋体" w:cs="宋体"/>
          <w:color w:val="auto"/>
          <w:highlight w:val="none"/>
        </w:rPr>
        <w:t>17.2.2非实质性偏离是对磋商响应文件的有效性、完整性和响应程度进行审查时，可以要求供应商对磋商响应文件中含义不明确、同类问题表述不一致或者明显文字和计算错误的内容作出必要的澄清、说明或者补正后这些内容不会改变磋商响应文件的实质性。以下情况属于非实质性偏离：</w:t>
      </w:r>
    </w:p>
    <w:p w14:paraId="45411E52">
      <w:pPr>
        <w:bidi w:val="0"/>
        <w:rPr>
          <w:rFonts w:hint="eastAsia" w:ascii="宋体" w:hAnsi="宋体" w:eastAsia="宋体" w:cs="宋体"/>
          <w:color w:val="auto"/>
          <w:highlight w:val="none"/>
        </w:rPr>
      </w:pPr>
      <w:r>
        <w:rPr>
          <w:rFonts w:hint="eastAsia" w:ascii="宋体" w:hAnsi="宋体" w:eastAsia="宋体" w:cs="宋体"/>
          <w:color w:val="auto"/>
          <w:highlight w:val="none"/>
        </w:rPr>
        <w:t>（1）磋商响应文件文字表述的内容含义不明确；</w:t>
      </w:r>
    </w:p>
    <w:p w14:paraId="3E67D87A">
      <w:pPr>
        <w:bidi w:val="0"/>
        <w:rPr>
          <w:rFonts w:hint="eastAsia" w:ascii="宋体" w:hAnsi="宋体" w:eastAsia="宋体" w:cs="宋体"/>
          <w:color w:val="auto"/>
          <w:highlight w:val="none"/>
        </w:rPr>
      </w:pPr>
      <w:r>
        <w:rPr>
          <w:rFonts w:hint="eastAsia" w:ascii="宋体" w:hAnsi="宋体" w:eastAsia="宋体" w:cs="宋体"/>
          <w:color w:val="auto"/>
          <w:highlight w:val="none"/>
        </w:rPr>
        <w:t>（2）同类问题表述不一致；</w:t>
      </w:r>
    </w:p>
    <w:p w14:paraId="11CB3754">
      <w:pPr>
        <w:bidi w:val="0"/>
        <w:rPr>
          <w:rFonts w:hint="eastAsia" w:ascii="宋体" w:hAnsi="宋体" w:eastAsia="宋体" w:cs="宋体"/>
          <w:color w:val="auto"/>
          <w:highlight w:val="none"/>
        </w:rPr>
      </w:pPr>
      <w:r>
        <w:rPr>
          <w:rFonts w:hint="eastAsia" w:ascii="宋体" w:hAnsi="宋体" w:eastAsia="宋体" w:cs="宋体"/>
          <w:color w:val="auto"/>
          <w:highlight w:val="none"/>
        </w:rPr>
        <w:t>（3）有明显文字和计算错误；</w:t>
      </w:r>
    </w:p>
    <w:p w14:paraId="78ADFFD9">
      <w:pPr>
        <w:bidi w:val="0"/>
        <w:rPr>
          <w:rFonts w:hint="eastAsia" w:ascii="宋体" w:hAnsi="宋体" w:eastAsia="宋体" w:cs="宋体"/>
          <w:color w:val="auto"/>
          <w:highlight w:val="none"/>
        </w:rPr>
      </w:pPr>
      <w:r>
        <w:rPr>
          <w:rFonts w:hint="eastAsia" w:ascii="宋体" w:hAnsi="宋体" w:eastAsia="宋体" w:cs="宋体"/>
          <w:color w:val="auto"/>
          <w:highlight w:val="none"/>
        </w:rPr>
        <w:t>（4）提供的技术信息和数据资料不完整；</w:t>
      </w:r>
    </w:p>
    <w:p w14:paraId="6B912FDC">
      <w:pPr>
        <w:bidi w:val="0"/>
        <w:rPr>
          <w:rFonts w:hint="eastAsia" w:ascii="宋体" w:hAnsi="宋体" w:eastAsia="宋体" w:cs="宋体"/>
          <w:color w:val="auto"/>
          <w:highlight w:val="none"/>
        </w:rPr>
      </w:pPr>
      <w:r>
        <w:rPr>
          <w:rFonts w:hint="eastAsia" w:ascii="宋体" w:hAnsi="宋体" w:eastAsia="宋体" w:cs="宋体"/>
          <w:color w:val="auto"/>
          <w:highlight w:val="none"/>
        </w:rPr>
        <w:t>（5）磋商小组认定的其他非实质性偏离情况。</w:t>
      </w:r>
    </w:p>
    <w:p w14:paraId="278D754B">
      <w:pPr>
        <w:bidi w:val="0"/>
        <w:rPr>
          <w:rFonts w:hint="eastAsia" w:ascii="宋体" w:hAnsi="宋体" w:eastAsia="宋体" w:cs="宋体"/>
          <w:color w:val="auto"/>
          <w:highlight w:val="none"/>
        </w:rPr>
      </w:pPr>
      <w:r>
        <w:rPr>
          <w:rFonts w:hint="eastAsia" w:ascii="宋体" w:hAnsi="宋体" w:eastAsia="宋体" w:cs="宋体"/>
          <w:color w:val="auto"/>
          <w:highlight w:val="none"/>
        </w:rPr>
        <w:t>磋商响应文件有上述情形之一的，磋商小组应当要求</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在规定的时间内予以澄清、说明。澄清说明材料由供应商法定代表人或委托代理人在规定的时间上传至指定地点等候答疑，并对评委提出的质疑做出应答（如不在线则视为自动放弃）。该内容不得超出磋商响应文件的范围或者改变磋商响应文件的实质性内容，并作为磋商响应文件的组成部分。答疑期间，</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拒绝或在规定的时间内未做出澄清、说明，或澄清、说明的内容仍不能说明问题的，磋商小组将按照磋商文件的要求对现有的磋商资料做出评审意见。磋商小组对</w:t>
      </w:r>
      <w:r>
        <w:rPr>
          <w:rFonts w:hint="eastAsia" w:ascii="宋体" w:hAnsi="宋体" w:eastAsia="宋体" w:cs="宋体"/>
          <w:color w:val="auto"/>
          <w:highlight w:val="none"/>
          <w:lang w:eastAsia="zh-CN"/>
        </w:rPr>
        <w:t>磋商供应商</w:t>
      </w:r>
      <w:r>
        <w:rPr>
          <w:rFonts w:hint="eastAsia" w:ascii="宋体" w:hAnsi="宋体" w:eastAsia="宋体" w:cs="宋体"/>
          <w:color w:val="auto"/>
          <w:highlight w:val="none"/>
        </w:rPr>
        <w:t>主动提出的澄清、说明的内容将不予接受。</w:t>
      </w:r>
    </w:p>
    <w:p w14:paraId="45E5B017">
      <w:pPr>
        <w:bidi w:val="0"/>
        <w:rPr>
          <w:rFonts w:hint="eastAsia" w:ascii="宋体" w:hAnsi="宋体" w:eastAsia="宋体" w:cs="宋体"/>
          <w:color w:val="auto"/>
          <w:highlight w:val="none"/>
        </w:rPr>
      </w:pPr>
      <w:r>
        <w:rPr>
          <w:rFonts w:hint="eastAsia" w:ascii="宋体" w:hAnsi="宋体" w:eastAsia="宋体" w:cs="宋体"/>
          <w:color w:val="auto"/>
          <w:highlight w:val="none"/>
        </w:rPr>
        <w:t>17.2.3 在磋商响应文件初审、复审过程中，如果磋商小组成员出现对评审结果有不同意见的，应当以书面形式反映，磋商报告中应注明该不同意见。磋商小组成员拒绝在磋商报告中签字又不书面说明其不同意见和理由的，视为同意磋商结果。</w:t>
      </w:r>
    </w:p>
    <w:p w14:paraId="6B59F8C2">
      <w:pPr>
        <w:bidi w:val="0"/>
        <w:rPr>
          <w:rFonts w:hint="eastAsia" w:ascii="宋体" w:hAnsi="宋体" w:eastAsia="宋体" w:cs="宋体"/>
          <w:color w:val="auto"/>
          <w:highlight w:val="none"/>
        </w:rPr>
      </w:pPr>
      <w:r>
        <w:rPr>
          <w:rFonts w:hint="eastAsia" w:ascii="宋体" w:hAnsi="宋体" w:eastAsia="宋体" w:cs="宋体"/>
          <w:color w:val="auto"/>
          <w:highlight w:val="none"/>
        </w:rPr>
        <w:t>17.3 在磋商过程中，磋商小组可以根据磋商文件和磋商情况实质性变动采购</w:t>
      </w:r>
      <w:r>
        <w:rPr>
          <w:rFonts w:hint="eastAsia" w:ascii="宋体" w:hAnsi="宋体" w:eastAsia="宋体" w:cs="宋体"/>
          <w:color w:val="auto"/>
          <w:highlight w:val="none"/>
          <w:lang w:val="en-US" w:eastAsia="zh-CN"/>
        </w:rPr>
        <w:t>项目</w:t>
      </w:r>
      <w:r>
        <w:rPr>
          <w:rFonts w:hint="eastAsia" w:ascii="宋体" w:hAnsi="宋体" w:eastAsia="宋体" w:cs="宋体"/>
          <w:color w:val="auto"/>
          <w:highlight w:val="none"/>
        </w:rPr>
        <w:t>中的技术、服务要求以及合同草案条款，但不得变动磋商文件中的其他内容。实质性变动的内容，须经采购人代表确认。对磋商文件作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w:t>
      </w:r>
    </w:p>
    <w:p w14:paraId="5F5527BA">
      <w:pPr>
        <w:bidi w:val="0"/>
        <w:rPr>
          <w:rFonts w:hint="eastAsia" w:ascii="宋体" w:hAnsi="宋体" w:eastAsia="宋体" w:cs="宋体"/>
          <w:color w:val="auto"/>
          <w:highlight w:val="none"/>
        </w:rPr>
      </w:pPr>
      <w:r>
        <w:rPr>
          <w:rFonts w:hint="eastAsia" w:ascii="宋体" w:hAnsi="宋体" w:eastAsia="宋体" w:cs="宋体"/>
          <w:color w:val="auto"/>
          <w:highlight w:val="none"/>
        </w:rPr>
        <w:t>17.4比较与评价：磋商小组将按磋商文件中规定的评审办法和标准，对初审阶段合格的磋商响应文件进行商务和服务评估方面的综合比较与评价。即在最大限度地满足磋商文件实质性要求的前提下，按照磋商文件中规定的各项因素进行综合评审，以评审总得分由高到低排序推荐预成交候选人。若得分相同时，按最后报价由低到高顺序排列；得分相同且最后报价相同的，按服务能力与方案得分由高到低顺序排列。</w:t>
      </w:r>
    </w:p>
    <w:p w14:paraId="4776BC9E">
      <w:pPr>
        <w:bidi w:val="0"/>
        <w:rPr>
          <w:rFonts w:hint="eastAsia" w:ascii="宋体" w:hAnsi="宋体" w:eastAsia="宋体" w:cs="宋体"/>
          <w:color w:val="auto"/>
          <w:highlight w:val="none"/>
        </w:rPr>
      </w:pPr>
      <w:r>
        <w:rPr>
          <w:rFonts w:hint="eastAsia" w:ascii="宋体" w:hAnsi="宋体" w:eastAsia="宋体" w:cs="宋体"/>
          <w:color w:val="auto"/>
          <w:highlight w:val="none"/>
        </w:rPr>
        <w:t>17.5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25C14C0B">
      <w:pPr>
        <w:bidi w:val="0"/>
        <w:rPr>
          <w:rFonts w:hint="eastAsia" w:ascii="宋体" w:hAnsi="宋体" w:eastAsia="宋体" w:cs="宋体"/>
          <w:color w:val="auto"/>
          <w:highlight w:val="none"/>
        </w:rPr>
      </w:pPr>
      <w:r>
        <w:rPr>
          <w:rFonts w:hint="eastAsia" w:ascii="宋体" w:hAnsi="宋体" w:eastAsia="宋体" w:cs="宋体"/>
          <w:color w:val="auto"/>
          <w:highlight w:val="none"/>
        </w:rPr>
        <w:t>政府采购评审中出现下列情形之一的，评审委员会应当启动异常低价投标（响应）审查程序：</w:t>
      </w:r>
    </w:p>
    <w:p w14:paraId="1868BBDE">
      <w:pPr>
        <w:bidi w:val="0"/>
        <w:rPr>
          <w:rFonts w:hint="eastAsia" w:ascii="宋体" w:hAnsi="宋体" w:eastAsia="宋体" w:cs="宋体"/>
          <w:color w:val="auto"/>
          <w:highlight w:val="none"/>
        </w:rPr>
      </w:pPr>
      <w:r>
        <w:rPr>
          <w:rFonts w:hint="eastAsia" w:ascii="宋体" w:hAnsi="宋体" w:eastAsia="宋体" w:cs="宋体"/>
          <w:color w:val="auto"/>
          <w:highlight w:val="none"/>
        </w:rPr>
        <w:t>1.投标（响应）报价低于全部通过符合性审查供应商投标（响应）报价平均值50%的，即投标（响应）报价&lt;全部通过符合性审查供应商投标（响应）报价平均值×50%；</w:t>
      </w:r>
    </w:p>
    <w:p w14:paraId="617B4C76">
      <w:pPr>
        <w:bidi w:val="0"/>
        <w:rPr>
          <w:rFonts w:hint="eastAsia" w:ascii="宋体" w:hAnsi="宋体" w:eastAsia="宋体" w:cs="宋体"/>
          <w:color w:val="auto"/>
          <w:highlight w:val="none"/>
        </w:rPr>
      </w:pPr>
      <w:r>
        <w:rPr>
          <w:rFonts w:hint="eastAsia" w:ascii="宋体" w:hAnsi="宋体" w:eastAsia="宋体" w:cs="宋体"/>
          <w:color w:val="auto"/>
          <w:highlight w:val="none"/>
        </w:rPr>
        <w:t>2.投标（响应）报价低于通过符合性审查的次低报价供应商投标（响应）报价50%的，即投标（响应）报价&lt;通过符合性审查的次低报价供应商投标（响应）报价×50%；</w:t>
      </w:r>
    </w:p>
    <w:p w14:paraId="22DF9E5E">
      <w:pPr>
        <w:bidi w:val="0"/>
        <w:rPr>
          <w:rFonts w:hint="eastAsia" w:ascii="宋体" w:hAnsi="宋体" w:eastAsia="宋体" w:cs="宋体"/>
          <w:color w:val="auto"/>
          <w:highlight w:val="none"/>
        </w:rPr>
      </w:pPr>
      <w:r>
        <w:rPr>
          <w:rFonts w:hint="eastAsia" w:ascii="宋体" w:hAnsi="宋体" w:eastAsia="宋体" w:cs="宋体"/>
          <w:color w:val="auto"/>
          <w:highlight w:val="none"/>
        </w:rPr>
        <w:t>3.投标（响应）报价低于采购项目最高限价45%的，即投标（响应）报价&lt;采购项目最高限价×45%；</w:t>
      </w:r>
    </w:p>
    <w:p w14:paraId="7B4C8C3E">
      <w:pPr>
        <w:bidi w:val="0"/>
        <w:rPr>
          <w:rFonts w:hint="eastAsia" w:ascii="宋体" w:hAnsi="宋体" w:eastAsia="宋体" w:cs="宋体"/>
          <w:color w:val="auto"/>
          <w:highlight w:val="none"/>
        </w:rPr>
      </w:pPr>
      <w:r>
        <w:rPr>
          <w:rFonts w:hint="eastAsia" w:ascii="宋体" w:hAnsi="宋体" w:eastAsia="宋体" w:cs="宋体"/>
          <w:color w:val="auto"/>
          <w:highlight w:val="none"/>
        </w:rPr>
        <w:t>4.评审委员会基于专业判断，认为供应商报价过低，有可能影响产品质量或者不能诚信履约的其他情形。</w:t>
      </w:r>
    </w:p>
    <w:p w14:paraId="055F3E12">
      <w:pPr>
        <w:bidi w:val="0"/>
        <w:rPr>
          <w:rFonts w:hint="eastAsia" w:ascii="宋体" w:hAnsi="宋体" w:eastAsia="宋体" w:cs="宋体"/>
          <w:color w:val="auto"/>
          <w:highlight w:val="none"/>
        </w:rPr>
      </w:pPr>
      <w:r>
        <w:rPr>
          <w:rFonts w:hint="eastAsia" w:ascii="宋体" w:hAnsi="宋体" w:eastAsia="宋体" w:cs="宋体"/>
          <w:color w:val="auto"/>
          <w:highlight w:val="none"/>
        </w:rPr>
        <w:t>相关法律法规对供应商报价有规定的，从其规定。</w:t>
      </w:r>
    </w:p>
    <w:p w14:paraId="1B0EDDCF">
      <w:pPr>
        <w:bidi w:val="0"/>
        <w:rPr>
          <w:rFonts w:hint="eastAsia" w:ascii="宋体" w:hAnsi="宋体" w:eastAsia="宋体" w:cs="宋体"/>
          <w:color w:val="auto"/>
          <w:highlight w:val="none"/>
        </w:rPr>
      </w:pPr>
      <w:r>
        <w:rPr>
          <w:rFonts w:hint="eastAsia" w:ascii="宋体" w:hAnsi="宋体" w:eastAsia="宋体" w:cs="宋体"/>
          <w:color w:val="auto"/>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5829511">
      <w:pPr>
        <w:bidi w:val="0"/>
        <w:rPr>
          <w:rFonts w:hint="eastAsia" w:ascii="宋体" w:hAnsi="宋体" w:eastAsia="宋体" w:cs="宋体"/>
          <w:color w:val="auto"/>
          <w:highlight w:val="none"/>
        </w:rPr>
      </w:pPr>
      <w:r>
        <w:rPr>
          <w:rFonts w:hint="eastAsia" w:ascii="宋体" w:hAnsi="宋体" w:eastAsia="宋体" w:cs="宋体"/>
          <w:color w:val="auto"/>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AAB5A18">
      <w:pPr>
        <w:pStyle w:val="6"/>
        <w:numPr>
          <w:ilvl w:val="2"/>
          <w:numId w:val="0"/>
        </w:numPr>
        <w:bidi w:val="0"/>
        <w:ind w:left="0" w:leftChars="0" w:firstLine="400" w:firstLineChars="0"/>
        <w:rPr>
          <w:rFonts w:hint="eastAsia" w:ascii="宋体" w:hAnsi="宋体" w:eastAsia="宋体" w:cs="宋体"/>
          <w:color w:val="auto"/>
          <w:highlight w:val="none"/>
        </w:rPr>
      </w:pPr>
      <w:bookmarkStart w:id="78" w:name="_Toc376936755"/>
      <w:bookmarkStart w:id="79" w:name="_Toc325726024"/>
      <w:bookmarkStart w:id="80" w:name="_Toc17403"/>
      <w:r>
        <w:rPr>
          <w:rFonts w:hint="eastAsia" w:ascii="宋体" w:hAnsi="宋体" w:eastAsia="宋体" w:cs="宋体"/>
          <w:b/>
          <w:color w:val="auto"/>
          <w:kern w:val="2"/>
          <w:sz w:val="30"/>
          <w:szCs w:val="30"/>
          <w:highlight w:val="none"/>
          <w:lang w:val="en-US" w:eastAsia="zh-CN" w:bidi="ar-SA"/>
        </w:rPr>
        <w:t>18．</w:t>
      </w:r>
      <w:r>
        <w:rPr>
          <w:rFonts w:hint="eastAsia" w:ascii="宋体" w:hAnsi="宋体" w:eastAsia="宋体" w:cs="宋体"/>
          <w:color w:val="auto"/>
          <w:highlight w:val="none"/>
        </w:rPr>
        <w:t>评审办法</w:t>
      </w:r>
      <w:bookmarkEnd w:id="78"/>
      <w:bookmarkEnd w:id="79"/>
      <w:bookmarkEnd w:id="80"/>
    </w:p>
    <w:p w14:paraId="374C4890">
      <w:pPr>
        <w:bidi w:val="0"/>
        <w:rPr>
          <w:rFonts w:hint="eastAsia" w:ascii="宋体" w:hAnsi="宋体" w:eastAsia="宋体" w:cs="宋体"/>
          <w:color w:val="auto"/>
          <w:highlight w:val="none"/>
          <w:lang w:val="zh-CN"/>
        </w:rPr>
      </w:pPr>
      <w:r>
        <w:rPr>
          <w:rFonts w:hint="eastAsia" w:ascii="宋体" w:hAnsi="宋体" w:eastAsia="宋体" w:cs="宋体"/>
          <w:color w:val="auto"/>
          <w:highlight w:val="none"/>
        </w:rPr>
        <w:t>18.1</w:t>
      </w:r>
      <w:r>
        <w:rPr>
          <w:rFonts w:hint="eastAsia" w:ascii="宋体" w:hAnsi="宋体" w:eastAsia="宋体" w:cs="宋体"/>
          <w:color w:val="auto"/>
          <w:highlight w:val="none"/>
          <w:lang w:val="zh-CN"/>
        </w:rPr>
        <w:t>本次综合评分的主要因素是：</w:t>
      </w:r>
      <w:r>
        <w:rPr>
          <w:rFonts w:hint="eastAsia" w:ascii="宋体" w:hAnsi="宋体" w:cs="宋体"/>
          <w:b/>
          <w:bCs/>
          <w:color w:val="auto"/>
          <w:highlight w:val="none"/>
          <w:lang w:val="en-US" w:eastAsia="zh-CN"/>
        </w:rPr>
        <w:t>磋商</w:t>
      </w:r>
      <w:r>
        <w:rPr>
          <w:rFonts w:hint="eastAsia" w:ascii="宋体" w:hAnsi="宋体" w:eastAsia="宋体" w:cs="宋体"/>
          <w:b/>
          <w:bCs/>
          <w:color w:val="auto"/>
          <w:highlight w:val="none"/>
          <w:lang w:val="en-US" w:eastAsia="zh-CN"/>
        </w:rPr>
        <w:t>报价</w:t>
      </w:r>
      <w:r>
        <w:rPr>
          <w:rFonts w:hint="eastAsia" w:ascii="宋体" w:hAnsi="宋体" w:eastAsia="宋体" w:cs="宋体"/>
          <w:b/>
          <w:bCs/>
          <w:color w:val="auto"/>
          <w:highlight w:val="none"/>
        </w:rPr>
        <w:t>、商务</w:t>
      </w:r>
      <w:r>
        <w:rPr>
          <w:rFonts w:hint="eastAsia" w:ascii="宋体" w:hAnsi="宋体" w:cs="宋体"/>
          <w:b/>
          <w:bCs/>
          <w:color w:val="auto"/>
          <w:highlight w:val="none"/>
          <w:lang w:val="en-US" w:eastAsia="zh-CN"/>
        </w:rPr>
        <w:t>评分</w:t>
      </w:r>
      <w:r>
        <w:rPr>
          <w:rFonts w:hint="eastAsia" w:ascii="宋体" w:hAnsi="宋体" w:cs="宋体"/>
          <w:b/>
          <w:bCs/>
          <w:color w:val="auto"/>
          <w:highlight w:val="none"/>
          <w:lang w:eastAsia="zh-CN"/>
        </w:rPr>
        <w:t>、</w:t>
      </w:r>
      <w:r>
        <w:rPr>
          <w:rFonts w:hint="eastAsia" w:ascii="宋体" w:hAnsi="宋体" w:eastAsia="宋体" w:cs="宋体"/>
          <w:b/>
          <w:bCs/>
          <w:color w:val="auto"/>
          <w:highlight w:val="none"/>
        </w:rPr>
        <w:t>技术</w:t>
      </w:r>
      <w:r>
        <w:rPr>
          <w:rFonts w:hint="eastAsia" w:ascii="宋体" w:hAnsi="宋体" w:cs="宋体"/>
          <w:b/>
          <w:bCs/>
          <w:color w:val="auto"/>
          <w:highlight w:val="none"/>
          <w:lang w:val="en-US" w:eastAsia="zh-CN"/>
        </w:rPr>
        <w:t>评分</w:t>
      </w:r>
      <w:r>
        <w:rPr>
          <w:rFonts w:hint="eastAsia" w:ascii="宋体" w:hAnsi="宋体" w:eastAsia="宋体" w:cs="宋体"/>
          <w:color w:val="auto"/>
          <w:highlight w:val="none"/>
          <w:lang w:val="zh-CN"/>
        </w:rPr>
        <w:t>。评审过程中，在同等条件下，优先采购具有环境标志、节能、自主创新的产品。（注：环境标志产品是指由财政部、国家环境保护总局颁布的环境标志产品政府采购品目清单”中的有效期内的产品；节能产品是指由财政部、国家发展改革委颁布的“节能产品政府采购品目清单” 中的有效期内的产品。）</w:t>
      </w:r>
    </w:p>
    <w:p w14:paraId="6A0B000B">
      <w:pPr>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根据《政府采购促进中小企业发展管理办法》，</w:t>
      </w:r>
      <w:r>
        <w:rPr>
          <w:rFonts w:hint="eastAsia" w:ascii="宋体" w:hAnsi="宋体" w:eastAsia="宋体" w:cs="宋体"/>
          <w:color w:val="auto"/>
          <w:highlight w:val="none"/>
        </w:rPr>
        <w:t>中小</w:t>
      </w:r>
      <w:r>
        <w:rPr>
          <w:rFonts w:hint="eastAsia" w:ascii="宋体" w:hAnsi="宋体" w:eastAsia="宋体" w:cs="宋体"/>
          <w:color w:val="auto"/>
          <w:highlight w:val="none"/>
          <w:lang w:val="zh-CN"/>
        </w:rPr>
        <w:t>企业</w:t>
      </w:r>
      <w:r>
        <w:rPr>
          <w:rFonts w:hint="eastAsia" w:ascii="宋体" w:hAnsi="宋体" w:eastAsia="宋体" w:cs="宋体"/>
          <w:color w:val="auto"/>
          <w:highlight w:val="none"/>
        </w:rPr>
        <w:t>承接</w:t>
      </w:r>
      <w:r>
        <w:rPr>
          <w:rFonts w:hint="eastAsia" w:ascii="宋体" w:hAnsi="宋体" w:eastAsia="宋体" w:cs="宋体"/>
          <w:color w:val="auto"/>
          <w:highlight w:val="none"/>
          <w:lang w:val="zh-CN"/>
        </w:rPr>
        <w:t>的服务，</w:t>
      </w:r>
      <w:r>
        <w:rPr>
          <w:rFonts w:hint="eastAsia" w:ascii="宋体" w:hAnsi="宋体" w:eastAsia="宋体" w:cs="宋体"/>
          <w:color w:val="auto"/>
          <w:highlight w:val="none"/>
        </w:rPr>
        <w:t>供应商须提</w:t>
      </w:r>
      <w:r>
        <w:rPr>
          <w:rFonts w:hint="eastAsia" w:ascii="宋体" w:hAnsi="宋体" w:eastAsia="宋体" w:cs="宋体"/>
          <w:color w:val="auto"/>
          <w:highlight w:val="none"/>
          <w:lang w:val="zh-CN"/>
        </w:rPr>
        <w:t>供《</w:t>
      </w:r>
      <w:r>
        <w:rPr>
          <w:rFonts w:hint="eastAsia" w:ascii="宋体" w:hAnsi="宋体" w:eastAsia="宋体" w:cs="宋体"/>
          <w:b/>
          <w:bCs/>
          <w:color w:val="auto"/>
          <w:highlight w:val="none"/>
          <w:lang w:val="zh-CN"/>
        </w:rPr>
        <w:t>中小企业声明函</w:t>
      </w:r>
      <w:r>
        <w:rPr>
          <w:rFonts w:hint="eastAsia" w:ascii="宋体" w:hAnsi="宋体" w:eastAsia="宋体" w:cs="宋体"/>
          <w:color w:val="auto"/>
          <w:highlight w:val="none"/>
          <w:lang w:val="zh-CN"/>
        </w:rPr>
        <w:t>》，并由供应商加盖公章，其划型标准严格按照国家工信部、国家统计局、国家发改委、财政部出台的《中小企业划型标准规定》（工信部联企业[2011]300号）执行。</w:t>
      </w:r>
      <w:r>
        <w:rPr>
          <w:rFonts w:hint="eastAsia" w:ascii="宋体" w:hAnsi="宋体" w:eastAsia="宋体" w:cs="宋体"/>
          <w:b/>
          <w:bCs/>
          <w:color w:val="auto"/>
          <w:highlight w:val="none"/>
          <w:lang w:val="zh-CN"/>
        </w:rPr>
        <w:t>磋商供应商提供的《中小企业声明函》资料必须真实，否则，按照有关规定予以处理。</w:t>
      </w:r>
    </w:p>
    <w:p w14:paraId="45482CEA">
      <w:pPr>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根据财政部、民政部、中国残疾人联合会出台的《关于促进残疾人就业政府采购政策的通知》（财库[2017]141号），属残疾人福利性单位的，供应商须提供《残疾人福利性单位声明函》，并由供应商加盖公章，残疾人福利性单位视同小微企业，享受预留份额、评标中价格扣除等促进中小企业发展的政府采购政策。向残疾人福利性单位采购的金额，计入面向中小企业采购的统计数据。</w:t>
      </w:r>
      <w:r>
        <w:rPr>
          <w:rFonts w:hint="eastAsia" w:ascii="宋体" w:hAnsi="宋体" w:eastAsia="宋体" w:cs="宋体"/>
          <w:b/>
          <w:bCs/>
          <w:color w:val="auto"/>
          <w:highlight w:val="none"/>
          <w:lang w:val="zh-CN"/>
        </w:rPr>
        <w:t>供应商提供的《残疾人福利性单位声明函》资料必须真实，否则，按照有关规定予以处理。</w:t>
      </w:r>
    </w:p>
    <w:p w14:paraId="39CDC508">
      <w:pPr>
        <w:bidi w:val="0"/>
        <w:rPr>
          <w:rFonts w:hint="eastAsia" w:ascii="宋体" w:hAnsi="宋体" w:eastAsia="宋体" w:cs="宋体"/>
          <w:color w:val="auto"/>
          <w:highlight w:val="none"/>
          <w:lang w:val="zh-CN"/>
        </w:rPr>
      </w:pPr>
      <w:r>
        <w:rPr>
          <w:rFonts w:hint="eastAsia" w:ascii="宋体" w:hAnsi="宋体" w:eastAsia="宋体" w:cs="宋体"/>
          <w:color w:val="auto"/>
          <w:highlight w:val="none"/>
        </w:rPr>
        <w:t>根据</w:t>
      </w:r>
      <w:r>
        <w:rPr>
          <w:rFonts w:hint="eastAsia" w:ascii="宋体" w:hAnsi="宋体" w:eastAsia="宋体" w:cs="宋体"/>
          <w:color w:val="auto"/>
          <w:highlight w:val="none"/>
          <w:lang w:val="zh-CN"/>
        </w:rPr>
        <w:t>《财政部司法部关于政府采购支持监狱企业发展有关问题的通知》（财库[2014]68号）的相关规定，属于</w:t>
      </w:r>
      <w:r>
        <w:rPr>
          <w:rFonts w:hint="eastAsia" w:ascii="宋体" w:hAnsi="宋体" w:eastAsia="宋体" w:cs="宋体"/>
          <w:color w:val="auto"/>
          <w:highlight w:val="none"/>
        </w:rPr>
        <w:t>监狱企业</w:t>
      </w:r>
      <w:r>
        <w:rPr>
          <w:rFonts w:hint="eastAsia" w:ascii="宋体" w:hAnsi="宋体" w:eastAsia="宋体" w:cs="宋体"/>
          <w:color w:val="auto"/>
          <w:highlight w:val="none"/>
          <w:lang w:val="zh-CN"/>
        </w:rPr>
        <w:t>的，供应商须按要求出具属于监狱企业的证明文件。</w:t>
      </w:r>
      <w:r>
        <w:rPr>
          <w:rFonts w:hint="eastAsia" w:ascii="宋体" w:hAnsi="宋体" w:eastAsia="宋体" w:cs="宋体"/>
          <w:color w:val="auto"/>
          <w:highlight w:val="none"/>
        </w:rPr>
        <w:t>监狱企业视同小微企业，享受预留份额、评标中价格扣除等促进中小企业发展的政府采购政策。向监狱企业采购的金额，计入面向中小企业采购的统计数据。</w:t>
      </w:r>
      <w:r>
        <w:rPr>
          <w:rFonts w:hint="eastAsia" w:ascii="宋体" w:hAnsi="宋体" w:eastAsia="宋体" w:cs="宋体"/>
          <w:b/>
          <w:bCs/>
          <w:color w:val="auto"/>
          <w:highlight w:val="none"/>
        </w:rPr>
        <w:t>供应商提供的监狱企业证明文件资料必须真实，如有虚假，将依法承担相应责任。</w:t>
      </w:r>
    </w:p>
    <w:p w14:paraId="7B07D919">
      <w:pPr>
        <w:bidi w:val="0"/>
        <w:rPr>
          <w:rFonts w:hint="eastAsia" w:ascii="宋体" w:hAnsi="宋体" w:eastAsia="宋体" w:cs="宋体"/>
          <w:color w:val="auto"/>
          <w:highlight w:val="none"/>
        </w:rPr>
      </w:pPr>
      <w:r>
        <w:rPr>
          <w:rFonts w:hint="eastAsia" w:ascii="宋体" w:hAnsi="宋体" w:eastAsia="宋体" w:cs="宋体"/>
          <w:color w:val="auto"/>
          <w:highlight w:val="none"/>
        </w:rPr>
        <w:t>依照《中华人民共和国政府采购法》、《中华人民共和国政府采购法实施条例》、《关于加强政府采购货物和服务项目价格评审管理的通知》、《政府采购竞争性磋商采购方式管理暂行办法》的规定，结合该项目的特点制定本评审办法。本次评审采用综合评分法，评审内容分为</w:t>
      </w:r>
      <w:r>
        <w:rPr>
          <w:rFonts w:hint="eastAsia" w:ascii="宋体" w:hAnsi="宋体" w:cs="宋体"/>
          <w:b/>
          <w:bCs/>
          <w:color w:val="auto"/>
          <w:highlight w:val="none"/>
          <w:lang w:val="en-US" w:eastAsia="zh-CN"/>
        </w:rPr>
        <w:t>磋商</w:t>
      </w:r>
      <w:r>
        <w:rPr>
          <w:rFonts w:hint="eastAsia" w:ascii="宋体" w:hAnsi="宋体" w:eastAsia="宋体" w:cs="宋体"/>
          <w:b/>
          <w:bCs/>
          <w:color w:val="auto"/>
          <w:highlight w:val="none"/>
          <w:lang w:val="en-US" w:eastAsia="zh-CN"/>
        </w:rPr>
        <w:t>报价</w:t>
      </w:r>
      <w:r>
        <w:rPr>
          <w:rFonts w:hint="eastAsia" w:ascii="宋体" w:hAnsi="宋体" w:eastAsia="宋体" w:cs="宋体"/>
          <w:b/>
          <w:bCs/>
          <w:color w:val="auto"/>
          <w:highlight w:val="none"/>
        </w:rPr>
        <w:t>、商务</w:t>
      </w:r>
      <w:r>
        <w:rPr>
          <w:rFonts w:hint="eastAsia" w:ascii="宋体" w:hAnsi="宋体" w:cs="宋体"/>
          <w:b/>
          <w:bCs/>
          <w:color w:val="auto"/>
          <w:highlight w:val="none"/>
          <w:lang w:val="en-US" w:eastAsia="zh-CN"/>
        </w:rPr>
        <w:t>评分</w:t>
      </w:r>
      <w:r>
        <w:rPr>
          <w:rFonts w:hint="eastAsia" w:ascii="宋体" w:hAnsi="宋体" w:cs="宋体"/>
          <w:b/>
          <w:bCs/>
          <w:color w:val="auto"/>
          <w:highlight w:val="none"/>
          <w:lang w:eastAsia="zh-CN"/>
        </w:rPr>
        <w:t>、</w:t>
      </w:r>
      <w:r>
        <w:rPr>
          <w:rFonts w:hint="eastAsia" w:ascii="宋体" w:hAnsi="宋体" w:eastAsia="宋体" w:cs="宋体"/>
          <w:b/>
          <w:bCs/>
          <w:color w:val="auto"/>
          <w:highlight w:val="none"/>
        </w:rPr>
        <w:t>技术</w:t>
      </w:r>
      <w:r>
        <w:rPr>
          <w:rFonts w:hint="eastAsia" w:ascii="宋体" w:hAnsi="宋体" w:cs="宋体"/>
          <w:b/>
          <w:bCs/>
          <w:color w:val="auto"/>
          <w:highlight w:val="none"/>
          <w:lang w:val="en-US" w:eastAsia="zh-CN"/>
        </w:rPr>
        <w:t>评分</w:t>
      </w:r>
      <w:r>
        <w:rPr>
          <w:rFonts w:hint="eastAsia" w:ascii="宋体" w:hAnsi="宋体" w:eastAsia="宋体" w:cs="宋体"/>
          <w:color w:val="auto"/>
          <w:highlight w:val="none"/>
        </w:rPr>
        <w:t>三部分组成（满分100分）。</w:t>
      </w:r>
    </w:p>
    <w:p w14:paraId="7B498E1E">
      <w:pPr>
        <w:bidi w:val="0"/>
        <w:rPr>
          <w:rFonts w:hint="eastAsia" w:ascii="宋体" w:hAnsi="宋体" w:eastAsia="宋体" w:cs="宋体"/>
          <w:color w:val="auto"/>
          <w:highlight w:val="none"/>
        </w:rPr>
      </w:pPr>
      <w:r>
        <w:rPr>
          <w:rFonts w:hint="eastAsia" w:ascii="宋体" w:hAnsi="宋体" w:eastAsia="宋体" w:cs="宋体"/>
          <w:color w:val="auto"/>
          <w:highlight w:val="none"/>
        </w:rPr>
        <w:t>18.2评审标准和分值分配：</w:t>
      </w:r>
    </w:p>
    <w:tbl>
      <w:tblPr>
        <w:tblStyle w:val="68"/>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7"/>
        <w:gridCol w:w="1262"/>
        <w:gridCol w:w="5565"/>
        <w:gridCol w:w="1221"/>
      </w:tblGrid>
      <w:tr w14:paraId="45BC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9" w:type="dxa"/>
            <w:gridSpan w:val="2"/>
            <w:noWrap w:val="0"/>
            <w:vAlign w:val="center"/>
          </w:tcPr>
          <w:p w14:paraId="2799EE9B">
            <w:pPr>
              <w:spacing w:line="360" w:lineRule="auto"/>
              <w:jc w:val="center"/>
              <w:rPr>
                <w:vertAlign w:val="baseline"/>
              </w:rPr>
            </w:pPr>
            <w:bookmarkStart w:id="81" w:name="_Toc376936756"/>
            <w:bookmarkStart w:id="82" w:name="_Toc325726025"/>
            <w:r>
              <w:rPr>
                <w:rFonts w:hint="eastAsia" w:ascii="宋体" w:hAnsi="宋体" w:eastAsia="宋体" w:cs="宋体"/>
                <w:b/>
                <w:bCs/>
                <w:color w:val="000000"/>
                <w:highlight w:val="none"/>
              </w:rPr>
              <w:t>评分项目</w:t>
            </w:r>
          </w:p>
        </w:tc>
        <w:tc>
          <w:tcPr>
            <w:tcW w:w="5565" w:type="dxa"/>
            <w:noWrap w:val="0"/>
            <w:vAlign w:val="center"/>
          </w:tcPr>
          <w:p w14:paraId="336E8A12">
            <w:pPr>
              <w:spacing w:line="360" w:lineRule="auto"/>
              <w:jc w:val="center"/>
              <w:rPr>
                <w:vertAlign w:val="baseline"/>
              </w:rPr>
            </w:pPr>
            <w:r>
              <w:rPr>
                <w:rFonts w:hint="eastAsia" w:ascii="宋体" w:hAnsi="宋体" w:eastAsia="宋体" w:cs="宋体"/>
                <w:b/>
                <w:bCs/>
                <w:color w:val="000000"/>
                <w:highlight w:val="none"/>
              </w:rPr>
              <w:t>评分标准</w:t>
            </w:r>
          </w:p>
        </w:tc>
        <w:tc>
          <w:tcPr>
            <w:tcW w:w="1221" w:type="dxa"/>
            <w:noWrap w:val="0"/>
            <w:vAlign w:val="center"/>
          </w:tcPr>
          <w:p w14:paraId="1FDE236E">
            <w:pPr>
              <w:spacing w:line="360" w:lineRule="auto"/>
              <w:jc w:val="center"/>
              <w:rPr>
                <w:vertAlign w:val="baseline"/>
              </w:rPr>
            </w:pPr>
            <w:r>
              <w:rPr>
                <w:rFonts w:hint="eastAsia" w:ascii="宋体" w:hAnsi="宋体" w:eastAsia="宋体" w:cs="宋体"/>
                <w:b/>
                <w:bCs/>
                <w:color w:val="000000"/>
                <w:highlight w:val="none"/>
              </w:rPr>
              <w:t>满分分值</w:t>
            </w:r>
          </w:p>
        </w:tc>
      </w:tr>
      <w:tr w14:paraId="13F4D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9" w:type="dxa"/>
            <w:gridSpan w:val="2"/>
            <w:noWrap w:val="0"/>
            <w:vAlign w:val="center"/>
          </w:tcPr>
          <w:p w14:paraId="76D5F738">
            <w:pPr>
              <w:keepNext w:val="0"/>
              <w:keepLines w:val="0"/>
              <w:widowControl/>
              <w:suppressLineNumbers w:val="0"/>
              <w:jc w:val="center"/>
              <w:rPr>
                <w:rFonts w:hint="default" w:ascii="宋体" w:hAnsi="宋体" w:eastAsia="宋体" w:cs="宋体"/>
                <w:color w:val="000000"/>
                <w:kern w:val="0"/>
                <w:sz w:val="24"/>
                <w:szCs w:val="24"/>
                <w:lang w:val="en-US" w:eastAsia="zh-CN" w:bidi="ar"/>
              </w:rPr>
            </w:pPr>
          </w:p>
          <w:p w14:paraId="29181CBA">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投标报价（10分）</w:t>
            </w:r>
          </w:p>
        </w:tc>
        <w:tc>
          <w:tcPr>
            <w:tcW w:w="5565" w:type="dxa"/>
            <w:noWrap w:val="0"/>
            <w:vAlign w:val="center"/>
          </w:tcPr>
          <w:p w14:paraId="56ADD556">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在所有的有效磋商报价中，以最低磋商报价为基准价，其价格分为满分。其他供应商的报价分统一按下列公式计算：最终磋商报价得分=(评标基准价／投标报价)×价格权值（10%）×100（四舍五入后保留小数点后两位）。</w:t>
            </w:r>
          </w:p>
          <w:p w14:paraId="6500D490">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Arial" w:hAnsi="Arial" w:eastAsia="宋体" w:cs="Arial"/>
                <w:color w:val="000000"/>
                <w:kern w:val="2"/>
                <w:sz w:val="24"/>
                <w:szCs w:val="24"/>
                <w:highlight w:val="none"/>
                <w:lang w:val="en-US" w:eastAsia="zh-CN" w:bidi="ar-SA"/>
              </w:rPr>
              <w:t>注：对小型、微型企业产品、监狱企业及残疾人福利性单位价格给予10%的扣除，用扣除后的价格计算投标报价得分，监狱企业、残疾人福利性单位属于小型、微型企业的，不重复享受政策。须提供《中小企业声明函》、《残疾人福利性单位声明函》和监狱企业证明资料。</w:t>
            </w:r>
          </w:p>
        </w:tc>
        <w:tc>
          <w:tcPr>
            <w:tcW w:w="1221" w:type="dxa"/>
            <w:noWrap w:val="0"/>
            <w:vAlign w:val="center"/>
          </w:tcPr>
          <w:p w14:paraId="606EEA54">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10分</w:t>
            </w:r>
          </w:p>
        </w:tc>
      </w:tr>
      <w:tr w14:paraId="37BA4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9" w:type="dxa"/>
            <w:gridSpan w:val="2"/>
            <w:noWrap w:val="0"/>
            <w:vAlign w:val="top"/>
          </w:tcPr>
          <w:p w14:paraId="221ABA4C">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14:paraId="3110EB8F">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履约能力（10分）</w:t>
            </w:r>
          </w:p>
        </w:tc>
        <w:tc>
          <w:tcPr>
            <w:tcW w:w="5565" w:type="dxa"/>
            <w:noWrap w:val="0"/>
            <w:vAlign w:val="top"/>
          </w:tcPr>
          <w:p w14:paraId="2496F001">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业绩：投标人提供自2023年以来取得的类似保险项目业绩的每有一个得2分,最多得10分（</w:t>
            </w:r>
            <w:r>
              <w:rPr>
                <w:rFonts w:hint="eastAsia" w:ascii="宋体" w:hAnsi="宋体" w:eastAsia="宋体" w:cs="宋体"/>
                <w:color w:val="auto"/>
                <w:highlight w:val="none"/>
                <w:lang w:eastAsia="zh-CN"/>
              </w:rPr>
              <w:t>需提供合同（包含合同首页、合同内容及金额所在页、签字盖章页的扫描或复印件）的证明材料</w:t>
            </w:r>
            <w:r>
              <w:rPr>
                <w:rFonts w:hint="eastAsia" w:ascii="宋体" w:hAnsi="宋体" w:eastAsia="宋体" w:cs="宋体"/>
                <w:color w:val="000000"/>
                <w:kern w:val="0"/>
                <w:sz w:val="24"/>
                <w:szCs w:val="24"/>
                <w:lang w:val="en-US" w:eastAsia="zh-CN" w:bidi="ar"/>
              </w:rPr>
              <w:t>）。</w:t>
            </w:r>
          </w:p>
        </w:tc>
        <w:tc>
          <w:tcPr>
            <w:tcW w:w="1221" w:type="dxa"/>
            <w:noWrap w:val="0"/>
            <w:vAlign w:val="center"/>
          </w:tcPr>
          <w:p w14:paraId="4A1999D2">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10分</w:t>
            </w:r>
          </w:p>
        </w:tc>
      </w:tr>
      <w:tr w14:paraId="72734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vMerge w:val="restart"/>
            <w:noWrap w:val="0"/>
            <w:vAlign w:val="center"/>
          </w:tcPr>
          <w:p w14:paraId="6C5976BA">
            <w:pPr>
              <w:keepNext w:val="0"/>
              <w:keepLines w:val="0"/>
              <w:widowControl/>
              <w:suppressLineNumbers w:val="0"/>
              <w:ind w:left="0" w:leftChars="0" w:firstLine="0" w:firstLineChars="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技术评分标准（65分）</w:t>
            </w:r>
          </w:p>
          <w:p w14:paraId="74A5DAD6">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1262" w:type="dxa"/>
            <w:noWrap w:val="0"/>
            <w:vAlign w:val="center"/>
          </w:tcPr>
          <w:p w14:paraId="46A051EC">
            <w:pPr>
              <w:keepNext w:val="0"/>
              <w:keepLines w:val="0"/>
              <w:widowControl/>
              <w:suppressLineNumbers w:val="0"/>
              <w:ind w:left="0" w:leftChars="0" w:firstLine="0" w:firstLineChars="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人员配置</w:t>
            </w:r>
          </w:p>
        </w:tc>
        <w:tc>
          <w:tcPr>
            <w:tcW w:w="5565" w:type="dxa"/>
            <w:noWrap w:val="0"/>
            <w:vAlign w:val="top"/>
          </w:tcPr>
          <w:p w14:paraId="47EF1619">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针对本项目配备机构设置健全及人员配备齐全，包括但不限于以下内容：①理赔机构设置管理班子机构健全、成立健全的专职部门；②分管领导及人员职责明确、人员齐备，有具体成员名单，包括姓名、职务、职称、工作职责、联系方式等；③满足项目所在地服务需求，提供快捷的理赔服务，并派专人上门协助被保险人全程办理相关的理赔手续。以上内容完整、实用、符合项目实际和本项目特点的得 15分，每缺失一项扣5分，每项中每有一处表述不清楚、针对性不强、逻辑不清晰的扣1分，扣完为止。</w:t>
            </w:r>
          </w:p>
        </w:tc>
        <w:tc>
          <w:tcPr>
            <w:tcW w:w="1221" w:type="dxa"/>
            <w:noWrap w:val="0"/>
            <w:vAlign w:val="center"/>
          </w:tcPr>
          <w:p w14:paraId="06B96372">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15分</w:t>
            </w:r>
          </w:p>
        </w:tc>
      </w:tr>
      <w:tr w14:paraId="25FFB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vMerge w:val="continue"/>
            <w:noWrap w:val="0"/>
            <w:vAlign w:val="center"/>
          </w:tcPr>
          <w:p w14:paraId="3F1AAFAB">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1262" w:type="dxa"/>
            <w:noWrap w:val="0"/>
            <w:vAlign w:val="center"/>
          </w:tcPr>
          <w:p w14:paraId="409E29AE">
            <w:pPr>
              <w:keepNext w:val="0"/>
              <w:keepLines w:val="0"/>
              <w:widowControl/>
              <w:suppressLineNumbers w:val="0"/>
              <w:ind w:left="0" w:leftChars="0" w:firstLine="0" w:firstLineChars="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理赔方案</w:t>
            </w:r>
          </w:p>
        </w:tc>
        <w:tc>
          <w:tcPr>
            <w:tcW w:w="5565" w:type="dxa"/>
            <w:noWrap w:val="0"/>
            <w:vAlign w:val="top"/>
          </w:tcPr>
          <w:p w14:paraId="326BE144">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理赔方案满足采购需求，包括但不限于以下内容：①从报案、定损、到理赔的全过程提出详细的理赔流程规范；②业务网点的分布；③规章管理制度；④对投保人的理赔方案；⑤出险服务保障方案；⑥风险措施方案；⑦定点保险服务实际情况额外的优惠可行的措施等。以上内容完整、实用、符合项目实际和本项目特点的得35分，每缺失一项扣5分，每项中每有一处表述不清楚、针对性不强、逻辑不清晰的扣1分，扣完为止。</w:t>
            </w:r>
          </w:p>
        </w:tc>
        <w:tc>
          <w:tcPr>
            <w:tcW w:w="1221" w:type="dxa"/>
            <w:noWrap w:val="0"/>
            <w:vAlign w:val="center"/>
          </w:tcPr>
          <w:p w14:paraId="17C6826E">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35分</w:t>
            </w:r>
          </w:p>
        </w:tc>
      </w:tr>
      <w:tr w14:paraId="4DD1D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6" w:hRule="atLeast"/>
        </w:trPr>
        <w:tc>
          <w:tcPr>
            <w:tcW w:w="1407" w:type="dxa"/>
            <w:vMerge w:val="continue"/>
            <w:noWrap w:val="0"/>
            <w:vAlign w:val="center"/>
          </w:tcPr>
          <w:p w14:paraId="354E1B41">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1262" w:type="dxa"/>
            <w:noWrap w:val="0"/>
            <w:vAlign w:val="center"/>
          </w:tcPr>
          <w:p w14:paraId="636143C9">
            <w:pPr>
              <w:keepNext w:val="0"/>
              <w:keepLines w:val="0"/>
              <w:widowControl/>
              <w:suppressLineNumbers w:val="0"/>
              <w:ind w:left="0" w:leftChars="0" w:firstLine="0" w:firstLineChars="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理赔时效</w:t>
            </w:r>
          </w:p>
        </w:tc>
        <w:tc>
          <w:tcPr>
            <w:tcW w:w="5565" w:type="dxa"/>
            <w:noWrap w:val="0"/>
            <w:vAlign w:val="top"/>
          </w:tcPr>
          <w:p w14:paraId="1CAADEED">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针对本项目实际情况作出理赔时效服务承诺，包括但不限于以下内容：①设有24小时热线客户咨询服务、投诉举报电话，有专人接听、记录、受理；设有 24 小时报案、24小时理赔服务电话，并保证随时有专人接听，受理索赔接报案；②保险公司在接到出险报案后，在化隆县城区以内，不超过一小时到达现场，城区以外、化隆县境内不超过三小时内到达现场；③提供24小时现场勘查及现场服务。以上内容完整、实用、符合项目实际和本项目特点的得15分，每缺失一项扣5分，每项中每有一处表述不清楚、针对性不强、逻辑不清晰的扣1分，扣完为止。</w:t>
            </w:r>
          </w:p>
        </w:tc>
        <w:tc>
          <w:tcPr>
            <w:tcW w:w="1221" w:type="dxa"/>
            <w:noWrap w:val="0"/>
            <w:vAlign w:val="center"/>
          </w:tcPr>
          <w:p w14:paraId="70BF1CF8">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15分</w:t>
            </w:r>
          </w:p>
        </w:tc>
      </w:tr>
      <w:tr w14:paraId="07D58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noWrap w:val="0"/>
            <w:vAlign w:val="center"/>
          </w:tcPr>
          <w:p w14:paraId="27D079CD">
            <w:pPr>
              <w:keepNext w:val="0"/>
              <w:keepLines w:val="0"/>
              <w:widowControl/>
              <w:suppressLineNumbers w:val="0"/>
              <w:ind w:left="0" w:leftChars="0" w:firstLine="0" w:firstLineChars="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售后服务（15分）</w:t>
            </w:r>
          </w:p>
          <w:p w14:paraId="0B2C1F72">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1262" w:type="dxa"/>
            <w:noWrap w:val="0"/>
            <w:vAlign w:val="center"/>
          </w:tcPr>
          <w:p w14:paraId="0F31EC83">
            <w:pPr>
              <w:keepNext w:val="0"/>
              <w:keepLines w:val="0"/>
              <w:widowControl/>
              <w:suppressLineNumbers w:val="0"/>
              <w:ind w:left="0" w:leftChars="0" w:firstLine="0" w:firstLineChars="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服务计划措施</w:t>
            </w:r>
          </w:p>
          <w:p w14:paraId="3C02D578">
            <w:pPr>
              <w:keepNext w:val="0"/>
              <w:keepLines w:val="0"/>
              <w:widowControl/>
              <w:suppressLineNumbers w:val="0"/>
              <w:jc w:val="center"/>
              <w:rPr>
                <w:rFonts w:hint="eastAsia" w:ascii="宋体" w:hAnsi="宋体" w:eastAsia="宋体" w:cs="宋体"/>
                <w:color w:val="000000"/>
                <w:kern w:val="0"/>
                <w:sz w:val="24"/>
                <w:szCs w:val="24"/>
                <w:lang w:val="en-US" w:eastAsia="zh-CN" w:bidi="ar"/>
              </w:rPr>
            </w:pPr>
          </w:p>
        </w:tc>
        <w:tc>
          <w:tcPr>
            <w:tcW w:w="5565" w:type="dxa"/>
            <w:noWrap w:val="0"/>
            <w:vAlign w:val="top"/>
          </w:tcPr>
          <w:p w14:paraId="17FFC7F1">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针对该项目有详尽的后续服务计划、 措施及相关承诺，包括但不限于以下内容：①提供完善的档案资料；②对赔款支付及客户回访；③投诉处理；④设专项售后服务；⑤风险应对预案及解决问题途径等，以上内容完整、实用、符合项目实际和本项目特点的得15分，每缺失一项扣3分，每项中每有一处表述不清楚、针对性不强、逻辑不清晰的扣1分，扣完为止。</w:t>
            </w:r>
          </w:p>
        </w:tc>
        <w:tc>
          <w:tcPr>
            <w:tcW w:w="1221" w:type="dxa"/>
            <w:noWrap w:val="0"/>
            <w:vAlign w:val="center"/>
          </w:tcPr>
          <w:p w14:paraId="2266A15A">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15分</w:t>
            </w:r>
          </w:p>
        </w:tc>
      </w:tr>
    </w:tbl>
    <w:p w14:paraId="5456A96C">
      <w:pPr>
        <w:pStyle w:val="35"/>
        <w:ind w:firstLine="0" w:firstLineChars="0"/>
        <w:rPr>
          <w:rFonts w:hint="eastAsia" w:ascii="宋体" w:hAnsi="宋体" w:eastAsia="宋体" w:cs="宋体"/>
          <w:color w:val="auto"/>
          <w:highlight w:val="none"/>
        </w:rPr>
      </w:pPr>
    </w:p>
    <w:p w14:paraId="3A454242">
      <w:pPr>
        <w:pStyle w:val="5"/>
        <w:bidi w:val="0"/>
        <w:rPr>
          <w:rFonts w:hint="eastAsia" w:ascii="宋体" w:hAnsi="宋体" w:eastAsia="宋体" w:cs="宋体"/>
          <w:color w:val="auto"/>
          <w:highlight w:val="none"/>
        </w:rPr>
      </w:pPr>
      <w:bookmarkStart w:id="83" w:name="_Toc13162"/>
      <w:r>
        <w:rPr>
          <w:rFonts w:hint="eastAsia" w:ascii="宋体" w:hAnsi="宋体" w:eastAsia="宋体" w:cs="宋体"/>
          <w:color w:val="auto"/>
          <w:highlight w:val="none"/>
        </w:rPr>
        <w:t>七、</w:t>
      </w:r>
      <w:bookmarkEnd w:id="81"/>
      <w:bookmarkEnd w:id="82"/>
      <w:r>
        <w:rPr>
          <w:rFonts w:hint="eastAsia" w:ascii="宋体" w:hAnsi="宋体" w:eastAsia="宋体" w:cs="宋体"/>
          <w:color w:val="auto"/>
          <w:highlight w:val="none"/>
        </w:rPr>
        <w:t>确定成交供应商</w:t>
      </w:r>
      <w:bookmarkEnd w:id="83"/>
    </w:p>
    <w:p w14:paraId="7263F1F6">
      <w:pPr>
        <w:pStyle w:val="6"/>
        <w:numPr>
          <w:ilvl w:val="2"/>
          <w:numId w:val="0"/>
        </w:numPr>
        <w:bidi w:val="0"/>
        <w:ind w:left="0" w:leftChars="0" w:firstLine="400" w:firstLineChars="0"/>
        <w:rPr>
          <w:rFonts w:hint="eastAsia" w:ascii="宋体" w:hAnsi="宋体" w:eastAsia="宋体" w:cs="宋体"/>
          <w:color w:val="auto"/>
          <w:highlight w:val="none"/>
        </w:rPr>
      </w:pPr>
      <w:bookmarkStart w:id="84" w:name="_Toc325726026"/>
      <w:bookmarkStart w:id="85" w:name="_Toc376936757"/>
      <w:bookmarkStart w:id="86" w:name="_Toc27606"/>
      <w:r>
        <w:rPr>
          <w:rFonts w:hint="eastAsia" w:ascii="宋体" w:hAnsi="宋体" w:eastAsia="宋体" w:cs="宋体"/>
          <w:b/>
          <w:color w:val="auto"/>
          <w:kern w:val="2"/>
          <w:sz w:val="30"/>
          <w:szCs w:val="30"/>
          <w:highlight w:val="none"/>
          <w:lang w:val="en-US" w:eastAsia="zh-CN" w:bidi="ar-SA"/>
        </w:rPr>
        <w:t>19．</w:t>
      </w:r>
      <w:r>
        <w:rPr>
          <w:rFonts w:hint="eastAsia" w:ascii="宋体" w:hAnsi="宋体" w:eastAsia="宋体" w:cs="宋体"/>
          <w:color w:val="auto"/>
          <w:highlight w:val="none"/>
        </w:rPr>
        <w:t>推荐并确定成交</w:t>
      </w:r>
      <w:bookmarkEnd w:id="84"/>
      <w:bookmarkEnd w:id="85"/>
      <w:r>
        <w:rPr>
          <w:rFonts w:hint="eastAsia" w:ascii="宋体" w:hAnsi="宋体" w:eastAsia="宋体" w:cs="宋体"/>
          <w:color w:val="auto"/>
          <w:highlight w:val="none"/>
        </w:rPr>
        <w:t>供应商</w:t>
      </w:r>
      <w:bookmarkEnd w:id="86"/>
    </w:p>
    <w:p w14:paraId="5651ABE8">
      <w:pPr>
        <w:bidi w:val="0"/>
        <w:rPr>
          <w:rFonts w:hint="eastAsia" w:ascii="宋体" w:hAnsi="宋体" w:eastAsia="宋体" w:cs="宋体"/>
          <w:color w:val="auto"/>
          <w:highlight w:val="none"/>
        </w:rPr>
      </w:pPr>
      <w:r>
        <w:rPr>
          <w:rFonts w:hint="eastAsia" w:ascii="宋体" w:hAnsi="宋体" w:eastAsia="宋体" w:cs="宋体"/>
          <w:color w:val="auto"/>
          <w:highlight w:val="none"/>
        </w:rPr>
        <w:t>19.1磋商小组根据评审总得分由高到低排序推荐预成交供应商候选人，并由采购人确定成交供应商。</w:t>
      </w:r>
    </w:p>
    <w:p w14:paraId="41D85A7D">
      <w:pPr>
        <w:bidi w:val="0"/>
        <w:rPr>
          <w:rFonts w:hint="eastAsia" w:ascii="宋体" w:hAnsi="宋体" w:eastAsia="宋体" w:cs="宋体"/>
          <w:color w:val="auto"/>
          <w:highlight w:val="none"/>
        </w:rPr>
      </w:pPr>
      <w:r>
        <w:rPr>
          <w:rFonts w:hint="eastAsia" w:ascii="宋体" w:hAnsi="宋体" w:eastAsia="宋体" w:cs="宋体"/>
          <w:color w:val="auto"/>
          <w:highlight w:val="none"/>
        </w:rPr>
        <w:t>19.2成交供应商因不可抗力或自身原因不能履行合同时，采购人可以按照磋商报告推荐的预成交供应商候选人名单排序，确定下一候选人为成交供应商，也可重新开展政府采购活动。</w:t>
      </w:r>
      <w:bookmarkStart w:id="87" w:name="_Toc325726027"/>
    </w:p>
    <w:p w14:paraId="172AD964">
      <w:pPr>
        <w:bidi w:val="0"/>
        <w:rPr>
          <w:rFonts w:hint="eastAsia" w:ascii="宋体" w:hAnsi="宋体" w:eastAsia="宋体" w:cs="宋体"/>
          <w:b/>
          <w:bCs/>
          <w:color w:val="auto"/>
          <w:highlight w:val="none"/>
        </w:rPr>
      </w:pPr>
      <w:r>
        <w:rPr>
          <w:rFonts w:hint="eastAsia" w:ascii="宋体" w:hAnsi="宋体" w:eastAsia="宋体" w:cs="宋体"/>
          <w:b/>
          <w:bCs/>
          <w:color w:val="auto"/>
          <w:highlight w:val="none"/>
        </w:rPr>
        <w:t>19.3</w:t>
      </w:r>
      <w:r>
        <w:rPr>
          <w:rFonts w:hint="eastAsia" w:ascii="宋体" w:hAnsi="宋体" w:eastAsia="宋体" w:cs="宋体"/>
          <w:b/>
          <w:bCs/>
          <w:color w:val="auto"/>
          <w:highlight w:val="none"/>
          <w:lang w:val="zh-CN"/>
        </w:rPr>
        <w:t>成交供应商需提供一正两副（纸质版）和一份电子版（PDF）响应文件。</w:t>
      </w:r>
    </w:p>
    <w:p w14:paraId="39EE9028">
      <w:pPr>
        <w:pStyle w:val="6"/>
        <w:numPr>
          <w:ilvl w:val="2"/>
          <w:numId w:val="0"/>
        </w:numPr>
        <w:bidi w:val="0"/>
        <w:ind w:left="0" w:leftChars="0" w:firstLine="400" w:firstLineChars="0"/>
        <w:rPr>
          <w:rFonts w:hint="eastAsia" w:ascii="宋体" w:hAnsi="宋体" w:eastAsia="宋体" w:cs="宋体"/>
          <w:color w:val="auto"/>
          <w:highlight w:val="none"/>
        </w:rPr>
      </w:pPr>
      <w:bookmarkStart w:id="88" w:name="_Toc325726028"/>
      <w:bookmarkStart w:id="89" w:name="_Toc1045"/>
      <w:bookmarkStart w:id="90" w:name="_Toc376936759"/>
      <w:r>
        <w:rPr>
          <w:rFonts w:hint="eastAsia" w:ascii="宋体" w:hAnsi="宋体" w:eastAsia="宋体" w:cs="宋体"/>
          <w:b/>
          <w:color w:val="auto"/>
          <w:kern w:val="2"/>
          <w:sz w:val="30"/>
          <w:szCs w:val="30"/>
          <w:highlight w:val="none"/>
          <w:lang w:val="en-US" w:eastAsia="zh-CN" w:bidi="ar-SA"/>
        </w:rPr>
        <w:t>20．</w:t>
      </w:r>
      <w:r>
        <w:rPr>
          <w:rFonts w:hint="eastAsia" w:ascii="宋体" w:hAnsi="宋体" w:eastAsia="宋体" w:cs="宋体"/>
          <w:color w:val="auto"/>
          <w:highlight w:val="none"/>
        </w:rPr>
        <w:t>成交通知</w:t>
      </w:r>
      <w:bookmarkEnd w:id="88"/>
      <w:bookmarkEnd w:id="89"/>
      <w:bookmarkEnd w:id="90"/>
    </w:p>
    <w:p w14:paraId="0D31D0B6">
      <w:pPr>
        <w:bidi w:val="0"/>
        <w:rPr>
          <w:rFonts w:hint="eastAsia" w:ascii="宋体" w:hAnsi="宋体" w:eastAsia="宋体" w:cs="宋体"/>
          <w:color w:val="auto"/>
          <w:highlight w:val="none"/>
        </w:rPr>
      </w:pPr>
      <w:r>
        <w:rPr>
          <w:rFonts w:hint="eastAsia" w:ascii="宋体" w:hAnsi="宋体" w:eastAsia="宋体" w:cs="宋体"/>
          <w:color w:val="auto"/>
          <w:highlight w:val="none"/>
        </w:rPr>
        <w:t>20.1采购代理机构自成交供应商确定之日起2个工作日内发出《成交通知书》，并在青海省政府采购网上公告成交结果。</w:t>
      </w:r>
    </w:p>
    <w:p w14:paraId="26244DCB">
      <w:pPr>
        <w:bidi w:val="0"/>
        <w:rPr>
          <w:rFonts w:hint="eastAsia" w:ascii="宋体" w:hAnsi="宋体" w:eastAsia="宋体" w:cs="宋体"/>
          <w:color w:val="auto"/>
          <w:highlight w:val="none"/>
        </w:rPr>
      </w:pPr>
      <w:r>
        <w:rPr>
          <w:rFonts w:hint="eastAsia" w:ascii="宋体" w:hAnsi="宋体" w:eastAsia="宋体" w:cs="宋体"/>
          <w:color w:val="auto"/>
          <w:highlight w:val="none"/>
        </w:rPr>
        <w:t>20.2《成交通知书》发出后，采购人改变成交结果的，或者成交供应商无正当理由放弃成交项目的，依法承担法律责任。</w:t>
      </w:r>
    </w:p>
    <w:p w14:paraId="3CD6A1F0">
      <w:pPr>
        <w:pStyle w:val="5"/>
        <w:bidi w:val="0"/>
        <w:rPr>
          <w:rFonts w:hint="eastAsia" w:ascii="宋体" w:hAnsi="宋体" w:eastAsia="宋体" w:cs="宋体"/>
          <w:color w:val="auto"/>
          <w:highlight w:val="none"/>
        </w:rPr>
      </w:pPr>
      <w:bookmarkStart w:id="91" w:name="_Toc13761"/>
      <w:bookmarkStart w:id="92" w:name="_Toc376936758"/>
      <w:r>
        <w:rPr>
          <w:rFonts w:hint="eastAsia" w:ascii="宋体" w:hAnsi="宋体" w:eastAsia="宋体" w:cs="宋体"/>
          <w:color w:val="auto"/>
          <w:highlight w:val="none"/>
        </w:rPr>
        <w:t>八、授予合同</w:t>
      </w:r>
      <w:bookmarkEnd w:id="87"/>
      <w:bookmarkEnd w:id="91"/>
      <w:bookmarkEnd w:id="92"/>
    </w:p>
    <w:p w14:paraId="5D9C87EC">
      <w:pPr>
        <w:pStyle w:val="6"/>
        <w:numPr>
          <w:ilvl w:val="2"/>
          <w:numId w:val="0"/>
        </w:numPr>
        <w:bidi w:val="0"/>
        <w:ind w:left="0" w:leftChars="0" w:firstLine="400" w:firstLineChars="0"/>
        <w:rPr>
          <w:rFonts w:hint="eastAsia" w:ascii="宋体" w:hAnsi="宋体" w:eastAsia="宋体" w:cs="宋体"/>
          <w:color w:val="auto"/>
          <w:highlight w:val="none"/>
        </w:rPr>
      </w:pPr>
      <w:bookmarkStart w:id="93" w:name="_Toc376936760"/>
      <w:bookmarkStart w:id="94" w:name="_Toc13496"/>
      <w:bookmarkStart w:id="95" w:name="_Toc325726029"/>
      <w:r>
        <w:rPr>
          <w:rFonts w:hint="eastAsia" w:ascii="宋体" w:hAnsi="宋体" w:eastAsia="宋体" w:cs="宋体"/>
          <w:b/>
          <w:color w:val="auto"/>
          <w:kern w:val="2"/>
          <w:sz w:val="30"/>
          <w:szCs w:val="30"/>
          <w:highlight w:val="none"/>
          <w:lang w:val="en-US" w:eastAsia="zh-CN" w:bidi="ar-SA"/>
        </w:rPr>
        <w:t>21．</w:t>
      </w:r>
      <w:r>
        <w:rPr>
          <w:rFonts w:hint="eastAsia" w:ascii="宋体" w:hAnsi="宋体" w:eastAsia="宋体" w:cs="宋体"/>
          <w:color w:val="auto"/>
          <w:highlight w:val="none"/>
        </w:rPr>
        <w:t>签订合同</w:t>
      </w:r>
      <w:bookmarkEnd w:id="93"/>
      <w:bookmarkEnd w:id="94"/>
      <w:bookmarkEnd w:id="95"/>
    </w:p>
    <w:p w14:paraId="5EE83A7A">
      <w:pPr>
        <w:bidi w:val="0"/>
        <w:rPr>
          <w:rFonts w:hint="eastAsia" w:ascii="宋体" w:hAnsi="宋体" w:eastAsia="宋体" w:cs="宋体"/>
          <w:color w:val="auto"/>
          <w:highlight w:val="none"/>
        </w:rPr>
      </w:pPr>
      <w:bookmarkStart w:id="96" w:name="_Toc325726030"/>
      <w:bookmarkStart w:id="97" w:name="_Toc376936761"/>
      <w:r>
        <w:rPr>
          <w:rFonts w:hint="eastAsia" w:ascii="宋体" w:hAnsi="宋体" w:eastAsia="宋体" w:cs="宋体"/>
          <w:color w:val="auto"/>
          <w:highlight w:val="none"/>
        </w:rPr>
        <w:t>21.1采购人与成交供应商双方应当自《成交通知书》发出之日起30日内，按照磋商文件确定的合同文本以及采购标的、规格型号、采购金额、采购数量、技术和服务要求等事项签订政府采购合同，并报</w:t>
      </w:r>
      <w:r>
        <w:rPr>
          <w:rFonts w:hint="eastAsia" w:ascii="宋体" w:hAnsi="宋体" w:cs="宋体"/>
          <w:color w:val="auto"/>
          <w:highlight w:val="none"/>
          <w:lang w:eastAsia="zh-CN"/>
        </w:rPr>
        <w:t>海东乐都区乐欣中堃项目管理有限公司</w:t>
      </w:r>
      <w:r>
        <w:rPr>
          <w:rFonts w:hint="eastAsia" w:ascii="宋体" w:hAnsi="宋体" w:eastAsia="宋体" w:cs="宋体"/>
          <w:color w:val="auto"/>
          <w:highlight w:val="none"/>
        </w:rPr>
        <w:t>审核备案。</w:t>
      </w:r>
    </w:p>
    <w:p w14:paraId="6FC3E62F">
      <w:pPr>
        <w:bidi w:val="0"/>
        <w:rPr>
          <w:rFonts w:hint="eastAsia" w:ascii="宋体" w:hAnsi="宋体" w:eastAsia="宋体" w:cs="宋体"/>
          <w:color w:val="auto"/>
          <w:highlight w:val="none"/>
        </w:rPr>
      </w:pPr>
      <w:r>
        <w:rPr>
          <w:rFonts w:hint="eastAsia" w:ascii="宋体" w:hAnsi="宋体" w:eastAsia="宋体" w:cs="宋体"/>
          <w:color w:val="auto"/>
          <w:highlight w:val="none"/>
        </w:rPr>
        <w:t>21.2采购人不得向成交供应商提出超出磋商文件以外的任何要求作为订立合同的条件，不得与成交供应商订立背离磋商文件确定的合同文本以及采购标的、规格型号、采购金额、采购数量、技术和服务要求等实质性内容的协议。</w:t>
      </w:r>
    </w:p>
    <w:p w14:paraId="006A6953">
      <w:pPr>
        <w:bidi w:val="0"/>
        <w:rPr>
          <w:rFonts w:hint="eastAsia" w:ascii="宋体" w:hAnsi="宋体" w:eastAsia="宋体" w:cs="宋体"/>
          <w:color w:val="auto"/>
          <w:highlight w:val="none"/>
        </w:rPr>
      </w:pPr>
      <w:r>
        <w:rPr>
          <w:rFonts w:hint="eastAsia" w:ascii="宋体" w:hAnsi="宋体" w:eastAsia="宋体" w:cs="宋体"/>
          <w:color w:val="auto"/>
          <w:highlight w:val="none"/>
        </w:rPr>
        <w:t>21.3签订合同时，成交供应商应按规定向采购人提交履约保证金</w:t>
      </w:r>
      <w:r>
        <w:rPr>
          <w:rFonts w:hint="eastAsia" w:ascii="宋体" w:hAnsi="宋体" w:eastAsia="宋体" w:cs="宋体"/>
          <w:color w:val="auto"/>
          <w:highlight w:val="none"/>
          <w:lang w:val="zh-CN"/>
        </w:rPr>
        <w:t>（履约保证金的数额由采购人与成交供应商商定，但数额不得超出采购合同总金额的10%）</w:t>
      </w:r>
      <w:r>
        <w:rPr>
          <w:rFonts w:hint="eastAsia" w:ascii="宋体" w:hAnsi="宋体" w:eastAsia="宋体" w:cs="宋体"/>
          <w:color w:val="auto"/>
          <w:highlight w:val="none"/>
        </w:rPr>
        <w:t>，履约保证金须缴纳到采购人指定的账户</w:t>
      </w:r>
      <w:r>
        <w:rPr>
          <w:rFonts w:hint="eastAsia" w:ascii="宋体" w:hAnsi="宋体" w:eastAsia="宋体" w:cs="宋体"/>
          <w:b/>
          <w:bCs/>
          <w:color w:val="auto"/>
          <w:highlight w:val="none"/>
        </w:rPr>
        <w:t>（详见合同）</w:t>
      </w:r>
      <w:r>
        <w:rPr>
          <w:rFonts w:hint="eastAsia" w:ascii="宋体" w:hAnsi="宋体" w:eastAsia="宋体" w:cs="宋体"/>
          <w:color w:val="auto"/>
          <w:highlight w:val="none"/>
        </w:rPr>
        <w:t>。</w:t>
      </w:r>
    </w:p>
    <w:p w14:paraId="6DC5679C">
      <w:pPr>
        <w:bidi w:val="0"/>
        <w:rPr>
          <w:rFonts w:hint="eastAsia" w:ascii="宋体" w:hAnsi="宋体" w:eastAsia="宋体" w:cs="宋体"/>
          <w:color w:val="auto"/>
          <w:highlight w:val="none"/>
        </w:rPr>
      </w:pPr>
      <w:r>
        <w:rPr>
          <w:rFonts w:hint="eastAsia" w:ascii="宋体" w:hAnsi="宋体" w:eastAsia="宋体" w:cs="宋体"/>
          <w:color w:val="auto"/>
          <w:highlight w:val="none"/>
        </w:rPr>
        <w:t>21.4成交供应商在法定期限内无正当理由拒签合同的，按违约处理。同时，采购代理机构和采购人可依成交供应商候选人排序重新确定成交供应商，并协调双方签订采购合同。</w:t>
      </w:r>
    </w:p>
    <w:p w14:paraId="220F979D">
      <w:pPr>
        <w:bidi w:val="0"/>
        <w:rPr>
          <w:rFonts w:hint="eastAsia" w:ascii="宋体" w:hAnsi="宋体" w:eastAsia="宋体" w:cs="宋体"/>
          <w:color w:val="auto"/>
          <w:highlight w:val="none"/>
        </w:rPr>
      </w:pPr>
      <w:r>
        <w:rPr>
          <w:rFonts w:hint="eastAsia" w:ascii="宋体" w:hAnsi="宋体" w:eastAsia="宋体" w:cs="宋体"/>
          <w:color w:val="auto"/>
          <w:highlight w:val="none"/>
        </w:rPr>
        <w:t>21.5磋商文件、成交供应商的磋商响应文件、《成交通知书》及其澄清、说明文件等，均为签订采购合同的依据。</w:t>
      </w:r>
    </w:p>
    <w:p w14:paraId="74F86DC6">
      <w:pPr>
        <w:bidi w:val="0"/>
        <w:rPr>
          <w:rFonts w:hint="eastAsia" w:ascii="宋体" w:hAnsi="宋体" w:eastAsia="宋体" w:cs="宋体"/>
          <w:color w:val="auto"/>
          <w:highlight w:val="none"/>
        </w:rPr>
      </w:pPr>
      <w:r>
        <w:rPr>
          <w:rFonts w:hint="eastAsia" w:ascii="宋体" w:hAnsi="宋体" w:eastAsia="宋体" w:cs="宋体"/>
          <w:color w:val="auto"/>
          <w:highlight w:val="none"/>
        </w:rPr>
        <w:t>21.6采购人或采购代理机构应当自采购合同签订之日起2个工作日内，将采购合同在青海省政府采购网上公告，但政府采购合同中涉及国家秘密、商业秘密的内容除外。</w:t>
      </w:r>
    </w:p>
    <w:p w14:paraId="78B52856">
      <w:pPr>
        <w:pStyle w:val="5"/>
        <w:bidi w:val="0"/>
        <w:rPr>
          <w:rFonts w:hint="eastAsia" w:ascii="宋体" w:hAnsi="宋体" w:eastAsia="宋体" w:cs="宋体"/>
          <w:color w:val="auto"/>
          <w:highlight w:val="none"/>
        </w:rPr>
      </w:pPr>
      <w:bookmarkStart w:id="98" w:name="_Toc12880"/>
      <w:r>
        <w:rPr>
          <w:rFonts w:hint="eastAsia" w:ascii="宋体" w:hAnsi="宋体" w:eastAsia="宋体" w:cs="宋体"/>
          <w:color w:val="auto"/>
          <w:highlight w:val="none"/>
        </w:rPr>
        <w:t>九、</w:t>
      </w:r>
      <w:bookmarkEnd w:id="96"/>
      <w:bookmarkEnd w:id="97"/>
      <w:r>
        <w:rPr>
          <w:rFonts w:hint="eastAsia" w:ascii="宋体" w:hAnsi="宋体" w:eastAsia="宋体" w:cs="宋体"/>
          <w:color w:val="auto"/>
          <w:highlight w:val="none"/>
        </w:rPr>
        <w:t>磋商活动终止</w:t>
      </w:r>
      <w:bookmarkEnd w:id="98"/>
    </w:p>
    <w:p w14:paraId="1EC91B60">
      <w:pPr>
        <w:pStyle w:val="6"/>
        <w:numPr>
          <w:ilvl w:val="2"/>
          <w:numId w:val="0"/>
        </w:numPr>
        <w:bidi w:val="0"/>
        <w:ind w:left="0" w:leftChars="0" w:firstLine="400" w:firstLineChars="0"/>
        <w:rPr>
          <w:rFonts w:hint="eastAsia" w:ascii="宋体" w:hAnsi="宋体" w:eastAsia="宋体" w:cs="宋体"/>
          <w:color w:val="auto"/>
          <w:highlight w:val="none"/>
        </w:rPr>
      </w:pPr>
      <w:bookmarkStart w:id="99" w:name="_Toc26299"/>
      <w:bookmarkStart w:id="100" w:name="_Toc325726031"/>
      <w:bookmarkStart w:id="101" w:name="_Toc376936762"/>
      <w:r>
        <w:rPr>
          <w:rFonts w:hint="eastAsia" w:ascii="宋体" w:hAnsi="宋体" w:eastAsia="宋体" w:cs="宋体"/>
          <w:b/>
          <w:color w:val="auto"/>
          <w:kern w:val="2"/>
          <w:sz w:val="30"/>
          <w:szCs w:val="30"/>
          <w:highlight w:val="none"/>
          <w:lang w:val="en-US" w:eastAsia="zh-CN" w:bidi="ar-SA"/>
        </w:rPr>
        <w:t>22．</w:t>
      </w:r>
      <w:r>
        <w:rPr>
          <w:rFonts w:hint="eastAsia" w:ascii="宋体" w:hAnsi="宋体" w:eastAsia="宋体" w:cs="宋体"/>
          <w:color w:val="auto"/>
          <w:highlight w:val="none"/>
        </w:rPr>
        <w:t>终止情形</w:t>
      </w:r>
      <w:bookmarkEnd w:id="99"/>
    </w:p>
    <w:p w14:paraId="1C43532D">
      <w:pPr>
        <w:bidi w:val="0"/>
        <w:rPr>
          <w:rFonts w:hint="eastAsia" w:ascii="宋体" w:hAnsi="宋体" w:eastAsia="宋体" w:cs="宋体"/>
          <w:color w:val="auto"/>
          <w:highlight w:val="none"/>
        </w:rPr>
      </w:pPr>
      <w:r>
        <w:rPr>
          <w:rFonts w:hint="eastAsia" w:ascii="宋体" w:hAnsi="宋体" w:eastAsia="宋体" w:cs="宋体"/>
          <w:color w:val="auto"/>
          <w:highlight w:val="none"/>
        </w:rPr>
        <w:t>22.1在竞争性磋商采购中，出现下列情形之一的，终止磋商活动：</w:t>
      </w:r>
      <w:bookmarkEnd w:id="100"/>
      <w:bookmarkEnd w:id="101"/>
    </w:p>
    <w:p w14:paraId="6C9E70AB">
      <w:pPr>
        <w:bidi w:val="0"/>
        <w:rPr>
          <w:rFonts w:hint="eastAsia" w:ascii="宋体" w:hAnsi="宋体" w:eastAsia="宋体" w:cs="宋体"/>
          <w:color w:val="auto"/>
          <w:highlight w:val="none"/>
        </w:rPr>
      </w:pPr>
      <w:r>
        <w:rPr>
          <w:rFonts w:hint="eastAsia" w:ascii="宋体" w:hAnsi="宋体" w:eastAsia="宋体" w:cs="宋体"/>
          <w:color w:val="auto"/>
          <w:highlight w:val="none"/>
        </w:rPr>
        <w:t>（1）因情况变化，不再符合规定的竞争性磋商采购方式适用情形的。</w:t>
      </w:r>
    </w:p>
    <w:p w14:paraId="01E763E1">
      <w:pPr>
        <w:bidi w:val="0"/>
        <w:rPr>
          <w:rFonts w:hint="eastAsia" w:ascii="宋体" w:hAnsi="宋体" w:eastAsia="宋体" w:cs="宋体"/>
          <w:color w:val="auto"/>
          <w:highlight w:val="none"/>
        </w:rPr>
      </w:pPr>
      <w:r>
        <w:rPr>
          <w:rFonts w:hint="eastAsia" w:ascii="宋体" w:hAnsi="宋体" w:eastAsia="宋体" w:cs="宋体"/>
          <w:color w:val="auto"/>
          <w:highlight w:val="none"/>
        </w:rPr>
        <w:t>（2）出现影响采购活动公正的违法、违规行为的。</w:t>
      </w:r>
    </w:p>
    <w:p w14:paraId="0518ACAB">
      <w:pPr>
        <w:bidi w:val="0"/>
        <w:rPr>
          <w:rFonts w:hint="eastAsia" w:ascii="宋体" w:hAnsi="宋体" w:eastAsia="宋体" w:cs="宋体"/>
          <w:color w:val="auto"/>
          <w:highlight w:val="none"/>
        </w:rPr>
      </w:pPr>
      <w:r>
        <w:rPr>
          <w:rFonts w:hint="eastAsia" w:ascii="宋体" w:hAnsi="宋体" w:eastAsia="宋体" w:cs="宋体"/>
          <w:color w:val="auto"/>
          <w:highlight w:val="none"/>
        </w:rPr>
        <w:t>（3）符合要求的供应商或者报价未超过最高限价的供应商不足三家的。</w:t>
      </w:r>
    </w:p>
    <w:p w14:paraId="383F8183">
      <w:pPr>
        <w:bidi w:val="0"/>
        <w:rPr>
          <w:rFonts w:hint="eastAsia" w:ascii="宋体" w:hAnsi="宋体" w:eastAsia="宋体" w:cs="宋体"/>
          <w:color w:val="auto"/>
          <w:highlight w:val="none"/>
        </w:rPr>
      </w:pPr>
      <w:r>
        <w:rPr>
          <w:rFonts w:hint="eastAsia" w:ascii="宋体" w:hAnsi="宋体" w:eastAsia="宋体" w:cs="宋体"/>
          <w:color w:val="auto"/>
          <w:highlight w:val="none"/>
        </w:rPr>
        <w:t>（4）因重大变故，采购任务取消的。</w:t>
      </w:r>
    </w:p>
    <w:p w14:paraId="71E68E31">
      <w:pPr>
        <w:bidi w:val="0"/>
        <w:rPr>
          <w:rFonts w:hint="eastAsia" w:ascii="宋体" w:hAnsi="宋体" w:eastAsia="宋体" w:cs="宋体"/>
          <w:color w:val="auto"/>
          <w:highlight w:val="none"/>
        </w:rPr>
      </w:pPr>
      <w:r>
        <w:rPr>
          <w:rFonts w:hint="eastAsia" w:ascii="宋体" w:hAnsi="宋体" w:eastAsia="宋体" w:cs="宋体"/>
          <w:color w:val="auto"/>
          <w:highlight w:val="none"/>
        </w:rPr>
        <w:t>22.2终止磋商活动后，由采购代理机构发布终止公告并说明原因。</w:t>
      </w:r>
      <w:bookmarkStart w:id="102" w:name="_Toc325726032"/>
    </w:p>
    <w:p w14:paraId="1C7ED468">
      <w:pPr>
        <w:pStyle w:val="5"/>
        <w:bidi w:val="0"/>
        <w:rPr>
          <w:rFonts w:hint="eastAsia" w:ascii="宋体" w:hAnsi="宋体" w:eastAsia="宋体" w:cs="宋体"/>
          <w:color w:val="auto"/>
          <w:highlight w:val="none"/>
        </w:rPr>
      </w:pPr>
      <w:bookmarkStart w:id="103" w:name="_Toc376936763"/>
      <w:bookmarkStart w:id="104" w:name="_Toc11222"/>
      <w:r>
        <w:rPr>
          <w:rFonts w:hint="eastAsia" w:ascii="宋体" w:hAnsi="宋体" w:eastAsia="宋体" w:cs="宋体"/>
          <w:color w:val="auto"/>
          <w:highlight w:val="none"/>
        </w:rPr>
        <w:t>十、处罚</w:t>
      </w:r>
      <w:bookmarkEnd w:id="102"/>
      <w:bookmarkEnd w:id="103"/>
      <w:bookmarkEnd w:id="104"/>
    </w:p>
    <w:p w14:paraId="0646B3CA">
      <w:pPr>
        <w:pStyle w:val="6"/>
        <w:numPr>
          <w:ilvl w:val="2"/>
          <w:numId w:val="0"/>
        </w:numPr>
        <w:bidi w:val="0"/>
        <w:ind w:left="0" w:leftChars="0" w:firstLine="400" w:firstLineChars="0"/>
        <w:rPr>
          <w:rFonts w:hint="eastAsia" w:ascii="宋体" w:hAnsi="宋体" w:eastAsia="宋体" w:cs="宋体"/>
          <w:color w:val="auto"/>
          <w:highlight w:val="none"/>
        </w:rPr>
      </w:pPr>
      <w:bookmarkStart w:id="105" w:name="_Toc325726033"/>
      <w:bookmarkStart w:id="106" w:name="_Toc14243"/>
      <w:bookmarkStart w:id="107" w:name="_Toc376936764"/>
      <w:r>
        <w:rPr>
          <w:rFonts w:hint="eastAsia" w:ascii="宋体" w:hAnsi="宋体" w:eastAsia="宋体" w:cs="宋体"/>
          <w:b/>
          <w:color w:val="auto"/>
          <w:kern w:val="2"/>
          <w:sz w:val="30"/>
          <w:szCs w:val="30"/>
          <w:highlight w:val="none"/>
          <w:lang w:val="en-US" w:eastAsia="zh-CN" w:bidi="ar-SA"/>
        </w:rPr>
        <w:t>23．</w:t>
      </w:r>
      <w:r>
        <w:rPr>
          <w:rFonts w:hint="eastAsia" w:ascii="宋体" w:hAnsi="宋体" w:eastAsia="宋体" w:cs="宋体"/>
          <w:color w:val="auto"/>
          <w:highlight w:val="none"/>
        </w:rPr>
        <w:t>处罚情形</w:t>
      </w:r>
      <w:bookmarkEnd w:id="105"/>
      <w:bookmarkEnd w:id="106"/>
      <w:bookmarkEnd w:id="107"/>
    </w:p>
    <w:p w14:paraId="511D6FA0">
      <w:pPr>
        <w:bidi w:val="0"/>
        <w:rPr>
          <w:rFonts w:hint="eastAsia" w:ascii="宋体" w:hAnsi="宋体" w:eastAsia="宋体" w:cs="宋体"/>
          <w:color w:val="auto"/>
          <w:highlight w:val="none"/>
        </w:rPr>
      </w:pPr>
      <w:r>
        <w:rPr>
          <w:rFonts w:hint="eastAsia" w:ascii="宋体" w:hAnsi="宋体" w:eastAsia="宋体" w:cs="宋体"/>
          <w:color w:val="auto"/>
          <w:highlight w:val="none"/>
        </w:rPr>
        <w:t>有下列情形之一的，成交供应商的成交结果无效履约保证金（如有）不予退还。情节严重的，报省财政厅依法进行处理：</w:t>
      </w:r>
    </w:p>
    <w:p w14:paraId="355FB771">
      <w:pPr>
        <w:bidi w:val="0"/>
        <w:rPr>
          <w:rFonts w:hint="eastAsia" w:ascii="宋体" w:hAnsi="宋体" w:eastAsia="宋体" w:cs="宋体"/>
          <w:color w:val="auto"/>
          <w:highlight w:val="none"/>
        </w:rPr>
      </w:pPr>
      <w:r>
        <w:rPr>
          <w:rFonts w:hint="eastAsia" w:ascii="宋体" w:hAnsi="宋体" w:eastAsia="宋体" w:cs="宋体"/>
          <w:color w:val="auto"/>
          <w:highlight w:val="none"/>
        </w:rPr>
        <w:t>23.1</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在提交响应文件截止时间之后撤回响应文件的。</w:t>
      </w:r>
    </w:p>
    <w:p w14:paraId="23EF8546">
      <w:pPr>
        <w:bidi w:val="0"/>
        <w:rPr>
          <w:rFonts w:hint="eastAsia" w:ascii="宋体" w:hAnsi="宋体" w:eastAsia="宋体" w:cs="宋体"/>
          <w:color w:val="auto"/>
          <w:highlight w:val="none"/>
        </w:rPr>
      </w:pPr>
      <w:r>
        <w:rPr>
          <w:rFonts w:hint="eastAsia" w:ascii="宋体" w:hAnsi="宋体" w:eastAsia="宋体" w:cs="宋体"/>
          <w:color w:val="auto"/>
          <w:highlight w:val="none"/>
        </w:rPr>
        <w:t>23.2</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在响应文件中提供虚假材料的。</w:t>
      </w:r>
    </w:p>
    <w:p w14:paraId="07222180">
      <w:pPr>
        <w:bidi w:val="0"/>
        <w:rPr>
          <w:rFonts w:hint="eastAsia" w:ascii="宋体" w:hAnsi="宋体" w:eastAsia="宋体" w:cs="宋体"/>
          <w:color w:val="auto"/>
          <w:highlight w:val="none"/>
        </w:rPr>
      </w:pPr>
      <w:r>
        <w:rPr>
          <w:rFonts w:hint="eastAsia" w:ascii="宋体" w:hAnsi="宋体" w:eastAsia="宋体" w:cs="宋体"/>
          <w:color w:val="auto"/>
          <w:highlight w:val="none"/>
        </w:rPr>
        <w:t>23.3采取不正当手段诋毁、排挤其他供应商的。</w:t>
      </w:r>
    </w:p>
    <w:p w14:paraId="70D0034A">
      <w:pPr>
        <w:bidi w:val="0"/>
        <w:rPr>
          <w:rFonts w:hint="eastAsia" w:ascii="宋体" w:hAnsi="宋体" w:eastAsia="宋体" w:cs="宋体"/>
          <w:color w:val="auto"/>
          <w:highlight w:val="none"/>
        </w:rPr>
      </w:pPr>
      <w:r>
        <w:rPr>
          <w:rFonts w:hint="eastAsia" w:ascii="宋体" w:hAnsi="宋体" w:eastAsia="宋体" w:cs="宋体"/>
          <w:color w:val="auto"/>
          <w:highlight w:val="none"/>
        </w:rPr>
        <w:t>23.4有恶意串通等不正当竞争行为的。</w:t>
      </w:r>
    </w:p>
    <w:p w14:paraId="65745EE9">
      <w:pPr>
        <w:bidi w:val="0"/>
        <w:rPr>
          <w:rFonts w:hint="eastAsia" w:ascii="宋体" w:hAnsi="宋体" w:eastAsia="宋体" w:cs="宋体"/>
          <w:color w:val="auto"/>
          <w:highlight w:val="none"/>
        </w:rPr>
      </w:pPr>
      <w:r>
        <w:rPr>
          <w:rFonts w:hint="eastAsia" w:ascii="宋体" w:hAnsi="宋体" w:eastAsia="宋体" w:cs="宋体"/>
          <w:color w:val="auto"/>
          <w:highlight w:val="none"/>
        </w:rPr>
        <w:t>23.5成交后无正当理由拒不与采购人签订采购合同的。</w:t>
      </w:r>
    </w:p>
    <w:p w14:paraId="6C32D88D">
      <w:pPr>
        <w:bidi w:val="0"/>
        <w:rPr>
          <w:rFonts w:hint="eastAsia" w:ascii="宋体" w:hAnsi="宋体" w:eastAsia="宋体" w:cs="宋体"/>
          <w:color w:val="auto"/>
          <w:highlight w:val="none"/>
        </w:rPr>
      </w:pPr>
      <w:r>
        <w:rPr>
          <w:rFonts w:hint="eastAsia" w:ascii="宋体" w:hAnsi="宋体" w:eastAsia="宋体" w:cs="宋体"/>
          <w:color w:val="auto"/>
          <w:highlight w:val="none"/>
        </w:rPr>
        <w:t>23.6未按照磋商文件、磋商响应文件确定的事项签订采购合同的。</w:t>
      </w:r>
    </w:p>
    <w:p w14:paraId="41A9C0D0">
      <w:pPr>
        <w:bidi w:val="0"/>
        <w:rPr>
          <w:rFonts w:hint="eastAsia" w:ascii="宋体" w:hAnsi="宋体" w:eastAsia="宋体" w:cs="宋体"/>
          <w:color w:val="auto"/>
          <w:highlight w:val="none"/>
        </w:rPr>
      </w:pPr>
      <w:r>
        <w:rPr>
          <w:rFonts w:hint="eastAsia" w:ascii="宋体" w:hAnsi="宋体" w:eastAsia="宋体" w:cs="宋体"/>
          <w:color w:val="auto"/>
          <w:highlight w:val="none"/>
        </w:rPr>
        <w:t>23.7擅自变更、中止或者终止政府采购合同的。</w:t>
      </w:r>
    </w:p>
    <w:p w14:paraId="713954B3">
      <w:pPr>
        <w:bidi w:val="0"/>
        <w:rPr>
          <w:rFonts w:hint="eastAsia" w:ascii="宋体" w:hAnsi="宋体" w:eastAsia="宋体" w:cs="宋体"/>
          <w:color w:val="auto"/>
          <w:highlight w:val="none"/>
        </w:rPr>
      </w:pPr>
      <w:r>
        <w:rPr>
          <w:rFonts w:hint="eastAsia" w:ascii="宋体" w:hAnsi="宋体" w:eastAsia="宋体" w:cs="宋体"/>
          <w:color w:val="auto"/>
          <w:highlight w:val="none"/>
        </w:rPr>
        <w:t>23.8成交供应商签订合同后，因种种原因不能履约或无故拖延履约期的。</w:t>
      </w:r>
    </w:p>
    <w:p w14:paraId="650E7B82">
      <w:pPr>
        <w:bidi w:val="0"/>
        <w:rPr>
          <w:rFonts w:hint="eastAsia" w:ascii="宋体" w:hAnsi="宋体" w:eastAsia="宋体" w:cs="宋体"/>
          <w:color w:val="auto"/>
          <w:highlight w:val="none"/>
        </w:rPr>
      </w:pPr>
      <w:r>
        <w:rPr>
          <w:rFonts w:hint="eastAsia" w:ascii="宋体" w:hAnsi="宋体" w:eastAsia="宋体" w:cs="宋体"/>
          <w:color w:val="auto"/>
          <w:highlight w:val="none"/>
        </w:rPr>
        <w:t>23.9法律、法规规定的其他情形的。</w:t>
      </w:r>
      <w:bookmarkStart w:id="108" w:name="_Toc325726034"/>
      <w:bookmarkStart w:id="109" w:name="_Toc376936765"/>
    </w:p>
    <w:p w14:paraId="6DF4834B">
      <w:pPr>
        <w:pStyle w:val="5"/>
        <w:bidi w:val="0"/>
        <w:rPr>
          <w:rFonts w:hint="eastAsia" w:ascii="宋体" w:hAnsi="宋体" w:eastAsia="宋体" w:cs="宋体"/>
          <w:color w:val="auto"/>
          <w:highlight w:val="none"/>
        </w:rPr>
      </w:pPr>
      <w:bookmarkStart w:id="110" w:name="_Toc15438"/>
      <w:r>
        <w:rPr>
          <w:rFonts w:hint="eastAsia" w:ascii="宋体" w:hAnsi="宋体" w:eastAsia="宋体" w:cs="宋体"/>
          <w:color w:val="auto"/>
          <w:highlight w:val="none"/>
        </w:rPr>
        <w:t>十一、其他</w:t>
      </w:r>
      <w:bookmarkEnd w:id="108"/>
      <w:bookmarkEnd w:id="109"/>
      <w:bookmarkEnd w:id="110"/>
    </w:p>
    <w:p w14:paraId="7042D587">
      <w:pPr>
        <w:bidi w:val="0"/>
        <w:rPr>
          <w:rFonts w:hint="eastAsia" w:ascii="宋体" w:hAnsi="宋体" w:eastAsia="宋体" w:cs="宋体"/>
          <w:color w:val="auto"/>
          <w:highlight w:val="none"/>
        </w:rPr>
      </w:pPr>
      <w:r>
        <w:rPr>
          <w:rFonts w:hint="eastAsia" w:ascii="宋体" w:hAnsi="宋体" w:eastAsia="宋体" w:cs="宋体"/>
          <w:color w:val="auto"/>
          <w:highlight w:val="none"/>
        </w:rPr>
        <w:t>其他未尽事宜，按照《中华人民共和国政府采购法》、《中华人民共和国民法典》、《中华人民共和国政府采购法实施条例》、《政府采购竞争性磋商采购方式管理暂行办法》等法律法规的有关条款执行。</w:t>
      </w:r>
    </w:p>
    <w:p w14:paraId="7019AF87">
      <w:pPr>
        <w:bidi w:val="0"/>
        <w:rPr>
          <w:rFonts w:hint="eastAsia" w:ascii="宋体" w:hAnsi="宋体" w:eastAsia="宋体" w:cs="宋体"/>
          <w:color w:val="auto"/>
          <w:highlight w:val="none"/>
        </w:rPr>
      </w:pPr>
      <w:bookmarkStart w:id="111" w:name="_Toc376936766"/>
      <w:r>
        <w:rPr>
          <w:rFonts w:hint="eastAsia" w:ascii="宋体" w:hAnsi="宋体" w:eastAsia="宋体" w:cs="宋体"/>
          <w:color w:val="auto"/>
          <w:highlight w:val="none"/>
        </w:rPr>
        <w:br w:type="page"/>
      </w:r>
    </w:p>
    <w:p w14:paraId="4E2B7B1A">
      <w:pPr>
        <w:pStyle w:val="3"/>
        <w:numPr>
          <w:ilvl w:val="0"/>
          <w:numId w:val="0"/>
        </w:numPr>
        <w:bidi w:val="0"/>
        <w:ind w:left="0" w:leftChars="0" w:firstLine="0" w:firstLineChars="0"/>
        <w:rPr>
          <w:rFonts w:hint="eastAsia" w:ascii="宋体" w:hAnsi="宋体" w:eastAsia="宋体" w:cs="宋体"/>
          <w:color w:val="auto"/>
          <w:sz w:val="40"/>
          <w:szCs w:val="60"/>
          <w:highlight w:val="none"/>
        </w:rPr>
      </w:pPr>
      <w:bookmarkStart w:id="112" w:name="_Toc18889"/>
      <w:r>
        <w:rPr>
          <w:rFonts w:hint="eastAsia" w:ascii="宋体" w:hAnsi="宋体" w:eastAsia="宋体" w:cs="宋体"/>
          <w:color w:val="auto"/>
          <w:sz w:val="40"/>
          <w:szCs w:val="60"/>
          <w:highlight w:val="none"/>
        </w:rPr>
        <w:t>第四部分</w:t>
      </w:r>
      <w:bookmarkEnd w:id="111"/>
      <w:r>
        <w:rPr>
          <w:rFonts w:hint="eastAsia" w:ascii="宋体" w:hAnsi="宋体" w:eastAsia="宋体" w:cs="宋体"/>
          <w:color w:val="auto"/>
          <w:sz w:val="40"/>
          <w:szCs w:val="60"/>
          <w:highlight w:val="none"/>
          <w:lang w:val="en-US" w:eastAsia="zh-CN"/>
        </w:rPr>
        <w:t xml:space="preserve">  </w:t>
      </w:r>
      <w:r>
        <w:rPr>
          <w:rFonts w:hint="eastAsia" w:ascii="宋体" w:hAnsi="宋体" w:eastAsia="宋体" w:cs="宋体"/>
          <w:color w:val="auto"/>
          <w:sz w:val="40"/>
          <w:szCs w:val="60"/>
          <w:highlight w:val="none"/>
        </w:rPr>
        <w:t>青海省政府采购项目合同书范本</w:t>
      </w:r>
      <w:bookmarkEnd w:id="112"/>
    </w:p>
    <w:p w14:paraId="7A42E7DA">
      <w:pPr>
        <w:bidi w:val="0"/>
        <w:rPr>
          <w:rFonts w:hint="eastAsia" w:ascii="宋体" w:hAnsi="宋体" w:eastAsia="宋体" w:cs="宋体"/>
          <w:color w:val="auto"/>
          <w:highlight w:val="none"/>
        </w:rPr>
      </w:pPr>
    </w:p>
    <w:p w14:paraId="3C95D102">
      <w:pPr>
        <w:bidi w:val="0"/>
        <w:rPr>
          <w:rFonts w:hint="eastAsia" w:ascii="宋体" w:hAnsi="宋体" w:eastAsia="宋体" w:cs="宋体"/>
          <w:color w:val="auto"/>
          <w:highlight w:val="none"/>
        </w:rPr>
      </w:pPr>
      <w:bookmarkStart w:id="113" w:name="_Toc373954603"/>
      <w:bookmarkStart w:id="114" w:name="_Toc375576842"/>
      <w:bookmarkStart w:id="115" w:name="_Toc373936315"/>
    </w:p>
    <w:p w14:paraId="7F3BBEB8">
      <w:pPr>
        <w:bidi w:val="0"/>
        <w:rPr>
          <w:rFonts w:hint="eastAsia" w:ascii="宋体" w:hAnsi="宋体" w:eastAsia="宋体" w:cs="宋体"/>
          <w:color w:val="auto"/>
          <w:highlight w:val="none"/>
        </w:rPr>
      </w:pPr>
    </w:p>
    <w:p w14:paraId="17395456">
      <w:pPr>
        <w:bidi w:val="0"/>
        <w:ind w:left="0" w:leftChars="0" w:firstLine="0" w:firstLineChars="0"/>
        <w:jc w:val="center"/>
        <w:rPr>
          <w:rFonts w:hint="eastAsia" w:ascii="宋体" w:hAnsi="宋体" w:eastAsia="宋体" w:cs="宋体"/>
          <w:color w:val="auto"/>
          <w:sz w:val="72"/>
          <w:szCs w:val="72"/>
          <w:highlight w:val="none"/>
        </w:rPr>
      </w:pPr>
      <w:bookmarkStart w:id="116" w:name="_Toc448330810"/>
      <w:r>
        <w:rPr>
          <w:rFonts w:hint="eastAsia" w:ascii="宋体" w:hAnsi="宋体" w:eastAsia="宋体" w:cs="宋体"/>
          <w:color w:val="auto"/>
          <w:sz w:val="72"/>
          <w:szCs w:val="72"/>
          <w:highlight w:val="none"/>
        </w:rPr>
        <w:t>政府采购项目合同</w:t>
      </w:r>
      <w:bookmarkEnd w:id="113"/>
      <w:bookmarkEnd w:id="114"/>
      <w:bookmarkEnd w:id="115"/>
      <w:r>
        <w:rPr>
          <w:rFonts w:hint="eastAsia" w:ascii="宋体" w:hAnsi="宋体" w:eastAsia="宋体" w:cs="宋体"/>
          <w:color w:val="auto"/>
          <w:sz w:val="72"/>
          <w:szCs w:val="72"/>
          <w:highlight w:val="none"/>
        </w:rPr>
        <w:t>书</w:t>
      </w:r>
      <w:bookmarkEnd w:id="116"/>
    </w:p>
    <w:p w14:paraId="7CCEC12A">
      <w:pPr>
        <w:bidi w:val="0"/>
        <w:rPr>
          <w:rFonts w:hint="eastAsia" w:ascii="宋体" w:hAnsi="宋体" w:eastAsia="宋体" w:cs="宋体"/>
          <w:color w:val="auto"/>
          <w:highlight w:val="none"/>
        </w:rPr>
      </w:pPr>
    </w:p>
    <w:p w14:paraId="7C18536B">
      <w:pPr>
        <w:bidi w:val="0"/>
        <w:rPr>
          <w:rFonts w:hint="eastAsia" w:ascii="宋体" w:hAnsi="宋体" w:eastAsia="宋体" w:cs="宋体"/>
          <w:color w:val="auto"/>
          <w:highlight w:val="none"/>
        </w:rPr>
      </w:pPr>
    </w:p>
    <w:p w14:paraId="7D327651">
      <w:pPr>
        <w:bidi w:val="0"/>
        <w:rPr>
          <w:rFonts w:hint="eastAsia" w:ascii="宋体" w:hAnsi="宋体" w:eastAsia="宋体" w:cs="宋体"/>
          <w:color w:val="auto"/>
          <w:highlight w:val="none"/>
        </w:rPr>
      </w:pPr>
    </w:p>
    <w:p w14:paraId="1FD82362">
      <w:pPr>
        <w:bidi w:val="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采购项目名称：</w:t>
      </w:r>
      <w:r>
        <w:rPr>
          <w:rFonts w:hint="eastAsia" w:ascii="宋体" w:hAnsi="宋体" w:cs="宋体"/>
          <w:b/>
          <w:bCs/>
          <w:color w:val="auto"/>
          <w:sz w:val="28"/>
          <w:szCs w:val="28"/>
          <w:highlight w:val="none"/>
          <w:u w:val="single"/>
          <w:lang w:val="en-US" w:eastAsia="zh-CN"/>
        </w:rPr>
        <w:t>海东市乐都区2026-2027年度政策性农村住房保险</w:t>
      </w:r>
    </w:p>
    <w:p w14:paraId="240EBCC4">
      <w:pPr>
        <w:bidi w:val="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采购项目编号：</w:t>
      </w:r>
      <w:r>
        <w:rPr>
          <w:rFonts w:hint="eastAsia" w:ascii="宋体" w:hAnsi="宋体" w:cs="宋体"/>
          <w:b/>
          <w:bCs/>
          <w:color w:val="auto"/>
          <w:sz w:val="28"/>
          <w:szCs w:val="28"/>
          <w:highlight w:val="none"/>
          <w:u w:val="single"/>
          <w:lang w:val="en-US" w:eastAsia="zh-CN"/>
        </w:rPr>
        <w:t>乐欣中堃竞磋（服务）2026-020</w:t>
      </w:r>
    </w:p>
    <w:p w14:paraId="783D27E1">
      <w:pPr>
        <w:bidi w:val="0"/>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采购合同编号：</w:t>
      </w:r>
      <w:r>
        <w:rPr>
          <w:rFonts w:hint="eastAsia" w:ascii="宋体" w:hAnsi="宋体" w:eastAsia="宋体" w:cs="宋体"/>
          <w:b/>
          <w:bCs/>
          <w:color w:val="auto"/>
          <w:sz w:val="28"/>
          <w:szCs w:val="28"/>
          <w:highlight w:val="none"/>
          <w:u w:val="single"/>
          <w:lang w:val="en-US" w:eastAsia="zh-CN"/>
        </w:rPr>
        <w:t>LX</w:t>
      </w:r>
      <w:r>
        <w:rPr>
          <w:rFonts w:hint="eastAsia" w:ascii="宋体" w:hAnsi="宋体" w:cs="宋体"/>
          <w:b/>
          <w:bCs/>
          <w:color w:val="auto"/>
          <w:sz w:val="28"/>
          <w:szCs w:val="28"/>
          <w:highlight w:val="none"/>
          <w:u w:val="single"/>
          <w:lang w:val="en-US" w:eastAsia="zh-CN"/>
        </w:rPr>
        <w:t>ZK</w:t>
      </w:r>
      <w:r>
        <w:rPr>
          <w:rFonts w:hint="eastAsia" w:ascii="宋体" w:hAnsi="宋体" w:eastAsia="宋体" w:cs="宋体"/>
          <w:b/>
          <w:bCs/>
          <w:color w:val="auto"/>
          <w:sz w:val="28"/>
          <w:szCs w:val="28"/>
          <w:highlight w:val="none"/>
          <w:u w:val="single"/>
          <w:lang w:val="en-US" w:eastAsia="zh-CN"/>
        </w:rPr>
        <w:t>-</w:t>
      </w:r>
      <w:r>
        <w:rPr>
          <w:rFonts w:hint="eastAsia" w:ascii="宋体" w:hAnsi="宋体" w:cs="宋体"/>
          <w:b/>
          <w:bCs/>
          <w:color w:val="auto"/>
          <w:sz w:val="28"/>
          <w:szCs w:val="28"/>
          <w:highlight w:val="none"/>
          <w:u w:val="single"/>
          <w:lang w:val="en-US" w:eastAsia="zh-CN"/>
        </w:rPr>
        <w:t>2026-020</w:t>
      </w:r>
    </w:p>
    <w:p w14:paraId="7D9F02FB">
      <w:pPr>
        <w:bidi w:val="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采购单位：</w:t>
      </w:r>
      <w:r>
        <w:rPr>
          <w:rFonts w:hint="eastAsia" w:ascii="宋体" w:hAnsi="宋体" w:cs="宋体"/>
          <w:b/>
          <w:bCs/>
          <w:color w:val="auto"/>
          <w:sz w:val="28"/>
          <w:szCs w:val="28"/>
          <w:highlight w:val="none"/>
          <w:u w:val="single"/>
          <w:lang w:val="en-US" w:eastAsia="zh-CN"/>
        </w:rPr>
        <w:t>海东市乐都区应急管理局（本级）</w:t>
      </w:r>
    </w:p>
    <w:p w14:paraId="2A088DCA">
      <w:pPr>
        <w:bidi w:val="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供应商：</w:t>
      </w:r>
      <w:r>
        <w:rPr>
          <w:rFonts w:hint="eastAsia" w:ascii="宋体" w:hAnsi="宋体" w:eastAsia="宋体" w:cs="宋体"/>
          <w:b/>
          <w:bCs/>
          <w:color w:val="auto"/>
          <w:sz w:val="28"/>
          <w:szCs w:val="28"/>
          <w:highlight w:val="none"/>
          <w:u w:val="single"/>
          <w:lang w:val="en-US" w:eastAsia="zh-CN"/>
        </w:rPr>
        <w:t xml:space="preserve">                           </w:t>
      </w:r>
    </w:p>
    <w:p w14:paraId="7549FF0F">
      <w:pPr>
        <w:bidi w:val="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合同金额：</w:t>
      </w:r>
      <w:r>
        <w:rPr>
          <w:rFonts w:hint="eastAsia" w:ascii="宋体" w:hAnsi="宋体" w:eastAsia="宋体" w:cs="宋体"/>
          <w:b/>
          <w:bCs/>
          <w:color w:val="auto"/>
          <w:sz w:val="28"/>
          <w:szCs w:val="28"/>
          <w:highlight w:val="none"/>
          <w:u w:val="single"/>
          <w:lang w:val="en-US" w:eastAsia="zh-CN"/>
        </w:rPr>
        <w:t xml:space="preserve">                         </w:t>
      </w:r>
    </w:p>
    <w:p w14:paraId="13BF7E0E">
      <w:pPr>
        <w:bidi w:val="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磋商日期：</w:t>
      </w:r>
      <w:r>
        <w:rPr>
          <w:rFonts w:hint="eastAsia" w:ascii="宋体" w:hAnsi="宋体" w:eastAsia="宋体" w:cs="宋体"/>
          <w:b/>
          <w:bCs/>
          <w:color w:val="auto"/>
          <w:sz w:val="28"/>
          <w:szCs w:val="28"/>
          <w:highlight w:val="none"/>
          <w:u w:val="single"/>
          <w:lang w:val="en-US" w:eastAsia="zh-CN"/>
        </w:rPr>
        <w:t xml:space="preserve">    年  月  日 </w:t>
      </w:r>
    </w:p>
    <w:p w14:paraId="41A1B554">
      <w:pPr>
        <w:pStyle w:val="35"/>
        <w:ind w:firstLine="0" w:firstLineChars="0"/>
        <w:rPr>
          <w:rFonts w:hint="eastAsia" w:ascii="宋体" w:hAnsi="宋体" w:eastAsia="宋体" w:cs="宋体"/>
          <w:b/>
          <w:bCs/>
          <w:color w:val="auto"/>
          <w:kern w:val="0"/>
          <w:szCs w:val="24"/>
          <w:highlight w:val="none"/>
        </w:rPr>
      </w:pPr>
    </w:p>
    <w:p w14:paraId="7367106B">
      <w:pPr>
        <w:bidi w:val="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注：本合同格式为合同的参考文本，合同签订双方可根据项目的具体要求进行修订，但合同金额、服务承诺、履约方式等必须与磋商文件和供应商的响应文件保持一致。在不违反原采购方案要求和各方认可的文件内容前提下，合同当事人可对合同范本中个别非磋商文件规定和响应文件承诺的合同条款共同协商完善补充修订。</w:t>
      </w:r>
    </w:p>
    <w:p w14:paraId="4A8087EC">
      <w:pPr>
        <w:pStyle w:val="35"/>
        <w:ind w:firstLine="0" w:firstLineChars="0"/>
        <w:rPr>
          <w:rFonts w:hint="eastAsia" w:ascii="宋体" w:hAnsi="宋体" w:eastAsia="宋体" w:cs="宋体"/>
          <w:b/>
          <w:bCs/>
          <w:color w:val="auto"/>
          <w:kern w:val="0"/>
          <w:szCs w:val="24"/>
          <w:highlight w:val="none"/>
        </w:rPr>
      </w:pPr>
    </w:p>
    <w:p w14:paraId="77768FDD">
      <w:pPr>
        <w:rPr>
          <w:rFonts w:hint="eastAsia" w:ascii="宋体" w:hAnsi="宋体" w:eastAsia="宋体" w:cs="宋体"/>
          <w:b/>
          <w:bCs/>
          <w:color w:val="auto"/>
          <w:highlight w:val="none"/>
          <w:lang w:val="zh-CN"/>
        </w:rPr>
      </w:pPr>
      <w:bookmarkStart w:id="117" w:name="_Toc325726036"/>
      <w:bookmarkStart w:id="118" w:name="_Toc376936767"/>
    </w:p>
    <w:p w14:paraId="0DBAF35A">
      <w:pPr>
        <w:autoSpaceDE w:val="0"/>
        <w:autoSpaceDN w:val="0"/>
        <w:adjustRightInd w:val="0"/>
        <w:spacing w:line="360" w:lineRule="auto"/>
        <w:ind w:left="0" w:leftChars="0" w:firstLine="0" w:firstLineChars="0"/>
        <w:rPr>
          <w:rFonts w:hint="eastAsia" w:ascii="宋体" w:hAnsi="宋体" w:eastAsia="宋体" w:cs="宋体"/>
          <w:b/>
          <w:bCs/>
          <w:color w:val="auto"/>
          <w:highlight w:val="none"/>
          <w:lang w:val="zh-CN"/>
        </w:rPr>
      </w:pPr>
    </w:p>
    <w:p w14:paraId="438A98BE">
      <w:pPr>
        <w:autoSpaceDE w:val="0"/>
        <w:autoSpaceDN w:val="0"/>
        <w:adjustRightInd w:val="0"/>
        <w:spacing w:line="360" w:lineRule="auto"/>
        <w:ind w:left="0" w:leftChars="0" w:firstLine="0" w:firstLineChars="0"/>
        <w:rPr>
          <w:rFonts w:hint="eastAsia" w:ascii="宋体" w:hAnsi="宋体" w:eastAsia="宋体" w:cs="宋体"/>
          <w:b/>
          <w:bCs/>
          <w:color w:val="auto"/>
          <w:highlight w:val="none"/>
          <w:lang w:val="zh-CN"/>
        </w:rPr>
      </w:pPr>
    </w:p>
    <w:p w14:paraId="28B3D332">
      <w:pPr>
        <w:pStyle w:val="80"/>
        <w:rPr>
          <w:rFonts w:hint="eastAsia"/>
          <w:color w:val="auto"/>
          <w:highlight w:val="none"/>
          <w:lang w:val="zh-CN"/>
        </w:rPr>
      </w:pPr>
    </w:p>
    <w:p w14:paraId="6B837C69">
      <w:pP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br w:type="page"/>
      </w:r>
    </w:p>
    <w:p w14:paraId="3520F68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szCs w:val="24"/>
          <w:lang w:val="en-US"/>
        </w:rPr>
      </w:pPr>
      <w:r>
        <w:rPr>
          <w:rFonts w:hint="eastAsia" w:ascii="宋体" w:hAnsi="宋体" w:eastAsia="宋体" w:cs="宋体"/>
          <w:b/>
          <w:bCs/>
          <w:color w:val="000000"/>
          <w:sz w:val="24"/>
          <w:szCs w:val="24"/>
          <w:lang w:val="en-US"/>
        </w:rPr>
        <w:t>采 购 人（以下简称甲方）</w:t>
      </w:r>
      <w:r>
        <w:rPr>
          <w:rFonts w:hint="eastAsia" w:ascii="宋体" w:hAnsi="宋体" w:eastAsia="宋体" w:cs="宋体"/>
          <w:color w:val="000000"/>
          <w:sz w:val="24"/>
          <w:szCs w:val="24"/>
          <w:lang w:val="en-US"/>
        </w:rPr>
        <w:t xml:space="preserve">： </w:t>
      </w:r>
    </w:p>
    <w:p w14:paraId="768E128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szCs w:val="24"/>
          <w:lang w:val="en-US"/>
        </w:rPr>
      </w:pPr>
      <w:r>
        <w:rPr>
          <w:rFonts w:hint="eastAsia" w:ascii="宋体" w:hAnsi="宋体" w:eastAsia="宋体" w:cs="宋体"/>
          <w:b/>
          <w:bCs/>
          <w:color w:val="000000"/>
          <w:sz w:val="24"/>
          <w:szCs w:val="24"/>
          <w:lang w:val="en-US"/>
        </w:rPr>
        <w:t>供 应 商（以下简称乙方）</w:t>
      </w:r>
      <w:r>
        <w:rPr>
          <w:rFonts w:hint="eastAsia" w:ascii="宋体" w:hAnsi="宋体" w:eastAsia="宋体" w:cs="宋体"/>
          <w:color w:val="000000"/>
          <w:sz w:val="24"/>
          <w:szCs w:val="24"/>
          <w:lang w:val="en-US"/>
        </w:rPr>
        <w:t>：</w:t>
      </w:r>
    </w:p>
    <w:p w14:paraId="7AF4F97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甲、乙双方根据    年  月  日（</w:t>
      </w:r>
      <w:r>
        <w:rPr>
          <w:rFonts w:hint="eastAsia" w:ascii="宋体" w:hAnsi="宋体" w:eastAsia="宋体" w:cs="宋体"/>
          <w:color w:val="000000"/>
          <w:sz w:val="24"/>
          <w:szCs w:val="24"/>
          <w:lang w:val="en-US" w:eastAsia="zh-CN"/>
        </w:rPr>
        <w:t>项目名称</w:t>
      </w:r>
      <w:r>
        <w:rPr>
          <w:rFonts w:hint="eastAsia" w:ascii="宋体" w:hAnsi="宋体" w:eastAsia="宋体" w:cs="宋体"/>
          <w:color w:val="000000"/>
          <w:sz w:val="24"/>
          <w:szCs w:val="24"/>
          <w:lang w:val="en-US"/>
        </w:rPr>
        <w:t>）（</w:t>
      </w:r>
      <w:r>
        <w:rPr>
          <w:rFonts w:hint="eastAsia" w:ascii="宋体" w:hAnsi="宋体" w:eastAsia="宋体" w:cs="宋体"/>
          <w:color w:val="000000"/>
          <w:sz w:val="24"/>
          <w:szCs w:val="24"/>
          <w:lang w:val="en-US" w:eastAsia="zh-CN"/>
        </w:rPr>
        <w:t>项目编号</w:t>
      </w:r>
      <w:r>
        <w:rPr>
          <w:rFonts w:hint="eastAsia" w:ascii="宋体" w:hAnsi="宋体" w:eastAsia="宋体" w:cs="宋体"/>
          <w:color w:val="000000"/>
          <w:sz w:val="24"/>
          <w:szCs w:val="24"/>
          <w:lang w:val="en-US"/>
        </w:rPr>
        <w:t>）的磋商文件要求和采购代理机构出具的《成交通知书》，并经双方协商一致，签订本合同协议书。</w:t>
      </w:r>
    </w:p>
    <w:p w14:paraId="6458EF6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签订本政府采购合同的依据：</w:t>
      </w:r>
    </w:p>
    <w:p w14:paraId="45F398EC">
      <w:pPr>
        <w:bidi w:val="0"/>
        <w:ind w:left="0" w:leftChars="0"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一、本政府采购合同所附下列文件是构成本政府采购合同不可分割的部分：</w:t>
      </w:r>
    </w:p>
    <w:p w14:paraId="3A0FFAD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1、磋商文件；</w:t>
      </w:r>
    </w:p>
    <w:p w14:paraId="6CE671A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2、磋商文件的更正、变更公告；</w:t>
      </w:r>
    </w:p>
    <w:p w14:paraId="0442A83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3、成交人提交的</w:t>
      </w:r>
      <w:r>
        <w:rPr>
          <w:rFonts w:hint="eastAsia" w:ascii="宋体" w:hAnsi="宋体" w:eastAsia="宋体" w:cs="宋体"/>
          <w:color w:val="000000"/>
          <w:sz w:val="24"/>
          <w:szCs w:val="24"/>
          <w:lang w:val="en-US" w:eastAsia="zh-CN"/>
        </w:rPr>
        <w:t>投标响应</w:t>
      </w:r>
      <w:r>
        <w:rPr>
          <w:rFonts w:hint="eastAsia" w:ascii="宋体" w:hAnsi="宋体" w:eastAsia="宋体" w:cs="宋体"/>
          <w:color w:val="000000"/>
          <w:sz w:val="24"/>
          <w:szCs w:val="24"/>
          <w:lang w:val="en-US"/>
        </w:rPr>
        <w:t>文件；</w:t>
      </w:r>
    </w:p>
    <w:p w14:paraId="091742E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4、磋商文件中规定的政府采购合同通用条款；</w:t>
      </w:r>
    </w:p>
    <w:p w14:paraId="0E4C1EE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5、成交通知书；</w:t>
      </w:r>
    </w:p>
    <w:p w14:paraId="6F5FAF50">
      <w:pPr>
        <w:bidi w:val="0"/>
        <w:ind w:left="0" w:leftChars="0"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二、合同标的及金额</w:t>
      </w:r>
    </w:p>
    <w:p w14:paraId="2A4DC6C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 xml:space="preserve">      单位：元</w:t>
      </w:r>
    </w:p>
    <w:tbl>
      <w:tblPr>
        <w:tblStyle w:val="67"/>
        <w:tblW w:w="7798" w:type="dxa"/>
        <w:jc w:val="center"/>
        <w:tblLayout w:type="autofit"/>
        <w:tblCellMar>
          <w:top w:w="0" w:type="dxa"/>
          <w:left w:w="108" w:type="dxa"/>
          <w:bottom w:w="0" w:type="dxa"/>
          <w:right w:w="108" w:type="dxa"/>
        </w:tblCellMar>
      </w:tblPr>
      <w:tblGrid>
        <w:gridCol w:w="1537"/>
        <w:gridCol w:w="3004"/>
        <w:gridCol w:w="1322"/>
        <w:gridCol w:w="1135"/>
        <w:gridCol w:w="800"/>
      </w:tblGrid>
      <w:tr w14:paraId="16D604AD">
        <w:tblPrEx>
          <w:tblCellMar>
            <w:top w:w="0" w:type="dxa"/>
            <w:left w:w="108" w:type="dxa"/>
            <w:bottom w:w="0" w:type="dxa"/>
            <w:right w:w="108" w:type="dxa"/>
          </w:tblCellMar>
        </w:tblPrEx>
        <w:trPr>
          <w:cantSplit/>
          <w:trHeight w:val="525" w:hRule="atLeast"/>
          <w:jc w:val="center"/>
        </w:trPr>
        <w:tc>
          <w:tcPr>
            <w:tcW w:w="1537" w:type="dxa"/>
            <w:tcBorders>
              <w:top w:val="single" w:color="auto" w:sz="4" w:space="0"/>
              <w:left w:val="single" w:color="auto" w:sz="4" w:space="0"/>
              <w:bottom w:val="single" w:color="auto" w:sz="4" w:space="0"/>
              <w:right w:val="single" w:color="auto" w:sz="4" w:space="0"/>
            </w:tcBorders>
            <w:vAlign w:val="center"/>
          </w:tcPr>
          <w:p w14:paraId="7570929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序号</w:t>
            </w:r>
          </w:p>
        </w:tc>
        <w:tc>
          <w:tcPr>
            <w:tcW w:w="3004" w:type="dxa"/>
            <w:tcBorders>
              <w:top w:val="single" w:color="auto" w:sz="4" w:space="0"/>
              <w:left w:val="single" w:color="auto" w:sz="4" w:space="0"/>
              <w:bottom w:val="single" w:color="auto" w:sz="4" w:space="0"/>
              <w:right w:val="single" w:color="auto" w:sz="4" w:space="0"/>
            </w:tcBorders>
            <w:vAlign w:val="center"/>
          </w:tcPr>
          <w:p w14:paraId="0052B7E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rPr>
              <w:t>服务</w:t>
            </w:r>
            <w:r>
              <w:rPr>
                <w:rFonts w:hint="eastAsia" w:ascii="宋体" w:hAnsi="宋体" w:eastAsia="宋体" w:cs="宋体"/>
                <w:color w:val="000000"/>
                <w:sz w:val="24"/>
                <w:szCs w:val="24"/>
                <w:lang w:val="en-US" w:eastAsia="zh-CN"/>
              </w:rPr>
              <w:t>内容</w:t>
            </w:r>
          </w:p>
        </w:tc>
        <w:tc>
          <w:tcPr>
            <w:tcW w:w="1322" w:type="dxa"/>
            <w:tcBorders>
              <w:top w:val="single" w:color="auto" w:sz="4" w:space="0"/>
              <w:left w:val="single" w:color="auto" w:sz="4" w:space="0"/>
              <w:bottom w:val="single" w:color="auto" w:sz="4" w:space="0"/>
              <w:right w:val="single" w:color="auto" w:sz="4" w:space="0"/>
            </w:tcBorders>
            <w:vAlign w:val="center"/>
          </w:tcPr>
          <w:p w14:paraId="46BEFE0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年限</w:t>
            </w:r>
          </w:p>
        </w:tc>
        <w:tc>
          <w:tcPr>
            <w:tcW w:w="1135" w:type="dxa"/>
            <w:tcBorders>
              <w:top w:val="single" w:color="auto" w:sz="4" w:space="0"/>
              <w:left w:val="single" w:color="auto" w:sz="4" w:space="0"/>
              <w:bottom w:val="single" w:color="auto" w:sz="4" w:space="0"/>
              <w:right w:val="single" w:color="auto" w:sz="4" w:space="0"/>
            </w:tcBorders>
            <w:vAlign w:val="center"/>
          </w:tcPr>
          <w:p w14:paraId="5D7EDE08">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金额</w:t>
            </w:r>
          </w:p>
        </w:tc>
        <w:tc>
          <w:tcPr>
            <w:tcW w:w="800" w:type="dxa"/>
            <w:tcBorders>
              <w:top w:val="single" w:color="auto" w:sz="4" w:space="0"/>
              <w:left w:val="single" w:color="auto" w:sz="4" w:space="0"/>
              <w:bottom w:val="single" w:color="auto" w:sz="4" w:space="0"/>
              <w:right w:val="single" w:color="auto" w:sz="4" w:space="0"/>
            </w:tcBorders>
            <w:vAlign w:val="center"/>
          </w:tcPr>
          <w:p w14:paraId="5F960F6B">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备注</w:t>
            </w:r>
          </w:p>
        </w:tc>
      </w:tr>
      <w:tr w14:paraId="5B7122CF">
        <w:tblPrEx>
          <w:tblCellMar>
            <w:top w:w="0" w:type="dxa"/>
            <w:left w:w="108" w:type="dxa"/>
            <w:bottom w:w="0" w:type="dxa"/>
            <w:right w:w="108" w:type="dxa"/>
          </w:tblCellMar>
        </w:tblPrEx>
        <w:trPr>
          <w:cantSplit/>
          <w:trHeight w:val="346" w:hRule="atLeast"/>
          <w:jc w:val="center"/>
        </w:trPr>
        <w:tc>
          <w:tcPr>
            <w:tcW w:w="1537" w:type="dxa"/>
            <w:tcBorders>
              <w:top w:val="single" w:color="auto" w:sz="4" w:space="0"/>
              <w:left w:val="single" w:color="auto" w:sz="4" w:space="0"/>
              <w:bottom w:val="single" w:color="auto" w:sz="4" w:space="0"/>
              <w:right w:val="single" w:color="auto" w:sz="4" w:space="0"/>
            </w:tcBorders>
          </w:tcPr>
          <w:p w14:paraId="3617014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1</w:t>
            </w:r>
          </w:p>
        </w:tc>
        <w:tc>
          <w:tcPr>
            <w:tcW w:w="3004" w:type="dxa"/>
            <w:tcBorders>
              <w:top w:val="single" w:color="auto" w:sz="4" w:space="0"/>
              <w:left w:val="single" w:color="auto" w:sz="4" w:space="0"/>
              <w:bottom w:val="single" w:color="auto" w:sz="4" w:space="0"/>
              <w:right w:val="single" w:color="auto" w:sz="4" w:space="0"/>
            </w:tcBorders>
            <w:vAlign w:val="center"/>
          </w:tcPr>
          <w:p w14:paraId="0BFDDEF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szCs w:val="24"/>
                <w:lang w:val="en-US"/>
              </w:rPr>
            </w:pPr>
          </w:p>
        </w:tc>
        <w:tc>
          <w:tcPr>
            <w:tcW w:w="1322" w:type="dxa"/>
            <w:tcBorders>
              <w:top w:val="single" w:color="auto" w:sz="4" w:space="0"/>
              <w:left w:val="single" w:color="auto" w:sz="4" w:space="0"/>
              <w:bottom w:val="single" w:color="auto" w:sz="4" w:space="0"/>
              <w:right w:val="single" w:color="auto" w:sz="4" w:space="0"/>
            </w:tcBorders>
            <w:vAlign w:val="center"/>
          </w:tcPr>
          <w:p w14:paraId="07B67EF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szCs w:val="24"/>
                <w:lang w:val="en-US"/>
              </w:rPr>
            </w:pPr>
          </w:p>
        </w:tc>
        <w:tc>
          <w:tcPr>
            <w:tcW w:w="1135" w:type="dxa"/>
            <w:tcBorders>
              <w:top w:val="single" w:color="auto" w:sz="4" w:space="0"/>
              <w:left w:val="single" w:color="auto" w:sz="4" w:space="0"/>
              <w:bottom w:val="single" w:color="auto" w:sz="4" w:space="0"/>
              <w:right w:val="single" w:color="auto" w:sz="4" w:space="0"/>
            </w:tcBorders>
            <w:vAlign w:val="center"/>
          </w:tcPr>
          <w:p w14:paraId="0728E7F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szCs w:val="24"/>
                <w:lang w:val="en-US"/>
              </w:rPr>
            </w:pPr>
          </w:p>
        </w:tc>
        <w:tc>
          <w:tcPr>
            <w:tcW w:w="800" w:type="dxa"/>
            <w:tcBorders>
              <w:top w:val="single" w:color="auto" w:sz="4" w:space="0"/>
              <w:left w:val="single" w:color="auto" w:sz="4" w:space="0"/>
              <w:bottom w:val="single" w:color="auto" w:sz="4" w:space="0"/>
              <w:right w:val="single" w:color="auto" w:sz="4" w:space="0"/>
            </w:tcBorders>
            <w:vAlign w:val="center"/>
          </w:tcPr>
          <w:p w14:paraId="34FCC85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szCs w:val="24"/>
                <w:lang w:val="en-US"/>
              </w:rPr>
            </w:pPr>
          </w:p>
        </w:tc>
      </w:tr>
      <w:tr w14:paraId="5C8A8F08">
        <w:tblPrEx>
          <w:tblCellMar>
            <w:top w:w="0" w:type="dxa"/>
            <w:left w:w="108" w:type="dxa"/>
            <w:bottom w:w="0" w:type="dxa"/>
            <w:right w:w="108" w:type="dxa"/>
          </w:tblCellMar>
        </w:tblPrEx>
        <w:trPr>
          <w:cantSplit/>
          <w:trHeight w:val="389" w:hRule="atLeast"/>
          <w:jc w:val="center"/>
        </w:trPr>
        <w:tc>
          <w:tcPr>
            <w:tcW w:w="1537" w:type="dxa"/>
            <w:tcBorders>
              <w:top w:val="single" w:color="auto" w:sz="4" w:space="0"/>
              <w:left w:val="single" w:color="auto" w:sz="4" w:space="0"/>
              <w:bottom w:val="single" w:color="auto" w:sz="4" w:space="0"/>
              <w:right w:val="single" w:color="auto" w:sz="4" w:space="0"/>
            </w:tcBorders>
          </w:tcPr>
          <w:p w14:paraId="65D049C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2</w:t>
            </w:r>
          </w:p>
        </w:tc>
        <w:tc>
          <w:tcPr>
            <w:tcW w:w="3004" w:type="dxa"/>
            <w:tcBorders>
              <w:top w:val="single" w:color="auto" w:sz="4" w:space="0"/>
              <w:left w:val="single" w:color="auto" w:sz="4" w:space="0"/>
              <w:bottom w:val="single" w:color="auto" w:sz="4" w:space="0"/>
              <w:right w:val="single" w:color="auto" w:sz="4" w:space="0"/>
            </w:tcBorders>
            <w:vAlign w:val="center"/>
          </w:tcPr>
          <w:p w14:paraId="79C77DB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szCs w:val="24"/>
                <w:lang w:val="en-US"/>
              </w:rPr>
            </w:pPr>
          </w:p>
        </w:tc>
        <w:tc>
          <w:tcPr>
            <w:tcW w:w="1322" w:type="dxa"/>
            <w:tcBorders>
              <w:top w:val="single" w:color="auto" w:sz="4" w:space="0"/>
              <w:left w:val="single" w:color="auto" w:sz="4" w:space="0"/>
              <w:bottom w:val="single" w:color="auto" w:sz="4" w:space="0"/>
              <w:right w:val="single" w:color="auto" w:sz="4" w:space="0"/>
            </w:tcBorders>
            <w:vAlign w:val="center"/>
          </w:tcPr>
          <w:p w14:paraId="04F4A6B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szCs w:val="24"/>
                <w:lang w:val="en-US"/>
              </w:rPr>
            </w:pPr>
          </w:p>
        </w:tc>
        <w:tc>
          <w:tcPr>
            <w:tcW w:w="1135" w:type="dxa"/>
            <w:tcBorders>
              <w:top w:val="single" w:color="auto" w:sz="4" w:space="0"/>
              <w:left w:val="single" w:color="auto" w:sz="4" w:space="0"/>
              <w:bottom w:val="single" w:color="auto" w:sz="4" w:space="0"/>
              <w:right w:val="single" w:color="auto" w:sz="4" w:space="0"/>
            </w:tcBorders>
            <w:vAlign w:val="center"/>
          </w:tcPr>
          <w:p w14:paraId="63DCAB1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szCs w:val="24"/>
                <w:lang w:val="en-US"/>
              </w:rPr>
            </w:pPr>
          </w:p>
        </w:tc>
        <w:tc>
          <w:tcPr>
            <w:tcW w:w="800" w:type="dxa"/>
            <w:tcBorders>
              <w:top w:val="single" w:color="auto" w:sz="4" w:space="0"/>
              <w:left w:val="single" w:color="auto" w:sz="4" w:space="0"/>
              <w:bottom w:val="single" w:color="auto" w:sz="4" w:space="0"/>
              <w:right w:val="single" w:color="auto" w:sz="4" w:space="0"/>
            </w:tcBorders>
            <w:vAlign w:val="center"/>
          </w:tcPr>
          <w:p w14:paraId="504C7DB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szCs w:val="24"/>
                <w:lang w:val="en-US"/>
              </w:rPr>
            </w:pPr>
          </w:p>
        </w:tc>
      </w:tr>
      <w:tr w14:paraId="1E109A28">
        <w:tblPrEx>
          <w:tblCellMar>
            <w:top w:w="0" w:type="dxa"/>
            <w:left w:w="108" w:type="dxa"/>
            <w:bottom w:w="0" w:type="dxa"/>
            <w:right w:w="108" w:type="dxa"/>
          </w:tblCellMar>
        </w:tblPrEx>
        <w:trPr>
          <w:cantSplit/>
          <w:trHeight w:val="389" w:hRule="atLeast"/>
          <w:jc w:val="center"/>
        </w:trPr>
        <w:tc>
          <w:tcPr>
            <w:tcW w:w="1537" w:type="dxa"/>
            <w:tcBorders>
              <w:top w:val="single" w:color="auto" w:sz="4" w:space="0"/>
              <w:left w:val="single" w:color="auto" w:sz="4" w:space="0"/>
              <w:bottom w:val="single" w:color="auto" w:sz="4" w:space="0"/>
              <w:right w:val="single" w:color="auto" w:sz="4" w:space="0"/>
            </w:tcBorders>
          </w:tcPr>
          <w:p w14:paraId="7C5B5EE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w:t>
            </w:r>
          </w:p>
        </w:tc>
        <w:tc>
          <w:tcPr>
            <w:tcW w:w="3004" w:type="dxa"/>
            <w:tcBorders>
              <w:top w:val="single" w:color="auto" w:sz="4" w:space="0"/>
              <w:left w:val="single" w:color="auto" w:sz="4" w:space="0"/>
              <w:bottom w:val="single" w:color="auto" w:sz="4" w:space="0"/>
              <w:right w:val="single" w:color="auto" w:sz="4" w:space="0"/>
            </w:tcBorders>
            <w:vAlign w:val="center"/>
          </w:tcPr>
          <w:p w14:paraId="2EDE87B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szCs w:val="24"/>
                <w:lang w:val="en-US"/>
              </w:rPr>
            </w:pPr>
          </w:p>
        </w:tc>
        <w:tc>
          <w:tcPr>
            <w:tcW w:w="1322" w:type="dxa"/>
            <w:tcBorders>
              <w:top w:val="single" w:color="auto" w:sz="4" w:space="0"/>
              <w:left w:val="single" w:color="auto" w:sz="4" w:space="0"/>
              <w:bottom w:val="single" w:color="auto" w:sz="4" w:space="0"/>
              <w:right w:val="single" w:color="auto" w:sz="4" w:space="0"/>
            </w:tcBorders>
            <w:vAlign w:val="center"/>
          </w:tcPr>
          <w:p w14:paraId="67BA01C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szCs w:val="24"/>
                <w:lang w:val="en-US"/>
              </w:rPr>
            </w:pPr>
          </w:p>
        </w:tc>
        <w:tc>
          <w:tcPr>
            <w:tcW w:w="1135" w:type="dxa"/>
            <w:tcBorders>
              <w:top w:val="single" w:color="auto" w:sz="4" w:space="0"/>
              <w:left w:val="single" w:color="auto" w:sz="4" w:space="0"/>
              <w:bottom w:val="single" w:color="auto" w:sz="4" w:space="0"/>
              <w:right w:val="single" w:color="auto" w:sz="4" w:space="0"/>
            </w:tcBorders>
            <w:vAlign w:val="center"/>
          </w:tcPr>
          <w:p w14:paraId="1966524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szCs w:val="24"/>
                <w:lang w:val="en-US"/>
              </w:rPr>
            </w:pPr>
          </w:p>
        </w:tc>
        <w:tc>
          <w:tcPr>
            <w:tcW w:w="800" w:type="dxa"/>
            <w:tcBorders>
              <w:top w:val="single" w:color="auto" w:sz="4" w:space="0"/>
              <w:left w:val="single" w:color="auto" w:sz="4" w:space="0"/>
              <w:bottom w:val="single" w:color="auto" w:sz="4" w:space="0"/>
              <w:right w:val="single" w:color="auto" w:sz="4" w:space="0"/>
            </w:tcBorders>
            <w:vAlign w:val="center"/>
          </w:tcPr>
          <w:p w14:paraId="7CDF6CF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szCs w:val="24"/>
                <w:lang w:val="en-US"/>
              </w:rPr>
            </w:pPr>
          </w:p>
        </w:tc>
      </w:tr>
      <w:tr w14:paraId="169CD5F3">
        <w:tblPrEx>
          <w:tblCellMar>
            <w:top w:w="0" w:type="dxa"/>
            <w:left w:w="108" w:type="dxa"/>
            <w:bottom w:w="0" w:type="dxa"/>
            <w:right w:w="108" w:type="dxa"/>
          </w:tblCellMar>
        </w:tblPrEx>
        <w:trPr>
          <w:cantSplit/>
          <w:trHeight w:val="395" w:hRule="atLeast"/>
          <w:jc w:val="center"/>
        </w:trPr>
        <w:tc>
          <w:tcPr>
            <w:tcW w:w="1537" w:type="dxa"/>
            <w:tcBorders>
              <w:top w:val="single" w:color="auto" w:sz="4" w:space="0"/>
              <w:left w:val="single" w:color="auto" w:sz="4" w:space="0"/>
              <w:bottom w:val="single" w:color="auto" w:sz="4" w:space="0"/>
              <w:right w:val="single" w:color="auto" w:sz="4" w:space="0"/>
            </w:tcBorders>
          </w:tcPr>
          <w:p w14:paraId="274932F3">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合计总金额：</w:t>
            </w:r>
          </w:p>
        </w:tc>
        <w:tc>
          <w:tcPr>
            <w:tcW w:w="6261" w:type="dxa"/>
            <w:gridSpan w:val="4"/>
            <w:tcBorders>
              <w:top w:val="single" w:color="auto" w:sz="4" w:space="0"/>
              <w:left w:val="single" w:color="auto" w:sz="4" w:space="0"/>
              <w:bottom w:val="single" w:color="auto" w:sz="4" w:space="0"/>
              <w:right w:val="single" w:color="auto" w:sz="4" w:space="0"/>
            </w:tcBorders>
            <w:vAlign w:val="center"/>
          </w:tcPr>
          <w:p w14:paraId="349C297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szCs w:val="24"/>
                <w:lang w:val="en-US"/>
              </w:rPr>
            </w:pPr>
          </w:p>
        </w:tc>
      </w:tr>
    </w:tbl>
    <w:p w14:paraId="34AD9E6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根据上述政府采购合同文件要求，本政府采购合同的总金额为人民币</w:t>
      </w:r>
      <w:r>
        <w:rPr>
          <w:rFonts w:hint="eastAsia" w:ascii="宋体" w:hAnsi="宋体" w:eastAsia="宋体" w:cs="宋体"/>
          <w:color w:val="000000"/>
          <w:sz w:val="24"/>
          <w:szCs w:val="24"/>
          <w:u w:val="single"/>
          <w:lang w:val="en-US"/>
        </w:rPr>
        <w:t xml:space="preserve">   元</w:t>
      </w:r>
      <w:r>
        <w:rPr>
          <w:rFonts w:hint="eastAsia" w:ascii="宋体" w:hAnsi="宋体" w:eastAsia="宋体" w:cs="宋体"/>
          <w:color w:val="000000"/>
          <w:sz w:val="24"/>
          <w:szCs w:val="24"/>
          <w:lang w:val="en-US"/>
        </w:rPr>
        <w:t>，（大写：</w:t>
      </w:r>
      <w:r>
        <w:rPr>
          <w:rFonts w:hint="eastAsia" w:ascii="宋体" w:hAnsi="宋体" w:eastAsia="宋体" w:cs="宋体"/>
          <w:color w:val="000000"/>
          <w:sz w:val="24"/>
          <w:szCs w:val="24"/>
          <w:u w:val="single"/>
          <w:lang w:val="en-US"/>
        </w:rPr>
        <w:t xml:space="preserve">      ）</w:t>
      </w:r>
      <w:r>
        <w:rPr>
          <w:rFonts w:hint="eastAsia" w:ascii="宋体" w:hAnsi="宋体" w:eastAsia="宋体" w:cs="宋体"/>
          <w:color w:val="000000"/>
          <w:sz w:val="24"/>
          <w:szCs w:val="24"/>
          <w:lang w:val="en-US"/>
        </w:rPr>
        <w:t xml:space="preserve"> </w:t>
      </w:r>
    </w:p>
    <w:p w14:paraId="018EA7F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本合同以人民币进行结算，投标报价包括：</w:t>
      </w:r>
      <w:r>
        <w:rPr>
          <w:rFonts w:hint="eastAsia" w:ascii="宋体" w:hAnsi="宋体" w:eastAsia="宋体" w:cs="宋体"/>
          <w:color w:val="000000"/>
          <w:sz w:val="24"/>
          <w:szCs w:val="24"/>
          <w:lang w:val="en-US" w:eastAsia="zh-CN"/>
        </w:rPr>
        <w:t>服务费、保险费、差旅费、人员工资、招标代理费、税金及不可预见费等全部费用。</w:t>
      </w:r>
    </w:p>
    <w:p w14:paraId="6D558B1A">
      <w:pPr>
        <w:bidi w:val="0"/>
        <w:ind w:left="0" w:leftChars="0"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三、合同有效期限</w:t>
      </w:r>
    </w:p>
    <w:p w14:paraId="621DC98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000000"/>
          <w:sz w:val="24"/>
          <w:szCs w:val="24"/>
          <w:highlight w:val="none"/>
          <w:lang w:val="en-US"/>
        </w:rPr>
        <w:t>1、服务期：</w:t>
      </w:r>
      <w:r>
        <w:rPr>
          <w:rFonts w:hint="eastAsia" w:ascii="宋体" w:hAnsi="宋体" w:cs="宋体"/>
          <w:color w:val="auto"/>
          <w:sz w:val="24"/>
          <w:szCs w:val="24"/>
          <w:highlight w:val="none"/>
          <w:lang w:val="en-US" w:eastAsia="zh-CN"/>
        </w:rPr>
        <w:t>2026年至2027年</w:t>
      </w:r>
    </w:p>
    <w:p w14:paraId="0950E81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2、服务地点：</w:t>
      </w:r>
      <w:r>
        <w:rPr>
          <w:rFonts w:hint="eastAsia" w:ascii="宋体" w:hAnsi="宋体" w:cs="宋体"/>
          <w:color w:val="auto"/>
          <w:sz w:val="24"/>
          <w:szCs w:val="24"/>
          <w:highlight w:val="none"/>
          <w:lang w:val="en-US" w:eastAsia="zh-CN"/>
        </w:rPr>
        <w:t>乐都区</w:t>
      </w:r>
    </w:p>
    <w:p w14:paraId="4457332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val="en-US"/>
        </w:rPr>
        <w:t>、履约验收：</w:t>
      </w:r>
    </w:p>
    <w:p w14:paraId="44DAB472">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1.甲方应当在服务完成后</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个工作日内进行验收，逾期不验收的，乙方可视为验收合格。验收合格后，由甲乙双方签署产品验收单并加盖采购人公章，甲乙双方各执一份。 </w:t>
      </w:r>
    </w:p>
    <w:p w14:paraId="2B8246AA">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2.甲方应提供该项目验收报告交同级财政监管部门，由财政部门按规定程序抽验后办理资金拨付。 </w:t>
      </w:r>
    </w:p>
    <w:p w14:paraId="7B7CA467">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3.甲方在验收过程中发现乙方有违约问题，可按招、响应文件的规定要求乙方及时予以解决。 </w:t>
      </w:r>
    </w:p>
    <w:p w14:paraId="71149CCA">
      <w:pPr>
        <w:keepNext w:val="0"/>
        <w:keepLines w:val="0"/>
        <w:widowControl/>
        <w:suppressLineNumbers w:val="0"/>
        <w:jc w:val="left"/>
        <w:rPr>
          <w:rFonts w:hint="eastAsia" w:ascii="宋体" w:hAnsi="宋体" w:eastAsia="宋体" w:cs="宋体"/>
          <w:lang w:val="en-US"/>
        </w:rPr>
      </w:pPr>
      <w:r>
        <w:rPr>
          <w:rFonts w:hint="eastAsia" w:ascii="宋体" w:hAnsi="宋体" w:eastAsia="宋体" w:cs="宋体"/>
          <w:color w:val="000000"/>
          <w:kern w:val="0"/>
          <w:sz w:val="24"/>
          <w:szCs w:val="24"/>
          <w:lang w:val="en-US" w:eastAsia="zh-CN" w:bidi="ar"/>
        </w:rPr>
        <w:t>4.乙方向甲方提供产品相关完税销售发票。</w:t>
      </w:r>
    </w:p>
    <w:p w14:paraId="0CF3FFA5">
      <w:pPr>
        <w:bidi w:val="0"/>
        <w:ind w:left="0" w:leftChars="0"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四、付款方式：</w:t>
      </w:r>
    </w:p>
    <w:p w14:paraId="1E25B2B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签订合同时约定。</w:t>
      </w:r>
    </w:p>
    <w:p w14:paraId="538F857A">
      <w:pPr>
        <w:bidi w:val="0"/>
        <w:ind w:left="0" w:leftChars="0"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五、合同的变更、终止与转让</w:t>
      </w:r>
    </w:p>
    <w:p w14:paraId="1DC15B3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1.除《中华人民共和国政府采购法》第50条规定的情形外，本合同一经签订，甲乙双方不得擅自变更、中止或终止。</w:t>
      </w:r>
    </w:p>
    <w:p w14:paraId="5357E7E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2.乙方不得擅自转让其应履行的合同义务。</w:t>
      </w:r>
    </w:p>
    <w:p w14:paraId="255825EA">
      <w:pPr>
        <w:bidi w:val="0"/>
        <w:ind w:left="0" w:leftChars="0"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六、违约责任</w:t>
      </w:r>
    </w:p>
    <w:p w14:paraId="4D48351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1.乙方所提供的服务内容、服务标准、服务要求等质量不合格的，应及时整改；整改不及时的，按逾期服务处罚；因质量问题甲方不同意接收的，质保金</w:t>
      </w:r>
      <w:r>
        <w:rPr>
          <w:rFonts w:hint="eastAsia" w:ascii="宋体" w:hAnsi="宋体" w:eastAsia="宋体" w:cs="宋体"/>
          <w:color w:val="000000"/>
          <w:sz w:val="24"/>
          <w:szCs w:val="24"/>
          <w:lang w:val="en-US" w:eastAsia="zh-CN"/>
        </w:rPr>
        <w:t>（如有）</w:t>
      </w:r>
      <w:r>
        <w:rPr>
          <w:rFonts w:hint="eastAsia" w:ascii="宋体" w:hAnsi="宋体" w:eastAsia="宋体" w:cs="宋体"/>
          <w:color w:val="000000"/>
          <w:sz w:val="24"/>
          <w:szCs w:val="24"/>
          <w:lang w:val="en-US"/>
        </w:rPr>
        <w:t>全额扣除，并由乙方赔偿由此引起的甲方的一切经济损失。</w:t>
      </w:r>
    </w:p>
    <w:p w14:paraId="38F129F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2.乙方提供的服务如侵犯了第三方权益而引发纠纷或诉讼的，均由乙方负责交涉并承担全部责任。</w:t>
      </w:r>
    </w:p>
    <w:p w14:paraId="466E0BE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3.乙方未按本合同和投标文件中规定的服务承诺提供售后服务的，乙方应按本合同合计金额的5%向甲方支付违约金。</w:t>
      </w:r>
    </w:p>
    <w:p w14:paraId="61172A6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4.乙方提供的服务在质量保证期内，因标准、内容或管理的缺陷和其它质量原因造成的问题，由乙方负责，费用从履约保证金中扣除，不足另补。</w:t>
      </w:r>
    </w:p>
    <w:p w14:paraId="0EC709B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5.其它违约行为按违约货款额5%收取违约金并赔偿经济损失。</w:t>
      </w:r>
    </w:p>
    <w:p w14:paraId="3F92BE38">
      <w:pPr>
        <w:bidi w:val="0"/>
        <w:ind w:left="0" w:leftChars="0"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七、不可抗力</w:t>
      </w:r>
    </w:p>
    <w:p w14:paraId="556C2D1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1. “不可抗力”指战争、严重火灾、洪水、台风、地震等无法控制，不可预见的事件。</w:t>
      </w:r>
    </w:p>
    <w:p w14:paraId="631D0C2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2. 乙方因不可抗力而导致合同实施延误或不能履行合同义务的话，不承担误期赔偿或终止合同的责任。</w:t>
      </w:r>
    </w:p>
    <w:p w14:paraId="12569F7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3. 在不可抗力事件发生后，乙方应尽快以书面形式将不可抗力的情况和原因通知甲方。除甲方书面另行要求外，乙方应尽实际可能继续履行合同义务，以及寻求采取合理的方案履行不受不可抗力影响的其他事项。如果不可抗力事件影响持续超过二十 (20)天，双方应通过友好协商在合理的时间内达成进一步的协议。</w:t>
      </w:r>
    </w:p>
    <w:p w14:paraId="7337E22B">
      <w:pPr>
        <w:bidi w:val="0"/>
        <w:ind w:left="0" w:leftChars="0"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八、其他约定：</w:t>
      </w:r>
    </w:p>
    <w:p w14:paraId="259A76CD">
      <w:pPr>
        <w:bidi w:val="0"/>
        <w:ind w:left="0" w:leftChars="0" w:firstLine="482" w:firstLineChars="200"/>
        <w:rPr>
          <w:rFonts w:hint="eastAsia" w:ascii="宋体" w:hAnsi="宋体" w:eastAsia="宋体" w:cs="宋体"/>
          <w:b/>
          <w:bCs/>
          <w:lang w:val="en-US" w:eastAsia="zh-CN"/>
        </w:rPr>
      </w:pPr>
      <w:r>
        <w:rPr>
          <w:rFonts w:hint="eastAsia" w:ascii="宋体" w:hAnsi="宋体" w:eastAsia="宋体" w:cs="宋体"/>
          <w:b/>
          <w:bCs/>
          <w:lang w:val="en-US" w:eastAsia="zh-CN"/>
        </w:rPr>
        <w:t>九、合同争议解决</w:t>
      </w:r>
    </w:p>
    <w:p w14:paraId="7164149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1.因履行本合同引起的或与本合同有关的争议，甲乙双方应首先通过友好协商解决，如果协商不能解决，可向甲方所在地仲裁委员会申请仲裁或向甲方所在地人民法院提起诉讼。</w:t>
      </w:r>
    </w:p>
    <w:p w14:paraId="6C53FF0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rPr>
        <w:t>2.诉讼期间，本合同继续履行。</w:t>
      </w:r>
    </w:p>
    <w:p w14:paraId="778AF8A2">
      <w:pPr>
        <w:bidi w:val="0"/>
        <w:ind w:left="0" w:leftChars="0" w:firstLine="482" w:firstLineChars="200"/>
        <w:rPr>
          <w:rFonts w:hint="eastAsia" w:ascii="宋体" w:hAnsi="宋体" w:eastAsia="宋体" w:cs="宋体"/>
        </w:rPr>
      </w:pPr>
      <w:r>
        <w:rPr>
          <w:rFonts w:hint="eastAsia" w:ascii="宋体" w:hAnsi="宋体" w:eastAsia="宋体" w:cs="宋体"/>
          <w:b/>
          <w:bCs/>
          <w:lang w:val="en-US" w:eastAsia="zh-CN"/>
        </w:rPr>
        <w:t>十、</w:t>
      </w:r>
      <w:r>
        <w:rPr>
          <w:rFonts w:hint="eastAsia" w:ascii="宋体" w:hAnsi="宋体" w:eastAsia="宋体" w:cs="宋体"/>
          <w:b/>
          <w:bCs/>
        </w:rPr>
        <w:t>合同生效及其它：</w:t>
      </w:r>
    </w:p>
    <w:p w14:paraId="3013A50C">
      <w:pPr>
        <w:bidi w:val="0"/>
        <w:rPr>
          <w:rFonts w:hint="eastAsia" w:ascii="宋体" w:hAnsi="宋体" w:eastAsia="宋体" w:cs="宋体"/>
        </w:rPr>
      </w:pPr>
      <w:r>
        <w:rPr>
          <w:rFonts w:hint="eastAsia" w:ascii="宋体" w:hAnsi="宋体" w:eastAsia="宋体" w:cs="宋体"/>
        </w:rPr>
        <w:t>1</w:t>
      </w:r>
      <w:r>
        <w:rPr>
          <w:rFonts w:hint="eastAsia" w:ascii="宋体" w:hAnsi="宋体" w:eastAsia="宋体" w:cs="宋体"/>
          <w:lang w:eastAsia="zh-CN"/>
        </w:rPr>
        <w:t>、</w:t>
      </w:r>
      <w:r>
        <w:rPr>
          <w:rFonts w:hint="eastAsia" w:ascii="宋体" w:hAnsi="宋体" w:eastAsia="宋体" w:cs="宋体"/>
        </w:rPr>
        <w:t>本合同一式</w:t>
      </w:r>
      <w:r>
        <w:rPr>
          <w:rFonts w:hint="eastAsia" w:ascii="宋体" w:hAnsi="宋体" w:eastAsia="宋体" w:cs="宋体"/>
          <w:u w:val="single"/>
        </w:rPr>
        <w:t xml:space="preserve">    </w:t>
      </w:r>
      <w:r>
        <w:rPr>
          <w:rFonts w:hint="eastAsia" w:ascii="宋体" w:hAnsi="宋体" w:eastAsia="宋体" w:cs="宋体"/>
        </w:rPr>
        <w:t>份，甲方</w:t>
      </w:r>
      <w:r>
        <w:rPr>
          <w:rFonts w:hint="eastAsia" w:ascii="宋体" w:hAnsi="宋体" w:eastAsia="宋体" w:cs="宋体"/>
          <w:u w:val="single"/>
        </w:rPr>
        <w:t xml:space="preserve">     </w:t>
      </w:r>
      <w:r>
        <w:rPr>
          <w:rFonts w:hint="eastAsia" w:ascii="宋体" w:hAnsi="宋体" w:eastAsia="宋体" w:cs="宋体"/>
        </w:rPr>
        <w:t>份，乙方</w:t>
      </w:r>
      <w:r>
        <w:rPr>
          <w:rFonts w:hint="eastAsia" w:ascii="宋体" w:hAnsi="宋体" w:eastAsia="宋体" w:cs="宋体"/>
          <w:u w:val="single"/>
        </w:rPr>
        <w:t xml:space="preserve">     </w:t>
      </w:r>
      <w:r>
        <w:rPr>
          <w:rFonts w:hint="eastAsia" w:ascii="宋体" w:hAnsi="宋体" w:eastAsia="宋体" w:cs="宋体"/>
        </w:rPr>
        <w:t>份，代理机构</w:t>
      </w:r>
      <w:r>
        <w:rPr>
          <w:rFonts w:hint="eastAsia" w:ascii="宋体" w:hAnsi="宋体" w:eastAsia="宋体" w:cs="宋体"/>
          <w:u w:val="single"/>
          <w:lang w:val="en-US" w:eastAsia="zh-CN"/>
        </w:rPr>
        <w:t xml:space="preserve"> </w:t>
      </w:r>
      <w:r>
        <w:rPr>
          <w:rFonts w:hint="eastAsia" w:ascii="宋体" w:hAnsi="宋体" w:cs="宋体"/>
          <w:u w:val="single"/>
          <w:lang w:val="en-US" w:eastAsia="zh-CN"/>
        </w:rPr>
        <w:t>3</w:t>
      </w:r>
      <w:r>
        <w:rPr>
          <w:rFonts w:hint="eastAsia" w:ascii="宋体" w:hAnsi="宋体" w:eastAsia="宋体" w:cs="宋体"/>
          <w:u w:val="single"/>
          <w:lang w:val="en-US" w:eastAsia="zh-CN"/>
        </w:rPr>
        <w:t xml:space="preserve"> </w:t>
      </w:r>
      <w:r>
        <w:rPr>
          <w:rFonts w:hint="eastAsia" w:ascii="宋体" w:hAnsi="宋体" w:eastAsia="宋体" w:cs="宋体"/>
        </w:rPr>
        <w:t>份，经甲乙双方授权代表签字盖章后生效。</w:t>
      </w:r>
    </w:p>
    <w:p w14:paraId="24CF4274">
      <w:pPr>
        <w:bidi w:val="0"/>
        <w:rPr>
          <w:rFonts w:hint="eastAsia" w:ascii="宋体" w:hAnsi="宋体" w:eastAsia="宋体" w:cs="宋体"/>
        </w:rPr>
      </w:pPr>
      <w:r>
        <w:rPr>
          <w:rFonts w:hint="eastAsia" w:ascii="宋体" w:hAnsi="宋体" w:eastAsia="宋体" w:cs="宋体"/>
        </w:rPr>
        <w:t>2</w:t>
      </w:r>
      <w:r>
        <w:rPr>
          <w:rFonts w:hint="eastAsia" w:ascii="宋体" w:hAnsi="宋体" w:eastAsia="宋体" w:cs="宋体"/>
          <w:lang w:eastAsia="zh-CN"/>
        </w:rPr>
        <w:t>、</w:t>
      </w:r>
      <w:r>
        <w:rPr>
          <w:rFonts w:hint="eastAsia" w:ascii="宋体" w:hAnsi="宋体" w:eastAsia="宋体" w:cs="宋体"/>
          <w:lang w:val="zh-CN"/>
        </w:rPr>
        <w:t>本合同未尽事宜，按《民法典》有关规定处理。</w:t>
      </w:r>
    </w:p>
    <w:p w14:paraId="03E99631">
      <w:pPr>
        <w:pStyle w:val="2"/>
        <w:rPr>
          <w:rFonts w:hint="eastAsia"/>
          <w:highlight w:val="none"/>
          <w:lang w:val="zh-CN"/>
        </w:rPr>
      </w:pPr>
    </w:p>
    <w:p w14:paraId="00D90EE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lang w:val="zh-CN"/>
        </w:rPr>
        <w:t>甲方（盖章）：                             乙方（盖章）：</w:t>
      </w:r>
    </w:p>
    <w:p w14:paraId="15C4376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lang w:val="zh-CN"/>
        </w:rPr>
        <w:t>法定代表人或委托代理人</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法定代表人或委托代理人</w:t>
      </w:r>
      <w:r>
        <w:rPr>
          <w:rFonts w:hint="eastAsia" w:ascii="宋体" w:hAnsi="宋体" w:eastAsia="宋体" w:cs="宋体"/>
          <w:color w:val="auto"/>
          <w:highlight w:val="none"/>
        </w:rPr>
        <w:t>：</w:t>
      </w:r>
    </w:p>
    <w:p w14:paraId="4F721B1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lang w:val="zh-CN"/>
        </w:rPr>
        <w:t>开户银行：</w:t>
      </w:r>
    </w:p>
    <w:p w14:paraId="632DE98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联系电话：                                 账号：</w:t>
      </w:r>
    </w:p>
    <w:p w14:paraId="076EB0E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lang w:val="zh-CN"/>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 xml:space="preserve">联系电话： </w:t>
      </w:r>
    </w:p>
    <w:p w14:paraId="32B283D1">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zh-CN"/>
        </w:rPr>
        <w:t>签约时间：  年  月  日</w:t>
      </w:r>
    </w:p>
    <w:p w14:paraId="5BF67A9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p>
    <w:p w14:paraId="1F0FF70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p>
    <w:p w14:paraId="23AB764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采购代理机构（盖章）：</w:t>
      </w:r>
      <w:r>
        <w:rPr>
          <w:rFonts w:hint="eastAsia" w:ascii="宋体" w:hAnsi="Calibri" w:cs="宋体"/>
          <w:color w:val="auto"/>
          <w:kern w:val="0"/>
          <w:sz w:val="24"/>
          <w:szCs w:val="24"/>
          <w:lang w:val="zh-CN"/>
        </w:rPr>
        <w:t>海东乐都区乐欣中堃项目管理有限公司</w:t>
      </w:r>
    </w:p>
    <w:p w14:paraId="72C05EA4">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宋体" w:hAnsi="宋体" w:eastAsia="宋体" w:cs="宋体"/>
          <w:color w:val="auto"/>
          <w:highlight w:val="none"/>
          <w:lang w:val="en-US" w:eastAsia="zh-CN"/>
        </w:rPr>
      </w:pPr>
      <w:r>
        <w:rPr>
          <w:rFonts w:hint="eastAsia" w:ascii="宋体" w:hAnsi="宋体" w:eastAsia="宋体" w:cs="宋体"/>
          <w:color w:val="auto"/>
          <w:highlight w:val="none"/>
        </w:rPr>
        <w:t>地址：</w:t>
      </w:r>
      <w:r>
        <w:rPr>
          <w:rFonts w:hint="eastAsia" w:ascii="宋体" w:hAnsi="宋体" w:cs="宋体"/>
          <w:color w:val="auto"/>
          <w:highlight w:val="none"/>
          <w:lang w:val="en-US" w:eastAsia="zh-CN"/>
        </w:rPr>
        <w:t>青海省海东市乐都区碾伯街道滨河北路10号</w:t>
      </w:r>
    </w:p>
    <w:p w14:paraId="6D9C4A3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Calibri" w:cs="宋体"/>
          <w:color w:val="auto"/>
          <w:kern w:val="0"/>
          <w:sz w:val="24"/>
          <w:szCs w:val="24"/>
          <w:lang w:val="zh-CN"/>
        </w:rPr>
      </w:pPr>
      <w:r>
        <w:rPr>
          <w:rFonts w:hint="eastAsia" w:ascii="宋体" w:hAnsi="Calibri" w:cs="宋体"/>
          <w:color w:val="auto"/>
          <w:kern w:val="0"/>
          <w:sz w:val="24"/>
          <w:szCs w:val="24"/>
          <w:lang w:val="zh-CN"/>
        </w:rPr>
        <w:t>负责人或经办人：</w:t>
      </w:r>
    </w:p>
    <w:p w14:paraId="3F9F93E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合同备案时间：</w:t>
      </w:r>
    </w:p>
    <w:p w14:paraId="757F3E34">
      <w:pPr>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br w:type="page"/>
      </w:r>
    </w:p>
    <w:p w14:paraId="093704A9">
      <w:pPr>
        <w:bidi w:val="0"/>
        <w:ind w:left="0" w:leftChars="0" w:firstLine="0" w:firstLineChars="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合同通用条款</w:t>
      </w:r>
    </w:p>
    <w:p w14:paraId="3142F777">
      <w:pPr>
        <w:bidi w:val="0"/>
        <w:rPr>
          <w:rFonts w:hint="eastAsia" w:ascii="宋体" w:hAnsi="宋体" w:eastAsia="宋体" w:cs="宋体"/>
          <w:color w:val="auto"/>
          <w:highlight w:val="none"/>
        </w:rPr>
      </w:pPr>
      <w:r>
        <w:rPr>
          <w:rFonts w:hint="eastAsia" w:ascii="宋体" w:hAnsi="宋体" w:eastAsia="宋体" w:cs="宋体"/>
          <w:color w:val="auto"/>
          <w:highlight w:val="none"/>
          <w:lang w:val="zh-CN"/>
        </w:rPr>
        <w:t>根据《中华人民共和国民法典》、《中华人民共和国政府采购法》的规定，合同双方经协商达成一致，自愿订立本合同，遵循公平原则明确双方的权利、义务，确保双方诚实守信地履行合同。</w:t>
      </w:r>
    </w:p>
    <w:p w14:paraId="30E9DD9F">
      <w:pPr>
        <w:bidi w:val="0"/>
        <w:ind w:left="0" w:leftChars="0"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1.</w:t>
      </w:r>
      <w:r>
        <w:rPr>
          <w:rFonts w:hint="eastAsia" w:ascii="宋体" w:hAnsi="宋体" w:eastAsia="宋体" w:cs="宋体"/>
          <w:b/>
          <w:bCs/>
          <w:color w:val="auto"/>
          <w:highlight w:val="none"/>
          <w:lang w:val="zh-CN"/>
        </w:rPr>
        <w:t>定义</w:t>
      </w:r>
    </w:p>
    <w:p w14:paraId="0ECD28A0">
      <w:pPr>
        <w:bidi w:val="0"/>
        <w:rPr>
          <w:rFonts w:hint="eastAsia" w:ascii="宋体" w:hAnsi="宋体" w:eastAsia="宋体" w:cs="宋体"/>
          <w:color w:val="auto"/>
          <w:highlight w:val="none"/>
        </w:rPr>
      </w:pPr>
      <w:r>
        <w:rPr>
          <w:rFonts w:hint="eastAsia" w:ascii="宋体" w:hAnsi="宋体" w:eastAsia="宋体" w:cs="宋体"/>
          <w:color w:val="auto"/>
          <w:highlight w:val="none"/>
          <w:lang w:val="zh-CN"/>
        </w:rPr>
        <w:t>本合同中的下列术语应解释为：</w:t>
      </w:r>
    </w:p>
    <w:p w14:paraId="487AB0C4">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1.1 </w:t>
      </w:r>
      <w:r>
        <w:rPr>
          <w:rFonts w:hint="eastAsia" w:ascii="宋体" w:hAnsi="宋体" w:eastAsia="宋体" w:cs="宋体"/>
          <w:color w:val="auto"/>
          <w:highlight w:val="none"/>
          <w:lang w:val="zh-CN"/>
        </w:rPr>
        <w:t>“合同”指甲乙双方签署的、载明的甲乙双方权利义务的协议，包括所有的附件、附录和上述文件所提到的构成合同的所有文件。</w:t>
      </w:r>
    </w:p>
    <w:p w14:paraId="29D7E46C">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1.2 </w:t>
      </w:r>
      <w:r>
        <w:rPr>
          <w:rFonts w:hint="eastAsia" w:ascii="宋体" w:hAnsi="宋体" w:eastAsia="宋体" w:cs="宋体"/>
          <w:color w:val="auto"/>
          <w:highlight w:val="none"/>
          <w:lang w:val="zh-CN"/>
        </w:rPr>
        <w:t>“合同金额”指根据合同规定，乙方在正确地完全履行合同义务后甲方应付给乙方的价款。</w:t>
      </w:r>
    </w:p>
    <w:p w14:paraId="239F6170">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1.3 </w:t>
      </w:r>
      <w:r>
        <w:rPr>
          <w:rFonts w:hint="eastAsia" w:ascii="宋体" w:hAnsi="宋体" w:eastAsia="宋体" w:cs="宋体"/>
          <w:color w:val="auto"/>
          <w:highlight w:val="none"/>
          <w:lang w:val="zh-CN"/>
        </w:rPr>
        <w:t>“合同条款”指本合同条款。</w:t>
      </w:r>
    </w:p>
    <w:p w14:paraId="007353F2">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1.4 </w:t>
      </w:r>
      <w:r>
        <w:rPr>
          <w:rFonts w:hint="eastAsia" w:ascii="宋体" w:hAnsi="宋体" w:eastAsia="宋体" w:cs="宋体"/>
          <w:color w:val="auto"/>
          <w:highlight w:val="none"/>
          <w:lang w:val="zh-CN"/>
        </w:rPr>
        <w:t>“货物”指乙方根据合同约定须向甲方提供的一切产品、设备、机械、仪表、备件等，包括辅助工具、使用手册等相关资料。</w:t>
      </w:r>
    </w:p>
    <w:p w14:paraId="1CEAC7B0">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1.5 </w:t>
      </w:r>
      <w:r>
        <w:rPr>
          <w:rFonts w:hint="eastAsia" w:ascii="宋体" w:hAnsi="宋体" w:eastAsia="宋体" w:cs="宋体"/>
          <w:color w:val="auto"/>
          <w:highlight w:val="none"/>
          <w:lang w:val="zh-CN"/>
        </w:rPr>
        <w:t>“服务”指根据本合同规定乙方承担与供货有关的辅助服务，如运输、保险及安装、调试、提供技术援助、培训和合同中规定乙方应承担的其它义务。</w:t>
      </w:r>
    </w:p>
    <w:p w14:paraId="2FE02416">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1.6 </w:t>
      </w:r>
      <w:r>
        <w:rPr>
          <w:rFonts w:hint="eastAsia" w:ascii="宋体" w:hAnsi="宋体" w:eastAsia="宋体" w:cs="宋体"/>
          <w:color w:val="auto"/>
          <w:highlight w:val="none"/>
          <w:lang w:val="zh-CN"/>
        </w:rPr>
        <w:t>“甲方”指购买货物和服务的单位。</w:t>
      </w:r>
    </w:p>
    <w:p w14:paraId="2AE704BC">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1.7 </w:t>
      </w:r>
      <w:r>
        <w:rPr>
          <w:rFonts w:hint="eastAsia" w:ascii="宋体" w:hAnsi="宋体" w:eastAsia="宋体" w:cs="宋体"/>
          <w:color w:val="auto"/>
          <w:highlight w:val="none"/>
          <w:lang w:val="zh-CN"/>
        </w:rPr>
        <w:t>“乙方”指提供本合同条款下货物和服务的公司或其他实体。</w:t>
      </w:r>
    </w:p>
    <w:p w14:paraId="550B65CC">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1.8 </w:t>
      </w:r>
      <w:r>
        <w:rPr>
          <w:rFonts w:hint="eastAsia" w:ascii="宋体" w:hAnsi="宋体" w:eastAsia="宋体" w:cs="宋体"/>
          <w:color w:val="auto"/>
          <w:highlight w:val="none"/>
          <w:lang w:val="zh-CN"/>
        </w:rPr>
        <w:t>“现场”指合同规定货物将要运至和安装的地点。</w:t>
      </w:r>
    </w:p>
    <w:p w14:paraId="75D1DEAA">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1.9 </w:t>
      </w:r>
      <w:r>
        <w:rPr>
          <w:rFonts w:hint="eastAsia" w:ascii="宋体" w:hAnsi="宋体" w:eastAsia="宋体" w:cs="宋体"/>
          <w:color w:val="auto"/>
          <w:highlight w:val="none"/>
          <w:lang w:val="zh-CN"/>
        </w:rPr>
        <w:t>“验收”指合同双方依据强制性的国家技术质量规范和合同约定，确认合同条款下的货物符合合同规定的活动。</w:t>
      </w:r>
    </w:p>
    <w:p w14:paraId="4E8BB335">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1.10 </w:t>
      </w:r>
      <w:r>
        <w:rPr>
          <w:rFonts w:hint="eastAsia" w:ascii="宋体" w:hAnsi="宋体" w:eastAsia="宋体" w:cs="宋体"/>
          <w:color w:val="auto"/>
          <w:highlight w:val="none"/>
          <w:lang w:val="zh-CN"/>
        </w:rPr>
        <w:t>原厂商：产品制造商或其在中国境内设立的办事或技术服务机构。除另有说明外，本合同文件所述的制造商、产品制造商、制造厂家、产品制造厂家均为原厂商。</w:t>
      </w:r>
    </w:p>
    <w:p w14:paraId="236D1905">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1.11 </w:t>
      </w:r>
      <w:r>
        <w:rPr>
          <w:rFonts w:hint="eastAsia" w:ascii="宋体" w:hAnsi="宋体" w:eastAsia="宋体" w:cs="宋体"/>
          <w:color w:val="auto"/>
          <w:highlight w:val="none"/>
          <w:lang w:val="zh-CN"/>
        </w:rPr>
        <w:t>原产地：指产品的生产地，或提供服务的来源地。</w:t>
      </w:r>
    </w:p>
    <w:p w14:paraId="097E0DAE">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1.12 </w:t>
      </w:r>
      <w:r>
        <w:rPr>
          <w:rFonts w:hint="eastAsia" w:ascii="宋体" w:hAnsi="宋体" w:eastAsia="宋体" w:cs="宋体"/>
          <w:color w:val="auto"/>
          <w:highlight w:val="none"/>
          <w:lang w:val="zh-CN"/>
        </w:rPr>
        <w:t>“工作日”指国家法定工作日，“天”指日历天数。</w:t>
      </w:r>
    </w:p>
    <w:p w14:paraId="27491FA5">
      <w:pPr>
        <w:bidi w:val="0"/>
        <w:ind w:left="0" w:leftChars="0"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2.</w:t>
      </w:r>
      <w:r>
        <w:rPr>
          <w:rFonts w:hint="eastAsia" w:ascii="宋体" w:hAnsi="宋体" w:eastAsia="宋体" w:cs="宋体"/>
          <w:b/>
          <w:bCs/>
          <w:color w:val="auto"/>
          <w:highlight w:val="none"/>
          <w:lang w:val="zh-CN"/>
        </w:rPr>
        <w:t>技术规格要求</w:t>
      </w:r>
    </w:p>
    <w:p w14:paraId="0E168C5D">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2.1 </w:t>
      </w:r>
      <w:r>
        <w:rPr>
          <w:rFonts w:hint="eastAsia" w:ascii="宋体" w:hAnsi="宋体" w:eastAsia="宋体" w:cs="宋体"/>
          <w:color w:val="auto"/>
          <w:highlight w:val="none"/>
          <w:lang w:val="zh-CN"/>
        </w:rPr>
        <w:t>本合同条款下提交货物的技术规格要求应等于或优于</w:t>
      </w:r>
      <w:r>
        <w:rPr>
          <w:rFonts w:hint="eastAsia" w:ascii="宋体" w:hAnsi="宋体" w:eastAsia="宋体" w:cs="宋体"/>
          <w:color w:val="auto"/>
          <w:highlight w:val="none"/>
          <w:lang w:val="en-US" w:eastAsia="zh-CN"/>
        </w:rPr>
        <w:t>磋商文、响应</w:t>
      </w:r>
      <w:r>
        <w:rPr>
          <w:rFonts w:hint="eastAsia" w:ascii="宋体" w:hAnsi="宋体" w:eastAsia="宋体" w:cs="宋体"/>
          <w:color w:val="auto"/>
          <w:highlight w:val="none"/>
          <w:lang w:val="zh-CN"/>
        </w:rPr>
        <w:t>文件技术规格要求。若技术规格要求中无相应规定，则应符合相应的国家有关部门最新颁布的相应正式标准。</w:t>
      </w:r>
    </w:p>
    <w:p w14:paraId="6F6361E4">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2.2 </w:t>
      </w:r>
      <w:r>
        <w:rPr>
          <w:rFonts w:hint="eastAsia" w:ascii="宋体" w:hAnsi="宋体" w:eastAsia="宋体" w:cs="宋体"/>
          <w:color w:val="auto"/>
          <w:highlight w:val="none"/>
          <w:lang w:val="zh-CN"/>
        </w:rPr>
        <w:t>乙方应向甲方提供货物及服务有关的标准的中文文本。</w:t>
      </w:r>
    </w:p>
    <w:p w14:paraId="74E13C41">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2.3 </w:t>
      </w:r>
      <w:r>
        <w:rPr>
          <w:rFonts w:hint="eastAsia" w:ascii="宋体" w:hAnsi="宋体" w:eastAsia="宋体" w:cs="宋体"/>
          <w:color w:val="auto"/>
          <w:highlight w:val="none"/>
          <w:lang w:val="zh-CN"/>
        </w:rPr>
        <w:t>除非技术规范中另有规定，计量单位均采用中华人民共和国法定计量单位。</w:t>
      </w:r>
    </w:p>
    <w:p w14:paraId="0F9D0492">
      <w:pPr>
        <w:bidi w:val="0"/>
        <w:ind w:left="0" w:leftChars="0"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3.</w:t>
      </w:r>
      <w:r>
        <w:rPr>
          <w:rFonts w:hint="eastAsia" w:ascii="宋体" w:hAnsi="宋体" w:eastAsia="宋体" w:cs="宋体"/>
          <w:b/>
          <w:bCs/>
          <w:color w:val="auto"/>
          <w:highlight w:val="none"/>
          <w:lang w:val="zh-CN"/>
        </w:rPr>
        <w:t>合同范围</w:t>
      </w:r>
    </w:p>
    <w:p w14:paraId="7F897683">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3.1 </w:t>
      </w:r>
      <w:r>
        <w:rPr>
          <w:rFonts w:hint="eastAsia" w:ascii="宋体" w:hAnsi="宋体" w:eastAsia="宋体" w:cs="宋体"/>
          <w:color w:val="auto"/>
          <w:highlight w:val="none"/>
          <w:lang w:val="zh-CN"/>
        </w:rPr>
        <w:t>甲方同意从乙方处购买且乙方同意向甲方提供的货物及其附属货物，消耗性材料、专用工具等，包括各项技术服务、技术培训及满足合同货物组装、检验、培训、技术服务、安装调试指导、性能测试、正常运行及维修所必需的技术文件。</w:t>
      </w:r>
    </w:p>
    <w:p w14:paraId="720FFF6B">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3.2 </w:t>
      </w:r>
      <w:r>
        <w:rPr>
          <w:rFonts w:hint="eastAsia" w:ascii="宋体" w:hAnsi="宋体" w:eastAsia="宋体" w:cs="宋体"/>
          <w:color w:val="auto"/>
          <w:highlight w:val="none"/>
          <w:lang w:val="zh-CN"/>
        </w:rPr>
        <w:t>乙方应负责培训甲方的技术人员。</w:t>
      </w:r>
    </w:p>
    <w:p w14:paraId="77A3E5CB">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3.3 </w:t>
      </w:r>
      <w:r>
        <w:rPr>
          <w:rFonts w:hint="eastAsia" w:ascii="宋体" w:hAnsi="宋体" w:eastAsia="宋体" w:cs="宋体"/>
          <w:color w:val="auto"/>
          <w:highlight w:val="none"/>
          <w:lang w:val="zh-CN"/>
        </w:rPr>
        <w:t>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货物大修和维护所需的配件及服务。</w:t>
      </w:r>
    </w:p>
    <w:p w14:paraId="0EEC919D">
      <w:pPr>
        <w:bidi w:val="0"/>
        <w:ind w:left="0" w:leftChars="0"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4.</w:t>
      </w:r>
      <w:r>
        <w:rPr>
          <w:rFonts w:hint="eastAsia" w:ascii="宋体" w:hAnsi="宋体" w:eastAsia="宋体" w:cs="宋体"/>
          <w:b/>
          <w:bCs/>
          <w:color w:val="auto"/>
          <w:highlight w:val="none"/>
          <w:lang w:val="zh-CN"/>
        </w:rPr>
        <w:t>合同文件和资料</w:t>
      </w:r>
    </w:p>
    <w:p w14:paraId="0A8D7D8D">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4.1 </w:t>
      </w:r>
      <w:r>
        <w:rPr>
          <w:rFonts w:hint="eastAsia" w:ascii="宋体" w:hAnsi="宋体" w:eastAsia="宋体" w:cs="宋体"/>
          <w:color w:val="auto"/>
          <w:highlight w:val="none"/>
          <w:lang w:val="zh-CN"/>
        </w:rPr>
        <w:t>乙方在提供仪器设备时应同时提供中文版相关的技术资料，如目录索引、图纸、操作手册、使用指南、维修指南、服务手册等。</w:t>
      </w:r>
    </w:p>
    <w:p w14:paraId="291AE93A">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4.2 </w:t>
      </w:r>
      <w:r>
        <w:rPr>
          <w:rFonts w:hint="eastAsia" w:ascii="宋体" w:hAnsi="宋体" w:eastAsia="宋体" w:cs="宋体"/>
          <w:color w:val="auto"/>
          <w:highlight w:val="none"/>
          <w:lang w:val="zh-CN"/>
        </w:rPr>
        <w:t>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71A1D1A7">
      <w:pPr>
        <w:bidi w:val="0"/>
        <w:ind w:left="0" w:leftChars="0"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5.</w:t>
      </w:r>
      <w:r>
        <w:rPr>
          <w:rFonts w:hint="eastAsia" w:ascii="宋体" w:hAnsi="宋体" w:eastAsia="宋体" w:cs="宋体"/>
          <w:b/>
          <w:bCs/>
          <w:color w:val="auto"/>
          <w:highlight w:val="none"/>
          <w:lang w:val="zh-CN"/>
        </w:rPr>
        <w:t>知识产权</w:t>
      </w:r>
    </w:p>
    <w:p w14:paraId="45C678D3">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5.1 </w:t>
      </w:r>
      <w:r>
        <w:rPr>
          <w:rFonts w:hint="eastAsia" w:ascii="宋体" w:hAnsi="宋体" w:eastAsia="宋体" w:cs="宋体"/>
          <w:color w:val="auto"/>
          <w:highlight w:val="none"/>
          <w:lang w:val="zh-CN"/>
        </w:rPr>
        <w:t>乙方应保证甲方在使用该货物或其任何一部分时不受第三方提出的侵犯专利权、著作权、商标权和工业设计权等的起诉。</w:t>
      </w:r>
    </w:p>
    <w:p w14:paraId="4E6CE95B">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5.2 </w:t>
      </w:r>
      <w:r>
        <w:rPr>
          <w:rFonts w:hint="eastAsia" w:ascii="宋体" w:hAnsi="宋体" w:eastAsia="宋体" w:cs="宋体"/>
          <w:color w:val="auto"/>
          <w:highlight w:val="none"/>
          <w:lang w:val="zh-CN"/>
        </w:rPr>
        <w:t>任何第三方提出侵权指控，乙方须与第三方交涉并承担由此产生的一切责任、费用和经济赔偿。</w:t>
      </w:r>
    </w:p>
    <w:p w14:paraId="1BF569D0">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5.3 </w:t>
      </w:r>
      <w:r>
        <w:rPr>
          <w:rFonts w:hint="eastAsia" w:ascii="宋体" w:hAnsi="宋体" w:eastAsia="宋体" w:cs="宋体"/>
          <w:color w:val="auto"/>
          <w:highlight w:val="none"/>
          <w:lang w:val="zh-CN"/>
        </w:rPr>
        <w:t>双方应共同遵守国家有关版权、专利、商标等知识产权方面的法律规定，相互尊重对方的知识产权，对本合同内容、对方的技术秘密和商业秘密负有保密责任。如有违反，违约方负相关法律责任。</w:t>
      </w:r>
    </w:p>
    <w:p w14:paraId="3E0D7FE4">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5.4 </w:t>
      </w:r>
      <w:r>
        <w:rPr>
          <w:rFonts w:hint="eastAsia" w:ascii="宋体" w:hAnsi="宋体" w:eastAsia="宋体" w:cs="宋体"/>
          <w:color w:val="auto"/>
          <w:highlight w:val="none"/>
          <w:lang w:val="zh-CN"/>
        </w:rPr>
        <w:t>在本合同生效时已经存在并为各方合法拥有或使用的所有技术、资料和信息的知识产权，仍应属于其各自的原权利人所有或享有，另有约定的除外。</w:t>
      </w:r>
    </w:p>
    <w:p w14:paraId="31B8C26D">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5.5 </w:t>
      </w:r>
      <w:r>
        <w:rPr>
          <w:rFonts w:hint="eastAsia" w:ascii="宋体" w:hAnsi="宋体" w:eastAsia="宋体" w:cs="宋体"/>
          <w:color w:val="auto"/>
          <w:highlight w:val="none"/>
          <w:lang w:val="zh-CN"/>
        </w:rPr>
        <w:t>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14:paraId="777E9DD3">
      <w:pPr>
        <w:bidi w:val="0"/>
        <w:ind w:left="0" w:leftChars="0"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6.</w:t>
      </w:r>
      <w:r>
        <w:rPr>
          <w:rFonts w:hint="eastAsia" w:ascii="宋体" w:hAnsi="宋体" w:eastAsia="宋体" w:cs="宋体"/>
          <w:b/>
          <w:bCs/>
          <w:color w:val="auto"/>
          <w:highlight w:val="none"/>
          <w:lang w:val="zh-CN"/>
        </w:rPr>
        <w:t>保密</w:t>
      </w:r>
    </w:p>
    <w:p w14:paraId="63578069">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6.1 </w:t>
      </w:r>
      <w:r>
        <w:rPr>
          <w:rFonts w:hint="eastAsia" w:ascii="宋体" w:hAnsi="宋体" w:eastAsia="宋体" w:cs="宋体"/>
          <w:color w:val="auto"/>
          <w:highlight w:val="none"/>
          <w:lang w:val="zh-CN"/>
        </w:rPr>
        <w:t>在本合同履行期间及履行完毕后的任何时候，任何一方均应对因履行本合同从对方获取或知悉的保密信息承担保密责任，未经对方书面同意不得向第三方透露，否则应赔偿由此给对方造成的全部损失。</w:t>
      </w:r>
    </w:p>
    <w:p w14:paraId="70512E29">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6.2 </w:t>
      </w:r>
      <w:r>
        <w:rPr>
          <w:rFonts w:hint="eastAsia" w:ascii="宋体" w:hAnsi="宋体" w:eastAsia="宋体" w:cs="宋体"/>
          <w:color w:val="auto"/>
          <w:highlight w:val="none"/>
          <w:lang w:val="zh-CN"/>
        </w:rPr>
        <w:t>保密信息指任何一方因履行本合同所知悉的任何以口头、书面、图表或电子形式存在的对方信息，具体包括：</w:t>
      </w:r>
    </w:p>
    <w:p w14:paraId="76AA7ED5">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6.2.1 </w:t>
      </w:r>
      <w:r>
        <w:rPr>
          <w:rFonts w:hint="eastAsia" w:ascii="宋体" w:hAnsi="宋体" w:eastAsia="宋体" w:cs="宋体"/>
          <w:color w:val="auto"/>
          <w:highlight w:val="none"/>
          <w:lang w:val="zh-CN"/>
        </w:rPr>
        <w:t>任何涉及对方过去、现在或将来的商业计划、规章制度、操作规程、处理手段、财务信息；</w:t>
      </w:r>
    </w:p>
    <w:p w14:paraId="61D2CBBF">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6.2.2 </w:t>
      </w:r>
      <w:r>
        <w:rPr>
          <w:rFonts w:hint="eastAsia" w:ascii="宋体" w:hAnsi="宋体" w:eastAsia="宋体" w:cs="宋体"/>
          <w:color w:val="auto"/>
          <w:highlight w:val="none"/>
          <w:lang w:val="zh-CN"/>
        </w:rPr>
        <w:t>任何对方的技术措施、技术方案、软件应用及开发，硬件设备的品种、质量、数量、品牌等；</w:t>
      </w:r>
    </w:p>
    <w:p w14:paraId="62D28061">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6.2.3 </w:t>
      </w:r>
      <w:r>
        <w:rPr>
          <w:rFonts w:hint="eastAsia" w:ascii="宋体" w:hAnsi="宋体" w:eastAsia="宋体" w:cs="宋体"/>
          <w:color w:val="auto"/>
          <w:highlight w:val="none"/>
          <w:lang w:val="zh-CN"/>
        </w:rPr>
        <w:t>任何对方的技术秘密或专有知识、文件、报告、数据、客户软件、流程图、数据库、发明、知识、贸易秘密。</w:t>
      </w:r>
    </w:p>
    <w:p w14:paraId="13BD5F4D">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6.3 </w:t>
      </w:r>
      <w:r>
        <w:rPr>
          <w:rFonts w:hint="eastAsia" w:ascii="宋体" w:hAnsi="宋体" w:eastAsia="宋体" w:cs="宋体"/>
          <w:color w:val="auto"/>
          <w:highlight w:val="none"/>
          <w:lang w:val="zh-CN"/>
        </w:rPr>
        <w:t>乙方应根据甲方的要求签署相应的保密协议，保密协议与本条款存在不一致的，以保密协议为准。</w:t>
      </w:r>
    </w:p>
    <w:p w14:paraId="6F869A9E">
      <w:pPr>
        <w:bidi w:val="0"/>
        <w:ind w:left="0" w:leftChars="0"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 xml:space="preserve">7. </w:t>
      </w:r>
      <w:r>
        <w:rPr>
          <w:rFonts w:hint="eastAsia" w:ascii="宋体" w:hAnsi="宋体" w:eastAsia="宋体" w:cs="宋体"/>
          <w:b/>
          <w:bCs/>
          <w:color w:val="auto"/>
          <w:highlight w:val="none"/>
          <w:lang w:val="zh-CN"/>
        </w:rPr>
        <w:t>质量保证</w:t>
      </w:r>
    </w:p>
    <w:p w14:paraId="5EE87F72">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7.1 </w:t>
      </w:r>
      <w:r>
        <w:rPr>
          <w:rFonts w:hint="eastAsia" w:ascii="宋体" w:hAnsi="宋体" w:eastAsia="宋体" w:cs="宋体"/>
          <w:color w:val="auto"/>
          <w:highlight w:val="none"/>
          <w:lang w:val="zh-CN"/>
        </w:rPr>
        <w:t>货物质量保证</w:t>
      </w:r>
    </w:p>
    <w:p w14:paraId="4387DA7B">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7.1.1 </w:t>
      </w:r>
      <w:r>
        <w:rPr>
          <w:rFonts w:hint="eastAsia" w:ascii="宋体" w:hAnsi="宋体" w:eastAsia="宋体" w:cs="宋体"/>
          <w:color w:val="auto"/>
          <w:highlight w:val="none"/>
          <w:lang w:val="zh-CN"/>
        </w:rPr>
        <w:t>乙方必须保证货物是全新、未使用过的，并完全符合强制性的国家技术质量规范和合同规定的质量、规格、性能和技术规范等的要求。</w:t>
      </w:r>
    </w:p>
    <w:p w14:paraId="756CB03E">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7.1.2 </w:t>
      </w:r>
      <w:r>
        <w:rPr>
          <w:rFonts w:hint="eastAsia" w:ascii="宋体" w:hAnsi="宋体" w:eastAsia="宋体" w:cs="宋体"/>
          <w:color w:val="auto"/>
          <w:highlight w:val="none"/>
          <w:lang w:val="zh-CN"/>
        </w:rPr>
        <w:t>乙方须保证所提供的货物经正确安装、正常运转和保养，在其使用寿命期内须具有符合质量要求和产品说明书的性能。在货物质量保证期之内，乙方须对由于设计、工艺或材料的缺陷而发生的任何不足或故障负责，并免费予以改进或更换。</w:t>
      </w:r>
    </w:p>
    <w:p w14:paraId="4FB53F42">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7.1.3 </w:t>
      </w:r>
      <w:r>
        <w:rPr>
          <w:rFonts w:hint="eastAsia" w:ascii="宋体" w:hAnsi="宋体" w:eastAsia="宋体" w:cs="宋体"/>
          <w:color w:val="auto"/>
          <w:highlight w:val="none"/>
          <w:lang w:val="zh-CN"/>
        </w:rPr>
        <w:t>根据乙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14:paraId="69A29803">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7.1.4 </w:t>
      </w:r>
      <w:r>
        <w:rPr>
          <w:rFonts w:hint="eastAsia" w:ascii="宋体" w:hAnsi="宋体" w:eastAsia="宋体" w:cs="宋体"/>
          <w:color w:val="auto"/>
          <w:highlight w:val="none"/>
          <w:lang w:val="zh-CN"/>
        </w:rPr>
        <w:t>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14:paraId="296EDEBC">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7.1.5 </w:t>
      </w:r>
      <w:r>
        <w:rPr>
          <w:rFonts w:hint="eastAsia" w:ascii="宋体" w:hAnsi="宋体" w:eastAsia="宋体" w:cs="宋体"/>
          <w:color w:val="auto"/>
          <w:highlight w:val="none"/>
          <w:lang w:val="zh-CN"/>
        </w:rPr>
        <w:t>合同条款下货物的质量保证期自货物通过最终验收起算，合同另行规定除外。</w:t>
      </w:r>
    </w:p>
    <w:p w14:paraId="636CC9F5">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7.2 </w:t>
      </w:r>
      <w:r>
        <w:rPr>
          <w:rFonts w:hint="eastAsia" w:ascii="宋体" w:hAnsi="宋体" w:eastAsia="宋体" w:cs="宋体"/>
          <w:color w:val="auto"/>
          <w:highlight w:val="none"/>
          <w:lang w:val="zh-CN"/>
        </w:rPr>
        <w:t>辅助服务质量保证</w:t>
      </w:r>
    </w:p>
    <w:p w14:paraId="22F46A10">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7.2.1 </w:t>
      </w:r>
      <w:r>
        <w:rPr>
          <w:rFonts w:hint="eastAsia" w:ascii="宋体" w:hAnsi="宋体" w:eastAsia="宋体" w:cs="宋体"/>
          <w:color w:val="auto"/>
          <w:highlight w:val="none"/>
          <w:lang w:val="zh-CN"/>
        </w:rPr>
        <w:t>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14:paraId="7905669F">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7.2.2 </w:t>
      </w:r>
      <w:r>
        <w:rPr>
          <w:rFonts w:hint="eastAsia" w:ascii="宋体" w:hAnsi="宋体" w:eastAsia="宋体" w:cs="宋体"/>
          <w:color w:val="auto"/>
          <w:highlight w:val="none"/>
          <w:lang w:val="zh-CN"/>
        </w:rPr>
        <w:t>乙方应保证合同条款下所提供的服务包括培训、安装指导、单机调试、系统联调和试验等，按合同规定方式进行，并保证不存在因乙方工作人员的过失、错误或疏忽而产生的缺陷。</w:t>
      </w:r>
    </w:p>
    <w:p w14:paraId="18581683">
      <w:pPr>
        <w:bidi w:val="0"/>
        <w:ind w:left="0" w:leftChars="0"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8.</w:t>
      </w:r>
      <w:r>
        <w:rPr>
          <w:rFonts w:hint="eastAsia" w:ascii="宋体" w:hAnsi="宋体" w:eastAsia="宋体" w:cs="宋体"/>
          <w:b/>
          <w:bCs/>
          <w:color w:val="auto"/>
          <w:highlight w:val="none"/>
          <w:lang w:val="zh-CN"/>
        </w:rPr>
        <w:t>包装要求</w:t>
      </w:r>
    </w:p>
    <w:p w14:paraId="24F4A10B">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8.1 </w:t>
      </w:r>
      <w:r>
        <w:rPr>
          <w:rFonts w:hint="eastAsia" w:ascii="宋体" w:hAnsi="宋体" w:eastAsia="宋体" w:cs="宋体"/>
          <w:color w:val="auto"/>
          <w:highlight w:val="none"/>
          <w:lang w:val="zh-CN"/>
        </w:rPr>
        <w:t>除合同另有约定外</w:t>
      </w:r>
      <w:r>
        <w:rPr>
          <w:rFonts w:hint="eastAsia" w:ascii="宋体" w:hAnsi="宋体" w:eastAsia="宋体" w:cs="宋体"/>
          <w:color w:val="auto"/>
          <w:highlight w:val="none"/>
        </w:rPr>
        <w:t>,</w:t>
      </w:r>
      <w:r>
        <w:rPr>
          <w:rFonts w:hint="eastAsia" w:ascii="宋体" w:hAnsi="宋体" w:eastAsia="宋体" w:cs="宋体"/>
          <w:color w:val="auto"/>
          <w:highlight w:val="none"/>
          <w:lang w:val="zh-CN"/>
        </w:rPr>
        <w:t>乙方提供的全部货物</w:t>
      </w:r>
      <w:r>
        <w:rPr>
          <w:rFonts w:hint="eastAsia" w:ascii="宋体" w:hAnsi="宋体" w:eastAsia="宋体" w:cs="宋体"/>
          <w:color w:val="auto"/>
          <w:highlight w:val="none"/>
        </w:rPr>
        <w:t>,</w:t>
      </w:r>
      <w:r>
        <w:rPr>
          <w:rFonts w:hint="eastAsia" w:ascii="宋体" w:hAnsi="宋体" w:eastAsia="宋体" w:cs="宋体"/>
          <w:color w:val="auto"/>
          <w:highlight w:val="none"/>
          <w:lang w:val="zh-CN"/>
        </w:rPr>
        <w:t>均应采用本行业通用的方式进行包装，且该包装应符合国家有关包装的法律、法规的规定。</w:t>
      </w:r>
    </w:p>
    <w:p w14:paraId="007EF145">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8.2 </w:t>
      </w:r>
      <w:r>
        <w:rPr>
          <w:rFonts w:hint="eastAsia" w:ascii="宋体" w:hAnsi="宋体" w:eastAsia="宋体" w:cs="宋体"/>
          <w:color w:val="auto"/>
          <w:highlight w:val="none"/>
          <w:lang w:val="zh-CN"/>
        </w:rPr>
        <w:t>包装应适应于远距离运输，并有良好的防潮、防震、防锈和防粗暴装卸等保护措施，以确保货物安全运抵现场。由于包装不善所引起的货物锈蚀、损坏和损失均由乙方承担。乙方应提供货物运至合同规定的最终目的地所需要的包装，以防止货物在转运中损坏或变质。</w:t>
      </w:r>
    </w:p>
    <w:p w14:paraId="6FDF1DD2">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8.3 </w:t>
      </w:r>
      <w:r>
        <w:rPr>
          <w:rFonts w:hint="eastAsia" w:ascii="宋体" w:hAnsi="宋体" w:eastAsia="宋体" w:cs="宋体"/>
          <w:color w:val="auto"/>
          <w:highlight w:val="none"/>
          <w:lang w:val="zh-CN"/>
        </w:rPr>
        <w:t>乙方所提供的货物包装均为出厂时原包装。</w:t>
      </w:r>
    </w:p>
    <w:p w14:paraId="3F4F114C">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8.4 </w:t>
      </w:r>
      <w:r>
        <w:rPr>
          <w:rFonts w:hint="eastAsia" w:ascii="宋体" w:hAnsi="宋体" w:eastAsia="宋体" w:cs="宋体"/>
          <w:color w:val="auto"/>
          <w:highlight w:val="none"/>
          <w:lang w:val="zh-CN"/>
        </w:rPr>
        <w:t>乙方所提供货物必须附有质量合格证，装箱清单，主机、附件、各种零部件和消耗品，有清楚的与装箱单相对应的名称和编号。</w:t>
      </w:r>
    </w:p>
    <w:p w14:paraId="2980DF93">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8.5 </w:t>
      </w:r>
      <w:r>
        <w:rPr>
          <w:rFonts w:hint="eastAsia" w:ascii="宋体" w:hAnsi="宋体" w:eastAsia="宋体" w:cs="宋体"/>
          <w:color w:val="auto"/>
          <w:highlight w:val="none"/>
          <w:lang w:val="zh-CN"/>
        </w:rPr>
        <w:t>货物运输中的运输费用和保险费用均由乙方承担。运输过程中的一切损失、损坏均由乙方负责。</w:t>
      </w:r>
    </w:p>
    <w:p w14:paraId="72944982">
      <w:pPr>
        <w:bidi w:val="0"/>
        <w:ind w:left="0" w:leftChars="0"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9.</w:t>
      </w:r>
      <w:r>
        <w:rPr>
          <w:rFonts w:hint="eastAsia" w:ascii="宋体" w:hAnsi="宋体" w:eastAsia="宋体" w:cs="宋体"/>
          <w:b/>
          <w:bCs/>
          <w:color w:val="auto"/>
          <w:highlight w:val="none"/>
          <w:lang w:val="zh-CN"/>
        </w:rPr>
        <w:t>价格</w:t>
      </w:r>
    </w:p>
    <w:p w14:paraId="0B33C42D">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9.1 </w:t>
      </w:r>
      <w:r>
        <w:rPr>
          <w:rFonts w:hint="eastAsia" w:ascii="宋体" w:hAnsi="宋体" w:eastAsia="宋体" w:cs="宋体"/>
          <w:color w:val="auto"/>
          <w:highlight w:val="none"/>
          <w:lang w:val="zh-CN"/>
        </w:rPr>
        <w:t>乙方履行合同所必须的所有费用，包括但不限于货物及部件的设计、检测与试验、制造、运输、装卸、保险、单机调试、安装调试指导、技术资料、培训、交通、人员、差旅、质量保证期服务费、其他管理费用、所有的检验、测试、调试、验收、试运行费用等均已包括在合同价格中。</w:t>
      </w:r>
    </w:p>
    <w:p w14:paraId="69E5DE7B">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9.2 </w:t>
      </w:r>
      <w:r>
        <w:rPr>
          <w:rFonts w:hint="eastAsia" w:ascii="宋体" w:hAnsi="宋体" w:eastAsia="宋体" w:cs="宋体"/>
          <w:color w:val="auto"/>
          <w:highlight w:val="none"/>
          <w:lang w:val="zh-CN"/>
        </w:rPr>
        <w:t>本合同价格为固定价格，包括了乙方履行合同全过程产生的所有成本和费用以及乙方应承担的一切税费。</w:t>
      </w:r>
    </w:p>
    <w:p w14:paraId="37CAE418">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9.3 </w:t>
      </w:r>
      <w:r>
        <w:rPr>
          <w:rFonts w:hint="eastAsia" w:ascii="宋体" w:hAnsi="宋体" w:eastAsia="宋体" w:cs="宋体"/>
          <w:color w:val="auto"/>
          <w:highlight w:val="none"/>
          <w:lang w:val="zh-CN"/>
        </w:rPr>
        <w:t>检验费用</w:t>
      </w:r>
    </w:p>
    <w:p w14:paraId="5C2C8236">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9.3.1 </w:t>
      </w:r>
      <w:r>
        <w:rPr>
          <w:rFonts w:hint="eastAsia" w:ascii="宋体" w:hAnsi="宋体" w:eastAsia="宋体" w:cs="宋体"/>
          <w:color w:val="auto"/>
          <w:highlight w:val="none"/>
          <w:lang w:val="zh-CN"/>
        </w:rPr>
        <w:t>乙方必须负担本条款下属于乙方负责的检验、测试、调试、试运行和验收的所有费用，并负责乙方派往买方组织的检验、测试和验收人员的所有费用。</w:t>
      </w:r>
    </w:p>
    <w:p w14:paraId="0A8EB397">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9.3.2 </w:t>
      </w:r>
      <w:r>
        <w:rPr>
          <w:rFonts w:hint="eastAsia" w:ascii="宋体" w:hAnsi="宋体" w:eastAsia="宋体" w:cs="宋体"/>
          <w:color w:val="auto"/>
          <w:highlight w:val="none"/>
          <w:lang w:val="zh-CN"/>
        </w:rPr>
        <w:t>甲方按合同计划参加在乙方工厂所在地检验、测试和验收的费用全部由乙方负责并已包含在合同总价中。</w:t>
      </w:r>
    </w:p>
    <w:p w14:paraId="297D49D2">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9.3.3 </w:t>
      </w:r>
      <w:r>
        <w:rPr>
          <w:rFonts w:hint="eastAsia" w:ascii="宋体" w:hAnsi="宋体" w:eastAsia="宋体" w:cs="宋体"/>
          <w:color w:val="auto"/>
          <w:highlight w:val="none"/>
          <w:lang w:val="zh-CN"/>
        </w:rPr>
        <w:t>甲方检验人员已到卖方所在地，测试无法依照合同进行，而引起甲方人员延长逗留时间，所有由此产生的包括甲方人员在内的直接费用及成本由乙方承担。</w:t>
      </w:r>
    </w:p>
    <w:p w14:paraId="0998A45E">
      <w:pPr>
        <w:bidi w:val="0"/>
        <w:ind w:left="0" w:leftChars="0"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10.</w:t>
      </w:r>
      <w:r>
        <w:rPr>
          <w:rFonts w:hint="eastAsia" w:ascii="宋体" w:hAnsi="宋体" w:eastAsia="宋体" w:cs="宋体"/>
          <w:b/>
          <w:bCs/>
          <w:color w:val="auto"/>
          <w:highlight w:val="none"/>
          <w:lang w:val="zh-CN"/>
        </w:rPr>
        <w:t>交货方式及交货日期</w:t>
      </w:r>
    </w:p>
    <w:p w14:paraId="4C79084D">
      <w:pPr>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交货方式：现场交货，乙方负责办理运输和保险，将货物运抵现场。</w:t>
      </w:r>
    </w:p>
    <w:p w14:paraId="41EC9271">
      <w:pPr>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交货期应根据产品的特点实事求是填写，特殊产品交货期需说明。</w:t>
      </w:r>
    </w:p>
    <w:p w14:paraId="533D4153">
      <w:pPr>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交货日期：所有货物运抵现场并经双方开箱验收合格之日。</w:t>
      </w:r>
    </w:p>
    <w:p w14:paraId="05FB40C7">
      <w:pPr>
        <w:bidi w:val="0"/>
        <w:ind w:left="0" w:leftChars="0" w:firstLine="0" w:firstLineChars="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11.检验和验收</w:t>
      </w:r>
    </w:p>
    <w:p w14:paraId="1D15F2BB">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11.1 </w:t>
      </w:r>
      <w:r>
        <w:rPr>
          <w:rFonts w:hint="eastAsia" w:ascii="宋体" w:hAnsi="宋体" w:eastAsia="宋体" w:cs="宋体"/>
          <w:color w:val="auto"/>
          <w:highlight w:val="none"/>
          <w:lang w:val="zh-CN"/>
        </w:rPr>
        <w:t>开箱验收</w:t>
      </w:r>
    </w:p>
    <w:p w14:paraId="390179BA">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11.1.1 </w:t>
      </w:r>
      <w:r>
        <w:rPr>
          <w:rFonts w:hint="eastAsia" w:ascii="宋体" w:hAnsi="宋体" w:eastAsia="宋体" w:cs="宋体"/>
          <w:color w:val="auto"/>
          <w:highlight w:val="none"/>
          <w:lang w:val="zh-CN"/>
        </w:rPr>
        <w:t>货物运抵现场后，双方应及时开箱验收，并制作验收记录，以确认与本合同约定的数量、型号等是否一致。</w:t>
      </w:r>
    </w:p>
    <w:p w14:paraId="14F9A5A4">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11.1.2 </w:t>
      </w:r>
      <w:r>
        <w:rPr>
          <w:rFonts w:hint="eastAsia" w:ascii="宋体" w:hAnsi="宋体" w:eastAsia="宋体" w:cs="宋体"/>
          <w:color w:val="auto"/>
          <w:highlight w:val="none"/>
          <w:lang w:val="zh-CN"/>
        </w:rPr>
        <w:t>乙方应在交货前对货物的质量、规格、数量等进行详细而全面的检验，并出具证明货物符合合同规定的文件。该文件将作为申请付款单据的一部分，但有关质量、规格、数量的检验不应视为最终检验。</w:t>
      </w:r>
    </w:p>
    <w:p w14:paraId="67976B0C">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11.1.3 </w:t>
      </w:r>
      <w:r>
        <w:rPr>
          <w:rFonts w:hint="eastAsia" w:ascii="宋体" w:hAnsi="宋体" w:eastAsia="宋体" w:cs="宋体"/>
          <w:color w:val="auto"/>
          <w:highlight w:val="none"/>
          <w:lang w:val="zh-CN"/>
        </w:rPr>
        <w:t>开箱验收中如发现货物的数量、规格与合同约定不符，甲方有权拒收货物，乙方应及时按甲方要求免费对拒收货物采取更换或其他必要的补救措施，直至开箱验收合格，方视为乙方完成交货。</w:t>
      </w:r>
    </w:p>
    <w:p w14:paraId="331B8212">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11.2 </w:t>
      </w:r>
      <w:r>
        <w:rPr>
          <w:rFonts w:hint="eastAsia" w:ascii="宋体" w:hAnsi="宋体" w:eastAsia="宋体" w:cs="宋体"/>
          <w:color w:val="auto"/>
          <w:highlight w:val="none"/>
          <w:lang w:val="zh-CN"/>
        </w:rPr>
        <w:t>检验验收</w:t>
      </w:r>
    </w:p>
    <w:p w14:paraId="4682293A">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11.2.1 </w:t>
      </w:r>
      <w:r>
        <w:rPr>
          <w:rFonts w:hint="eastAsia" w:ascii="宋体" w:hAnsi="宋体" w:eastAsia="宋体" w:cs="宋体"/>
          <w:color w:val="auto"/>
          <w:highlight w:val="none"/>
          <w:lang w:val="zh-CN"/>
        </w:rPr>
        <w:t>交货完成后，乙方应及时组装、调试、试运行，按照合同专用条款规定的试运行完成后，双方及时组织对货物检验验收。合同双方均须派人参加合同要求双方参加的试验、检验。</w:t>
      </w:r>
    </w:p>
    <w:p w14:paraId="01C1CBCD">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11.2.2 </w:t>
      </w:r>
      <w:r>
        <w:rPr>
          <w:rFonts w:hint="eastAsia" w:ascii="宋体" w:hAnsi="宋体" w:eastAsia="宋体" w:cs="宋体"/>
          <w:color w:val="auto"/>
          <w:highlight w:val="none"/>
          <w:lang w:val="zh-CN"/>
        </w:rPr>
        <w:t>在具体实施合同规定的检验验收之前，乙方需提前提交相应的测试计划（包括测试程序、测试内容和检验标准、试验时间安排等）供甲方确认。</w:t>
      </w:r>
    </w:p>
    <w:p w14:paraId="0E190007">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11.2.3 </w:t>
      </w:r>
      <w:r>
        <w:rPr>
          <w:rFonts w:hint="eastAsia" w:ascii="宋体" w:hAnsi="宋体" w:eastAsia="宋体" w:cs="宋体"/>
          <w:color w:val="auto"/>
          <w:highlight w:val="none"/>
          <w:lang w:val="zh-CN"/>
        </w:rPr>
        <w:t>除需甲方确认的试验验收外，乙方还应对所有检验验收测试的结果、步骤、原始数据等作妥善记录。如甲方要求，乙方应提供这些记录给买方。</w:t>
      </w:r>
    </w:p>
    <w:p w14:paraId="0488BC2E">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11.2.4 </w:t>
      </w:r>
      <w:r>
        <w:rPr>
          <w:rFonts w:hint="eastAsia" w:ascii="宋体" w:hAnsi="宋体" w:eastAsia="宋体" w:cs="宋体"/>
          <w:color w:val="auto"/>
          <w:highlight w:val="none"/>
          <w:lang w:val="zh-CN"/>
        </w:rPr>
        <w:t>检验测试出现全部或部分未达到本合同所约定的技术指标，甲方有权选择下列任一处理方式：</w:t>
      </w:r>
    </w:p>
    <w:p w14:paraId="5DE6D51F">
      <w:pPr>
        <w:bidi w:val="0"/>
        <w:rPr>
          <w:rFonts w:hint="eastAsia" w:ascii="宋体" w:hAnsi="宋体" w:eastAsia="宋体" w:cs="宋体"/>
          <w:color w:val="auto"/>
          <w:highlight w:val="none"/>
        </w:rPr>
      </w:pPr>
      <w:r>
        <w:rPr>
          <w:rFonts w:hint="eastAsia" w:ascii="宋体" w:hAnsi="宋体" w:eastAsia="宋体" w:cs="宋体"/>
          <w:color w:val="auto"/>
          <w:highlight w:val="none"/>
        </w:rPr>
        <w:t>a.</w:t>
      </w:r>
      <w:r>
        <w:rPr>
          <w:rFonts w:hint="eastAsia" w:ascii="宋体" w:hAnsi="宋体" w:eastAsia="宋体" w:cs="宋体"/>
          <w:color w:val="auto"/>
          <w:highlight w:val="none"/>
          <w:lang w:val="zh-CN"/>
        </w:rPr>
        <w:t>重新测试直至合格为止；</w:t>
      </w:r>
    </w:p>
    <w:p w14:paraId="2FAE01B1">
      <w:pPr>
        <w:bidi w:val="0"/>
        <w:rPr>
          <w:rFonts w:hint="eastAsia" w:ascii="宋体" w:hAnsi="宋体" w:eastAsia="宋体" w:cs="宋体"/>
          <w:color w:val="auto"/>
          <w:highlight w:val="none"/>
        </w:rPr>
      </w:pPr>
      <w:r>
        <w:rPr>
          <w:rFonts w:hint="eastAsia" w:ascii="宋体" w:hAnsi="宋体" w:eastAsia="宋体" w:cs="宋体"/>
          <w:color w:val="auto"/>
          <w:highlight w:val="none"/>
        </w:rPr>
        <w:t>b.</w:t>
      </w:r>
      <w:r>
        <w:rPr>
          <w:rFonts w:hint="eastAsia" w:ascii="宋体" w:hAnsi="宋体" w:eastAsia="宋体" w:cs="宋体"/>
          <w:color w:val="auto"/>
          <w:highlight w:val="none"/>
          <w:lang w:val="zh-CN"/>
        </w:rPr>
        <w:t>要求乙方对货物进行免费更换，然后重新测试直至合格为止；</w:t>
      </w:r>
    </w:p>
    <w:p w14:paraId="18A0EF60">
      <w:pPr>
        <w:bidi w:val="0"/>
        <w:rPr>
          <w:rFonts w:hint="eastAsia" w:ascii="宋体" w:hAnsi="宋体" w:eastAsia="宋体" w:cs="宋体"/>
          <w:color w:val="auto"/>
          <w:highlight w:val="none"/>
        </w:rPr>
      </w:pPr>
      <w:r>
        <w:rPr>
          <w:rFonts w:hint="eastAsia" w:ascii="宋体" w:hAnsi="宋体" w:eastAsia="宋体" w:cs="宋体"/>
          <w:color w:val="auto"/>
          <w:highlight w:val="none"/>
          <w:lang w:val="zh-CN"/>
        </w:rPr>
        <w:t>无论选择何种方式，甲方因此而发生的因卖方原因引起的所有费用均由乙方负担。</w:t>
      </w:r>
    </w:p>
    <w:p w14:paraId="32FEE4C4">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11.3 </w:t>
      </w:r>
      <w:r>
        <w:rPr>
          <w:rFonts w:hint="eastAsia" w:ascii="宋体" w:hAnsi="宋体" w:eastAsia="宋体" w:cs="宋体"/>
          <w:color w:val="auto"/>
          <w:highlight w:val="none"/>
          <w:lang w:val="zh-CN"/>
        </w:rPr>
        <w:t>使用过程检验</w:t>
      </w:r>
    </w:p>
    <w:p w14:paraId="0C5D0413">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11.3.1 </w:t>
      </w:r>
      <w:r>
        <w:rPr>
          <w:rFonts w:hint="eastAsia" w:ascii="宋体" w:hAnsi="宋体" w:eastAsia="宋体" w:cs="宋体"/>
          <w:color w:val="auto"/>
          <w:highlight w:val="none"/>
          <w:lang w:val="zh-CN"/>
        </w:rPr>
        <w:t>在合同规定的质量保证期内，发现货物的质量或规格与合同规定不符，或证明货物有缺陷，包括潜在的缺陷或使用不合适的原材料等，由甲方组织质检（相关检测费用由卖方承担），据质检报告及质量保证条款向卖方提出索赔，此索赔并不免除乙方应承担的合同义务。</w:t>
      </w:r>
    </w:p>
    <w:p w14:paraId="51200020">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11.3.2 </w:t>
      </w:r>
      <w:r>
        <w:rPr>
          <w:rFonts w:hint="eastAsia" w:ascii="宋体" w:hAnsi="宋体" w:eastAsia="宋体" w:cs="宋体"/>
          <w:color w:val="auto"/>
          <w:highlight w:val="none"/>
          <w:lang w:val="zh-CN"/>
        </w:rPr>
        <w:t>如果合同双方对乙方提供的上述试验结果报告的解释有分歧，双方须于出现分歧后</w:t>
      </w:r>
      <w:r>
        <w:rPr>
          <w:rFonts w:hint="eastAsia" w:ascii="宋体" w:hAnsi="宋体" w:eastAsia="宋体" w:cs="宋体"/>
          <w:color w:val="auto"/>
          <w:highlight w:val="none"/>
        </w:rPr>
        <w:t>10</w:t>
      </w:r>
      <w:r>
        <w:rPr>
          <w:rFonts w:hint="eastAsia" w:ascii="宋体" w:hAnsi="宋体" w:eastAsia="宋体" w:cs="宋体"/>
          <w:color w:val="auto"/>
          <w:highlight w:val="none"/>
          <w:lang w:val="zh-CN"/>
        </w:rPr>
        <w:t>天内给对方声明，以陈述己方的观点。声明须附有关证据。分歧应通过协商解决。</w:t>
      </w:r>
    </w:p>
    <w:p w14:paraId="663CF93C">
      <w:pPr>
        <w:bidi w:val="0"/>
        <w:ind w:left="0" w:leftChars="0" w:firstLine="0" w:firstLineChars="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12.付款方法和条件</w:t>
      </w:r>
    </w:p>
    <w:p w14:paraId="6A9D0D78">
      <w:pPr>
        <w:bidi w:val="0"/>
        <w:rPr>
          <w:rFonts w:hint="eastAsia" w:ascii="宋体" w:hAnsi="宋体" w:eastAsia="宋体" w:cs="宋体"/>
          <w:color w:val="auto"/>
          <w:highlight w:val="none"/>
        </w:rPr>
      </w:pPr>
      <w:r>
        <w:rPr>
          <w:rFonts w:hint="eastAsia" w:ascii="宋体" w:hAnsi="宋体" w:eastAsia="宋体" w:cs="宋体"/>
          <w:color w:val="auto"/>
          <w:highlight w:val="none"/>
          <w:lang w:val="zh-CN"/>
        </w:rPr>
        <w:t>本合同条款下的付款方法和条件在“青海省政府采购项目合同书”中具体规定。</w:t>
      </w:r>
    </w:p>
    <w:p w14:paraId="7EFDA559">
      <w:pPr>
        <w:bidi w:val="0"/>
        <w:ind w:left="0" w:leftChars="0" w:firstLine="0" w:firstLineChars="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13.履约保证金</w:t>
      </w:r>
    </w:p>
    <w:p w14:paraId="621B2007">
      <w:pPr>
        <w:bidi w:val="0"/>
        <w:rPr>
          <w:rFonts w:hint="eastAsia" w:ascii="宋体" w:hAnsi="宋体" w:eastAsia="宋体" w:cs="宋体"/>
          <w:color w:val="auto"/>
          <w:highlight w:val="none"/>
        </w:rPr>
      </w:pPr>
      <w:r>
        <w:rPr>
          <w:rFonts w:hint="eastAsia" w:ascii="宋体" w:hAnsi="宋体" w:eastAsia="宋体" w:cs="宋体"/>
          <w:color w:val="auto"/>
          <w:highlight w:val="none"/>
        </w:rPr>
        <w:t>13.1</w:t>
      </w:r>
      <w:r>
        <w:rPr>
          <w:rFonts w:hint="eastAsia" w:ascii="宋体" w:hAnsi="宋体" w:eastAsia="宋体" w:cs="宋体"/>
          <w:color w:val="auto"/>
          <w:highlight w:val="none"/>
          <w:lang w:val="zh-CN"/>
        </w:rPr>
        <w:t>乙方应在合同签订前，按约定提交履约保证金</w:t>
      </w:r>
      <w:r>
        <w:rPr>
          <w:rFonts w:hint="eastAsia" w:ascii="宋体" w:hAnsi="宋体" w:eastAsia="宋体" w:cs="宋体"/>
          <w:color w:val="auto"/>
          <w:highlight w:val="none"/>
        </w:rPr>
        <w:t>。</w:t>
      </w:r>
    </w:p>
    <w:p w14:paraId="7A407CBB">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13.2 </w:t>
      </w:r>
      <w:r>
        <w:rPr>
          <w:rFonts w:hint="eastAsia" w:ascii="宋体" w:hAnsi="宋体" w:eastAsia="宋体" w:cs="宋体"/>
          <w:color w:val="auto"/>
          <w:highlight w:val="none"/>
          <w:lang w:val="zh-CN"/>
        </w:rPr>
        <w:t>履约保证金用于补偿甲方因乙方不能履行其合同义务而蒙受的损失。</w:t>
      </w:r>
    </w:p>
    <w:p w14:paraId="5D5BED7A">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13.3 </w:t>
      </w:r>
      <w:r>
        <w:rPr>
          <w:rFonts w:hint="eastAsia" w:ascii="宋体" w:hAnsi="宋体" w:eastAsia="宋体" w:cs="宋体"/>
          <w:color w:val="auto"/>
          <w:highlight w:val="none"/>
          <w:lang w:val="zh-CN"/>
        </w:rPr>
        <w:t>履约保证金应使用本合同货币，按下述方式之一提交（招标文件中另有约定的除外）：</w:t>
      </w:r>
    </w:p>
    <w:p w14:paraId="0BBA625C">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13.3.1 </w:t>
      </w:r>
      <w:r>
        <w:rPr>
          <w:rFonts w:hint="eastAsia" w:ascii="宋体" w:hAnsi="宋体" w:eastAsia="宋体" w:cs="宋体"/>
          <w:color w:val="auto"/>
          <w:highlight w:val="none"/>
          <w:lang w:val="zh-CN"/>
        </w:rPr>
        <w:t>甲方可接受的在中华人民共和国注册和营业的银行出具的履约保函；</w:t>
      </w:r>
    </w:p>
    <w:p w14:paraId="705D3303">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13.3.2 </w:t>
      </w:r>
      <w:r>
        <w:rPr>
          <w:rFonts w:hint="eastAsia" w:ascii="宋体" w:hAnsi="宋体" w:eastAsia="宋体" w:cs="宋体"/>
          <w:color w:val="auto"/>
          <w:highlight w:val="none"/>
          <w:lang w:val="zh-CN"/>
        </w:rPr>
        <w:t>支票或汇票。</w:t>
      </w:r>
    </w:p>
    <w:p w14:paraId="013356A2">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13.4 </w:t>
      </w:r>
      <w:r>
        <w:rPr>
          <w:rFonts w:hint="eastAsia" w:ascii="宋体" w:hAnsi="宋体" w:eastAsia="宋体" w:cs="宋体"/>
          <w:color w:val="auto"/>
          <w:highlight w:val="none"/>
          <w:lang w:val="zh-CN"/>
        </w:rPr>
        <w:t>乙方未能按合同规定履行其义务，甲方有权从履约保证金中取得补偿。货物验收合格后，甲方将履约保证金退还乙方或转为质量保证金。</w:t>
      </w:r>
    </w:p>
    <w:p w14:paraId="7F0D5113">
      <w:pPr>
        <w:bidi w:val="0"/>
        <w:ind w:left="0" w:leftChars="0" w:firstLine="0" w:firstLineChars="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14.索赔</w:t>
      </w:r>
    </w:p>
    <w:p w14:paraId="499E60BE">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14.1 </w:t>
      </w:r>
      <w:r>
        <w:rPr>
          <w:rFonts w:hint="eastAsia" w:ascii="宋体" w:hAnsi="宋体" w:eastAsia="宋体" w:cs="宋体"/>
          <w:color w:val="auto"/>
          <w:highlight w:val="none"/>
          <w:lang w:val="zh-CN"/>
        </w:rPr>
        <w:t>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0573CE1B">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14.2 </w:t>
      </w:r>
      <w:r>
        <w:rPr>
          <w:rFonts w:hint="eastAsia" w:ascii="宋体" w:hAnsi="宋体" w:eastAsia="宋体" w:cs="宋体"/>
          <w:color w:val="auto"/>
          <w:highlight w:val="none"/>
          <w:lang w:val="zh-CN"/>
        </w:rPr>
        <w:t>在履约保证期和检验期内，乙方对甲方提出的索赔负有责任，乙方应按照甲方同意的下列一种或多种方式解决索赔事宜：</w:t>
      </w:r>
    </w:p>
    <w:p w14:paraId="29DE60AE">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14.2.1 </w:t>
      </w:r>
      <w:r>
        <w:rPr>
          <w:rFonts w:hint="eastAsia" w:ascii="宋体" w:hAnsi="宋体" w:eastAsia="宋体" w:cs="宋体"/>
          <w:color w:val="auto"/>
          <w:highlight w:val="none"/>
          <w:lang w:val="zh-CN"/>
        </w:rPr>
        <w:t>在法定的退货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1A48850B">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14.2.2 </w:t>
      </w:r>
      <w:r>
        <w:rPr>
          <w:rFonts w:hint="eastAsia" w:ascii="宋体" w:hAnsi="宋体" w:eastAsia="宋体" w:cs="宋体"/>
          <w:color w:val="auto"/>
          <w:highlight w:val="none"/>
          <w:lang w:val="zh-CN"/>
        </w:rPr>
        <w:t>根据货物低劣程度、损坏程度以及甲方所遭受损失的数额，经甲乙双方商定降低货物的价格，或由有资质的中介机构评估，以降低后的价格或评估价格为准。</w:t>
      </w:r>
    </w:p>
    <w:p w14:paraId="7348E0EE">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14.2.3 </w:t>
      </w:r>
      <w:r>
        <w:rPr>
          <w:rFonts w:hint="eastAsia" w:ascii="宋体" w:hAnsi="宋体" w:eastAsia="宋体" w:cs="宋体"/>
          <w:color w:val="auto"/>
          <w:highlight w:val="none"/>
          <w:lang w:val="zh-CN"/>
        </w:rPr>
        <w:t>用符合规格、质量和性能要求的新零件、部件或货物来更换有缺陷的部分或修补缺陷部分，乙方应承担一切费用和风险，并负担甲方所发生的一切直接费用。同时，乙方应相应延长修补或更换件的履约保证期。</w:t>
      </w:r>
    </w:p>
    <w:p w14:paraId="322AAF0D">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14.3 </w:t>
      </w:r>
      <w:r>
        <w:rPr>
          <w:rFonts w:hint="eastAsia" w:ascii="宋体" w:hAnsi="宋体" w:eastAsia="宋体" w:cs="宋体"/>
          <w:color w:val="auto"/>
          <w:highlight w:val="none"/>
          <w:lang w:val="zh-CN"/>
        </w:rPr>
        <w:t>乙方收到甲方发出的索赔通知之日起</w:t>
      </w:r>
      <w:r>
        <w:rPr>
          <w:rFonts w:hint="eastAsia" w:ascii="宋体" w:hAnsi="宋体" w:eastAsia="宋体" w:cs="宋体"/>
          <w:color w:val="auto"/>
          <w:highlight w:val="none"/>
        </w:rPr>
        <w:t>5</w:t>
      </w:r>
      <w:r>
        <w:rPr>
          <w:rFonts w:hint="eastAsia" w:ascii="宋体" w:hAnsi="宋体" w:eastAsia="宋体" w:cs="宋体"/>
          <w:color w:val="auto"/>
          <w:highlight w:val="none"/>
          <w:lang w:val="zh-CN"/>
        </w:rPr>
        <w:t>个工作日内未作答复的，甲方可从合同款或履约保证金中扣回索赔金额，如金额不足以补偿索赔金额，乙方应补足差额部分。</w:t>
      </w:r>
    </w:p>
    <w:p w14:paraId="2AD0EEC3">
      <w:pPr>
        <w:bidi w:val="0"/>
        <w:ind w:left="0" w:leftChars="0" w:firstLine="0" w:firstLineChars="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15.迟延交货</w:t>
      </w:r>
    </w:p>
    <w:p w14:paraId="30DFD73A">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15.1 </w:t>
      </w:r>
      <w:r>
        <w:rPr>
          <w:rFonts w:hint="eastAsia" w:ascii="宋体" w:hAnsi="宋体" w:eastAsia="宋体" w:cs="宋体"/>
          <w:color w:val="auto"/>
          <w:highlight w:val="none"/>
          <w:lang w:val="zh-CN"/>
        </w:rPr>
        <w:t>乙方应按照合同约定的时间交货和提供服务。</w:t>
      </w:r>
    </w:p>
    <w:p w14:paraId="69B4141C">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15.2 </w:t>
      </w:r>
      <w:r>
        <w:rPr>
          <w:rFonts w:hint="eastAsia" w:ascii="宋体" w:hAnsi="宋体" w:eastAsia="宋体" w:cs="宋体"/>
          <w:color w:val="auto"/>
          <w:highlight w:val="none"/>
          <w:lang w:val="zh-CN"/>
        </w:rPr>
        <w:t>除不可抗力因素外，乙方迟延交货，甲方有权提出违约损失赔偿或解除合同。</w:t>
      </w:r>
    </w:p>
    <w:p w14:paraId="1BA8A0FB">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15.3 </w:t>
      </w:r>
      <w:r>
        <w:rPr>
          <w:rFonts w:hint="eastAsia" w:ascii="宋体" w:hAnsi="宋体" w:eastAsia="宋体" w:cs="宋体"/>
          <w:color w:val="auto"/>
          <w:highlight w:val="none"/>
          <w:lang w:val="zh-CN"/>
        </w:rPr>
        <w:t>在履行合同过程中，乙方遇到不能按时交货和提供服务的情况，应及时以书面形式将不能按时交货的理由、预期延误时间通知甲方。甲方收到乙方通知后，认为其理由正当的，可酌情延长交货时间。</w:t>
      </w:r>
    </w:p>
    <w:p w14:paraId="1C475CC6">
      <w:pPr>
        <w:bidi w:val="0"/>
        <w:ind w:left="0" w:leftChars="0" w:firstLine="0" w:firstLineChars="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16.违约赔偿</w:t>
      </w:r>
    </w:p>
    <w:p w14:paraId="567E4431">
      <w:pPr>
        <w:bidi w:val="0"/>
        <w:rPr>
          <w:rFonts w:hint="eastAsia" w:ascii="宋体" w:hAnsi="宋体" w:eastAsia="宋体" w:cs="宋体"/>
          <w:color w:val="auto"/>
          <w:highlight w:val="none"/>
        </w:rPr>
      </w:pPr>
      <w:r>
        <w:rPr>
          <w:rFonts w:hint="eastAsia" w:ascii="宋体" w:hAnsi="宋体" w:eastAsia="宋体" w:cs="宋体"/>
          <w:color w:val="auto"/>
          <w:highlight w:val="none"/>
          <w:lang w:val="zh-CN"/>
        </w:rPr>
        <w:t>除不可抗力因素外，乙方没有按照合同规定的时间交货和提供服务，甲方可要求乙方支付违约金。违约金每日按合同总价款的千分之五计收。</w:t>
      </w:r>
    </w:p>
    <w:p w14:paraId="0DE96662">
      <w:pPr>
        <w:bidi w:val="0"/>
        <w:ind w:left="0" w:leftChars="0" w:firstLine="0" w:firstLineChars="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17.不可抗力</w:t>
      </w:r>
    </w:p>
    <w:p w14:paraId="051F3445">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17.1 </w:t>
      </w:r>
      <w:r>
        <w:rPr>
          <w:rFonts w:hint="eastAsia" w:ascii="宋体" w:hAnsi="宋体" w:eastAsia="宋体" w:cs="宋体"/>
          <w:color w:val="auto"/>
          <w:highlight w:val="none"/>
          <w:lang w:val="zh-CN"/>
        </w:rPr>
        <w:t>双方中任何一方遭遇法律规定的不可抗力，致使合同履行受阻时，履行合同的期限应予延长，延长的期限应相当于不可抗力所影响的时间。</w:t>
      </w:r>
    </w:p>
    <w:p w14:paraId="198EE8E0">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17.2 </w:t>
      </w:r>
      <w:r>
        <w:rPr>
          <w:rFonts w:hint="eastAsia" w:ascii="宋体" w:hAnsi="宋体" w:eastAsia="宋体" w:cs="宋体"/>
          <w:color w:val="auto"/>
          <w:highlight w:val="none"/>
          <w:lang w:val="zh-CN"/>
        </w:rPr>
        <w:t>受事故影响的一方应在不可抗力的事故发生后以书面形式通知另一方。</w:t>
      </w:r>
    </w:p>
    <w:p w14:paraId="3553DF97">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17.3 </w:t>
      </w:r>
      <w:r>
        <w:rPr>
          <w:rFonts w:hint="eastAsia" w:ascii="宋体" w:hAnsi="宋体" w:eastAsia="宋体" w:cs="宋体"/>
          <w:color w:val="auto"/>
          <w:highlight w:val="none"/>
          <w:lang w:val="zh-CN"/>
        </w:rPr>
        <w:t>不可抗力使合同的某些内容有变更必要的，双方应通过协商达成进一步履行合同的协议，因不可抗力致使合同不能履行的，合同终止。</w:t>
      </w:r>
    </w:p>
    <w:p w14:paraId="6279D746">
      <w:pPr>
        <w:bidi w:val="0"/>
        <w:ind w:left="0" w:leftChars="0" w:firstLine="0" w:firstLineChars="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18.税费</w:t>
      </w:r>
    </w:p>
    <w:p w14:paraId="0CB31164">
      <w:pPr>
        <w:bidi w:val="0"/>
        <w:rPr>
          <w:rFonts w:hint="eastAsia" w:ascii="宋体" w:hAnsi="宋体" w:eastAsia="宋体" w:cs="宋体"/>
          <w:color w:val="auto"/>
          <w:highlight w:val="none"/>
        </w:rPr>
      </w:pPr>
      <w:r>
        <w:rPr>
          <w:rFonts w:hint="eastAsia" w:ascii="宋体" w:hAnsi="宋体" w:eastAsia="宋体" w:cs="宋体"/>
          <w:color w:val="auto"/>
          <w:highlight w:val="none"/>
          <w:lang w:val="zh-CN"/>
        </w:rPr>
        <w:t>与本合同有关的一切税费均由乙方承担。</w:t>
      </w:r>
    </w:p>
    <w:p w14:paraId="76C0BF8E">
      <w:pPr>
        <w:bidi w:val="0"/>
        <w:ind w:left="0" w:leftChars="0" w:firstLine="0" w:firstLineChars="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19.合同争议的解决</w:t>
      </w:r>
    </w:p>
    <w:p w14:paraId="4E0B7C15">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19.1 </w:t>
      </w:r>
      <w:r>
        <w:rPr>
          <w:rFonts w:hint="eastAsia" w:ascii="宋体" w:hAnsi="宋体" w:eastAsia="宋体" w:cs="宋体"/>
          <w:color w:val="auto"/>
          <w:highlight w:val="none"/>
          <w:lang w:val="zh-CN"/>
        </w:rPr>
        <w:t>甲方和乙方由于本合同的履行而发生任何争议时，双方可先通过协商解决。</w:t>
      </w:r>
    </w:p>
    <w:p w14:paraId="46E01F8F">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19.2 </w:t>
      </w:r>
      <w:r>
        <w:rPr>
          <w:rFonts w:hint="eastAsia" w:ascii="宋体" w:hAnsi="宋体" w:eastAsia="宋体" w:cs="宋体"/>
          <w:color w:val="auto"/>
          <w:highlight w:val="none"/>
          <w:lang w:val="zh-CN"/>
        </w:rPr>
        <w:t>任何一方不愿通过协商或通过协商仍不能解决争议，则双方中任何一方均应向甲方所在地人民法院起诉。</w:t>
      </w:r>
    </w:p>
    <w:p w14:paraId="7A371FE0">
      <w:pPr>
        <w:bidi w:val="0"/>
        <w:ind w:left="0" w:leftChars="0" w:firstLine="0" w:firstLineChars="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20.违约解除合同</w:t>
      </w:r>
    </w:p>
    <w:p w14:paraId="507F9259">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20.1 </w:t>
      </w:r>
      <w:r>
        <w:rPr>
          <w:rFonts w:hint="eastAsia" w:ascii="宋体" w:hAnsi="宋体" w:eastAsia="宋体" w:cs="宋体"/>
          <w:color w:val="auto"/>
          <w:highlight w:val="none"/>
          <w:lang w:val="zh-CN"/>
        </w:rPr>
        <w:t>出现下列情形之一的，视为乙方违约。甲方可向乙方发出书面通知，部分或全部终止合同，同时保留向乙方索赔的权利。</w:t>
      </w:r>
    </w:p>
    <w:p w14:paraId="6A19BB5B">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20.1.1 </w:t>
      </w:r>
      <w:r>
        <w:rPr>
          <w:rFonts w:hint="eastAsia" w:ascii="宋体" w:hAnsi="宋体" w:eastAsia="宋体" w:cs="宋体"/>
          <w:color w:val="auto"/>
          <w:highlight w:val="none"/>
          <w:lang w:val="zh-CN"/>
        </w:rPr>
        <w:t>乙方未能在合同规定的限期或甲方同意延长的限期内，提供全部或部分货物的；</w:t>
      </w:r>
    </w:p>
    <w:p w14:paraId="3435F0F1">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20.1.2 </w:t>
      </w:r>
      <w:r>
        <w:rPr>
          <w:rFonts w:hint="eastAsia" w:ascii="宋体" w:hAnsi="宋体" w:eastAsia="宋体" w:cs="宋体"/>
          <w:color w:val="auto"/>
          <w:highlight w:val="none"/>
          <w:lang w:val="zh-CN"/>
        </w:rPr>
        <w:t>乙方未能履行合同规定的其它主要义务的；</w:t>
      </w:r>
    </w:p>
    <w:p w14:paraId="2A7C42B1">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20.1.3 </w:t>
      </w:r>
      <w:r>
        <w:rPr>
          <w:rFonts w:hint="eastAsia" w:ascii="宋体" w:hAnsi="宋体" w:eastAsia="宋体" w:cs="宋体"/>
          <w:color w:val="auto"/>
          <w:highlight w:val="none"/>
          <w:lang w:val="zh-CN"/>
        </w:rPr>
        <w:t>乙方在本合同履行过程中有欺诈行为的。</w:t>
      </w:r>
    </w:p>
    <w:p w14:paraId="7D880DDA">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20.2 </w:t>
      </w:r>
      <w:r>
        <w:rPr>
          <w:rFonts w:hint="eastAsia" w:ascii="宋体" w:hAnsi="宋体" w:eastAsia="宋体" w:cs="宋体"/>
          <w:color w:val="auto"/>
          <w:highlight w:val="none"/>
          <w:lang w:val="zh-CN"/>
        </w:rPr>
        <w:t>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3325F8FC">
      <w:pPr>
        <w:bidi w:val="0"/>
        <w:ind w:left="0" w:leftChars="0" w:firstLine="0" w:firstLineChars="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21.破产终止合同</w:t>
      </w:r>
    </w:p>
    <w:p w14:paraId="30AF39B9">
      <w:pPr>
        <w:bidi w:val="0"/>
        <w:rPr>
          <w:rFonts w:hint="eastAsia" w:ascii="宋体" w:hAnsi="宋体" w:eastAsia="宋体" w:cs="宋体"/>
          <w:color w:val="auto"/>
          <w:highlight w:val="none"/>
        </w:rPr>
      </w:pPr>
      <w:r>
        <w:rPr>
          <w:rFonts w:hint="eastAsia" w:ascii="宋体" w:hAnsi="宋体" w:eastAsia="宋体" w:cs="宋体"/>
          <w:color w:val="auto"/>
          <w:highlight w:val="none"/>
          <w:lang w:val="zh-CN"/>
        </w:rPr>
        <w:t>乙方破产而无法完全履行本合同义务时，甲方可以书面方式通知乙方终止合同而不给予乙方补偿。该合同的终止将不损害或不影响甲方已经采取或将要采取任何行动或补救措施的权利。</w:t>
      </w:r>
    </w:p>
    <w:p w14:paraId="0C8DF00C">
      <w:pPr>
        <w:bidi w:val="0"/>
        <w:ind w:left="0" w:leftChars="0" w:firstLine="0" w:firstLineChars="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22.转让和分包</w:t>
      </w:r>
    </w:p>
    <w:p w14:paraId="16C0C573">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22.1 </w:t>
      </w:r>
      <w:r>
        <w:rPr>
          <w:rFonts w:hint="eastAsia" w:ascii="宋体" w:hAnsi="宋体" w:eastAsia="宋体" w:cs="宋体"/>
          <w:color w:val="auto"/>
          <w:highlight w:val="none"/>
          <w:lang w:val="zh-CN"/>
        </w:rPr>
        <w:t>政府采购合同不能转让。</w:t>
      </w:r>
    </w:p>
    <w:p w14:paraId="0271C3C9">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22.2 </w:t>
      </w:r>
      <w:r>
        <w:rPr>
          <w:rFonts w:hint="eastAsia" w:ascii="宋体" w:hAnsi="宋体" w:eastAsia="宋体" w:cs="宋体"/>
          <w:color w:val="auto"/>
          <w:highlight w:val="none"/>
          <w:lang w:val="zh-CN"/>
        </w:rPr>
        <w:t>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3AEEBEA6">
      <w:pPr>
        <w:bidi w:val="0"/>
        <w:ind w:left="0" w:leftChars="0" w:firstLine="0" w:firstLineChars="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23.合同修改</w:t>
      </w:r>
    </w:p>
    <w:p w14:paraId="341D259F">
      <w:pPr>
        <w:bidi w:val="0"/>
        <w:rPr>
          <w:rFonts w:hint="eastAsia" w:ascii="宋体" w:hAnsi="宋体" w:eastAsia="宋体" w:cs="宋体"/>
          <w:color w:val="auto"/>
          <w:highlight w:val="none"/>
        </w:rPr>
      </w:pPr>
      <w:r>
        <w:rPr>
          <w:rFonts w:hint="eastAsia" w:ascii="宋体" w:hAnsi="宋体" w:eastAsia="宋体" w:cs="宋体"/>
          <w:color w:val="auto"/>
          <w:highlight w:val="none"/>
        </w:rPr>
        <w:t>政府采购合同的双方当事人不得擅自变更、中止或者终止合同</w:t>
      </w:r>
    </w:p>
    <w:p w14:paraId="47BACB8E">
      <w:pPr>
        <w:bidi w:val="0"/>
        <w:ind w:left="0" w:leftChars="0" w:firstLine="0" w:firstLineChars="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24.通知</w:t>
      </w:r>
    </w:p>
    <w:p w14:paraId="27D93DDB">
      <w:pPr>
        <w:bidi w:val="0"/>
        <w:rPr>
          <w:rFonts w:hint="eastAsia" w:ascii="宋体" w:hAnsi="宋体" w:eastAsia="宋体" w:cs="宋体"/>
          <w:color w:val="auto"/>
          <w:highlight w:val="none"/>
        </w:rPr>
      </w:pPr>
      <w:r>
        <w:rPr>
          <w:rFonts w:hint="eastAsia" w:ascii="宋体" w:hAnsi="宋体" w:eastAsia="宋体" w:cs="宋体"/>
          <w:color w:val="auto"/>
          <w:highlight w:val="none"/>
          <w:lang w:val="zh-CN"/>
        </w:rPr>
        <w:t>本合同任何一方给另一方的通知，都应以书面形式发送，而另一方也应以书面形式确认并发送到对方明确的地址。</w:t>
      </w:r>
    </w:p>
    <w:p w14:paraId="6C6114DB">
      <w:pPr>
        <w:bidi w:val="0"/>
        <w:ind w:left="0" w:leftChars="0" w:firstLine="0" w:firstLineChars="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25.计量单位</w:t>
      </w:r>
    </w:p>
    <w:p w14:paraId="42DF4887">
      <w:pPr>
        <w:bidi w:val="0"/>
        <w:rPr>
          <w:rFonts w:hint="eastAsia" w:ascii="宋体" w:hAnsi="宋体" w:eastAsia="宋体" w:cs="宋体"/>
          <w:color w:val="auto"/>
          <w:highlight w:val="none"/>
        </w:rPr>
      </w:pPr>
      <w:r>
        <w:rPr>
          <w:rFonts w:hint="eastAsia" w:ascii="宋体" w:hAnsi="宋体" w:eastAsia="宋体" w:cs="宋体"/>
          <w:color w:val="auto"/>
          <w:highlight w:val="none"/>
          <w:lang w:val="zh-CN"/>
        </w:rPr>
        <w:t>除技术规范中另有规定外</w:t>
      </w:r>
      <w:r>
        <w:rPr>
          <w:rFonts w:hint="eastAsia" w:ascii="宋体" w:hAnsi="宋体" w:eastAsia="宋体" w:cs="宋体"/>
          <w:color w:val="auto"/>
          <w:highlight w:val="none"/>
        </w:rPr>
        <w:t>,</w:t>
      </w:r>
      <w:r>
        <w:rPr>
          <w:rFonts w:hint="eastAsia" w:ascii="宋体" w:hAnsi="宋体" w:eastAsia="宋体" w:cs="宋体"/>
          <w:color w:val="auto"/>
          <w:highlight w:val="none"/>
          <w:lang w:val="zh-CN"/>
        </w:rPr>
        <w:t>计量单位均使用国家法定计量单位。</w:t>
      </w:r>
    </w:p>
    <w:p w14:paraId="00312B3E">
      <w:pPr>
        <w:bidi w:val="0"/>
        <w:ind w:left="0" w:leftChars="0" w:firstLine="0" w:firstLineChars="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26.适用法律</w:t>
      </w:r>
    </w:p>
    <w:p w14:paraId="7CE50D7D">
      <w:pPr>
        <w:bidi w:val="0"/>
        <w:rPr>
          <w:rFonts w:hint="eastAsia" w:ascii="宋体" w:hAnsi="宋体" w:eastAsia="宋体" w:cs="宋体"/>
          <w:color w:val="auto"/>
          <w:highlight w:val="none"/>
        </w:rPr>
      </w:pPr>
      <w:r>
        <w:rPr>
          <w:rFonts w:hint="eastAsia" w:ascii="宋体" w:hAnsi="宋体" w:eastAsia="宋体" w:cs="宋体"/>
          <w:color w:val="auto"/>
          <w:highlight w:val="none"/>
          <w:lang w:val="zh-CN"/>
        </w:rPr>
        <w:t>本合同按照中华人民共和国的相关法律进行解释。</w:t>
      </w:r>
    </w:p>
    <w:p w14:paraId="5D307355">
      <w:pPr>
        <w:spacing w:line="480" w:lineRule="auto"/>
        <w:ind w:firstLine="480"/>
        <w:rPr>
          <w:rFonts w:hint="eastAsia" w:ascii="宋体" w:hAnsi="宋体" w:eastAsia="宋体" w:cs="宋体"/>
          <w:color w:val="auto"/>
          <w:highlight w:val="none"/>
        </w:rPr>
      </w:pPr>
    </w:p>
    <w:p w14:paraId="7A843884">
      <w:pPr>
        <w:rPr>
          <w:rFonts w:hint="eastAsia" w:ascii="宋体" w:hAnsi="宋体" w:eastAsia="宋体" w:cs="宋体"/>
          <w:b/>
          <w:color w:val="auto"/>
          <w:kern w:val="28"/>
          <w:sz w:val="36"/>
          <w:szCs w:val="20"/>
          <w:highlight w:val="none"/>
        </w:rPr>
      </w:pPr>
      <w:r>
        <w:rPr>
          <w:rFonts w:hint="eastAsia" w:ascii="宋体" w:hAnsi="宋体" w:eastAsia="宋体" w:cs="宋体"/>
          <w:b/>
          <w:color w:val="auto"/>
          <w:kern w:val="28"/>
          <w:sz w:val="36"/>
          <w:szCs w:val="20"/>
          <w:highlight w:val="none"/>
        </w:rPr>
        <w:br w:type="page"/>
      </w:r>
    </w:p>
    <w:p w14:paraId="11BDAE17">
      <w:pPr>
        <w:pStyle w:val="3"/>
        <w:numPr>
          <w:ilvl w:val="0"/>
          <w:numId w:val="0"/>
        </w:numPr>
        <w:bidi w:val="0"/>
        <w:ind w:left="0" w:leftChars="0" w:firstLine="0" w:firstLineChars="0"/>
        <w:rPr>
          <w:rFonts w:hint="eastAsia" w:ascii="宋体" w:hAnsi="宋体" w:eastAsia="宋体" w:cs="宋体"/>
          <w:color w:val="auto"/>
          <w:highlight w:val="none"/>
        </w:rPr>
      </w:pPr>
      <w:bookmarkStart w:id="119" w:name="_Toc21460"/>
      <w:r>
        <w:rPr>
          <w:rFonts w:hint="eastAsia" w:ascii="宋体" w:hAnsi="宋体" w:eastAsia="宋体" w:cs="宋体"/>
          <w:color w:val="auto"/>
          <w:highlight w:val="none"/>
        </w:rPr>
        <w:t>第五部分</w:t>
      </w:r>
      <w:bookmarkEnd w:id="117"/>
      <w:bookmarkEnd w:id="118"/>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磋商响应文件格式</w:t>
      </w:r>
      <w:bookmarkEnd w:id="119"/>
    </w:p>
    <w:p w14:paraId="2CBEEBF3">
      <w:pPr>
        <w:pStyle w:val="5"/>
        <w:bidi w:val="0"/>
        <w:jc w:val="both"/>
        <w:rPr>
          <w:rFonts w:hint="eastAsia" w:ascii="宋体" w:hAnsi="宋体" w:eastAsia="宋体" w:cs="宋体"/>
          <w:color w:val="auto"/>
          <w:highlight w:val="none"/>
        </w:rPr>
      </w:pPr>
      <w:bookmarkStart w:id="120" w:name="_Toc20338"/>
      <w:bookmarkStart w:id="121" w:name="_Toc4176"/>
      <w:r>
        <w:rPr>
          <w:rFonts w:hint="eastAsia" w:ascii="宋体" w:hAnsi="宋体" w:eastAsia="宋体" w:cs="宋体"/>
          <w:color w:val="auto"/>
          <w:highlight w:val="none"/>
        </w:rPr>
        <w:t>附件1：磋商响应文件封面</w:t>
      </w:r>
      <w:bookmarkEnd w:id="120"/>
      <w:bookmarkEnd w:id="121"/>
    </w:p>
    <w:p w14:paraId="15186A25">
      <w:pPr>
        <w:bidi w:val="0"/>
        <w:rPr>
          <w:rFonts w:hint="eastAsia" w:ascii="宋体" w:hAnsi="宋体" w:eastAsia="宋体" w:cs="宋体"/>
          <w:color w:val="auto"/>
          <w:highlight w:val="none"/>
        </w:rPr>
      </w:pPr>
    </w:p>
    <w:p w14:paraId="769FCF55">
      <w:pPr>
        <w:bidi w:val="0"/>
        <w:rPr>
          <w:rFonts w:hint="eastAsia" w:ascii="宋体" w:hAnsi="宋体" w:eastAsia="宋体" w:cs="宋体"/>
          <w:color w:val="auto"/>
          <w:highlight w:val="none"/>
        </w:rPr>
      </w:pPr>
    </w:p>
    <w:p w14:paraId="7B06FFBB">
      <w:pPr>
        <w:bidi w:val="0"/>
        <w:rPr>
          <w:rFonts w:hint="eastAsia" w:ascii="宋体" w:hAnsi="宋体" w:eastAsia="宋体" w:cs="宋体"/>
          <w:color w:val="auto"/>
          <w:highlight w:val="none"/>
        </w:rPr>
      </w:pPr>
    </w:p>
    <w:p w14:paraId="4935DAE9">
      <w:pPr>
        <w:bidi w:val="0"/>
        <w:ind w:left="0" w:leftChars="0" w:firstLine="0" w:firstLineChars="0"/>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磋商响应文件</w:t>
      </w:r>
    </w:p>
    <w:p w14:paraId="4FE5106E">
      <w:pPr>
        <w:bidi w:val="0"/>
        <w:rPr>
          <w:rFonts w:hint="eastAsia" w:ascii="宋体" w:hAnsi="宋体" w:eastAsia="宋体" w:cs="宋体"/>
          <w:color w:val="auto"/>
          <w:highlight w:val="none"/>
        </w:rPr>
      </w:pPr>
    </w:p>
    <w:p w14:paraId="77AA1607">
      <w:pPr>
        <w:pStyle w:val="2"/>
        <w:rPr>
          <w:rFonts w:hint="eastAsia"/>
        </w:rPr>
      </w:pPr>
    </w:p>
    <w:p w14:paraId="3FEB5BCA">
      <w:pPr>
        <w:bidi w:val="0"/>
        <w:rPr>
          <w:rFonts w:hint="eastAsia" w:ascii="宋体" w:hAnsi="宋体" w:eastAsia="宋体" w:cs="宋体"/>
          <w:color w:val="auto"/>
          <w:highlight w:val="none"/>
        </w:rPr>
      </w:pPr>
    </w:p>
    <w:p w14:paraId="0BB78AD6">
      <w:pPr>
        <w:bidi w:val="0"/>
        <w:rPr>
          <w:rFonts w:hint="eastAsia" w:ascii="宋体" w:hAnsi="宋体" w:eastAsia="宋体" w:cs="宋体"/>
          <w:color w:val="auto"/>
          <w:highlight w:val="none"/>
        </w:rPr>
      </w:pPr>
    </w:p>
    <w:p w14:paraId="11AC607E">
      <w:pPr>
        <w:bidi w:val="0"/>
        <w:spacing w:line="480" w:lineRule="auto"/>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采购项目编号：</w:t>
      </w:r>
      <w:r>
        <w:rPr>
          <w:rFonts w:hint="eastAsia" w:ascii="宋体" w:hAnsi="宋体" w:cs="宋体"/>
          <w:b/>
          <w:bCs/>
          <w:color w:val="auto"/>
          <w:sz w:val="28"/>
          <w:szCs w:val="28"/>
          <w:highlight w:val="none"/>
          <w:lang w:eastAsia="zh-CN"/>
        </w:rPr>
        <w:t>乐欣中堃竞磋（服务）2026-020</w:t>
      </w:r>
    </w:p>
    <w:p w14:paraId="1DC9EFF2">
      <w:pPr>
        <w:bidi w:val="0"/>
        <w:spacing w:line="480" w:lineRule="auto"/>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rPr>
        <w:t>采购项目名称：</w:t>
      </w:r>
      <w:r>
        <w:rPr>
          <w:rFonts w:hint="eastAsia" w:ascii="宋体" w:hAnsi="宋体" w:cs="宋体"/>
          <w:b/>
          <w:bCs/>
          <w:color w:val="auto"/>
          <w:sz w:val="28"/>
          <w:szCs w:val="28"/>
          <w:highlight w:val="none"/>
          <w:lang w:val="zh-CN"/>
        </w:rPr>
        <w:t>海东市乐都区2026-2027年度政策性农村住房保险</w:t>
      </w:r>
    </w:p>
    <w:p w14:paraId="37DB31A0">
      <w:pPr>
        <w:bidi w:val="0"/>
        <w:spacing w:line="480" w:lineRule="auto"/>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eastAsia="zh-CN"/>
        </w:rPr>
        <w:t>供应商</w:t>
      </w:r>
      <w:r>
        <w:rPr>
          <w:rFonts w:hint="eastAsia" w:ascii="宋体" w:hAnsi="宋体" w:eastAsia="宋体" w:cs="宋体"/>
          <w:b/>
          <w:bCs/>
          <w:color w:val="auto"/>
          <w:sz w:val="28"/>
          <w:szCs w:val="28"/>
          <w:highlight w:val="none"/>
        </w:rPr>
        <w:t>：               （公章）</w:t>
      </w:r>
      <w:r>
        <w:rPr>
          <w:rFonts w:hint="eastAsia" w:ascii="宋体" w:hAnsi="宋体" w:cs="宋体"/>
          <w:b/>
          <w:bCs/>
          <w:color w:val="auto"/>
          <w:sz w:val="28"/>
          <w:szCs w:val="28"/>
          <w:highlight w:val="none"/>
          <w:lang w:val="en-US" w:eastAsia="zh-CN"/>
        </w:rPr>
        <w:t xml:space="preserve">  </w:t>
      </w:r>
    </w:p>
    <w:p w14:paraId="076CB0D9">
      <w:pPr>
        <w:bidi w:val="0"/>
        <w:spacing w:line="480" w:lineRule="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法定代表人或委托代理人：</w:t>
      </w:r>
      <w:r>
        <w:rPr>
          <w:rFonts w:hint="eastAsia" w:ascii="宋体" w:hAnsi="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（签字或盖章）</w:t>
      </w:r>
    </w:p>
    <w:p w14:paraId="11F25B19">
      <w:pPr>
        <w:bidi w:val="0"/>
        <w:rPr>
          <w:rFonts w:hint="eastAsia" w:ascii="宋体" w:hAnsi="宋体" w:eastAsia="宋体" w:cs="宋体"/>
          <w:b/>
          <w:bCs/>
          <w:color w:val="auto"/>
          <w:sz w:val="28"/>
          <w:szCs w:val="28"/>
          <w:highlight w:val="none"/>
        </w:rPr>
      </w:pPr>
    </w:p>
    <w:p w14:paraId="7CD6FBCA">
      <w:pPr>
        <w:bidi w:val="0"/>
        <w:ind w:left="0" w:leftChars="0" w:firstLine="0" w:firstLineChars="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年  月  日</w:t>
      </w:r>
      <w:bookmarkStart w:id="122" w:name="_Toc1011"/>
    </w:p>
    <w:p w14:paraId="32CCC893">
      <w:pPr>
        <w:bidi w:val="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F241C92">
      <w:pPr>
        <w:pStyle w:val="5"/>
        <w:bidi w:val="0"/>
        <w:jc w:val="both"/>
        <w:rPr>
          <w:rFonts w:hint="eastAsia" w:ascii="宋体" w:hAnsi="宋体" w:eastAsia="宋体" w:cs="宋体"/>
          <w:color w:val="auto"/>
          <w:highlight w:val="none"/>
        </w:rPr>
      </w:pPr>
      <w:bookmarkStart w:id="123" w:name="_Toc15302"/>
      <w:r>
        <w:rPr>
          <w:rFonts w:hint="eastAsia" w:ascii="宋体" w:hAnsi="宋体" w:eastAsia="宋体" w:cs="宋体"/>
          <w:color w:val="auto"/>
          <w:highlight w:val="none"/>
        </w:rPr>
        <w:t>附件2：目录格式</w:t>
      </w:r>
      <w:bookmarkEnd w:id="122"/>
      <w:bookmarkEnd w:id="123"/>
    </w:p>
    <w:tbl>
      <w:tblPr>
        <w:tblStyle w:val="67"/>
        <w:tblpPr w:leftFromText="180" w:rightFromText="180" w:horzAnchor="margin" w:tblpXSpec="center" w:tblpY="990"/>
        <w:tblW w:w="8419" w:type="dxa"/>
        <w:jc w:val="center"/>
        <w:tblLayout w:type="fixed"/>
        <w:tblCellMar>
          <w:top w:w="0" w:type="dxa"/>
          <w:left w:w="108" w:type="dxa"/>
          <w:bottom w:w="0" w:type="dxa"/>
          <w:right w:w="108" w:type="dxa"/>
        </w:tblCellMar>
      </w:tblPr>
      <w:tblGrid>
        <w:gridCol w:w="7014"/>
        <w:gridCol w:w="665"/>
        <w:gridCol w:w="740"/>
      </w:tblGrid>
      <w:tr w14:paraId="098C0318">
        <w:tblPrEx>
          <w:tblCellMar>
            <w:top w:w="0" w:type="dxa"/>
            <w:left w:w="108" w:type="dxa"/>
            <w:bottom w:w="0" w:type="dxa"/>
            <w:right w:w="108" w:type="dxa"/>
          </w:tblCellMar>
        </w:tblPrEx>
        <w:trPr>
          <w:trHeight w:val="462" w:hRule="exact"/>
          <w:jc w:val="center"/>
        </w:trPr>
        <w:tc>
          <w:tcPr>
            <w:tcW w:w="7014" w:type="dxa"/>
            <w:vAlign w:val="center"/>
          </w:tcPr>
          <w:p w14:paraId="1A04CF7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p>
        </w:tc>
        <w:tc>
          <w:tcPr>
            <w:tcW w:w="1405" w:type="dxa"/>
            <w:gridSpan w:val="2"/>
            <w:vAlign w:val="center"/>
          </w:tcPr>
          <w:p w14:paraId="216E42A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页码</w:t>
            </w:r>
          </w:p>
        </w:tc>
      </w:tr>
      <w:tr w14:paraId="45E3DD16">
        <w:tblPrEx>
          <w:tblCellMar>
            <w:top w:w="0" w:type="dxa"/>
            <w:left w:w="108" w:type="dxa"/>
            <w:bottom w:w="0" w:type="dxa"/>
            <w:right w:w="108" w:type="dxa"/>
          </w:tblCellMar>
        </w:tblPrEx>
        <w:trPr>
          <w:trHeight w:val="406" w:hRule="exact"/>
          <w:jc w:val="center"/>
        </w:trPr>
        <w:tc>
          <w:tcPr>
            <w:tcW w:w="7014" w:type="dxa"/>
            <w:vAlign w:val="center"/>
          </w:tcPr>
          <w:p w14:paraId="11DB368E">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1、磋商函</w:t>
            </w:r>
          </w:p>
        </w:tc>
        <w:tc>
          <w:tcPr>
            <w:tcW w:w="665" w:type="dxa"/>
            <w:vAlign w:val="center"/>
          </w:tcPr>
          <w:p w14:paraId="49779D6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740" w:type="dxa"/>
            <w:vAlign w:val="center"/>
          </w:tcPr>
          <w:p w14:paraId="4C9FF15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p>
          <w:p w14:paraId="5F7F638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p>
          <w:p w14:paraId="08D1EEC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p>
          <w:p w14:paraId="3DBA2FE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p>
        </w:tc>
      </w:tr>
      <w:tr w14:paraId="53F0824F">
        <w:tblPrEx>
          <w:tblCellMar>
            <w:top w:w="0" w:type="dxa"/>
            <w:left w:w="108" w:type="dxa"/>
            <w:bottom w:w="0" w:type="dxa"/>
            <w:right w:w="108" w:type="dxa"/>
          </w:tblCellMar>
        </w:tblPrEx>
        <w:trPr>
          <w:trHeight w:val="674" w:hRule="exact"/>
          <w:jc w:val="center"/>
        </w:trPr>
        <w:tc>
          <w:tcPr>
            <w:tcW w:w="7014" w:type="dxa"/>
            <w:vAlign w:val="center"/>
          </w:tcPr>
          <w:p w14:paraId="1ADF735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2、最初报价表</w:t>
            </w:r>
          </w:p>
        </w:tc>
        <w:tc>
          <w:tcPr>
            <w:tcW w:w="665" w:type="dxa"/>
            <w:vAlign w:val="center"/>
          </w:tcPr>
          <w:p w14:paraId="3251DE9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740" w:type="dxa"/>
            <w:vAlign w:val="center"/>
          </w:tcPr>
          <w:p w14:paraId="5BFC15F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p>
        </w:tc>
      </w:tr>
      <w:tr w14:paraId="0E8A65E8">
        <w:tblPrEx>
          <w:tblCellMar>
            <w:top w:w="0" w:type="dxa"/>
            <w:left w:w="108" w:type="dxa"/>
            <w:bottom w:w="0" w:type="dxa"/>
            <w:right w:w="108" w:type="dxa"/>
          </w:tblCellMar>
        </w:tblPrEx>
        <w:trPr>
          <w:trHeight w:val="588" w:hRule="exact"/>
          <w:jc w:val="center"/>
        </w:trPr>
        <w:tc>
          <w:tcPr>
            <w:tcW w:w="7014" w:type="dxa"/>
            <w:vAlign w:val="center"/>
          </w:tcPr>
          <w:p w14:paraId="4846ACB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3、服务条款偏离表</w:t>
            </w:r>
          </w:p>
        </w:tc>
        <w:tc>
          <w:tcPr>
            <w:tcW w:w="665" w:type="dxa"/>
            <w:vAlign w:val="center"/>
          </w:tcPr>
          <w:p w14:paraId="3E0ADC9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740" w:type="dxa"/>
            <w:vAlign w:val="center"/>
          </w:tcPr>
          <w:p w14:paraId="2C50CC1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p>
        </w:tc>
      </w:tr>
      <w:tr w14:paraId="2EF31A2C">
        <w:tblPrEx>
          <w:tblCellMar>
            <w:top w:w="0" w:type="dxa"/>
            <w:left w:w="108" w:type="dxa"/>
            <w:bottom w:w="0" w:type="dxa"/>
            <w:right w:w="108" w:type="dxa"/>
          </w:tblCellMar>
        </w:tblPrEx>
        <w:trPr>
          <w:trHeight w:val="588" w:hRule="exact"/>
          <w:jc w:val="center"/>
        </w:trPr>
        <w:tc>
          <w:tcPr>
            <w:tcW w:w="7014" w:type="dxa"/>
            <w:vAlign w:val="center"/>
          </w:tcPr>
          <w:p w14:paraId="3F08D2F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p>
        </w:tc>
        <w:tc>
          <w:tcPr>
            <w:tcW w:w="665" w:type="dxa"/>
            <w:vAlign w:val="center"/>
          </w:tcPr>
          <w:p w14:paraId="0B6392D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740" w:type="dxa"/>
            <w:vAlign w:val="center"/>
          </w:tcPr>
          <w:p w14:paraId="7D14C14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p>
        </w:tc>
      </w:tr>
      <w:tr w14:paraId="761A9021">
        <w:tblPrEx>
          <w:tblCellMar>
            <w:top w:w="0" w:type="dxa"/>
            <w:left w:w="108" w:type="dxa"/>
            <w:bottom w:w="0" w:type="dxa"/>
            <w:right w:w="108" w:type="dxa"/>
          </w:tblCellMar>
        </w:tblPrEx>
        <w:trPr>
          <w:trHeight w:val="588" w:hRule="exact"/>
          <w:jc w:val="center"/>
        </w:trPr>
        <w:tc>
          <w:tcPr>
            <w:tcW w:w="7014" w:type="dxa"/>
            <w:vAlign w:val="center"/>
          </w:tcPr>
          <w:p w14:paraId="029818A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5、法定代表人证明书</w:t>
            </w:r>
          </w:p>
        </w:tc>
        <w:tc>
          <w:tcPr>
            <w:tcW w:w="665" w:type="dxa"/>
            <w:vAlign w:val="center"/>
          </w:tcPr>
          <w:p w14:paraId="1E04345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740" w:type="dxa"/>
            <w:vAlign w:val="center"/>
          </w:tcPr>
          <w:p w14:paraId="43AC0A3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p>
        </w:tc>
      </w:tr>
      <w:tr w14:paraId="0A98052B">
        <w:tblPrEx>
          <w:tblCellMar>
            <w:top w:w="0" w:type="dxa"/>
            <w:left w:w="108" w:type="dxa"/>
            <w:bottom w:w="0" w:type="dxa"/>
            <w:right w:w="108" w:type="dxa"/>
          </w:tblCellMar>
        </w:tblPrEx>
        <w:trPr>
          <w:trHeight w:val="588" w:hRule="exact"/>
          <w:jc w:val="center"/>
        </w:trPr>
        <w:tc>
          <w:tcPr>
            <w:tcW w:w="7014" w:type="dxa"/>
            <w:vAlign w:val="center"/>
          </w:tcPr>
          <w:p w14:paraId="1474D0C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6、法定代表人授权书</w:t>
            </w:r>
          </w:p>
        </w:tc>
        <w:tc>
          <w:tcPr>
            <w:tcW w:w="665" w:type="dxa"/>
            <w:vAlign w:val="center"/>
          </w:tcPr>
          <w:p w14:paraId="48B8B22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740" w:type="dxa"/>
            <w:vAlign w:val="center"/>
          </w:tcPr>
          <w:p w14:paraId="77047D2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p>
        </w:tc>
      </w:tr>
      <w:tr w14:paraId="1EB95C47">
        <w:tblPrEx>
          <w:tblCellMar>
            <w:top w:w="0" w:type="dxa"/>
            <w:left w:w="108" w:type="dxa"/>
            <w:bottom w:w="0" w:type="dxa"/>
            <w:right w:w="108" w:type="dxa"/>
          </w:tblCellMar>
        </w:tblPrEx>
        <w:trPr>
          <w:trHeight w:val="588" w:hRule="exact"/>
          <w:jc w:val="center"/>
        </w:trPr>
        <w:tc>
          <w:tcPr>
            <w:tcW w:w="7014" w:type="dxa"/>
            <w:vAlign w:val="center"/>
          </w:tcPr>
          <w:p w14:paraId="14F0AA1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7、供应商承诺函</w:t>
            </w:r>
          </w:p>
        </w:tc>
        <w:tc>
          <w:tcPr>
            <w:tcW w:w="665" w:type="dxa"/>
            <w:vAlign w:val="center"/>
          </w:tcPr>
          <w:p w14:paraId="10C8F52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740" w:type="dxa"/>
            <w:vAlign w:val="center"/>
          </w:tcPr>
          <w:p w14:paraId="6C74BEA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p>
        </w:tc>
      </w:tr>
      <w:tr w14:paraId="5E9EE446">
        <w:tblPrEx>
          <w:tblCellMar>
            <w:top w:w="0" w:type="dxa"/>
            <w:left w:w="108" w:type="dxa"/>
            <w:bottom w:w="0" w:type="dxa"/>
            <w:right w:w="108" w:type="dxa"/>
          </w:tblCellMar>
        </w:tblPrEx>
        <w:trPr>
          <w:trHeight w:val="588" w:hRule="exact"/>
          <w:jc w:val="center"/>
        </w:trPr>
        <w:tc>
          <w:tcPr>
            <w:tcW w:w="7014" w:type="dxa"/>
            <w:vAlign w:val="center"/>
          </w:tcPr>
          <w:p w14:paraId="4EC3C10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8、供应商诚信承诺书</w:t>
            </w:r>
          </w:p>
        </w:tc>
        <w:tc>
          <w:tcPr>
            <w:tcW w:w="665" w:type="dxa"/>
            <w:vAlign w:val="center"/>
          </w:tcPr>
          <w:p w14:paraId="6E26AA8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740" w:type="dxa"/>
            <w:vAlign w:val="center"/>
          </w:tcPr>
          <w:p w14:paraId="37A24EA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p>
        </w:tc>
      </w:tr>
      <w:tr w14:paraId="722905FD">
        <w:tblPrEx>
          <w:tblCellMar>
            <w:top w:w="0" w:type="dxa"/>
            <w:left w:w="108" w:type="dxa"/>
            <w:bottom w:w="0" w:type="dxa"/>
            <w:right w:w="108" w:type="dxa"/>
          </w:tblCellMar>
        </w:tblPrEx>
        <w:trPr>
          <w:trHeight w:val="588" w:hRule="exact"/>
          <w:jc w:val="center"/>
        </w:trPr>
        <w:tc>
          <w:tcPr>
            <w:tcW w:w="7014" w:type="dxa"/>
            <w:vAlign w:val="center"/>
          </w:tcPr>
          <w:p w14:paraId="0662FDD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9、资格证明材料</w:t>
            </w:r>
          </w:p>
        </w:tc>
        <w:tc>
          <w:tcPr>
            <w:tcW w:w="665" w:type="dxa"/>
            <w:vAlign w:val="center"/>
          </w:tcPr>
          <w:p w14:paraId="1BA097A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740" w:type="dxa"/>
            <w:vAlign w:val="center"/>
          </w:tcPr>
          <w:p w14:paraId="4429B53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p>
        </w:tc>
      </w:tr>
      <w:tr w14:paraId="0EB22980">
        <w:tblPrEx>
          <w:tblCellMar>
            <w:top w:w="0" w:type="dxa"/>
            <w:left w:w="108" w:type="dxa"/>
            <w:bottom w:w="0" w:type="dxa"/>
            <w:right w:w="108" w:type="dxa"/>
          </w:tblCellMar>
        </w:tblPrEx>
        <w:trPr>
          <w:trHeight w:val="588" w:hRule="exact"/>
          <w:jc w:val="center"/>
        </w:trPr>
        <w:tc>
          <w:tcPr>
            <w:tcW w:w="7014" w:type="dxa"/>
            <w:vAlign w:val="center"/>
          </w:tcPr>
          <w:p w14:paraId="1B869D05">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10、财务状况、缴纳税收和社会保障资金证明</w:t>
            </w:r>
          </w:p>
        </w:tc>
        <w:tc>
          <w:tcPr>
            <w:tcW w:w="665" w:type="dxa"/>
            <w:vAlign w:val="center"/>
          </w:tcPr>
          <w:p w14:paraId="5B816C2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740" w:type="dxa"/>
            <w:vAlign w:val="center"/>
          </w:tcPr>
          <w:p w14:paraId="3C8009A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p>
        </w:tc>
      </w:tr>
      <w:tr w14:paraId="6C1206BF">
        <w:tblPrEx>
          <w:tblCellMar>
            <w:top w:w="0" w:type="dxa"/>
            <w:left w:w="108" w:type="dxa"/>
            <w:bottom w:w="0" w:type="dxa"/>
            <w:right w:w="108" w:type="dxa"/>
          </w:tblCellMar>
        </w:tblPrEx>
        <w:trPr>
          <w:trHeight w:val="588" w:hRule="exact"/>
          <w:jc w:val="center"/>
        </w:trPr>
        <w:tc>
          <w:tcPr>
            <w:tcW w:w="7014" w:type="dxa"/>
            <w:vAlign w:val="center"/>
          </w:tcPr>
          <w:p w14:paraId="4F178DA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11、</w:t>
            </w:r>
            <w:r>
              <w:rPr>
                <w:rFonts w:hint="eastAsia" w:ascii="宋体" w:hAnsi="宋体" w:eastAsia="宋体" w:cs="宋体"/>
                <w:color w:val="auto"/>
                <w:highlight w:val="none"/>
                <w:lang w:val="zh-CN"/>
              </w:rPr>
              <w:t>具备履行合同所必须的设备和专业技术能力证明</w:t>
            </w:r>
          </w:p>
        </w:tc>
        <w:tc>
          <w:tcPr>
            <w:tcW w:w="665" w:type="dxa"/>
            <w:vAlign w:val="center"/>
          </w:tcPr>
          <w:p w14:paraId="3B28112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740" w:type="dxa"/>
            <w:vAlign w:val="center"/>
          </w:tcPr>
          <w:p w14:paraId="551ACED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p>
        </w:tc>
      </w:tr>
      <w:tr w14:paraId="6BC6F94B">
        <w:tblPrEx>
          <w:tblCellMar>
            <w:top w:w="0" w:type="dxa"/>
            <w:left w:w="108" w:type="dxa"/>
            <w:bottom w:w="0" w:type="dxa"/>
            <w:right w:w="108" w:type="dxa"/>
          </w:tblCellMar>
        </w:tblPrEx>
        <w:trPr>
          <w:trHeight w:val="588" w:hRule="exact"/>
          <w:jc w:val="center"/>
        </w:trPr>
        <w:tc>
          <w:tcPr>
            <w:tcW w:w="7014" w:type="dxa"/>
            <w:vAlign w:val="center"/>
          </w:tcPr>
          <w:p w14:paraId="7C0459B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12、无重大违法记录声明</w:t>
            </w:r>
          </w:p>
        </w:tc>
        <w:tc>
          <w:tcPr>
            <w:tcW w:w="665" w:type="dxa"/>
            <w:vAlign w:val="center"/>
          </w:tcPr>
          <w:p w14:paraId="0890A5F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740" w:type="dxa"/>
            <w:vAlign w:val="center"/>
          </w:tcPr>
          <w:p w14:paraId="35DE391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p>
        </w:tc>
      </w:tr>
      <w:tr w14:paraId="416E4960">
        <w:tblPrEx>
          <w:tblCellMar>
            <w:top w:w="0" w:type="dxa"/>
            <w:left w:w="108" w:type="dxa"/>
            <w:bottom w:w="0" w:type="dxa"/>
            <w:right w:w="108" w:type="dxa"/>
          </w:tblCellMar>
        </w:tblPrEx>
        <w:trPr>
          <w:trHeight w:val="588" w:hRule="exact"/>
          <w:jc w:val="center"/>
        </w:trPr>
        <w:tc>
          <w:tcPr>
            <w:tcW w:w="7014" w:type="dxa"/>
            <w:vAlign w:val="center"/>
          </w:tcPr>
          <w:p w14:paraId="3240796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13、人员简历表</w:t>
            </w:r>
          </w:p>
        </w:tc>
        <w:tc>
          <w:tcPr>
            <w:tcW w:w="665" w:type="dxa"/>
            <w:vAlign w:val="center"/>
          </w:tcPr>
          <w:p w14:paraId="31F9B162">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740" w:type="dxa"/>
            <w:vAlign w:val="center"/>
          </w:tcPr>
          <w:p w14:paraId="3A58D9F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p>
        </w:tc>
      </w:tr>
      <w:tr w14:paraId="7EF44433">
        <w:tblPrEx>
          <w:tblCellMar>
            <w:top w:w="0" w:type="dxa"/>
            <w:left w:w="108" w:type="dxa"/>
            <w:bottom w:w="0" w:type="dxa"/>
            <w:right w:w="108" w:type="dxa"/>
          </w:tblCellMar>
        </w:tblPrEx>
        <w:trPr>
          <w:trHeight w:val="588" w:hRule="exact"/>
          <w:jc w:val="center"/>
        </w:trPr>
        <w:tc>
          <w:tcPr>
            <w:tcW w:w="7014" w:type="dxa"/>
            <w:vAlign w:val="center"/>
          </w:tcPr>
          <w:p w14:paraId="07B1985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14、类似业绩证明材料</w:t>
            </w:r>
          </w:p>
        </w:tc>
        <w:tc>
          <w:tcPr>
            <w:tcW w:w="665" w:type="dxa"/>
            <w:vAlign w:val="center"/>
          </w:tcPr>
          <w:p w14:paraId="0D4A832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740" w:type="dxa"/>
            <w:vAlign w:val="center"/>
          </w:tcPr>
          <w:p w14:paraId="681C5EE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p>
        </w:tc>
      </w:tr>
      <w:tr w14:paraId="574E7EB2">
        <w:tblPrEx>
          <w:tblCellMar>
            <w:top w:w="0" w:type="dxa"/>
            <w:left w:w="108" w:type="dxa"/>
            <w:bottom w:w="0" w:type="dxa"/>
            <w:right w:w="108" w:type="dxa"/>
          </w:tblCellMar>
        </w:tblPrEx>
        <w:trPr>
          <w:trHeight w:val="588" w:hRule="exact"/>
          <w:jc w:val="center"/>
        </w:trPr>
        <w:tc>
          <w:tcPr>
            <w:tcW w:w="7014" w:type="dxa"/>
            <w:vAlign w:val="center"/>
          </w:tcPr>
          <w:p w14:paraId="65ECEE7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15、服务能力与方案</w:t>
            </w:r>
          </w:p>
        </w:tc>
        <w:tc>
          <w:tcPr>
            <w:tcW w:w="665" w:type="dxa"/>
            <w:vAlign w:val="center"/>
          </w:tcPr>
          <w:p w14:paraId="330D8774">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740" w:type="dxa"/>
            <w:vAlign w:val="center"/>
          </w:tcPr>
          <w:p w14:paraId="61C4DDF0">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p>
        </w:tc>
      </w:tr>
      <w:tr w14:paraId="36A78479">
        <w:tblPrEx>
          <w:tblCellMar>
            <w:top w:w="0" w:type="dxa"/>
            <w:left w:w="108" w:type="dxa"/>
            <w:bottom w:w="0" w:type="dxa"/>
            <w:right w:w="108" w:type="dxa"/>
          </w:tblCellMar>
        </w:tblPrEx>
        <w:trPr>
          <w:trHeight w:val="588" w:hRule="exact"/>
          <w:jc w:val="center"/>
        </w:trPr>
        <w:tc>
          <w:tcPr>
            <w:tcW w:w="7014" w:type="dxa"/>
            <w:vAlign w:val="center"/>
          </w:tcPr>
          <w:p w14:paraId="1CC18BA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16、最终报价表</w:t>
            </w:r>
          </w:p>
        </w:tc>
        <w:tc>
          <w:tcPr>
            <w:tcW w:w="665" w:type="dxa"/>
            <w:vAlign w:val="center"/>
          </w:tcPr>
          <w:p w14:paraId="2E23EF0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740" w:type="dxa"/>
            <w:vAlign w:val="center"/>
          </w:tcPr>
          <w:p w14:paraId="457336D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p>
        </w:tc>
      </w:tr>
      <w:tr w14:paraId="455E0A31">
        <w:tblPrEx>
          <w:tblCellMar>
            <w:top w:w="0" w:type="dxa"/>
            <w:left w:w="108" w:type="dxa"/>
            <w:bottom w:w="0" w:type="dxa"/>
            <w:right w:w="108" w:type="dxa"/>
          </w:tblCellMar>
        </w:tblPrEx>
        <w:trPr>
          <w:trHeight w:val="588" w:hRule="exact"/>
          <w:jc w:val="center"/>
        </w:trPr>
        <w:tc>
          <w:tcPr>
            <w:tcW w:w="7014" w:type="dxa"/>
            <w:vAlign w:val="center"/>
          </w:tcPr>
          <w:p w14:paraId="636A6A4C">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17、</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认为有必要说明的其他方面事项</w:t>
            </w:r>
          </w:p>
        </w:tc>
        <w:tc>
          <w:tcPr>
            <w:tcW w:w="665" w:type="dxa"/>
            <w:vAlign w:val="center"/>
          </w:tcPr>
          <w:p w14:paraId="4B548CF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740" w:type="dxa"/>
            <w:vAlign w:val="center"/>
          </w:tcPr>
          <w:p w14:paraId="42AEB7F6">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p>
        </w:tc>
      </w:tr>
      <w:tr w14:paraId="00AE4BB1">
        <w:tblPrEx>
          <w:tblCellMar>
            <w:top w:w="0" w:type="dxa"/>
            <w:left w:w="108" w:type="dxa"/>
            <w:bottom w:w="0" w:type="dxa"/>
            <w:right w:w="108" w:type="dxa"/>
          </w:tblCellMar>
        </w:tblPrEx>
        <w:trPr>
          <w:trHeight w:val="588" w:hRule="exact"/>
          <w:jc w:val="center"/>
        </w:trPr>
        <w:tc>
          <w:tcPr>
            <w:tcW w:w="7014" w:type="dxa"/>
            <w:vAlign w:val="center"/>
          </w:tcPr>
          <w:p w14:paraId="33835C28">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18、享受政府采购政策优惠的证明资料</w:t>
            </w:r>
          </w:p>
        </w:tc>
        <w:tc>
          <w:tcPr>
            <w:tcW w:w="665" w:type="dxa"/>
            <w:vAlign w:val="center"/>
          </w:tcPr>
          <w:p w14:paraId="0247479D">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740" w:type="dxa"/>
            <w:vAlign w:val="center"/>
          </w:tcPr>
          <w:p w14:paraId="57FE6239">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p>
        </w:tc>
      </w:tr>
      <w:tr w14:paraId="4EBEE8DC">
        <w:tblPrEx>
          <w:tblCellMar>
            <w:top w:w="0" w:type="dxa"/>
            <w:left w:w="108" w:type="dxa"/>
            <w:bottom w:w="0" w:type="dxa"/>
            <w:right w:w="108" w:type="dxa"/>
          </w:tblCellMar>
        </w:tblPrEx>
        <w:trPr>
          <w:trHeight w:val="588" w:hRule="exact"/>
          <w:jc w:val="center"/>
        </w:trPr>
        <w:tc>
          <w:tcPr>
            <w:tcW w:w="7014" w:type="dxa"/>
            <w:vAlign w:val="center"/>
          </w:tcPr>
          <w:p w14:paraId="033E31C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p>
        </w:tc>
        <w:tc>
          <w:tcPr>
            <w:tcW w:w="665" w:type="dxa"/>
            <w:vAlign w:val="center"/>
          </w:tcPr>
          <w:p w14:paraId="18DF7B9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p>
        </w:tc>
        <w:tc>
          <w:tcPr>
            <w:tcW w:w="740" w:type="dxa"/>
            <w:vAlign w:val="center"/>
          </w:tcPr>
          <w:p w14:paraId="7ED515DB">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highlight w:val="none"/>
              </w:rPr>
            </w:pPr>
          </w:p>
        </w:tc>
      </w:tr>
    </w:tbl>
    <w:p w14:paraId="1CB5B63C">
      <w:pPr>
        <w:bidi w:val="0"/>
        <w:rPr>
          <w:rFonts w:hint="eastAsia" w:ascii="宋体" w:hAnsi="宋体" w:eastAsia="宋体" w:cs="宋体"/>
          <w:color w:val="auto"/>
          <w:highlight w:val="none"/>
        </w:rPr>
      </w:pPr>
    </w:p>
    <w:p w14:paraId="43098F59">
      <w:pPr>
        <w:bidi w:val="0"/>
        <w:rPr>
          <w:rFonts w:hint="eastAsia" w:ascii="宋体" w:hAnsi="宋体" w:eastAsia="宋体" w:cs="宋体"/>
          <w:color w:val="auto"/>
          <w:highlight w:val="none"/>
        </w:rPr>
      </w:pPr>
    </w:p>
    <w:p w14:paraId="39A330EF">
      <w:pPr>
        <w:bidi w:val="0"/>
        <w:rPr>
          <w:rFonts w:hint="eastAsia" w:ascii="宋体" w:hAnsi="宋体" w:eastAsia="宋体" w:cs="宋体"/>
          <w:color w:val="auto"/>
          <w:highlight w:val="none"/>
        </w:rPr>
      </w:pPr>
    </w:p>
    <w:p w14:paraId="42767DCC">
      <w:pPr>
        <w:bidi w:val="0"/>
        <w:rPr>
          <w:rFonts w:hint="eastAsia"/>
          <w:highlight w:val="none"/>
        </w:rPr>
      </w:pPr>
    </w:p>
    <w:p w14:paraId="2D625DC3">
      <w:pPr>
        <w:bidi w:val="0"/>
        <w:rPr>
          <w:rFonts w:hint="eastAsia"/>
          <w:highlight w:val="none"/>
        </w:rPr>
      </w:pPr>
    </w:p>
    <w:p w14:paraId="4435FC70">
      <w:pPr>
        <w:bidi w:val="0"/>
        <w:rPr>
          <w:rFonts w:hint="eastAsia"/>
          <w:highlight w:val="none"/>
        </w:rPr>
      </w:pPr>
    </w:p>
    <w:p w14:paraId="62DC8634">
      <w:pPr>
        <w:bidi w:val="0"/>
        <w:rPr>
          <w:rFonts w:hint="eastAsia"/>
          <w:highlight w:val="none"/>
        </w:rPr>
      </w:pPr>
    </w:p>
    <w:p w14:paraId="61F9494D">
      <w:pPr>
        <w:bidi w:val="0"/>
        <w:rPr>
          <w:rFonts w:hint="eastAsia"/>
          <w:highlight w:val="none"/>
        </w:rPr>
      </w:pPr>
    </w:p>
    <w:p w14:paraId="365D80D2">
      <w:pPr>
        <w:bidi w:val="0"/>
        <w:rPr>
          <w:rFonts w:hint="eastAsia"/>
          <w:highlight w:val="none"/>
        </w:rPr>
      </w:pPr>
    </w:p>
    <w:p w14:paraId="2C742FFD">
      <w:pPr>
        <w:bidi w:val="0"/>
        <w:rPr>
          <w:rFonts w:hint="eastAsia"/>
          <w:highlight w:val="none"/>
        </w:rPr>
      </w:pPr>
    </w:p>
    <w:p w14:paraId="1D65438F">
      <w:pPr>
        <w:bidi w:val="0"/>
        <w:rPr>
          <w:rFonts w:hint="eastAsia"/>
          <w:highlight w:val="none"/>
        </w:rPr>
      </w:pPr>
    </w:p>
    <w:p w14:paraId="3BAA011C">
      <w:pPr>
        <w:bidi w:val="0"/>
        <w:rPr>
          <w:rFonts w:hint="eastAsia"/>
          <w:highlight w:val="none"/>
        </w:rPr>
      </w:pPr>
    </w:p>
    <w:p w14:paraId="4A4047F0">
      <w:pPr>
        <w:bidi w:val="0"/>
        <w:rPr>
          <w:rFonts w:hint="eastAsia"/>
          <w:highlight w:val="none"/>
        </w:rPr>
      </w:pPr>
    </w:p>
    <w:p w14:paraId="07EABA9D">
      <w:pPr>
        <w:bidi w:val="0"/>
        <w:rPr>
          <w:rFonts w:hint="eastAsia"/>
          <w:highlight w:val="none"/>
        </w:rPr>
      </w:pPr>
    </w:p>
    <w:p w14:paraId="3A3FD14A">
      <w:pPr>
        <w:bidi w:val="0"/>
        <w:rPr>
          <w:rFonts w:hint="eastAsia"/>
          <w:highlight w:val="none"/>
        </w:rPr>
      </w:pPr>
    </w:p>
    <w:p w14:paraId="06D3539B">
      <w:pPr>
        <w:bidi w:val="0"/>
        <w:rPr>
          <w:rFonts w:hint="eastAsia"/>
          <w:highlight w:val="none"/>
        </w:rPr>
      </w:pPr>
    </w:p>
    <w:p w14:paraId="6A81B84C">
      <w:pPr>
        <w:bidi w:val="0"/>
        <w:rPr>
          <w:rFonts w:hint="eastAsia"/>
          <w:highlight w:val="none"/>
        </w:rPr>
      </w:pPr>
    </w:p>
    <w:p w14:paraId="3FF97BD5">
      <w:pPr>
        <w:bidi w:val="0"/>
        <w:rPr>
          <w:rFonts w:hint="eastAsia"/>
          <w:highlight w:val="none"/>
        </w:rPr>
      </w:pPr>
    </w:p>
    <w:p w14:paraId="5965661E">
      <w:pPr>
        <w:bidi w:val="0"/>
        <w:rPr>
          <w:rFonts w:hint="eastAsia"/>
          <w:highlight w:val="none"/>
        </w:rPr>
      </w:pPr>
    </w:p>
    <w:p w14:paraId="35DD2CEF">
      <w:pPr>
        <w:bidi w:val="0"/>
        <w:rPr>
          <w:rFonts w:hint="eastAsia"/>
          <w:highlight w:val="none"/>
        </w:rPr>
      </w:pPr>
    </w:p>
    <w:p w14:paraId="3237131E">
      <w:pPr>
        <w:bidi w:val="0"/>
        <w:rPr>
          <w:rFonts w:hint="eastAsia"/>
          <w:highlight w:val="none"/>
        </w:rPr>
      </w:pPr>
    </w:p>
    <w:p w14:paraId="77C72BB0">
      <w:pPr>
        <w:bidi w:val="0"/>
        <w:rPr>
          <w:rFonts w:hint="eastAsia"/>
          <w:highlight w:val="none"/>
        </w:rPr>
      </w:pPr>
    </w:p>
    <w:p w14:paraId="54C2DF8F">
      <w:pPr>
        <w:bidi w:val="0"/>
        <w:rPr>
          <w:rFonts w:hint="eastAsia"/>
          <w:highlight w:val="none"/>
        </w:rPr>
      </w:pPr>
    </w:p>
    <w:p w14:paraId="0C25E361">
      <w:pPr>
        <w:bidi w:val="0"/>
        <w:rPr>
          <w:rFonts w:hint="eastAsia"/>
          <w:highlight w:val="none"/>
        </w:rPr>
      </w:pPr>
    </w:p>
    <w:p w14:paraId="1580CBC0">
      <w:pPr>
        <w:bidi w:val="0"/>
        <w:rPr>
          <w:rFonts w:hint="eastAsia"/>
          <w:highlight w:val="none"/>
        </w:rPr>
      </w:pPr>
    </w:p>
    <w:p w14:paraId="22463596">
      <w:pPr>
        <w:bidi w:val="0"/>
        <w:rPr>
          <w:rFonts w:hint="eastAsia"/>
          <w:highlight w:val="none"/>
        </w:rPr>
      </w:pPr>
    </w:p>
    <w:p w14:paraId="1B3235CA">
      <w:pPr>
        <w:bidi w:val="0"/>
        <w:rPr>
          <w:rFonts w:hint="eastAsia"/>
          <w:highlight w:val="none"/>
        </w:rPr>
      </w:pPr>
    </w:p>
    <w:p w14:paraId="1119CA3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8AF5113">
      <w:pPr>
        <w:pStyle w:val="5"/>
        <w:bidi w:val="0"/>
        <w:jc w:val="both"/>
        <w:rPr>
          <w:rFonts w:hint="eastAsia" w:ascii="宋体" w:hAnsi="宋体" w:eastAsia="宋体" w:cs="宋体"/>
          <w:color w:val="auto"/>
          <w:highlight w:val="none"/>
        </w:rPr>
      </w:pPr>
      <w:bookmarkStart w:id="124" w:name="_Toc5101"/>
      <w:r>
        <w:rPr>
          <w:rFonts w:hint="eastAsia" w:ascii="宋体" w:hAnsi="宋体" w:eastAsia="宋体" w:cs="宋体"/>
          <w:color w:val="auto"/>
          <w:highlight w:val="none"/>
        </w:rPr>
        <w:t>附件</w:t>
      </w:r>
      <w:bookmarkStart w:id="125" w:name="_Toc376936768"/>
      <w:bookmarkStart w:id="126" w:name="_Toc325726037"/>
      <w:r>
        <w:rPr>
          <w:rFonts w:hint="eastAsia" w:ascii="宋体" w:hAnsi="宋体" w:eastAsia="宋体" w:cs="宋体"/>
          <w:color w:val="auto"/>
          <w:highlight w:val="none"/>
        </w:rPr>
        <w:t>3：磋商函</w:t>
      </w:r>
      <w:bookmarkEnd w:id="124"/>
      <w:bookmarkEnd w:id="125"/>
      <w:bookmarkEnd w:id="126"/>
    </w:p>
    <w:p w14:paraId="7CC35D27">
      <w:pPr>
        <w:bidi w:val="0"/>
        <w:ind w:left="0" w:leftChars="0" w:firstLine="0" w:firstLineChars="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磋商函</w:t>
      </w:r>
    </w:p>
    <w:p w14:paraId="60F60B72">
      <w:pPr>
        <w:bidi w:val="0"/>
        <w:ind w:left="0" w:leftChars="0" w:firstLine="0" w:firstLineChars="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致：</w:t>
      </w:r>
      <w:r>
        <w:rPr>
          <w:rFonts w:hint="eastAsia" w:ascii="宋体" w:hAnsi="宋体" w:cs="宋体"/>
          <w:b/>
          <w:bCs/>
          <w:color w:val="auto"/>
          <w:highlight w:val="none"/>
          <w:lang w:eastAsia="zh-CN"/>
        </w:rPr>
        <w:t>海东乐都区乐欣中堃项目管理有限公司</w:t>
      </w:r>
    </w:p>
    <w:p w14:paraId="37B54440">
      <w:pPr>
        <w:bidi w:val="0"/>
        <w:rPr>
          <w:rFonts w:hint="eastAsia" w:ascii="宋体" w:hAnsi="宋体" w:eastAsia="宋体" w:cs="宋体"/>
          <w:color w:val="auto"/>
          <w:highlight w:val="none"/>
        </w:rPr>
      </w:pPr>
    </w:p>
    <w:p w14:paraId="0EEF867A">
      <w:pPr>
        <w:bidi w:val="0"/>
        <w:rPr>
          <w:rFonts w:hint="eastAsia" w:ascii="宋体" w:hAnsi="宋体" w:eastAsia="宋体" w:cs="宋体"/>
          <w:color w:val="auto"/>
          <w:highlight w:val="none"/>
        </w:rPr>
      </w:pPr>
      <w:r>
        <w:rPr>
          <w:rFonts w:hint="eastAsia" w:ascii="宋体" w:hAnsi="宋体" w:eastAsia="宋体" w:cs="宋体"/>
          <w:color w:val="auto"/>
          <w:highlight w:val="none"/>
        </w:rPr>
        <w:t>我们收到</w:t>
      </w:r>
      <w:r>
        <w:rPr>
          <w:rFonts w:hint="eastAsia" w:ascii="宋体" w:hAnsi="宋体" w:eastAsia="宋体" w:cs="宋体"/>
          <w:color w:val="auto"/>
          <w:highlight w:val="none"/>
          <w:u w:val="single"/>
          <w:lang w:val="zh-CN"/>
        </w:rPr>
        <w:t>采购项目名称（采购项目编号）</w:t>
      </w:r>
      <w:r>
        <w:rPr>
          <w:rFonts w:hint="eastAsia" w:ascii="宋体" w:hAnsi="宋体" w:eastAsia="宋体" w:cs="宋体"/>
          <w:color w:val="auto"/>
          <w:highlight w:val="none"/>
        </w:rPr>
        <w:t>磋商文件，经研究，法定代表人</w:t>
      </w:r>
      <w:r>
        <w:rPr>
          <w:rFonts w:hint="eastAsia" w:ascii="宋体" w:hAnsi="宋体" w:eastAsia="宋体" w:cs="宋体"/>
          <w:color w:val="auto"/>
          <w:highlight w:val="none"/>
          <w:u w:val="single"/>
        </w:rPr>
        <w:t>（姓名、职务）</w:t>
      </w:r>
      <w:r>
        <w:rPr>
          <w:rFonts w:hint="eastAsia" w:ascii="宋体" w:hAnsi="宋体" w:eastAsia="宋体" w:cs="宋体"/>
          <w:color w:val="auto"/>
          <w:highlight w:val="none"/>
        </w:rPr>
        <w:t>正式授权</w:t>
      </w:r>
      <w:r>
        <w:rPr>
          <w:rFonts w:hint="eastAsia" w:ascii="宋体" w:hAnsi="宋体" w:eastAsia="宋体" w:cs="宋体"/>
          <w:color w:val="auto"/>
          <w:highlight w:val="none"/>
          <w:u w:val="single"/>
        </w:rPr>
        <w:t>（委托代理人姓名、职务）</w:t>
      </w:r>
      <w:r>
        <w:rPr>
          <w:rFonts w:hint="eastAsia" w:ascii="宋体" w:hAnsi="宋体" w:eastAsia="宋体" w:cs="宋体"/>
          <w:color w:val="auto"/>
          <w:highlight w:val="none"/>
        </w:rPr>
        <w:t>代表</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eastAsia="zh-CN"/>
        </w:rPr>
        <w:t>供应商</w:t>
      </w:r>
      <w:r>
        <w:rPr>
          <w:rFonts w:hint="eastAsia" w:ascii="宋体" w:hAnsi="宋体" w:eastAsia="宋体" w:cs="宋体"/>
          <w:color w:val="auto"/>
          <w:highlight w:val="none"/>
          <w:u w:val="single"/>
        </w:rPr>
        <w:t>名称、地址）</w:t>
      </w:r>
      <w:r>
        <w:rPr>
          <w:rFonts w:hint="eastAsia" w:ascii="宋体" w:hAnsi="宋体" w:eastAsia="宋体" w:cs="宋体"/>
          <w:color w:val="auto"/>
          <w:highlight w:val="none"/>
        </w:rPr>
        <w:t>提交磋商响应文件。</w:t>
      </w:r>
    </w:p>
    <w:p w14:paraId="515AC9A6">
      <w:pPr>
        <w:bidi w:val="0"/>
        <w:rPr>
          <w:rFonts w:hint="eastAsia" w:ascii="宋体" w:hAnsi="宋体" w:eastAsia="宋体" w:cs="宋体"/>
          <w:color w:val="auto"/>
          <w:highlight w:val="none"/>
        </w:rPr>
      </w:pPr>
      <w:r>
        <w:rPr>
          <w:rFonts w:hint="eastAsia" w:ascii="宋体" w:hAnsi="宋体" w:eastAsia="宋体" w:cs="宋体"/>
          <w:color w:val="auto"/>
          <w:highlight w:val="none"/>
        </w:rPr>
        <w:t>据此函，签字代表宣布同意如下：</w:t>
      </w:r>
    </w:p>
    <w:p w14:paraId="395209F4">
      <w:pPr>
        <w:bidi w:val="0"/>
        <w:rPr>
          <w:rFonts w:hint="eastAsia" w:ascii="宋体" w:hAnsi="宋体" w:eastAsia="宋体" w:cs="宋体"/>
          <w:color w:val="auto"/>
          <w:highlight w:val="none"/>
        </w:rPr>
      </w:pPr>
      <w:r>
        <w:rPr>
          <w:rFonts w:hint="eastAsia" w:ascii="宋体" w:hAnsi="宋体" w:eastAsia="宋体" w:cs="宋体"/>
          <w:color w:val="auto"/>
          <w:highlight w:val="none"/>
        </w:rPr>
        <w:t>1、我方已详阅磋商文件的全部内容，包括澄清、修改条款等有关附件，承诺对其完全理解并接受。</w:t>
      </w:r>
    </w:p>
    <w:p w14:paraId="4F597A40">
      <w:pPr>
        <w:bidi w:val="0"/>
        <w:rPr>
          <w:rFonts w:hint="eastAsia" w:ascii="宋体" w:hAnsi="宋体" w:eastAsia="宋体" w:cs="宋体"/>
          <w:color w:val="auto"/>
          <w:highlight w:val="none"/>
        </w:rPr>
      </w:pPr>
      <w:r>
        <w:rPr>
          <w:rFonts w:hint="eastAsia" w:ascii="宋体" w:hAnsi="宋体" w:eastAsia="宋体" w:cs="宋体"/>
          <w:color w:val="auto"/>
          <w:highlight w:val="none"/>
        </w:rPr>
        <w:t>2、磋商有效期自开标之日起</w:t>
      </w:r>
      <w:r>
        <w:rPr>
          <w:rFonts w:hint="eastAsia" w:ascii="宋体" w:hAnsi="宋体" w:eastAsia="宋体" w:cs="宋体"/>
          <w:color w:val="auto"/>
          <w:highlight w:val="none"/>
          <w:u w:val="single"/>
        </w:rPr>
        <w:t>60天</w:t>
      </w:r>
      <w:r>
        <w:rPr>
          <w:rFonts w:hint="eastAsia" w:ascii="宋体" w:hAnsi="宋体" w:eastAsia="宋体" w:cs="宋体"/>
          <w:color w:val="auto"/>
          <w:highlight w:val="none"/>
        </w:rPr>
        <w:t>有效。如果在规定的磋商时间后，我方在磋商有效期内撤回投标或成交后不签约的，按违约处理，成交供应商的成交结果无效，情节严重的，报监督部门依法进行处理。</w:t>
      </w:r>
    </w:p>
    <w:p w14:paraId="0DEFCAD7">
      <w:pPr>
        <w:bidi w:val="0"/>
        <w:rPr>
          <w:rFonts w:hint="eastAsia" w:ascii="宋体" w:hAnsi="宋体" w:eastAsia="宋体" w:cs="宋体"/>
          <w:color w:val="auto"/>
          <w:highlight w:val="none"/>
        </w:rPr>
      </w:pPr>
      <w:r>
        <w:rPr>
          <w:rFonts w:hint="eastAsia" w:ascii="宋体" w:hAnsi="宋体" w:eastAsia="宋体" w:cs="宋体"/>
          <w:color w:val="auto"/>
          <w:highlight w:val="none"/>
        </w:rPr>
        <w:t>3、我方同意按照贵方要求提供与磋商有关的一切数据或资料，理解并接受贵方制定的评标办法。</w:t>
      </w:r>
    </w:p>
    <w:p w14:paraId="03B2D755">
      <w:pPr>
        <w:bidi w:val="0"/>
        <w:rPr>
          <w:rFonts w:hint="eastAsia" w:ascii="宋体" w:hAnsi="宋体" w:eastAsia="宋体" w:cs="宋体"/>
          <w:color w:val="auto"/>
          <w:highlight w:val="none"/>
        </w:rPr>
      </w:pPr>
      <w:r>
        <w:rPr>
          <w:rFonts w:hint="eastAsia" w:ascii="宋体" w:hAnsi="宋体" w:eastAsia="宋体" w:cs="宋体"/>
          <w:color w:val="auto"/>
          <w:highlight w:val="none"/>
        </w:rPr>
        <w:t>4、与本磋商有关的一切正式往来通讯请寄：</w:t>
      </w:r>
    </w:p>
    <w:p w14:paraId="129875FC">
      <w:p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 xml:space="preserve">        邮编：</w:t>
      </w:r>
      <w:r>
        <w:rPr>
          <w:rFonts w:hint="eastAsia" w:ascii="宋体" w:hAnsi="宋体" w:eastAsia="宋体" w:cs="宋体"/>
          <w:color w:val="auto"/>
          <w:highlight w:val="none"/>
          <w:u w:val="single"/>
          <w:lang w:val="en-US" w:eastAsia="zh-CN"/>
        </w:rPr>
        <w:t xml:space="preserve">           </w:t>
      </w:r>
    </w:p>
    <w:p w14:paraId="373FF8AC">
      <w:p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 xml:space="preserve">        传真：</w:t>
      </w:r>
      <w:r>
        <w:rPr>
          <w:rFonts w:hint="eastAsia" w:ascii="宋体" w:hAnsi="宋体" w:eastAsia="宋体" w:cs="宋体"/>
          <w:color w:val="auto"/>
          <w:highlight w:val="none"/>
          <w:u w:val="single"/>
          <w:lang w:val="en-US" w:eastAsia="zh-CN"/>
        </w:rPr>
        <w:t xml:space="preserve">           </w:t>
      </w:r>
    </w:p>
    <w:p w14:paraId="5BBDA47E">
      <w:p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法定代表人姓名：</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 xml:space="preserve"> 职务：</w:t>
      </w:r>
      <w:r>
        <w:rPr>
          <w:rFonts w:hint="eastAsia" w:ascii="宋体" w:hAnsi="宋体" w:eastAsia="宋体" w:cs="宋体"/>
          <w:color w:val="auto"/>
          <w:highlight w:val="none"/>
          <w:u w:val="single"/>
          <w:lang w:val="en-US" w:eastAsia="zh-CN"/>
        </w:rPr>
        <w:t xml:space="preserve">           </w:t>
      </w:r>
    </w:p>
    <w:p w14:paraId="3825971F">
      <w:pPr>
        <w:bidi w:val="0"/>
        <w:rPr>
          <w:rFonts w:hint="eastAsia" w:ascii="宋体" w:hAnsi="宋体" w:eastAsia="宋体" w:cs="宋体"/>
          <w:color w:val="auto"/>
          <w:highlight w:val="none"/>
        </w:rPr>
      </w:pPr>
    </w:p>
    <w:p w14:paraId="7DD600B5">
      <w:pPr>
        <w:bidi w:val="0"/>
        <w:rPr>
          <w:rFonts w:hint="eastAsia" w:ascii="宋体" w:hAnsi="宋体" w:eastAsia="宋体" w:cs="宋体"/>
          <w:color w:val="auto"/>
          <w:highlight w:val="none"/>
        </w:rPr>
      </w:pPr>
    </w:p>
    <w:p w14:paraId="79DFB627">
      <w:pPr>
        <w:bidi w:val="0"/>
        <w:rPr>
          <w:rFonts w:hint="eastAsia" w:ascii="宋体" w:hAnsi="宋体" w:eastAsia="宋体" w:cs="宋体"/>
          <w:color w:val="auto"/>
          <w:highlight w:val="none"/>
        </w:rPr>
      </w:pPr>
    </w:p>
    <w:p w14:paraId="05FC3C0A">
      <w:pPr>
        <w:bidi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供应商：</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（公章）</w:t>
      </w:r>
    </w:p>
    <w:p w14:paraId="3F3A1F86">
      <w:pPr>
        <w:bidi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法定代表人或委托代理人：</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（签字或盖章）</w:t>
      </w:r>
    </w:p>
    <w:p w14:paraId="6652F065">
      <w:pPr>
        <w:bidi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年</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 xml:space="preserve"> 月 </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日</w:t>
      </w:r>
    </w:p>
    <w:p w14:paraId="43CDC82F">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6CF84D8">
      <w:pPr>
        <w:pStyle w:val="5"/>
        <w:bidi w:val="0"/>
        <w:jc w:val="both"/>
        <w:rPr>
          <w:rFonts w:hint="eastAsia" w:ascii="宋体" w:hAnsi="宋体" w:eastAsia="宋体" w:cs="宋体"/>
          <w:color w:val="auto"/>
          <w:highlight w:val="none"/>
        </w:rPr>
      </w:pPr>
      <w:bookmarkStart w:id="127" w:name="_Toc17407"/>
      <w:r>
        <w:rPr>
          <w:rFonts w:hint="eastAsia" w:ascii="宋体" w:hAnsi="宋体" w:eastAsia="宋体" w:cs="宋体"/>
          <w:color w:val="auto"/>
          <w:highlight w:val="none"/>
        </w:rPr>
        <w:t>附件</w:t>
      </w:r>
      <w:bookmarkStart w:id="128" w:name="_Toc325726038"/>
      <w:bookmarkStart w:id="129" w:name="_Toc376936769"/>
      <w:r>
        <w:rPr>
          <w:rFonts w:hint="eastAsia" w:ascii="宋体" w:hAnsi="宋体" w:eastAsia="宋体" w:cs="宋体"/>
          <w:color w:val="auto"/>
          <w:highlight w:val="none"/>
        </w:rPr>
        <w:t>4：</w:t>
      </w:r>
      <w:bookmarkEnd w:id="128"/>
      <w:bookmarkEnd w:id="129"/>
      <w:r>
        <w:rPr>
          <w:rFonts w:hint="eastAsia" w:ascii="宋体" w:hAnsi="宋体" w:eastAsia="宋体" w:cs="宋体"/>
          <w:color w:val="auto"/>
          <w:highlight w:val="none"/>
        </w:rPr>
        <w:t>最初报价表</w:t>
      </w:r>
      <w:bookmarkEnd w:id="127"/>
    </w:p>
    <w:p w14:paraId="6DC1B3F8">
      <w:pPr>
        <w:bidi w:val="0"/>
        <w:ind w:left="0" w:leftChars="0" w:firstLine="0" w:firstLineChars="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最初报价表</w:t>
      </w:r>
    </w:p>
    <w:p w14:paraId="198FD562">
      <w:pPr>
        <w:bidi w:val="0"/>
        <w:rPr>
          <w:rFonts w:hint="eastAsia" w:ascii="宋体" w:hAnsi="宋体" w:eastAsia="宋体" w:cs="宋体"/>
          <w:color w:val="auto"/>
          <w:highlight w:val="none"/>
        </w:rPr>
      </w:pPr>
    </w:p>
    <w:p w14:paraId="768DDAEA">
      <w:pPr>
        <w:bidi w:val="0"/>
        <w:rPr>
          <w:rFonts w:hint="eastAsia" w:ascii="宋体" w:hAnsi="宋体" w:eastAsia="宋体" w:cs="宋体"/>
          <w:color w:val="auto"/>
          <w:highlight w:val="none"/>
          <w:lang w:val="en-US" w:eastAsia="zh-CN"/>
        </w:rPr>
      </w:pPr>
      <w:bookmarkStart w:id="130" w:name="_Toc83829262"/>
      <w:bookmarkStart w:id="131" w:name="_Toc88122782"/>
      <w:bookmarkStart w:id="132" w:name="_Toc69898404"/>
      <w:bookmarkStart w:id="133" w:name="_Toc7431"/>
      <w:bookmarkStart w:id="134" w:name="_Toc74901830"/>
      <w:r>
        <w:rPr>
          <w:rFonts w:hint="eastAsia" w:ascii="宋体" w:hAnsi="宋体" w:eastAsia="宋体" w:cs="宋体"/>
          <w:color w:val="auto"/>
          <w:highlight w:val="none"/>
        </w:rPr>
        <w:t>项目名称：</w:t>
      </w:r>
      <w:bookmarkEnd w:id="130"/>
      <w:bookmarkEnd w:id="131"/>
      <w:bookmarkEnd w:id="132"/>
      <w:bookmarkEnd w:id="133"/>
      <w:bookmarkEnd w:id="134"/>
      <w:r>
        <w:rPr>
          <w:rFonts w:hint="eastAsia" w:ascii="宋体" w:hAnsi="宋体" w:eastAsia="宋体" w:cs="宋体"/>
          <w:color w:val="auto"/>
          <w:highlight w:val="none"/>
          <w:lang w:val="en-US" w:eastAsia="zh-CN"/>
        </w:rPr>
        <w:t xml:space="preserve">                                           </w:t>
      </w:r>
    </w:p>
    <w:tbl>
      <w:tblPr>
        <w:tblStyle w:val="67"/>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748"/>
        <w:gridCol w:w="6251"/>
      </w:tblGrid>
      <w:tr w14:paraId="6A7E5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9" w:hRule="atLeast"/>
          <w:jc w:val="center"/>
        </w:trPr>
        <w:tc>
          <w:tcPr>
            <w:tcW w:w="2748" w:type="dxa"/>
            <w:vAlign w:val="center"/>
          </w:tcPr>
          <w:p w14:paraId="58AE860A">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供应商名称</w:t>
            </w:r>
          </w:p>
        </w:tc>
        <w:tc>
          <w:tcPr>
            <w:tcW w:w="6251" w:type="dxa"/>
            <w:vAlign w:val="center"/>
          </w:tcPr>
          <w:p w14:paraId="78759036">
            <w:pPr>
              <w:pStyle w:val="13"/>
              <w:bidi w:val="0"/>
              <w:rPr>
                <w:rFonts w:hint="eastAsia" w:ascii="宋体" w:hAnsi="宋体" w:eastAsia="宋体" w:cs="宋体"/>
                <w:color w:val="auto"/>
                <w:highlight w:val="none"/>
              </w:rPr>
            </w:pPr>
          </w:p>
        </w:tc>
      </w:tr>
      <w:tr w14:paraId="5BB91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6" w:hRule="atLeast"/>
          <w:jc w:val="center"/>
        </w:trPr>
        <w:tc>
          <w:tcPr>
            <w:tcW w:w="2748" w:type="dxa"/>
            <w:vAlign w:val="center"/>
          </w:tcPr>
          <w:p w14:paraId="6708264B">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磋商</w:t>
            </w:r>
            <w:r>
              <w:rPr>
                <w:rFonts w:hint="eastAsia" w:ascii="宋体" w:hAnsi="宋体" w:eastAsia="宋体" w:cs="宋体"/>
                <w:color w:val="auto"/>
                <w:highlight w:val="none"/>
                <w:lang w:val="zh-CN"/>
              </w:rPr>
              <w:t>报价（</w:t>
            </w:r>
            <w:r>
              <w:rPr>
                <w:rFonts w:hint="eastAsia" w:ascii="宋体" w:hAnsi="宋体" w:eastAsia="宋体" w:cs="宋体"/>
                <w:color w:val="auto"/>
                <w:highlight w:val="none"/>
              </w:rPr>
              <w:t>元</w:t>
            </w:r>
            <w:r>
              <w:rPr>
                <w:rFonts w:hint="eastAsia" w:ascii="宋体" w:hAnsi="宋体" w:eastAsia="宋体" w:cs="宋体"/>
                <w:color w:val="auto"/>
                <w:highlight w:val="none"/>
                <w:lang w:val="zh-CN"/>
              </w:rPr>
              <w:t>）</w:t>
            </w:r>
          </w:p>
        </w:tc>
        <w:tc>
          <w:tcPr>
            <w:tcW w:w="6251" w:type="dxa"/>
            <w:vAlign w:val="center"/>
          </w:tcPr>
          <w:p w14:paraId="63239892">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大写：</w:t>
            </w:r>
          </w:p>
          <w:p w14:paraId="2B0C4D55">
            <w:pPr>
              <w:pStyle w:val="13"/>
              <w:bidi w:val="0"/>
              <w:rPr>
                <w:rFonts w:hint="eastAsia" w:ascii="宋体" w:hAnsi="宋体" w:eastAsia="宋体" w:cs="宋体"/>
                <w:color w:val="auto"/>
                <w:highlight w:val="none"/>
              </w:rPr>
            </w:pPr>
            <w:r>
              <w:rPr>
                <w:rFonts w:hint="eastAsia" w:ascii="宋体" w:hAnsi="宋体" w:eastAsia="宋体" w:cs="宋体"/>
                <w:color w:val="auto"/>
                <w:highlight w:val="none"/>
                <w:lang w:val="zh-CN"/>
              </w:rPr>
              <w:t>小写：</w:t>
            </w:r>
          </w:p>
        </w:tc>
      </w:tr>
      <w:tr w14:paraId="4990F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9" w:hRule="atLeast"/>
          <w:jc w:val="center"/>
        </w:trPr>
        <w:tc>
          <w:tcPr>
            <w:tcW w:w="2748" w:type="dxa"/>
            <w:vAlign w:val="center"/>
          </w:tcPr>
          <w:p w14:paraId="0D7080A3">
            <w:pPr>
              <w:pStyle w:val="13"/>
              <w:bidi w:val="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服务期限</w:t>
            </w:r>
          </w:p>
        </w:tc>
        <w:tc>
          <w:tcPr>
            <w:tcW w:w="6251" w:type="dxa"/>
            <w:vAlign w:val="center"/>
          </w:tcPr>
          <w:p w14:paraId="1F1E1A16">
            <w:pPr>
              <w:pStyle w:val="13"/>
              <w:bidi w:val="0"/>
              <w:rPr>
                <w:rFonts w:hint="eastAsia" w:ascii="宋体" w:hAnsi="宋体" w:eastAsia="宋体" w:cs="宋体"/>
                <w:color w:val="auto"/>
                <w:highlight w:val="none"/>
              </w:rPr>
            </w:pPr>
          </w:p>
        </w:tc>
      </w:tr>
      <w:tr w14:paraId="61DB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47" w:hRule="atLeast"/>
          <w:jc w:val="center"/>
        </w:trPr>
        <w:tc>
          <w:tcPr>
            <w:tcW w:w="2748" w:type="dxa"/>
            <w:vAlign w:val="center"/>
          </w:tcPr>
          <w:p w14:paraId="06294257">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优惠承诺及其他</w:t>
            </w:r>
          </w:p>
        </w:tc>
        <w:tc>
          <w:tcPr>
            <w:tcW w:w="6251" w:type="dxa"/>
            <w:vAlign w:val="center"/>
          </w:tcPr>
          <w:p w14:paraId="01F3D984">
            <w:pPr>
              <w:pStyle w:val="13"/>
              <w:bidi w:val="0"/>
              <w:rPr>
                <w:rFonts w:hint="eastAsia" w:ascii="宋体" w:hAnsi="宋体" w:eastAsia="宋体" w:cs="宋体"/>
                <w:color w:val="auto"/>
                <w:highlight w:val="none"/>
              </w:rPr>
            </w:pPr>
          </w:p>
        </w:tc>
      </w:tr>
    </w:tbl>
    <w:p w14:paraId="7EDF522B">
      <w:pPr>
        <w:bidi w:val="0"/>
        <w:rPr>
          <w:rFonts w:hint="eastAsia" w:ascii="宋体" w:hAnsi="宋体" w:eastAsia="宋体" w:cs="宋体"/>
          <w:color w:val="auto"/>
          <w:highlight w:val="none"/>
        </w:rPr>
      </w:pPr>
      <w:r>
        <w:rPr>
          <w:rFonts w:hint="eastAsia" w:ascii="宋体" w:hAnsi="宋体" w:eastAsia="宋体" w:cs="宋体"/>
          <w:color w:val="auto"/>
          <w:highlight w:val="none"/>
        </w:rPr>
        <w:t>注：1、填写此表时不得改变表格形式。</w:t>
      </w:r>
    </w:p>
    <w:p w14:paraId="5A547C5D">
      <w:pPr>
        <w:numPr>
          <w:ilvl w:val="0"/>
          <w:numId w:val="29"/>
        </w:numPr>
        <w:bidi w:val="0"/>
        <w:ind w:left="96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磋商报</w:t>
      </w:r>
      <w:r>
        <w:rPr>
          <w:rFonts w:hint="eastAsia" w:ascii="宋体" w:hAnsi="宋体" w:eastAsia="宋体" w:cs="宋体"/>
          <w:b w:val="0"/>
          <w:bCs w:val="0"/>
          <w:color w:val="auto"/>
          <w:highlight w:val="none"/>
        </w:rPr>
        <w:t>价为</w:t>
      </w:r>
      <w:r>
        <w:rPr>
          <w:rFonts w:hint="eastAsia" w:ascii="宋体" w:hAnsi="宋体" w:cs="宋体"/>
          <w:b w:val="0"/>
          <w:bCs w:val="0"/>
          <w:color w:val="auto"/>
          <w:highlight w:val="none"/>
          <w:lang w:val="en-US" w:eastAsia="zh-CN"/>
        </w:rPr>
        <w:t>总金额</w:t>
      </w:r>
      <w:r>
        <w:rPr>
          <w:rFonts w:hint="eastAsia" w:ascii="宋体" w:hAnsi="宋体" w:eastAsia="宋体" w:cs="宋体"/>
          <w:b w:val="0"/>
          <w:bCs w:val="0"/>
          <w:color w:val="auto"/>
          <w:highlight w:val="none"/>
        </w:rPr>
        <w:t>。</w:t>
      </w:r>
      <w:r>
        <w:rPr>
          <w:rFonts w:hint="eastAsia" w:ascii="宋体" w:hAnsi="宋体" w:eastAsia="宋体" w:cs="宋体"/>
          <w:color w:val="auto"/>
          <w:highlight w:val="none"/>
        </w:rPr>
        <w:t>包括</w:t>
      </w:r>
      <w:r>
        <w:rPr>
          <w:rFonts w:hint="eastAsia" w:ascii="宋体" w:hAnsi="宋体" w:cs="宋体"/>
          <w:color w:val="auto"/>
          <w:highlight w:val="none"/>
          <w:lang w:eastAsia="zh-CN"/>
        </w:rPr>
        <w:t>服务费、保险费、差旅费、人员工资、招标代理费、税金及不可预见费等全部费用。</w:t>
      </w:r>
    </w:p>
    <w:p w14:paraId="63B40B0E">
      <w:pPr>
        <w:numPr>
          <w:ilvl w:val="0"/>
          <w:numId w:val="29"/>
        </w:numPr>
        <w:bidi w:val="0"/>
        <w:ind w:left="96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“服务期”是指项目服务的具体时间。</w:t>
      </w:r>
    </w:p>
    <w:p w14:paraId="5E28092C">
      <w:pPr>
        <w:bidi w:val="0"/>
        <w:rPr>
          <w:rFonts w:hint="eastAsia" w:ascii="宋体" w:hAnsi="宋体" w:eastAsia="宋体" w:cs="宋体"/>
          <w:color w:val="auto"/>
          <w:highlight w:val="none"/>
        </w:rPr>
      </w:pPr>
    </w:p>
    <w:p w14:paraId="7CD6ABDC">
      <w:pPr>
        <w:bidi w:val="0"/>
        <w:rPr>
          <w:rFonts w:hint="eastAsia" w:ascii="宋体" w:hAnsi="宋体" w:eastAsia="宋体" w:cs="宋体"/>
          <w:color w:val="auto"/>
          <w:highlight w:val="none"/>
        </w:rPr>
      </w:pPr>
    </w:p>
    <w:p w14:paraId="13E5586A">
      <w:pPr>
        <w:bidi w:val="0"/>
        <w:rPr>
          <w:rFonts w:hint="eastAsia" w:ascii="宋体" w:hAnsi="宋体" w:eastAsia="宋体" w:cs="宋体"/>
          <w:color w:val="auto"/>
          <w:highlight w:val="none"/>
        </w:rPr>
      </w:pPr>
    </w:p>
    <w:p w14:paraId="04BD14D1">
      <w:pPr>
        <w:bidi w:val="0"/>
        <w:rPr>
          <w:rFonts w:hint="eastAsia" w:ascii="宋体" w:hAnsi="宋体" w:eastAsia="宋体" w:cs="宋体"/>
          <w:color w:val="auto"/>
          <w:highlight w:val="none"/>
        </w:rPr>
      </w:pPr>
    </w:p>
    <w:p w14:paraId="79836AF1">
      <w:pPr>
        <w:bidi w:val="0"/>
        <w:rPr>
          <w:rFonts w:hint="eastAsia" w:ascii="宋体" w:hAnsi="宋体" w:eastAsia="宋体" w:cs="宋体"/>
          <w:color w:val="auto"/>
          <w:highlight w:val="none"/>
        </w:rPr>
      </w:pPr>
    </w:p>
    <w:p w14:paraId="1D665A9D">
      <w:pPr>
        <w:bidi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供应商：</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（公章）</w:t>
      </w:r>
    </w:p>
    <w:p w14:paraId="0E6D6C98">
      <w:pPr>
        <w:bidi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法定代表人或委托代理人：</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（签字或盖章）</w:t>
      </w:r>
    </w:p>
    <w:p w14:paraId="71F917F7">
      <w:pPr>
        <w:bidi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年</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 xml:space="preserve"> 月 </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日</w:t>
      </w:r>
    </w:p>
    <w:p w14:paraId="1BC0B83E">
      <w:pPr>
        <w:bidi w:val="0"/>
        <w:rPr>
          <w:rFonts w:hint="eastAsia" w:ascii="宋体" w:hAnsi="宋体" w:eastAsia="宋体" w:cs="宋体"/>
          <w:color w:val="auto"/>
          <w:highlight w:val="none"/>
          <w:lang w:val="zh-CN"/>
        </w:rPr>
      </w:pPr>
    </w:p>
    <w:p w14:paraId="3931FA25">
      <w:pPr>
        <w:pStyle w:val="86"/>
        <w:ind w:firstLine="442"/>
        <w:rPr>
          <w:rFonts w:hint="eastAsia" w:ascii="宋体" w:hAnsi="宋体" w:eastAsia="宋体" w:cs="宋体"/>
          <w:b/>
          <w:bCs/>
          <w:color w:val="auto"/>
          <w:highlight w:val="none"/>
          <w:lang w:val="zh-CN"/>
        </w:rPr>
      </w:pPr>
    </w:p>
    <w:p w14:paraId="47F024EA">
      <w:pPr>
        <w:rPr>
          <w:rFonts w:hint="eastAsia" w:ascii="宋体" w:hAnsi="宋体" w:eastAsia="宋体" w:cs="宋体"/>
          <w:b/>
          <w:bCs/>
          <w:color w:val="auto"/>
          <w:highlight w:val="none"/>
          <w:lang w:val="zh-CN"/>
        </w:rPr>
      </w:pPr>
    </w:p>
    <w:p w14:paraId="278B88DE">
      <w:pPr>
        <w:pStyle w:val="35"/>
        <w:ind w:firstLine="482"/>
        <w:rPr>
          <w:rFonts w:hint="eastAsia" w:ascii="宋体" w:hAnsi="宋体" w:eastAsia="宋体" w:cs="宋体"/>
          <w:b/>
          <w:bCs/>
          <w:color w:val="auto"/>
          <w:highlight w:val="none"/>
          <w:lang w:val="zh-CN"/>
        </w:rPr>
      </w:pPr>
    </w:p>
    <w:p w14:paraId="2F732FF4">
      <w:pPr>
        <w:pStyle w:val="35"/>
        <w:ind w:firstLine="482"/>
        <w:rPr>
          <w:rFonts w:hint="eastAsia" w:ascii="宋体" w:hAnsi="宋体" w:eastAsia="宋体" w:cs="宋体"/>
          <w:b/>
          <w:bCs/>
          <w:color w:val="auto"/>
          <w:highlight w:val="none"/>
          <w:lang w:val="zh-CN"/>
        </w:rPr>
      </w:pPr>
    </w:p>
    <w:p w14:paraId="1A17FD51">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BB80890">
      <w:pPr>
        <w:rPr>
          <w:rFonts w:hint="eastAsia" w:ascii="宋体" w:hAnsi="宋体" w:eastAsia="宋体" w:cs="宋体"/>
          <w:color w:val="auto"/>
          <w:highlight w:val="none"/>
        </w:rPr>
      </w:pPr>
    </w:p>
    <w:p w14:paraId="6D7C3E4B">
      <w:pPr>
        <w:pStyle w:val="5"/>
        <w:bidi w:val="0"/>
        <w:jc w:val="both"/>
        <w:rPr>
          <w:rFonts w:hint="eastAsia" w:ascii="宋体" w:hAnsi="宋体" w:eastAsia="宋体" w:cs="宋体"/>
          <w:color w:val="auto"/>
          <w:highlight w:val="none"/>
        </w:rPr>
      </w:pPr>
      <w:bookmarkStart w:id="135" w:name="_Toc6760"/>
      <w:r>
        <w:rPr>
          <w:rFonts w:hint="eastAsia" w:ascii="宋体" w:hAnsi="宋体" w:eastAsia="宋体" w:cs="宋体"/>
          <w:color w:val="auto"/>
          <w:highlight w:val="none"/>
        </w:rPr>
        <w:t>附件5：服务条款偏离表</w:t>
      </w:r>
      <w:bookmarkEnd w:id="135"/>
    </w:p>
    <w:p w14:paraId="3C8CB4B5">
      <w:pPr>
        <w:bidi w:val="0"/>
        <w:rPr>
          <w:rFonts w:hint="eastAsia" w:ascii="宋体" w:hAnsi="宋体" w:eastAsia="宋体" w:cs="宋体"/>
          <w:color w:val="auto"/>
          <w:highlight w:val="none"/>
        </w:rPr>
      </w:pPr>
    </w:p>
    <w:p w14:paraId="39F568EA">
      <w:pPr>
        <w:bidi w:val="0"/>
        <w:ind w:left="0" w:leftChars="0" w:firstLine="0" w:firstLineChars="0"/>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32"/>
          <w:szCs w:val="32"/>
          <w:highlight w:val="none"/>
          <w:lang w:val="zh-CN"/>
        </w:rPr>
        <w:t>服务条款偏离表</w:t>
      </w:r>
    </w:p>
    <w:tbl>
      <w:tblPr>
        <w:tblStyle w:val="67"/>
        <w:tblW w:w="893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45"/>
        <w:gridCol w:w="2234"/>
        <w:gridCol w:w="2234"/>
        <w:gridCol w:w="1639"/>
        <w:gridCol w:w="1042"/>
        <w:gridCol w:w="1042"/>
      </w:tblGrid>
      <w:tr w14:paraId="06867F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8" w:hRule="atLeast"/>
          <w:jc w:val="center"/>
        </w:trPr>
        <w:tc>
          <w:tcPr>
            <w:tcW w:w="745" w:type="dxa"/>
            <w:vAlign w:val="center"/>
          </w:tcPr>
          <w:p w14:paraId="6C54EA31">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234" w:type="dxa"/>
            <w:vAlign w:val="center"/>
          </w:tcPr>
          <w:p w14:paraId="36A8365D">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磋商文件服务内容</w:t>
            </w:r>
          </w:p>
        </w:tc>
        <w:tc>
          <w:tcPr>
            <w:tcW w:w="2234" w:type="dxa"/>
          </w:tcPr>
          <w:p w14:paraId="20C01AEA">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响应文件服务内容</w:t>
            </w:r>
          </w:p>
        </w:tc>
        <w:tc>
          <w:tcPr>
            <w:tcW w:w="1639" w:type="dxa"/>
            <w:vAlign w:val="center"/>
          </w:tcPr>
          <w:p w14:paraId="140B7E97">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响应情况</w:t>
            </w:r>
          </w:p>
        </w:tc>
        <w:tc>
          <w:tcPr>
            <w:tcW w:w="1042" w:type="dxa"/>
            <w:vAlign w:val="center"/>
          </w:tcPr>
          <w:p w14:paraId="4F62A768">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偏离</w:t>
            </w:r>
          </w:p>
        </w:tc>
        <w:tc>
          <w:tcPr>
            <w:tcW w:w="1042" w:type="dxa"/>
            <w:vAlign w:val="center"/>
          </w:tcPr>
          <w:p w14:paraId="532DA969">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说明</w:t>
            </w:r>
          </w:p>
        </w:tc>
      </w:tr>
      <w:tr w14:paraId="08D8F3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9" w:hRule="atLeast"/>
          <w:jc w:val="center"/>
        </w:trPr>
        <w:tc>
          <w:tcPr>
            <w:tcW w:w="745" w:type="dxa"/>
            <w:vAlign w:val="center"/>
          </w:tcPr>
          <w:p w14:paraId="51AF4D9E">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234" w:type="dxa"/>
            <w:vAlign w:val="center"/>
          </w:tcPr>
          <w:p w14:paraId="5063CEA1">
            <w:pPr>
              <w:pStyle w:val="13"/>
              <w:bidi w:val="0"/>
              <w:rPr>
                <w:rFonts w:hint="eastAsia" w:ascii="宋体" w:hAnsi="宋体" w:eastAsia="宋体" w:cs="宋体"/>
                <w:color w:val="auto"/>
                <w:highlight w:val="none"/>
              </w:rPr>
            </w:pPr>
          </w:p>
        </w:tc>
        <w:tc>
          <w:tcPr>
            <w:tcW w:w="2234" w:type="dxa"/>
          </w:tcPr>
          <w:p w14:paraId="3A655DDE">
            <w:pPr>
              <w:pStyle w:val="13"/>
              <w:bidi w:val="0"/>
              <w:rPr>
                <w:rFonts w:hint="eastAsia" w:ascii="宋体" w:hAnsi="宋体" w:eastAsia="宋体" w:cs="宋体"/>
                <w:color w:val="auto"/>
                <w:highlight w:val="none"/>
              </w:rPr>
            </w:pPr>
          </w:p>
        </w:tc>
        <w:tc>
          <w:tcPr>
            <w:tcW w:w="1639" w:type="dxa"/>
            <w:vAlign w:val="center"/>
          </w:tcPr>
          <w:p w14:paraId="0678C11E">
            <w:pPr>
              <w:pStyle w:val="13"/>
              <w:bidi w:val="0"/>
              <w:rPr>
                <w:rFonts w:hint="eastAsia" w:ascii="宋体" w:hAnsi="宋体" w:eastAsia="宋体" w:cs="宋体"/>
                <w:color w:val="auto"/>
                <w:highlight w:val="none"/>
              </w:rPr>
            </w:pPr>
          </w:p>
        </w:tc>
        <w:tc>
          <w:tcPr>
            <w:tcW w:w="1042" w:type="dxa"/>
            <w:vAlign w:val="center"/>
          </w:tcPr>
          <w:p w14:paraId="1CECB4D1">
            <w:pPr>
              <w:pStyle w:val="13"/>
              <w:bidi w:val="0"/>
              <w:rPr>
                <w:rFonts w:hint="eastAsia" w:ascii="宋体" w:hAnsi="宋体" w:eastAsia="宋体" w:cs="宋体"/>
                <w:color w:val="auto"/>
                <w:highlight w:val="none"/>
              </w:rPr>
            </w:pPr>
          </w:p>
        </w:tc>
        <w:tc>
          <w:tcPr>
            <w:tcW w:w="1042" w:type="dxa"/>
            <w:vAlign w:val="center"/>
          </w:tcPr>
          <w:p w14:paraId="00BD50F8">
            <w:pPr>
              <w:pStyle w:val="13"/>
              <w:bidi w:val="0"/>
              <w:rPr>
                <w:rFonts w:hint="eastAsia" w:ascii="宋体" w:hAnsi="宋体" w:eastAsia="宋体" w:cs="宋体"/>
                <w:color w:val="auto"/>
                <w:highlight w:val="none"/>
              </w:rPr>
            </w:pPr>
          </w:p>
        </w:tc>
      </w:tr>
      <w:tr w14:paraId="32263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9" w:hRule="atLeast"/>
          <w:jc w:val="center"/>
        </w:trPr>
        <w:tc>
          <w:tcPr>
            <w:tcW w:w="745" w:type="dxa"/>
            <w:vAlign w:val="center"/>
          </w:tcPr>
          <w:p w14:paraId="6FBC9637">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234" w:type="dxa"/>
            <w:vAlign w:val="center"/>
          </w:tcPr>
          <w:p w14:paraId="4E571F53">
            <w:pPr>
              <w:pStyle w:val="13"/>
              <w:bidi w:val="0"/>
              <w:rPr>
                <w:rFonts w:hint="eastAsia" w:ascii="宋体" w:hAnsi="宋体" w:eastAsia="宋体" w:cs="宋体"/>
                <w:color w:val="auto"/>
                <w:highlight w:val="none"/>
              </w:rPr>
            </w:pPr>
          </w:p>
        </w:tc>
        <w:tc>
          <w:tcPr>
            <w:tcW w:w="2234" w:type="dxa"/>
          </w:tcPr>
          <w:p w14:paraId="6F8DE6B5">
            <w:pPr>
              <w:pStyle w:val="13"/>
              <w:bidi w:val="0"/>
              <w:rPr>
                <w:rFonts w:hint="eastAsia" w:ascii="宋体" w:hAnsi="宋体" w:eastAsia="宋体" w:cs="宋体"/>
                <w:color w:val="auto"/>
                <w:highlight w:val="none"/>
              </w:rPr>
            </w:pPr>
          </w:p>
        </w:tc>
        <w:tc>
          <w:tcPr>
            <w:tcW w:w="1639" w:type="dxa"/>
            <w:vAlign w:val="center"/>
          </w:tcPr>
          <w:p w14:paraId="685125BD">
            <w:pPr>
              <w:pStyle w:val="13"/>
              <w:bidi w:val="0"/>
              <w:rPr>
                <w:rFonts w:hint="eastAsia" w:ascii="宋体" w:hAnsi="宋体" w:eastAsia="宋体" w:cs="宋体"/>
                <w:color w:val="auto"/>
                <w:highlight w:val="none"/>
              </w:rPr>
            </w:pPr>
          </w:p>
        </w:tc>
        <w:tc>
          <w:tcPr>
            <w:tcW w:w="1042" w:type="dxa"/>
            <w:vAlign w:val="center"/>
          </w:tcPr>
          <w:p w14:paraId="319AE194">
            <w:pPr>
              <w:pStyle w:val="13"/>
              <w:bidi w:val="0"/>
              <w:rPr>
                <w:rFonts w:hint="eastAsia" w:ascii="宋体" w:hAnsi="宋体" w:eastAsia="宋体" w:cs="宋体"/>
                <w:color w:val="auto"/>
                <w:highlight w:val="none"/>
              </w:rPr>
            </w:pPr>
          </w:p>
        </w:tc>
        <w:tc>
          <w:tcPr>
            <w:tcW w:w="1042" w:type="dxa"/>
            <w:vAlign w:val="center"/>
          </w:tcPr>
          <w:p w14:paraId="5E52A399">
            <w:pPr>
              <w:pStyle w:val="13"/>
              <w:bidi w:val="0"/>
              <w:rPr>
                <w:rFonts w:hint="eastAsia" w:ascii="宋体" w:hAnsi="宋体" w:eastAsia="宋体" w:cs="宋体"/>
                <w:color w:val="auto"/>
                <w:highlight w:val="none"/>
              </w:rPr>
            </w:pPr>
          </w:p>
        </w:tc>
      </w:tr>
      <w:tr w14:paraId="69831F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9" w:hRule="atLeast"/>
          <w:jc w:val="center"/>
        </w:trPr>
        <w:tc>
          <w:tcPr>
            <w:tcW w:w="745" w:type="dxa"/>
            <w:vAlign w:val="center"/>
          </w:tcPr>
          <w:p w14:paraId="3BCFB6D0">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234" w:type="dxa"/>
            <w:vAlign w:val="center"/>
          </w:tcPr>
          <w:p w14:paraId="4541482F">
            <w:pPr>
              <w:pStyle w:val="13"/>
              <w:bidi w:val="0"/>
              <w:rPr>
                <w:rFonts w:hint="eastAsia" w:ascii="宋体" w:hAnsi="宋体" w:eastAsia="宋体" w:cs="宋体"/>
                <w:color w:val="auto"/>
                <w:highlight w:val="none"/>
              </w:rPr>
            </w:pPr>
          </w:p>
        </w:tc>
        <w:tc>
          <w:tcPr>
            <w:tcW w:w="2234" w:type="dxa"/>
          </w:tcPr>
          <w:p w14:paraId="3DD57A15">
            <w:pPr>
              <w:pStyle w:val="13"/>
              <w:bidi w:val="0"/>
              <w:rPr>
                <w:rFonts w:hint="eastAsia" w:ascii="宋体" w:hAnsi="宋体" w:eastAsia="宋体" w:cs="宋体"/>
                <w:color w:val="auto"/>
                <w:highlight w:val="none"/>
              </w:rPr>
            </w:pPr>
          </w:p>
        </w:tc>
        <w:tc>
          <w:tcPr>
            <w:tcW w:w="1639" w:type="dxa"/>
            <w:vAlign w:val="center"/>
          </w:tcPr>
          <w:p w14:paraId="4FF98852">
            <w:pPr>
              <w:pStyle w:val="13"/>
              <w:bidi w:val="0"/>
              <w:rPr>
                <w:rFonts w:hint="eastAsia" w:ascii="宋体" w:hAnsi="宋体" w:eastAsia="宋体" w:cs="宋体"/>
                <w:color w:val="auto"/>
                <w:highlight w:val="none"/>
              </w:rPr>
            </w:pPr>
          </w:p>
        </w:tc>
        <w:tc>
          <w:tcPr>
            <w:tcW w:w="1042" w:type="dxa"/>
            <w:vAlign w:val="center"/>
          </w:tcPr>
          <w:p w14:paraId="5EE332FA">
            <w:pPr>
              <w:pStyle w:val="13"/>
              <w:bidi w:val="0"/>
              <w:rPr>
                <w:rFonts w:hint="eastAsia" w:ascii="宋体" w:hAnsi="宋体" w:eastAsia="宋体" w:cs="宋体"/>
                <w:color w:val="auto"/>
                <w:highlight w:val="none"/>
              </w:rPr>
            </w:pPr>
          </w:p>
        </w:tc>
        <w:tc>
          <w:tcPr>
            <w:tcW w:w="1042" w:type="dxa"/>
            <w:vAlign w:val="center"/>
          </w:tcPr>
          <w:p w14:paraId="06E705F1">
            <w:pPr>
              <w:pStyle w:val="13"/>
              <w:bidi w:val="0"/>
              <w:rPr>
                <w:rFonts w:hint="eastAsia" w:ascii="宋体" w:hAnsi="宋体" w:eastAsia="宋体" w:cs="宋体"/>
                <w:color w:val="auto"/>
                <w:highlight w:val="none"/>
              </w:rPr>
            </w:pPr>
          </w:p>
        </w:tc>
      </w:tr>
      <w:tr w14:paraId="47797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3" w:hRule="atLeast"/>
          <w:jc w:val="center"/>
        </w:trPr>
        <w:tc>
          <w:tcPr>
            <w:tcW w:w="745" w:type="dxa"/>
            <w:vAlign w:val="center"/>
          </w:tcPr>
          <w:p w14:paraId="1308870C">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2234" w:type="dxa"/>
            <w:vAlign w:val="center"/>
          </w:tcPr>
          <w:p w14:paraId="1E7181B9">
            <w:pPr>
              <w:pStyle w:val="13"/>
              <w:bidi w:val="0"/>
              <w:rPr>
                <w:rFonts w:hint="eastAsia" w:ascii="宋体" w:hAnsi="宋体" w:eastAsia="宋体" w:cs="宋体"/>
                <w:color w:val="auto"/>
                <w:highlight w:val="none"/>
              </w:rPr>
            </w:pPr>
          </w:p>
        </w:tc>
        <w:tc>
          <w:tcPr>
            <w:tcW w:w="2234" w:type="dxa"/>
          </w:tcPr>
          <w:p w14:paraId="59687A84">
            <w:pPr>
              <w:pStyle w:val="13"/>
              <w:bidi w:val="0"/>
              <w:rPr>
                <w:rFonts w:hint="eastAsia" w:ascii="宋体" w:hAnsi="宋体" w:eastAsia="宋体" w:cs="宋体"/>
                <w:color w:val="auto"/>
                <w:highlight w:val="none"/>
              </w:rPr>
            </w:pPr>
          </w:p>
        </w:tc>
        <w:tc>
          <w:tcPr>
            <w:tcW w:w="1639" w:type="dxa"/>
            <w:vAlign w:val="center"/>
          </w:tcPr>
          <w:p w14:paraId="5D141950">
            <w:pPr>
              <w:pStyle w:val="13"/>
              <w:bidi w:val="0"/>
              <w:rPr>
                <w:rFonts w:hint="eastAsia" w:ascii="宋体" w:hAnsi="宋体" w:eastAsia="宋体" w:cs="宋体"/>
                <w:color w:val="auto"/>
                <w:highlight w:val="none"/>
              </w:rPr>
            </w:pPr>
          </w:p>
        </w:tc>
        <w:tc>
          <w:tcPr>
            <w:tcW w:w="1042" w:type="dxa"/>
            <w:vAlign w:val="center"/>
          </w:tcPr>
          <w:p w14:paraId="0D40EA35">
            <w:pPr>
              <w:pStyle w:val="13"/>
              <w:bidi w:val="0"/>
              <w:rPr>
                <w:rFonts w:hint="eastAsia" w:ascii="宋体" w:hAnsi="宋体" w:eastAsia="宋体" w:cs="宋体"/>
                <w:color w:val="auto"/>
                <w:highlight w:val="none"/>
              </w:rPr>
            </w:pPr>
          </w:p>
        </w:tc>
        <w:tc>
          <w:tcPr>
            <w:tcW w:w="1042" w:type="dxa"/>
            <w:vAlign w:val="center"/>
          </w:tcPr>
          <w:p w14:paraId="2A0F275A">
            <w:pPr>
              <w:pStyle w:val="13"/>
              <w:bidi w:val="0"/>
              <w:rPr>
                <w:rFonts w:hint="eastAsia" w:ascii="宋体" w:hAnsi="宋体" w:eastAsia="宋体" w:cs="宋体"/>
                <w:color w:val="auto"/>
                <w:highlight w:val="none"/>
              </w:rPr>
            </w:pPr>
          </w:p>
        </w:tc>
      </w:tr>
    </w:tbl>
    <w:p w14:paraId="1112A7D3">
      <w:pPr>
        <w:bidi w:val="0"/>
        <w:rPr>
          <w:rFonts w:hint="eastAsia" w:ascii="宋体" w:hAnsi="宋体" w:eastAsia="宋体" w:cs="宋体"/>
          <w:color w:val="auto"/>
          <w:highlight w:val="none"/>
        </w:rPr>
      </w:pPr>
      <w:r>
        <w:rPr>
          <w:rFonts w:hint="eastAsia" w:ascii="宋体" w:hAnsi="宋体" w:eastAsia="宋体" w:cs="宋体"/>
          <w:color w:val="auto"/>
          <w:highlight w:val="none"/>
          <w:lang w:val="zh-CN"/>
        </w:rPr>
        <w:t>注：1.本表应</w:t>
      </w:r>
      <w:r>
        <w:rPr>
          <w:rFonts w:hint="eastAsia" w:ascii="宋体" w:hAnsi="宋体" w:eastAsia="宋体" w:cs="宋体"/>
          <w:color w:val="auto"/>
          <w:highlight w:val="none"/>
          <w:lang w:val="en-US" w:eastAsia="zh-CN"/>
        </w:rPr>
        <w:t>依照</w:t>
      </w:r>
      <w:r>
        <w:rPr>
          <w:rFonts w:hint="eastAsia" w:ascii="宋体" w:hAnsi="宋体" w:eastAsia="宋体" w:cs="宋体"/>
          <w:color w:val="auto"/>
          <w:highlight w:val="none"/>
          <w:lang w:val="zh-CN"/>
        </w:rPr>
        <w:t>“</w:t>
      </w:r>
      <w:r>
        <w:rPr>
          <w:rFonts w:hint="eastAsia" w:ascii="宋体" w:hAnsi="宋体" w:eastAsia="宋体" w:cs="宋体"/>
          <w:color w:val="auto"/>
          <w:highlight w:val="none"/>
        </w:rPr>
        <w:t>第六部分 磋商及采购项目技术要求</w:t>
      </w:r>
      <w:r>
        <w:rPr>
          <w:rFonts w:hint="eastAsia" w:ascii="宋体" w:hAnsi="宋体" w:eastAsia="宋体" w:cs="宋体"/>
          <w:color w:val="auto"/>
          <w:highlight w:val="none"/>
          <w:lang w:val="zh-CN"/>
        </w:rPr>
        <w:t>”中</w:t>
      </w:r>
      <w:r>
        <w:rPr>
          <w:rFonts w:hint="eastAsia" w:ascii="宋体" w:hAnsi="宋体" w:eastAsia="宋体" w:cs="宋体"/>
          <w:color w:val="auto"/>
          <w:highlight w:val="none"/>
          <w:lang w:val="en-US" w:eastAsia="zh-CN"/>
        </w:rPr>
        <w:t>采购需求</w:t>
      </w:r>
      <w:r>
        <w:rPr>
          <w:rFonts w:hint="eastAsia" w:ascii="宋体" w:hAnsi="宋体" w:eastAsia="宋体" w:cs="宋体"/>
          <w:color w:val="auto"/>
          <w:highlight w:val="none"/>
          <w:lang w:val="zh-CN"/>
        </w:rPr>
        <w:t>的指标</w:t>
      </w:r>
      <w:r>
        <w:rPr>
          <w:rFonts w:hint="eastAsia" w:ascii="宋体" w:hAnsi="宋体" w:eastAsia="宋体" w:cs="宋体"/>
          <w:color w:val="auto"/>
          <w:highlight w:val="none"/>
          <w:lang w:val="en-US" w:eastAsia="zh-CN"/>
        </w:rPr>
        <w:t>逐项</w:t>
      </w:r>
      <w:r>
        <w:rPr>
          <w:rFonts w:hint="eastAsia" w:ascii="宋体" w:hAnsi="宋体" w:eastAsia="宋体" w:cs="宋体"/>
          <w:color w:val="auto"/>
          <w:highlight w:val="none"/>
          <w:lang w:val="zh-CN"/>
        </w:rPr>
        <w:t>填写，不得遗漏，</w:t>
      </w:r>
      <w:r>
        <w:rPr>
          <w:rFonts w:hint="eastAsia" w:ascii="宋体" w:hAnsi="宋体" w:eastAsia="宋体" w:cs="宋体"/>
          <w:color w:val="auto"/>
          <w:highlight w:val="none"/>
        </w:rPr>
        <w:t>否则，按无效</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处理。</w:t>
      </w:r>
    </w:p>
    <w:p w14:paraId="648D5549">
      <w:pPr>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填写此表时以</w:t>
      </w:r>
      <w:r>
        <w:rPr>
          <w:rFonts w:hint="eastAsia" w:ascii="宋体" w:hAnsi="宋体" w:eastAsia="宋体" w:cs="宋体"/>
          <w:color w:val="auto"/>
          <w:highlight w:val="none"/>
        </w:rPr>
        <w:t>磋商文件第六部分 “磋商及采购项目技术要求”</w:t>
      </w:r>
      <w:r>
        <w:rPr>
          <w:rFonts w:hint="eastAsia" w:ascii="宋体" w:hAnsi="宋体" w:eastAsia="宋体" w:cs="宋体"/>
          <w:color w:val="auto"/>
          <w:highlight w:val="none"/>
          <w:lang w:val="zh-CN"/>
        </w:rPr>
        <w:t>中的</w:t>
      </w:r>
      <w:r>
        <w:rPr>
          <w:rFonts w:hint="eastAsia" w:ascii="宋体" w:hAnsi="宋体" w:eastAsia="宋体" w:cs="宋体"/>
          <w:color w:val="auto"/>
          <w:highlight w:val="none"/>
          <w:lang w:val="en-US" w:eastAsia="zh-CN"/>
        </w:rPr>
        <w:t>采购需求</w:t>
      </w:r>
      <w:r>
        <w:rPr>
          <w:rFonts w:hint="eastAsia" w:ascii="宋体" w:hAnsi="宋体" w:eastAsia="宋体" w:cs="宋体"/>
          <w:color w:val="auto"/>
          <w:highlight w:val="none"/>
          <w:lang w:val="zh-CN"/>
        </w:rPr>
        <w:t>为基本要求，满足</w:t>
      </w:r>
      <w:r>
        <w:rPr>
          <w:rFonts w:hint="eastAsia" w:ascii="宋体" w:hAnsi="宋体" w:eastAsia="宋体" w:cs="宋体"/>
          <w:color w:val="auto"/>
          <w:highlight w:val="none"/>
        </w:rPr>
        <w:t>磋商文件第六部分 “磋商及采购项目技术要求”</w:t>
      </w:r>
      <w:r>
        <w:rPr>
          <w:rFonts w:hint="eastAsia" w:ascii="宋体" w:hAnsi="宋体" w:eastAsia="宋体" w:cs="宋体"/>
          <w:color w:val="auto"/>
          <w:highlight w:val="none"/>
          <w:lang w:val="zh-CN"/>
        </w:rPr>
        <w:t>中的</w:t>
      </w:r>
      <w:r>
        <w:rPr>
          <w:rFonts w:hint="eastAsia" w:ascii="宋体" w:hAnsi="宋体" w:eastAsia="宋体" w:cs="宋体"/>
          <w:color w:val="auto"/>
          <w:highlight w:val="none"/>
          <w:lang w:val="en-US" w:eastAsia="zh-CN"/>
        </w:rPr>
        <w:t>采购需求</w:t>
      </w:r>
      <w:r>
        <w:rPr>
          <w:rFonts w:hint="eastAsia" w:ascii="宋体" w:hAnsi="宋体" w:eastAsia="宋体" w:cs="宋体"/>
          <w:color w:val="auto"/>
          <w:highlight w:val="none"/>
          <w:lang w:val="zh-CN"/>
        </w:rPr>
        <w:t>的指标需列出“</w:t>
      </w:r>
      <w:r>
        <w:rPr>
          <w:rFonts w:hint="eastAsia" w:ascii="宋体" w:hAnsi="宋体" w:eastAsia="宋体" w:cs="宋体"/>
          <w:color w:val="auto"/>
          <w:highlight w:val="none"/>
        </w:rPr>
        <w:t>0</w:t>
      </w:r>
      <w:r>
        <w:rPr>
          <w:rFonts w:hint="eastAsia" w:ascii="宋体" w:hAnsi="宋体" w:eastAsia="宋体" w:cs="宋体"/>
          <w:color w:val="auto"/>
          <w:highlight w:val="none"/>
          <w:lang w:val="zh-CN"/>
        </w:rPr>
        <w:t>”；超出、不满足招标项目</w:t>
      </w:r>
      <w:r>
        <w:rPr>
          <w:rFonts w:hint="eastAsia" w:ascii="宋体" w:hAnsi="宋体" w:eastAsia="宋体" w:cs="宋体"/>
          <w:color w:val="auto"/>
          <w:highlight w:val="none"/>
          <w:lang w:val="en-US" w:eastAsia="zh-CN"/>
        </w:rPr>
        <w:t>采购需求</w:t>
      </w:r>
      <w:r>
        <w:rPr>
          <w:rFonts w:hint="eastAsia" w:ascii="宋体" w:hAnsi="宋体" w:eastAsia="宋体" w:cs="宋体"/>
          <w:color w:val="auto"/>
          <w:highlight w:val="none"/>
          <w:lang w:val="zh-CN"/>
        </w:rPr>
        <w:t>的指标需列出“+”、“-”偏差，并做出详细说明；如果只注明“+”、“-”或未填写，将视为该项指标不响应。</w:t>
      </w:r>
    </w:p>
    <w:p w14:paraId="6CDDD467">
      <w:pPr>
        <w:bidi w:val="0"/>
        <w:rPr>
          <w:rFonts w:hint="eastAsia" w:ascii="宋体" w:hAnsi="宋体" w:eastAsia="宋体" w:cs="宋体"/>
          <w:color w:val="auto"/>
          <w:highlight w:val="none"/>
          <w:lang w:val="zh-CN"/>
        </w:rPr>
      </w:pPr>
      <w:r>
        <w:rPr>
          <w:rFonts w:hint="eastAsia" w:ascii="宋体" w:hAnsi="宋体" w:eastAsia="宋体" w:cs="宋体"/>
          <w:color w:val="auto"/>
          <w:highlight w:val="none"/>
        </w:rPr>
        <w:t>3</w:t>
      </w:r>
      <w:r>
        <w:rPr>
          <w:rFonts w:hint="eastAsia" w:ascii="宋体" w:hAnsi="宋体" w:eastAsia="宋体" w:cs="宋体"/>
          <w:color w:val="auto"/>
          <w:highlight w:val="none"/>
          <w:lang w:val="zh-CN"/>
        </w:rPr>
        <w:t>.</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lang w:val="zh-CN"/>
        </w:rPr>
        <w:t>响应采购需求应具体、明确，含糊不清、不确切或伪造、编造证明材料的，按照实质性不响应处理。对伪造、编造证明材料的，将报告本级财政部门。</w:t>
      </w:r>
    </w:p>
    <w:p w14:paraId="63A7E098">
      <w:pPr>
        <w:bidi w:val="0"/>
        <w:rPr>
          <w:rFonts w:hint="eastAsia" w:ascii="宋体" w:hAnsi="宋体" w:eastAsia="宋体" w:cs="宋体"/>
          <w:color w:val="auto"/>
          <w:highlight w:val="none"/>
        </w:rPr>
      </w:pPr>
    </w:p>
    <w:p w14:paraId="359CBA1F">
      <w:pPr>
        <w:bidi w:val="0"/>
        <w:rPr>
          <w:rFonts w:hint="eastAsia" w:ascii="宋体" w:hAnsi="宋体" w:eastAsia="宋体" w:cs="宋体"/>
          <w:color w:val="auto"/>
          <w:highlight w:val="none"/>
        </w:rPr>
      </w:pPr>
    </w:p>
    <w:p w14:paraId="0D8341F8">
      <w:pPr>
        <w:bidi w:val="0"/>
        <w:rPr>
          <w:rFonts w:hint="eastAsia" w:ascii="宋体" w:hAnsi="宋体" w:eastAsia="宋体" w:cs="宋体"/>
          <w:color w:val="auto"/>
          <w:highlight w:val="none"/>
        </w:rPr>
      </w:pPr>
    </w:p>
    <w:p w14:paraId="5D614F25">
      <w:pPr>
        <w:bidi w:val="0"/>
        <w:rPr>
          <w:rFonts w:hint="eastAsia" w:ascii="宋体" w:hAnsi="宋体" w:eastAsia="宋体" w:cs="宋体"/>
          <w:color w:val="auto"/>
          <w:highlight w:val="none"/>
        </w:rPr>
      </w:pPr>
    </w:p>
    <w:p w14:paraId="2F903736">
      <w:pPr>
        <w:bidi w:val="0"/>
        <w:rPr>
          <w:rFonts w:hint="eastAsia" w:ascii="宋体" w:hAnsi="宋体" w:eastAsia="宋体" w:cs="宋体"/>
          <w:color w:val="auto"/>
          <w:highlight w:val="none"/>
        </w:rPr>
      </w:pPr>
    </w:p>
    <w:p w14:paraId="33B198E8">
      <w:pPr>
        <w:bidi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供应商：</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（公章）</w:t>
      </w:r>
    </w:p>
    <w:p w14:paraId="6BFD42AB">
      <w:pPr>
        <w:bidi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法定代表人或委托代理人：</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（签字或盖章）</w:t>
      </w:r>
    </w:p>
    <w:p w14:paraId="5D9CE2AB">
      <w:pPr>
        <w:bidi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年</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 xml:space="preserve"> 月 </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日</w:t>
      </w:r>
    </w:p>
    <w:p w14:paraId="5C1E8367">
      <w:pPr>
        <w:bidi w:val="0"/>
        <w:rPr>
          <w:rFonts w:hint="eastAsia" w:ascii="宋体" w:hAnsi="宋体" w:eastAsia="宋体" w:cs="宋体"/>
          <w:color w:val="auto"/>
          <w:highlight w:val="none"/>
        </w:rPr>
      </w:pPr>
    </w:p>
    <w:p w14:paraId="3EF45064">
      <w:pPr>
        <w:bidi w:val="0"/>
        <w:rPr>
          <w:rFonts w:hint="eastAsia" w:ascii="宋体" w:hAnsi="宋体" w:eastAsia="宋体" w:cs="宋体"/>
          <w:color w:val="auto"/>
          <w:highlight w:val="none"/>
        </w:rPr>
      </w:pPr>
    </w:p>
    <w:p w14:paraId="6B9EE06B">
      <w:pPr>
        <w:bidi w:val="0"/>
        <w:rPr>
          <w:rFonts w:hint="eastAsia" w:ascii="宋体" w:hAnsi="宋体" w:eastAsia="宋体" w:cs="宋体"/>
          <w:color w:val="auto"/>
          <w:highlight w:val="none"/>
        </w:rPr>
      </w:pPr>
      <w:bookmarkStart w:id="136" w:name="_Toc30481"/>
    </w:p>
    <w:p w14:paraId="0879888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13FC0BA">
      <w:pPr>
        <w:pStyle w:val="5"/>
        <w:bidi w:val="0"/>
        <w:jc w:val="both"/>
        <w:rPr>
          <w:rFonts w:hint="eastAsia" w:ascii="宋体" w:hAnsi="宋体" w:eastAsia="宋体" w:cs="宋体"/>
          <w:color w:val="auto"/>
          <w:highlight w:val="none"/>
        </w:rPr>
      </w:pPr>
      <w:bookmarkStart w:id="137" w:name="_Toc29382"/>
      <w:r>
        <w:rPr>
          <w:rFonts w:hint="eastAsia" w:ascii="宋体" w:hAnsi="宋体" w:eastAsia="宋体" w:cs="宋体"/>
          <w:color w:val="auto"/>
          <w:highlight w:val="none"/>
        </w:rPr>
        <w:t>附件6：商务条款偏离表</w:t>
      </w:r>
      <w:bookmarkEnd w:id="136"/>
      <w:bookmarkEnd w:id="137"/>
    </w:p>
    <w:p w14:paraId="4DCFE260">
      <w:pPr>
        <w:bidi w:val="0"/>
        <w:rPr>
          <w:rFonts w:hint="eastAsia" w:ascii="宋体" w:hAnsi="宋体" w:eastAsia="宋体" w:cs="宋体"/>
          <w:color w:val="auto"/>
          <w:highlight w:val="none"/>
        </w:rPr>
      </w:pPr>
    </w:p>
    <w:p w14:paraId="6EA76F95">
      <w:pPr>
        <w:bidi w:val="0"/>
        <w:ind w:left="0" w:leftChars="0" w:firstLine="0" w:firstLineChars="0"/>
        <w:jc w:val="center"/>
        <w:rPr>
          <w:rFonts w:hint="eastAsia" w:ascii="宋体" w:hAnsi="宋体" w:eastAsia="宋体" w:cs="宋体"/>
          <w:color w:val="auto"/>
          <w:highlight w:val="none"/>
        </w:rPr>
      </w:pPr>
      <w:bookmarkStart w:id="138" w:name="_Toc21393"/>
      <w:r>
        <w:rPr>
          <w:rFonts w:hint="eastAsia" w:ascii="宋体" w:hAnsi="宋体" w:eastAsia="宋体" w:cs="宋体"/>
          <w:b/>
          <w:bCs/>
          <w:color w:val="auto"/>
          <w:sz w:val="32"/>
          <w:szCs w:val="32"/>
          <w:highlight w:val="none"/>
          <w:lang w:val="zh-CN"/>
        </w:rPr>
        <w:t>商务条款偏离表</w:t>
      </w:r>
      <w:bookmarkEnd w:id="138"/>
    </w:p>
    <w:tbl>
      <w:tblPr>
        <w:tblStyle w:val="67"/>
        <w:tblW w:w="8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2647"/>
        <w:gridCol w:w="2599"/>
        <w:gridCol w:w="852"/>
        <w:gridCol w:w="1160"/>
      </w:tblGrid>
      <w:tr w14:paraId="05178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9" w:hRule="atLeast"/>
          <w:jc w:val="center"/>
        </w:trPr>
        <w:tc>
          <w:tcPr>
            <w:tcW w:w="1339" w:type="dxa"/>
            <w:noWrap/>
            <w:vAlign w:val="center"/>
          </w:tcPr>
          <w:p w14:paraId="535A6A7E">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647" w:type="dxa"/>
            <w:noWrap/>
            <w:vAlign w:val="center"/>
          </w:tcPr>
          <w:p w14:paraId="2C435A8C">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磋商文件的商务条款（商务要求）</w:t>
            </w:r>
          </w:p>
        </w:tc>
        <w:tc>
          <w:tcPr>
            <w:tcW w:w="2599" w:type="dxa"/>
            <w:noWrap/>
            <w:vAlign w:val="center"/>
          </w:tcPr>
          <w:p w14:paraId="6FB7B3F9">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响应文件的商务条款</w:t>
            </w:r>
          </w:p>
        </w:tc>
        <w:tc>
          <w:tcPr>
            <w:tcW w:w="852" w:type="dxa"/>
            <w:noWrap/>
            <w:vAlign w:val="center"/>
          </w:tcPr>
          <w:p w14:paraId="463000B0">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偏离</w:t>
            </w:r>
          </w:p>
        </w:tc>
        <w:tc>
          <w:tcPr>
            <w:tcW w:w="1160" w:type="dxa"/>
            <w:noWrap/>
            <w:vAlign w:val="center"/>
          </w:tcPr>
          <w:p w14:paraId="7F0C04FF">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说明</w:t>
            </w:r>
          </w:p>
        </w:tc>
      </w:tr>
      <w:tr w14:paraId="3E4B4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339" w:type="dxa"/>
            <w:noWrap/>
            <w:vAlign w:val="center"/>
          </w:tcPr>
          <w:p w14:paraId="5C1703E3">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647" w:type="dxa"/>
            <w:noWrap/>
            <w:vAlign w:val="center"/>
          </w:tcPr>
          <w:p w14:paraId="525CBAEB">
            <w:pPr>
              <w:pStyle w:val="13"/>
              <w:bidi w:val="0"/>
              <w:rPr>
                <w:rFonts w:hint="eastAsia" w:ascii="宋体" w:hAnsi="宋体" w:eastAsia="宋体" w:cs="宋体"/>
                <w:color w:val="auto"/>
                <w:highlight w:val="none"/>
              </w:rPr>
            </w:pPr>
          </w:p>
        </w:tc>
        <w:tc>
          <w:tcPr>
            <w:tcW w:w="2599" w:type="dxa"/>
            <w:noWrap/>
            <w:vAlign w:val="center"/>
          </w:tcPr>
          <w:p w14:paraId="5E66E09C">
            <w:pPr>
              <w:pStyle w:val="13"/>
              <w:bidi w:val="0"/>
              <w:rPr>
                <w:rFonts w:hint="eastAsia" w:ascii="宋体" w:hAnsi="宋体" w:eastAsia="宋体" w:cs="宋体"/>
                <w:color w:val="auto"/>
                <w:highlight w:val="none"/>
              </w:rPr>
            </w:pPr>
          </w:p>
        </w:tc>
        <w:tc>
          <w:tcPr>
            <w:tcW w:w="852" w:type="dxa"/>
            <w:noWrap/>
            <w:vAlign w:val="center"/>
          </w:tcPr>
          <w:p w14:paraId="5026E53F">
            <w:pPr>
              <w:pStyle w:val="13"/>
              <w:bidi w:val="0"/>
              <w:rPr>
                <w:rFonts w:hint="eastAsia" w:ascii="宋体" w:hAnsi="宋体" w:eastAsia="宋体" w:cs="宋体"/>
                <w:color w:val="auto"/>
                <w:highlight w:val="none"/>
              </w:rPr>
            </w:pPr>
          </w:p>
        </w:tc>
        <w:tc>
          <w:tcPr>
            <w:tcW w:w="1160" w:type="dxa"/>
            <w:noWrap/>
            <w:vAlign w:val="center"/>
          </w:tcPr>
          <w:p w14:paraId="2FDAF3A6">
            <w:pPr>
              <w:pStyle w:val="13"/>
              <w:bidi w:val="0"/>
              <w:rPr>
                <w:rFonts w:hint="eastAsia" w:ascii="宋体" w:hAnsi="宋体" w:eastAsia="宋体" w:cs="宋体"/>
                <w:color w:val="auto"/>
                <w:highlight w:val="none"/>
              </w:rPr>
            </w:pPr>
          </w:p>
        </w:tc>
      </w:tr>
      <w:tr w14:paraId="3E95C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339" w:type="dxa"/>
            <w:noWrap/>
            <w:vAlign w:val="center"/>
          </w:tcPr>
          <w:p w14:paraId="6F27F87A">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647" w:type="dxa"/>
            <w:noWrap/>
            <w:vAlign w:val="center"/>
          </w:tcPr>
          <w:p w14:paraId="77326229">
            <w:pPr>
              <w:pStyle w:val="13"/>
              <w:bidi w:val="0"/>
              <w:rPr>
                <w:rFonts w:hint="eastAsia" w:ascii="宋体" w:hAnsi="宋体" w:eastAsia="宋体" w:cs="宋体"/>
                <w:color w:val="auto"/>
                <w:highlight w:val="none"/>
              </w:rPr>
            </w:pPr>
          </w:p>
        </w:tc>
        <w:tc>
          <w:tcPr>
            <w:tcW w:w="2599" w:type="dxa"/>
            <w:noWrap/>
            <w:vAlign w:val="center"/>
          </w:tcPr>
          <w:p w14:paraId="726EE440">
            <w:pPr>
              <w:pStyle w:val="13"/>
              <w:bidi w:val="0"/>
              <w:rPr>
                <w:rFonts w:hint="eastAsia" w:ascii="宋体" w:hAnsi="宋体" w:eastAsia="宋体" w:cs="宋体"/>
                <w:color w:val="auto"/>
                <w:highlight w:val="none"/>
              </w:rPr>
            </w:pPr>
          </w:p>
        </w:tc>
        <w:tc>
          <w:tcPr>
            <w:tcW w:w="852" w:type="dxa"/>
            <w:noWrap/>
            <w:vAlign w:val="center"/>
          </w:tcPr>
          <w:p w14:paraId="4365844C">
            <w:pPr>
              <w:pStyle w:val="13"/>
              <w:bidi w:val="0"/>
              <w:rPr>
                <w:rFonts w:hint="eastAsia" w:ascii="宋体" w:hAnsi="宋体" w:eastAsia="宋体" w:cs="宋体"/>
                <w:color w:val="auto"/>
                <w:highlight w:val="none"/>
              </w:rPr>
            </w:pPr>
          </w:p>
        </w:tc>
        <w:tc>
          <w:tcPr>
            <w:tcW w:w="1160" w:type="dxa"/>
            <w:noWrap/>
            <w:vAlign w:val="center"/>
          </w:tcPr>
          <w:p w14:paraId="790F917F">
            <w:pPr>
              <w:pStyle w:val="13"/>
              <w:bidi w:val="0"/>
              <w:rPr>
                <w:rFonts w:hint="eastAsia" w:ascii="宋体" w:hAnsi="宋体" w:eastAsia="宋体" w:cs="宋体"/>
                <w:color w:val="auto"/>
                <w:highlight w:val="none"/>
              </w:rPr>
            </w:pPr>
          </w:p>
        </w:tc>
      </w:tr>
      <w:tr w14:paraId="20BF8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339" w:type="dxa"/>
            <w:noWrap/>
            <w:vAlign w:val="center"/>
          </w:tcPr>
          <w:p w14:paraId="5B5224EF">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647" w:type="dxa"/>
            <w:noWrap/>
            <w:vAlign w:val="center"/>
          </w:tcPr>
          <w:p w14:paraId="0A80844E">
            <w:pPr>
              <w:pStyle w:val="13"/>
              <w:bidi w:val="0"/>
              <w:rPr>
                <w:rFonts w:hint="eastAsia" w:ascii="宋体" w:hAnsi="宋体" w:eastAsia="宋体" w:cs="宋体"/>
                <w:color w:val="auto"/>
                <w:highlight w:val="none"/>
              </w:rPr>
            </w:pPr>
          </w:p>
        </w:tc>
        <w:tc>
          <w:tcPr>
            <w:tcW w:w="2599" w:type="dxa"/>
            <w:noWrap/>
            <w:vAlign w:val="center"/>
          </w:tcPr>
          <w:p w14:paraId="18F0B5B0">
            <w:pPr>
              <w:pStyle w:val="13"/>
              <w:bidi w:val="0"/>
              <w:rPr>
                <w:rFonts w:hint="eastAsia" w:ascii="宋体" w:hAnsi="宋体" w:eastAsia="宋体" w:cs="宋体"/>
                <w:color w:val="auto"/>
                <w:highlight w:val="none"/>
              </w:rPr>
            </w:pPr>
          </w:p>
        </w:tc>
        <w:tc>
          <w:tcPr>
            <w:tcW w:w="852" w:type="dxa"/>
            <w:noWrap/>
            <w:vAlign w:val="center"/>
          </w:tcPr>
          <w:p w14:paraId="17E3554E">
            <w:pPr>
              <w:pStyle w:val="13"/>
              <w:bidi w:val="0"/>
              <w:rPr>
                <w:rFonts w:hint="eastAsia" w:ascii="宋体" w:hAnsi="宋体" w:eastAsia="宋体" w:cs="宋体"/>
                <w:color w:val="auto"/>
                <w:highlight w:val="none"/>
              </w:rPr>
            </w:pPr>
          </w:p>
        </w:tc>
        <w:tc>
          <w:tcPr>
            <w:tcW w:w="1160" w:type="dxa"/>
            <w:noWrap/>
            <w:vAlign w:val="center"/>
          </w:tcPr>
          <w:p w14:paraId="0C46BAAA">
            <w:pPr>
              <w:pStyle w:val="13"/>
              <w:bidi w:val="0"/>
              <w:rPr>
                <w:rFonts w:hint="eastAsia" w:ascii="宋体" w:hAnsi="宋体" w:eastAsia="宋体" w:cs="宋体"/>
                <w:color w:val="auto"/>
                <w:highlight w:val="none"/>
              </w:rPr>
            </w:pPr>
          </w:p>
        </w:tc>
      </w:tr>
      <w:tr w14:paraId="45A95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339" w:type="dxa"/>
            <w:noWrap/>
            <w:vAlign w:val="center"/>
          </w:tcPr>
          <w:p w14:paraId="4A843861">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2647" w:type="dxa"/>
            <w:noWrap/>
            <w:vAlign w:val="center"/>
          </w:tcPr>
          <w:p w14:paraId="13E0BE59">
            <w:pPr>
              <w:pStyle w:val="13"/>
              <w:bidi w:val="0"/>
              <w:rPr>
                <w:rFonts w:hint="eastAsia" w:ascii="宋体" w:hAnsi="宋体" w:eastAsia="宋体" w:cs="宋体"/>
                <w:color w:val="auto"/>
                <w:highlight w:val="none"/>
              </w:rPr>
            </w:pPr>
          </w:p>
        </w:tc>
        <w:tc>
          <w:tcPr>
            <w:tcW w:w="2599" w:type="dxa"/>
            <w:noWrap/>
            <w:vAlign w:val="center"/>
          </w:tcPr>
          <w:p w14:paraId="4456096D">
            <w:pPr>
              <w:pStyle w:val="13"/>
              <w:bidi w:val="0"/>
              <w:rPr>
                <w:rFonts w:hint="eastAsia" w:ascii="宋体" w:hAnsi="宋体" w:eastAsia="宋体" w:cs="宋体"/>
                <w:color w:val="auto"/>
                <w:highlight w:val="none"/>
              </w:rPr>
            </w:pPr>
          </w:p>
        </w:tc>
        <w:tc>
          <w:tcPr>
            <w:tcW w:w="852" w:type="dxa"/>
            <w:noWrap/>
            <w:vAlign w:val="center"/>
          </w:tcPr>
          <w:p w14:paraId="32A445CC">
            <w:pPr>
              <w:pStyle w:val="13"/>
              <w:bidi w:val="0"/>
              <w:rPr>
                <w:rFonts w:hint="eastAsia" w:ascii="宋体" w:hAnsi="宋体" w:eastAsia="宋体" w:cs="宋体"/>
                <w:color w:val="auto"/>
                <w:highlight w:val="none"/>
              </w:rPr>
            </w:pPr>
          </w:p>
        </w:tc>
        <w:tc>
          <w:tcPr>
            <w:tcW w:w="1160" w:type="dxa"/>
            <w:noWrap/>
            <w:vAlign w:val="center"/>
          </w:tcPr>
          <w:p w14:paraId="4DFA6D84">
            <w:pPr>
              <w:pStyle w:val="13"/>
              <w:bidi w:val="0"/>
              <w:rPr>
                <w:rFonts w:hint="eastAsia" w:ascii="宋体" w:hAnsi="宋体" w:eastAsia="宋体" w:cs="宋体"/>
                <w:color w:val="auto"/>
                <w:highlight w:val="none"/>
              </w:rPr>
            </w:pPr>
          </w:p>
        </w:tc>
      </w:tr>
      <w:tr w14:paraId="56F80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339" w:type="dxa"/>
            <w:noWrap/>
            <w:vAlign w:val="center"/>
          </w:tcPr>
          <w:p w14:paraId="4102B8D9">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2647" w:type="dxa"/>
            <w:noWrap/>
            <w:vAlign w:val="center"/>
          </w:tcPr>
          <w:p w14:paraId="12917A52">
            <w:pPr>
              <w:pStyle w:val="13"/>
              <w:bidi w:val="0"/>
              <w:rPr>
                <w:rFonts w:hint="eastAsia" w:ascii="宋体" w:hAnsi="宋体" w:eastAsia="宋体" w:cs="宋体"/>
                <w:color w:val="auto"/>
                <w:highlight w:val="none"/>
              </w:rPr>
            </w:pPr>
          </w:p>
        </w:tc>
        <w:tc>
          <w:tcPr>
            <w:tcW w:w="2599" w:type="dxa"/>
            <w:noWrap/>
            <w:vAlign w:val="center"/>
          </w:tcPr>
          <w:p w14:paraId="5B3A7D4A">
            <w:pPr>
              <w:pStyle w:val="13"/>
              <w:bidi w:val="0"/>
              <w:rPr>
                <w:rFonts w:hint="eastAsia" w:ascii="宋体" w:hAnsi="宋体" w:eastAsia="宋体" w:cs="宋体"/>
                <w:color w:val="auto"/>
                <w:highlight w:val="none"/>
              </w:rPr>
            </w:pPr>
          </w:p>
        </w:tc>
        <w:tc>
          <w:tcPr>
            <w:tcW w:w="852" w:type="dxa"/>
            <w:noWrap/>
            <w:vAlign w:val="center"/>
          </w:tcPr>
          <w:p w14:paraId="0B16C9B7">
            <w:pPr>
              <w:pStyle w:val="13"/>
              <w:bidi w:val="0"/>
              <w:rPr>
                <w:rFonts w:hint="eastAsia" w:ascii="宋体" w:hAnsi="宋体" w:eastAsia="宋体" w:cs="宋体"/>
                <w:color w:val="auto"/>
                <w:highlight w:val="none"/>
              </w:rPr>
            </w:pPr>
          </w:p>
        </w:tc>
        <w:tc>
          <w:tcPr>
            <w:tcW w:w="1160" w:type="dxa"/>
            <w:noWrap/>
            <w:vAlign w:val="center"/>
          </w:tcPr>
          <w:p w14:paraId="2CD5F6D2">
            <w:pPr>
              <w:pStyle w:val="13"/>
              <w:bidi w:val="0"/>
              <w:rPr>
                <w:rFonts w:hint="eastAsia" w:ascii="宋体" w:hAnsi="宋体" w:eastAsia="宋体" w:cs="宋体"/>
                <w:color w:val="auto"/>
                <w:highlight w:val="none"/>
              </w:rPr>
            </w:pPr>
          </w:p>
        </w:tc>
      </w:tr>
    </w:tbl>
    <w:p w14:paraId="16FEC579">
      <w:pPr>
        <w:bidi w:val="0"/>
        <w:rPr>
          <w:rFonts w:hint="eastAsia" w:ascii="宋体" w:hAnsi="宋体" w:eastAsia="宋体" w:cs="宋体"/>
          <w:color w:val="auto"/>
          <w:highlight w:val="none"/>
        </w:rPr>
      </w:pPr>
    </w:p>
    <w:p w14:paraId="3AE053C1">
      <w:pPr>
        <w:bidi w:val="0"/>
        <w:rPr>
          <w:rFonts w:hint="eastAsia" w:ascii="宋体" w:hAnsi="宋体" w:eastAsia="宋体" w:cs="宋体"/>
          <w:color w:val="auto"/>
          <w:highlight w:val="none"/>
        </w:rPr>
      </w:pPr>
      <w:r>
        <w:rPr>
          <w:rFonts w:hint="eastAsia" w:ascii="宋体" w:hAnsi="宋体" w:eastAsia="宋体" w:cs="宋体"/>
          <w:color w:val="auto"/>
          <w:highlight w:val="none"/>
        </w:rPr>
        <w:t>说明：此表应根据</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 xml:space="preserve">第六部分 </w:t>
      </w:r>
      <w:r>
        <w:rPr>
          <w:rFonts w:hint="eastAsia" w:ascii="宋体" w:hAnsi="宋体" w:eastAsia="宋体" w:cs="宋体"/>
          <w:color w:val="auto"/>
          <w:highlight w:val="none"/>
        </w:rPr>
        <w:t>磋商及采购项目</w:t>
      </w:r>
      <w:r>
        <w:rPr>
          <w:rFonts w:hint="eastAsia" w:ascii="宋体" w:hAnsi="宋体" w:eastAsia="宋体" w:cs="宋体"/>
          <w:color w:val="auto"/>
          <w:highlight w:val="none"/>
          <w:lang w:val="en-US" w:eastAsia="zh-CN"/>
        </w:rPr>
        <w:t>技术</w:t>
      </w:r>
      <w:r>
        <w:rPr>
          <w:rFonts w:hint="eastAsia" w:ascii="宋体" w:hAnsi="宋体" w:eastAsia="宋体" w:cs="宋体"/>
          <w:color w:val="auto"/>
          <w:highlight w:val="none"/>
        </w:rPr>
        <w:t>要求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中的商务要求填写，若全部无偏离的，则标明所有商务条款无偏离；若有偏离的则需逐项说明。</w:t>
      </w:r>
    </w:p>
    <w:p w14:paraId="5DF42904">
      <w:pPr>
        <w:bidi w:val="0"/>
        <w:rPr>
          <w:rFonts w:hint="eastAsia" w:ascii="宋体" w:hAnsi="宋体" w:eastAsia="宋体" w:cs="宋体"/>
          <w:color w:val="auto"/>
          <w:highlight w:val="none"/>
        </w:rPr>
      </w:pPr>
    </w:p>
    <w:p w14:paraId="02A7F93B">
      <w:pPr>
        <w:bidi w:val="0"/>
        <w:rPr>
          <w:rFonts w:hint="eastAsia" w:ascii="宋体" w:hAnsi="宋体" w:eastAsia="宋体" w:cs="宋体"/>
          <w:color w:val="auto"/>
          <w:highlight w:val="none"/>
        </w:rPr>
      </w:pPr>
    </w:p>
    <w:p w14:paraId="6E86E52C">
      <w:pPr>
        <w:bidi w:val="0"/>
        <w:rPr>
          <w:rFonts w:hint="eastAsia" w:ascii="宋体" w:hAnsi="宋体" w:eastAsia="宋体" w:cs="宋体"/>
          <w:color w:val="auto"/>
          <w:highlight w:val="none"/>
        </w:rPr>
      </w:pPr>
    </w:p>
    <w:p w14:paraId="4333E326">
      <w:pPr>
        <w:bidi w:val="0"/>
        <w:rPr>
          <w:rFonts w:hint="eastAsia" w:ascii="宋体" w:hAnsi="宋体" w:eastAsia="宋体" w:cs="宋体"/>
          <w:color w:val="auto"/>
          <w:highlight w:val="none"/>
        </w:rPr>
      </w:pPr>
    </w:p>
    <w:p w14:paraId="67DC039F">
      <w:pPr>
        <w:bidi w:val="0"/>
        <w:rPr>
          <w:rFonts w:hint="eastAsia" w:ascii="宋体" w:hAnsi="宋体" w:eastAsia="宋体" w:cs="宋体"/>
          <w:color w:val="auto"/>
          <w:highlight w:val="none"/>
        </w:rPr>
      </w:pPr>
    </w:p>
    <w:p w14:paraId="59FD71A5">
      <w:pPr>
        <w:bidi w:val="0"/>
        <w:rPr>
          <w:rFonts w:hint="eastAsia" w:ascii="宋体" w:hAnsi="宋体" w:eastAsia="宋体" w:cs="宋体"/>
          <w:color w:val="auto"/>
          <w:highlight w:val="none"/>
        </w:rPr>
      </w:pPr>
    </w:p>
    <w:p w14:paraId="4A8B1891">
      <w:pPr>
        <w:bidi w:val="0"/>
        <w:rPr>
          <w:rFonts w:hint="eastAsia" w:ascii="宋体" w:hAnsi="宋体" w:eastAsia="宋体" w:cs="宋体"/>
          <w:color w:val="auto"/>
          <w:highlight w:val="none"/>
        </w:rPr>
      </w:pPr>
    </w:p>
    <w:p w14:paraId="66192B73">
      <w:pPr>
        <w:bidi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供应商：</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（公章）</w:t>
      </w:r>
    </w:p>
    <w:p w14:paraId="535A389A">
      <w:pPr>
        <w:bidi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法定代表人或委托代理人：</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（签字或盖章）</w:t>
      </w:r>
    </w:p>
    <w:p w14:paraId="77779A7C">
      <w:pPr>
        <w:bidi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年</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 xml:space="preserve"> 月 </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日</w:t>
      </w:r>
    </w:p>
    <w:p w14:paraId="7C7B92F6">
      <w:pPr>
        <w:bidi w:val="0"/>
        <w:rPr>
          <w:rFonts w:hint="eastAsia" w:ascii="宋体" w:hAnsi="宋体" w:eastAsia="宋体" w:cs="宋体"/>
          <w:color w:val="auto"/>
          <w:highlight w:val="none"/>
        </w:rPr>
      </w:pPr>
    </w:p>
    <w:p w14:paraId="771DFAAE">
      <w:pPr>
        <w:bidi w:val="0"/>
        <w:rPr>
          <w:rFonts w:hint="eastAsia" w:ascii="宋体" w:hAnsi="宋体" w:eastAsia="宋体" w:cs="宋体"/>
          <w:color w:val="auto"/>
          <w:highlight w:val="none"/>
        </w:rPr>
      </w:pPr>
    </w:p>
    <w:p w14:paraId="38B4EFCE">
      <w:pPr>
        <w:bidi w:val="0"/>
        <w:rPr>
          <w:rFonts w:hint="eastAsia" w:ascii="宋体" w:hAnsi="宋体" w:eastAsia="宋体" w:cs="宋体"/>
          <w:color w:val="auto"/>
          <w:highlight w:val="none"/>
        </w:rPr>
      </w:pPr>
    </w:p>
    <w:p w14:paraId="25FB08C0">
      <w:pPr>
        <w:rPr>
          <w:rFonts w:hint="eastAsia" w:ascii="宋体" w:hAnsi="宋体" w:eastAsia="宋体" w:cs="宋体"/>
          <w:color w:val="auto"/>
          <w:sz w:val="28"/>
          <w:szCs w:val="28"/>
          <w:highlight w:val="none"/>
        </w:rPr>
      </w:pPr>
      <w:bookmarkStart w:id="139" w:name="_Toc31923"/>
      <w:r>
        <w:rPr>
          <w:rFonts w:hint="eastAsia" w:ascii="宋体" w:hAnsi="宋体" w:eastAsia="宋体" w:cs="宋体"/>
          <w:color w:val="auto"/>
          <w:sz w:val="28"/>
          <w:szCs w:val="28"/>
          <w:highlight w:val="none"/>
        </w:rPr>
        <w:br w:type="page"/>
      </w:r>
    </w:p>
    <w:p w14:paraId="6E6ABB32">
      <w:pPr>
        <w:pStyle w:val="5"/>
        <w:bidi w:val="0"/>
        <w:jc w:val="both"/>
        <w:rPr>
          <w:rFonts w:hint="eastAsia" w:ascii="宋体" w:hAnsi="宋体" w:eastAsia="宋体" w:cs="宋体"/>
          <w:color w:val="auto"/>
          <w:highlight w:val="none"/>
        </w:rPr>
      </w:pPr>
      <w:bookmarkStart w:id="140" w:name="_Toc26769"/>
      <w:r>
        <w:rPr>
          <w:rFonts w:hint="eastAsia" w:ascii="宋体" w:hAnsi="宋体" w:eastAsia="宋体" w:cs="宋体"/>
          <w:color w:val="auto"/>
          <w:highlight w:val="none"/>
        </w:rPr>
        <w:t>附件</w:t>
      </w:r>
      <w:bookmarkStart w:id="141" w:name="_Toc376936774"/>
      <w:bookmarkStart w:id="142" w:name="_Toc325726043"/>
      <w:bookmarkStart w:id="143" w:name="_Toc376936773"/>
      <w:bookmarkStart w:id="144" w:name="_Toc325726042"/>
      <w:r>
        <w:rPr>
          <w:rFonts w:hint="eastAsia" w:ascii="宋体" w:hAnsi="宋体" w:eastAsia="宋体" w:cs="宋体"/>
          <w:color w:val="auto"/>
          <w:highlight w:val="none"/>
        </w:rPr>
        <w:t>7：法定代表人证明书</w:t>
      </w:r>
      <w:bookmarkEnd w:id="139"/>
      <w:bookmarkEnd w:id="140"/>
      <w:bookmarkEnd w:id="141"/>
      <w:bookmarkEnd w:id="142"/>
    </w:p>
    <w:p w14:paraId="7FFA9487">
      <w:pPr>
        <w:bidi w:val="0"/>
        <w:rPr>
          <w:rFonts w:hint="eastAsia" w:ascii="宋体" w:hAnsi="宋体" w:eastAsia="宋体" w:cs="宋体"/>
          <w:color w:val="auto"/>
          <w:highlight w:val="none"/>
        </w:rPr>
      </w:pPr>
    </w:p>
    <w:p w14:paraId="01F7E054">
      <w:pPr>
        <w:bidi w:val="0"/>
        <w:ind w:left="0" w:leftChars="0" w:firstLine="0" w:firstLineChars="0"/>
        <w:jc w:val="center"/>
        <w:rPr>
          <w:rFonts w:hint="eastAsia" w:ascii="宋体" w:hAnsi="宋体" w:eastAsia="宋体" w:cs="宋体"/>
          <w:b/>
          <w:bCs/>
          <w:color w:val="auto"/>
          <w:highlight w:val="none"/>
        </w:rPr>
      </w:pPr>
      <w:r>
        <w:rPr>
          <w:rFonts w:hint="eastAsia" w:ascii="宋体" w:hAnsi="宋体" w:eastAsia="宋体" w:cs="宋体"/>
          <w:b/>
          <w:bCs/>
          <w:color w:val="auto"/>
          <w:sz w:val="32"/>
          <w:szCs w:val="32"/>
          <w:highlight w:val="none"/>
          <w:lang w:val="zh-CN"/>
        </w:rPr>
        <w:t>法定代表人证明书</w:t>
      </w:r>
    </w:p>
    <w:bookmarkEnd w:id="143"/>
    <w:bookmarkEnd w:id="144"/>
    <w:p w14:paraId="7CAE9403">
      <w:pPr>
        <w:bidi w:val="0"/>
        <w:ind w:left="0" w:leftChars="0" w:firstLine="0" w:firstLineChars="0"/>
        <w:rPr>
          <w:rFonts w:hint="eastAsia" w:ascii="宋体" w:hAnsi="宋体" w:eastAsia="宋体" w:cs="宋体"/>
          <w:b/>
          <w:bCs/>
          <w:color w:val="auto"/>
          <w:highlight w:val="none"/>
          <w:lang w:eastAsia="zh-CN"/>
        </w:rPr>
      </w:pPr>
      <w:bookmarkStart w:id="145" w:name="_Toc324756736"/>
      <w:bookmarkStart w:id="146" w:name="_Toc201287639"/>
      <w:r>
        <w:rPr>
          <w:rFonts w:hint="eastAsia" w:ascii="宋体" w:hAnsi="宋体" w:eastAsia="宋体" w:cs="宋体"/>
          <w:b/>
          <w:bCs/>
          <w:color w:val="auto"/>
          <w:highlight w:val="none"/>
        </w:rPr>
        <w:t>致：</w:t>
      </w:r>
      <w:r>
        <w:rPr>
          <w:rFonts w:hint="eastAsia" w:ascii="宋体" w:hAnsi="宋体" w:cs="宋体"/>
          <w:b/>
          <w:bCs/>
          <w:color w:val="auto"/>
          <w:highlight w:val="none"/>
          <w:lang w:eastAsia="zh-CN"/>
        </w:rPr>
        <w:t>海东乐都区乐欣中堃项目管理有限公司</w:t>
      </w:r>
    </w:p>
    <w:p w14:paraId="557C3928">
      <w:pPr>
        <w:bidi w:val="0"/>
        <w:rPr>
          <w:rFonts w:hint="eastAsia" w:ascii="宋体" w:hAnsi="宋体" w:eastAsia="宋体" w:cs="宋体"/>
          <w:color w:val="auto"/>
          <w:highlight w:val="none"/>
          <w:lang w:val="zh-CN"/>
        </w:rPr>
      </w:pPr>
    </w:p>
    <w:p w14:paraId="42FE8EAB">
      <w:pPr>
        <w:bidi w:val="0"/>
        <w:rPr>
          <w:rFonts w:hint="eastAsia" w:ascii="宋体" w:hAnsi="宋体" w:eastAsia="宋体" w:cs="宋体"/>
          <w:color w:val="auto"/>
          <w:highlight w:val="none"/>
          <w:lang w:val="zh-CN"/>
        </w:rPr>
      </w:pPr>
      <w:r>
        <w:rPr>
          <w:rFonts w:hint="eastAsia" w:ascii="宋体" w:hAnsi="宋体" w:eastAsia="宋体" w:cs="宋体"/>
          <w:color w:val="auto"/>
          <w:highlight w:val="none"/>
          <w:u w:val="single"/>
          <w:lang w:val="zh-CN"/>
        </w:rPr>
        <w:t>（法定代表人姓名）</w:t>
      </w:r>
      <w:r>
        <w:rPr>
          <w:rFonts w:hint="eastAsia" w:ascii="宋体" w:hAnsi="宋体" w:eastAsia="宋体" w:cs="宋体"/>
          <w:color w:val="auto"/>
          <w:highlight w:val="none"/>
          <w:lang w:val="zh-CN"/>
        </w:rPr>
        <w:t>现任我单位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lang w:val="zh-CN"/>
        </w:rPr>
        <w:t>职务，为法定代表人，特此证明。</w:t>
      </w:r>
    </w:p>
    <w:p w14:paraId="3AD0FC5F">
      <w:pPr>
        <w:bidi w:val="0"/>
        <w:rPr>
          <w:rFonts w:hint="eastAsia" w:ascii="宋体" w:hAnsi="宋体" w:eastAsia="宋体" w:cs="宋体"/>
          <w:color w:val="auto"/>
          <w:highlight w:val="none"/>
          <w:lang w:val="zh-CN"/>
        </w:rPr>
      </w:pPr>
    </w:p>
    <w:p w14:paraId="65F6E76A">
      <w:pPr>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法定代表人基本情况：</w:t>
      </w:r>
    </w:p>
    <w:p w14:paraId="69C8825F">
      <w:p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zh-CN"/>
        </w:rPr>
        <w:t>性别：                  年龄：                民族：</w:t>
      </w:r>
      <w:r>
        <w:rPr>
          <w:rFonts w:hint="eastAsia" w:ascii="宋体" w:hAnsi="宋体" w:eastAsia="宋体" w:cs="宋体"/>
          <w:color w:val="auto"/>
          <w:highlight w:val="none"/>
          <w:lang w:val="en-US" w:eastAsia="zh-CN"/>
        </w:rPr>
        <w:t xml:space="preserve">  </w:t>
      </w:r>
    </w:p>
    <w:p w14:paraId="449589C2">
      <w:pPr>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地址：</w:t>
      </w:r>
    </w:p>
    <w:p w14:paraId="674E9583">
      <w:pPr>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身份证号码：</w:t>
      </w:r>
    </w:p>
    <w:p w14:paraId="38195DCB">
      <w:pPr>
        <w:bidi w:val="0"/>
        <w:rPr>
          <w:rFonts w:hint="eastAsia" w:ascii="宋体" w:hAnsi="宋体" w:eastAsia="宋体" w:cs="宋体"/>
          <w:color w:val="auto"/>
          <w:highlight w:val="none"/>
          <w:lang w:val="zh-CN"/>
        </w:rPr>
      </w:pPr>
    </w:p>
    <w:p w14:paraId="119DECE4">
      <w:pPr>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附法定代表人第二代身份证双面扫描（或复印）件</w:t>
      </w:r>
    </w:p>
    <w:p w14:paraId="3FA41839">
      <w:pPr>
        <w:bidi w:val="0"/>
        <w:rPr>
          <w:rFonts w:hint="eastAsia" w:ascii="宋体" w:hAnsi="宋体" w:eastAsia="宋体" w:cs="宋体"/>
          <w:color w:val="auto"/>
          <w:highlight w:val="none"/>
          <w:lang w:val="zh-CN"/>
        </w:rPr>
      </w:pPr>
    </w:p>
    <w:p w14:paraId="6C890C49">
      <w:pPr>
        <w:bidi w:val="0"/>
        <w:rPr>
          <w:rFonts w:hint="eastAsia" w:ascii="宋体" w:hAnsi="宋体" w:eastAsia="宋体" w:cs="宋体"/>
          <w:color w:val="auto"/>
          <w:highlight w:val="none"/>
          <w:lang w:val="zh-CN"/>
        </w:rPr>
      </w:pPr>
    </w:p>
    <w:p w14:paraId="44F330B5">
      <w:pPr>
        <w:bidi w:val="0"/>
        <w:rPr>
          <w:rFonts w:hint="eastAsia" w:ascii="宋体" w:hAnsi="宋体" w:eastAsia="宋体" w:cs="宋体"/>
          <w:color w:val="auto"/>
          <w:highlight w:val="none"/>
          <w:lang w:val="zh-CN"/>
        </w:rPr>
      </w:pPr>
      <w:r>
        <w:rPr>
          <w:rFonts w:hint="eastAsia" w:ascii="Times New Roman" w:hAnsi="Times New Roman" w:eastAsia="宋体" w:cs="Times New Roman"/>
          <w:b/>
          <w:bCs/>
          <w:kern w:val="2"/>
          <w:sz w:val="21"/>
          <w:szCs w:val="22"/>
          <w:highlight w:val="none"/>
          <w:lang w:val="en-US" w:eastAsia="zh-CN" w:bidi="ar-SA"/>
        </w:rPr>
        <w:t>（对于银行、保险、电信、电力、石油石化、邮政、铁路等特殊行业以及获得总公司投标授权的分支机构，此表可以提供投标分支机构负责人身份证明书）</w:t>
      </w:r>
    </w:p>
    <w:p w14:paraId="39A108C8">
      <w:pPr>
        <w:bidi w:val="0"/>
        <w:rPr>
          <w:rFonts w:hint="eastAsia" w:ascii="宋体" w:hAnsi="宋体" w:eastAsia="宋体" w:cs="宋体"/>
          <w:color w:val="auto"/>
          <w:highlight w:val="none"/>
          <w:lang w:val="zh-CN"/>
        </w:rPr>
      </w:pPr>
    </w:p>
    <w:p w14:paraId="397D7206">
      <w:pPr>
        <w:bidi w:val="0"/>
        <w:rPr>
          <w:rFonts w:hint="eastAsia" w:ascii="宋体" w:hAnsi="宋体" w:eastAsia="宋体" w:cs="宋体"/>
          <w:color w:val="auto"/>
          <w:highlight w:val="none"/>
          <w:lang w:val="zh-CN"/>
        </w:rPr>
      </w:pPr>
    </w:p>
    <w:p w14:paraId="6B735ED2">
      <w:pPr>
        <w:bidi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供应商：</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（公章）</w:t>
      </w:r>
    </w:p>
    <w:p w14:paraId="245C7FE7">
      <w:pPr>
        <w:bidi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年</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 xml:space="preserve"> 月 </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日</w:t>
      </w:r>
    </w:p>
    <w:p w14:paraId="62D3A053">
      <w:pPr>
        <w:bidi w:val="0"/>
        <w:rPr>
          <w:rFonts w:hint="eastAsia" w:ascii="宋体" w:hAnsi="宋体" w:eastAsia="宋体" w:cs="宋体"/>
          <w:color w:val="auto"/>
          <w:highlight w:val="none"/>
        </w:rPr>
      </w:pPr>
    </w:p>
    <w:p w14:paraId="0008A68B">
      <w:pPr>
        <w:bidi w:val="0"/>
        <w:rPr>
          <w:rFonts w:hint="eastAsia" w:ascii="宋体" w:hAnsi="宋体" w:eastAsia="宋体" w:cs="宋体"/>
          <w:color w:val="auto"/>
          <w:highlight w:val="none"/>
        </w:rPr>
      </w:pPr>
    </w:p>
    <w:p w14:paraId="279F9B80">
      <w:pPr>
        <w:bidi w:val="0"/>
        <w:rPr>
          <w:rFonts w:hint="eastAsia" w:ascii="宋体" w:hAnsi="宋体" w:eastAsia="宋体" w:cs="宋体"/>
          <w:color w:val="auto"/>
          <w:highlight w:val="none"/>
        </w:rPr>
      </w:pPr>
    </w:p>
    <w:p w14:paraId="51435ADF">
      <w:pPr>
        <w:bidi w:val="0"/>
        <w:rPr>
          <w:rFonts w:hint="eastAsia" w:ascii="宋体" w:hAnsi="宋体" w:eastAsia="宋体" w:cs="宋体"/>
          <w:color w:val="auto"/>
          <w:highlight w:val="none"/>
        </w:rPr>
      </w:pPr>
    </w:p>
    <w:p w14:paraId="1E0FA2F7">
      <w:pPr>
        <w:bidi w:val="0"/>
        <w:rPr>
          <w:rFonts w:hint="eastAsia" w:ascii="宋体" w:hAnsi="宋体" w:eastAsia="宋体" w:cs="宋体"/>
          <w:color w:val="auto"/>
          <w:highlight w:val="none"/>
        </w:rPr>
      </w:pPr>
    </w:p>
    <w:p w14:paraId="1B9B1740">
      <w:pPr>
        <w:bidi w:val="0"/>
        <w:rPr>
          <w:rFonts w:hint="eastAsia" w:ascii="宋体" w:hAnsi="宋体" w:eastAsia="宋体" w:cs="宋体"/>
          <w:color w:val="auto"/>
          <w:highlight w:val="none"/>
        </w:rPr>
      </w:pPr>
    </w:p>
    <w:p w14:paraId="6AB7FBCA">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2B7711F5">
      <w:pPr>
        <w:pStyle w:val="5"/>
        <w:bidi w:val="0"/>
        <w:jc w:val="both"/>
        <w:rPr>
          <w:rFonts w:hint="eastAsia" w:ascii="宋体" w:hAnsi="宋体" w:eastAsia="宋体" w:cs="宋体"/>
          <w:color w:val="auto"/>
          <w:highlight w:val="none"/>
        </w:rPr>
      </w:pPr>
      <w:bookmarkStart w:id="147" w:name="_Toc5485"/>
      <w:r>
        <w:rPr>
          <w:rFonts w:hint="eastAsia" w:ascii="宋体" w:hAnsi="宋体" w:eastAsia="宋体" w:cs="宋体"/>
          <w:color w:val="auto"/>
          <w:highlight w:val="none"/>
        </w:rPr>
        <w:t>附件</w:t>
      </w:r>
      <w:bookmarkEnd w:id="145"/>
      <w:bookmarkEnd w:id="146"/>
      <w:r>
        <w:rPr>
          <w:rFonts w:hint="eastAsia" w:ascii="宋体" w:hAnsi="宋体" w:eastAsia="宋体" w:cs="宋体"/>
          <w:color w:val="auto"/>
          <w:highlight w:val="none"/>
        </w:rPr>
        <w:t>8：法定代表人授权书</w:t>
      </w:r>
      <w:bookmarkEnd w:id="147"/>
    </w:p>
    <w:p w14:paraId="3102DA7E">
      <w:pPr>
        <w:bidi w:val="0"/>
        <w:rPr>
          <w:rFonts w:hint="eastAsia" w:ascii="宋体" w:hAnsi="宋体" w:eastAsia="宋体" w:cs="宋体"/>
          <w:color w:val="auto"/>
          <w:highlight w:val="none"/>
          <w:lang w:val="zh-CN"/>
        </w:rPr>
      </w:pPr>
    </w:p>
    <w:p w14:paraId="26B8FEB3">
      <w:pPr>
        <w:bidi w:val="0"/>
        <w:ind w:left="0" w:leftChars="0" w:firstLine="0" w:firstLineChars="0"/>
        <w:jc w:val="center"/>
        <w:rPr>
          <w:rFonts w:hint="eastAsia" w:ascii="宋体" w:hAnsi="宋体" w:eastAsia="宋体" w:cs="宋体"/>
          <w:color w:val="auto"/>
          <w:highlight w:val="none"/>
        </w:rPr>
      </w:pPr>
      <w:bookmarkStart w:id="148" w:name="_Toc25817"/>
      <w:r>
        <w:rPr>
          <w:rFonts w:hint="eastAsia" w:ascii="宋体" w:hAnsi="宋体" w:eastAsia="宋体" w:cs="宋体"/>
          <w:b/>
          <w:bCs/>
          <w:color w:val="auto"/>
          <w:sz w:val="32"/>
          <w:szCs w:val="32"/>
          <w:highlight w:val="none"/>
          <w:lang w:val="zh-CN"/>
        </w:rPr>
        <w:t>法定代表人授权书</w:t>
      </w:r>
    </w:p>
    <w:p w14:paraId="5E056923">
      <w:pPr>
        <w:bidi w:val="0"/>
        <w:ind w:left="0" w:leftChars="0" w:firstLine="0" w:firstLineChars="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致：</w:t>
      </w:r>
      <w:r>
        <w:rPr>
          <w:rFonts w:hint="eastAsia" w:ascii="宋体" w:hAnsi="宋体" w:cs="宋体"/>
          <w:b/>
          <w:bCs/>
          <w:color w:val="auto"/>
          <w:highlight w:val="none"/>
          <w:lang w:eastAsia="zh-CN"/>
        </w:rPr>
        <w:t>海东乐都区乐欣中堃项目管理有限公司</w:t>
      </w:r>
    </w:p>
    <w:p w14:paraId="03120C01">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供应商</w:t>
      </w:r>
      <w:r>
        <w:rPr>
          <w:rFonts w:hint="eastAsia" w:ascii="宋体" w:hAnsi="宋体" w:eastAsia="宋体" w:cs="宋体"/>
          <w:color w:val="auto"/>
          <w:highlight w:val="none"/>
          <w:u w:val="single"/>
        </w:rPr>
        <w:t xml:space="preserve">名称）  </w:t>
      </w:r>
      <w:r>
        <w:rPr>
          <w:rFonts w:hint="eastAsia" w:ascii="宋体" w:hAnsi="宋体" w:eastAsia="宋体" w:cs="宋体"/>
          <w:color w:val="auto"/>
          <w:highlight w:val="none"/>
        </w:rPr>
        <w:t>系中华人民共和国合法企业，法定地址：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C14B4D9">
      <w:pPr>
        <w:bidi w:val="0"/>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（法定代表人姓名）  </w:t>
      </w:r>
      <w:r>
        <w:rPr>
          <w:rFonts w:hint="eastAsia" w:ascii="宋体" w:hAnsi="宋体" w:eastAsia="宋体" w:cs="宋体"/>
          <w:color w:val="auto"/>
          <w:highlight w:val="none"/>
        </w:rPr>
        <w:t xml:space="preserve"> 特授权 </w:t>
      </w:r>
      <w:r>
        <w:rPr>
          <w:rFonts w:hint="eastAsia" w:ascii="宋体" w:hAnsi="宋体" w:eastAsia="宋体" w:cs="宋体"/>
          <w:color w:val="auto"/>
          <w:highlight w:val="none"/>
          <w:u w:val="single"/>
        </w:rPr>
        <w:t xml:space="preserve">（委托代理人姓名）  </w:t>
      </w:r>
      <w:r>
        <w:rPr>
          <w:rFonts w:hint="eastAsia" w:ascii="宋体" w:hAnsi="宋体" w:eastAsia="宋体" w:cs="宋体"/>
          <w:color w:val="auto"/>
          <w:highlight w:val="none"/>
        </w:rPr>
        <w:t>代表我单位全权办理针对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项目的投标、答疑等具体工作，并签署全部有关的文件、资料。</w:t>
      </w:r>
    </w:p>
    <w:p w14:paraId="67428974">
      <w:pPr>
        <w:bidi w:val="0"/>
        <w:rPr>
          <w:rFonts w:hint="eastAsia" w:ascii="宋体" w:hAnsi="宋体" w:eastAsia="宋体" w:cs="宋体"/>
          <w:color w:val="auto"/>
          <w:highlight w:val="none"/>
        </w:rPr>
      </w:pPr>
      <w:r>
        <w:rPr>
          <w:rFonts w:hint="eastAsia" w:ascii="宋体" w:hAnsi="宋体" w:eastAsia="宋体" w:cs="宋体"/>
          <w:color w:val="auto"/>
          <w:highlight w:val="none"/>
        </w:rPr>
        <w:t>我单位对被授权人的签名负全部责任。</w:t>
      </w:r>
    </w:p>
    <w:p w14:paraId="722343B8">
      <w:pPr>
        <w:bidi w:val="0"/>
        <w:rPr>
          <w:rFonts w:hint="eastAsia" w:ascii="宋体" w:hAnsi="宋体" w:eastAsia="宋体" w:cs="宋体"/>
          <w:color w:val="auto"/>
          <w:highlight w:val="none"/>
        </w:rPr>
      </w:pPr>
      <w:r>
        <w:rPr>
          <w:rFonts w:hint="eastAsia" w:ascii="宋体" w:hAnsi="宋体" w:eastAsia="宋体" w:cs="宋体"/>
          <w:color w:val="auto"/>
          <w:highlight w:val="none"/>
        </w:rPr>
        <w:t>在撤销授权的书面通知以前，本授权书一直有效，被授权人签署的所有文件（在授权书有效期内签署的）不因授权的撤销而失效。</w:t>
      </w:r>
    </w:p>
    <w:p w14:paraId="3312E4C2">
      <w:pPr>
        <w:bidi w:val="0"/>
        <w:rPr>
          <w:rFonts w:hint="eastAsia" w:ascii="宋体" w:hAnsi="宋体" w:eastAsia="宋体" w:cs="宋体"/>
          <w:color w:val="auto"/>
          <w:highlight w:val="none"/>
        </w:rPr>
      </w:pPr>
    </w:p>
    <w:p w14:paraId="2A72C681">
      <w:pPr>
        <w:bidi w:val="0"/>
        <w:rPr>
          <w:rFonts w:hint="eastAsia" w:ascii="宋体" w:hAnsi="宋体" w:eastAsia="宋体" w:cs="宋体"/>
          <w:color w:val="auto"/>
          <w:highlight w:val="none"/>
        </w:rPr>
      </w:pPr>
      <w:r>
        <w:rPr>
          <w:rFonts w:hint="eastAsia" w:ascii="宋体" w:hAnsi="宋体" w:eastAsia="宋体" w:cs="宋体"/>
          <w:color w:val="auto"/>
          <w:highlight w:val="none"/>
        </w:rPr>
        <w:t>被授权人联系电话：</w:t>
      </w:r>
    </w:p>
    <w:p w14:paraId="70180E98">
      <w:pPr>
        <w:bidi w:val="0"/>
        <w:rPr>
          <w:rFonts w:hint="eastAsia" w:ascii="宋体" w:hAnsi="宋体" w:eastAsia="宋体" w:cs="宋体"/>
          <w:color w:val="auto"/>
          <w:highlight w:val="none"/>
        </w:rPr>
      </w:pPr>
    </w:p>
    <w:p w14:paraId="0AC1C833">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被授权人（委托代理人）签字或盖章：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职务：</w:t>
      </w:r>
    </w:p>
    <w:p w14:paraId="2897E7EF">
      <w:pPr>
        <w:bidi w:val="0"/>
        <w:rPr>
          <w:rFonts w:hint="eastAsia" w:ascii="宋体" w:hAnsi="宋体" w:eastAsia="宋体" w:cs="宋体"/>
          <w:color w:val="auto"/>
          <w:highlight w:val="none"/>
        </w:rPr>
      </w:pPr>
    </w:p>
    <w:p w14:paraId="5C66C2ED">
      <w:pPr>
        <w:bidi w:val="0"/>
        <w:rPr>
          <w:rFonts w:hint="eastAsia" w:ascii="宋体" w:hAnsi="宋体" w:eastAsia="宋体" w:cs="宋体"/>
          <w:color w:val="auto"/>
          <w:highlight w:val="none"/>
        </w:rPr>
      </w:pPr>
      <w:r>
        <w:rPr>
          <w:rFonts w:hint="eastAsia" w:ascii="宋体" w:hAnsi="宋体" w:eastAsia="宋体" w:cs="宋体"/>
          <w:color w:val="auto"/>
          <w:highlight w:val="none"/>
        </w:rPr>
        <w:t xml:space="preserve">授权人（法定代表人）签字或盖章：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职务：</w:t>
      </w:r>
    </w:p>
    <w:p w14:paraId="0A7251E7">
      <w:pPr>
        <w:bidi w:val="0"/>
        <w:rPr>
          <w:rFonts w:hint="eastAsia" w:ascii="宋体" w:hAnsi="宋体" w:eastAsia="宋体" w:cs="宋体"/>
          <w:color w:val="auto"/>
          <w:highlight w:val="none"/>
        </w:rPr>
      </w:pPr>
    </w:p>
    <w:p w14:paraId="2497EE30">
      <w:pPr>
        <w:bidi w:val="0"/>
        <w:rPr>
          <w:rFonts w:hint="eastAsia" w:ascii="宋体" w:hAnsi="宋体" w:eastAsia="宋体" w:cs="宋体"/>
          <w:color w:val="auto"/>
          <w:highlight w:val="none"/>
        </w:rPr>
      </w:pPr>
      <w:r>
        <w:rPr>
          <w:rFonts w:hint="eastAsia" w:ascii="宋体" w:hAnsi="宋体" w:eastAsia="宋体" w:cs="宋体"/>
          <w:color w:val="auto"/>
          <w:highlight w:val="none"/>
        </w:rPr>
        <w:t>附被授权人第二代身份证双面扫描（或复印）件</w:t>
      </w:r>
    </w:p>
    <w:p w14:paraId="4950FF94">
      <w:pPr>
        <w:bidi w:val="0"/>
        <w:rPr>
          <w:rFonts w:hint="eastAsia" w:ascii="宋体" w:hAnsi="宋体" w:eastAsia="宋体" w:cs="宋体"/>
          <w:color w:val="auto"/>
          <w:highlight w:val="none"/>
        </w:rPr>
      </w:pPr>
    </w:p>
    <w:p w14:paraId="1E18CB94">
      <w:pPr>
        <w:bidi w:val="0"/>
        <w:rPr>
          <w:rFonts w:hint="eastAsia" w:ascii="宋体" w:hAnsi="宋体" w:eastAsia="宋体" w:cs="宋体"/>
          <w:color w:val="auto"/>
          <w:highlight w:val="none"/>
          <w:lang w:val="zh-CN"/>
        </w:rPr>
      </w:pPr>
    </w:p>
    <w:p w14:paraId="2A9FEE92">
      <w:pPr>
        <w:bidi w:val="0"/>
        <w:rPr>
          <w:rFonts w:hint="eastAsia" w:ascii="宋体" w:hAnsi="宋体" w:eastAsia="宋体" w:cs="宋体"/>
          <w:color w:val="auto"/>
          <w:highlight w:val="none"/>
          <w:lang w:val="zh-CN"/>
        </w:rPr>
      </w:pPr>
    </w:p>
    <w:p w14:paraId="7866471C">
      <w:pPr>
        <w:bidi w:val="0"/>
        <w:rPr>
          <w:rFonts w:hint="eastAsia" w:ascii="宋体" w:hAnsi="宋体" w:eastAsia="宋体" w:cs="宋体"/>
          <w:color w:val="auto"/>
          <w:highlight w:val="none"/>
          <w:lang w:val="zh-CN"/>
        </w:rPr>
      </w:pPr>
      <w:r>
        <w:rPr>
          <w:rFonts w:hint="eastAsia" w:ascii="Times New Roman" w:hAnsi="Times New Roman" w:eastAsia="宋体" w:cs="Times New Roman"/>
          <w:b/>
          <w:bCs/>
          <w:kern w:val="2"/>
          <w:sz w:val="21"/>
          <w:szCs w:val="22"/>
          <w:highlight w:val="none"/>
          <w:lang w:val="zh-CN" w:eastAsia="zh-CN" w:bidi="ar-SA"/>
        </w:rPr>
        <w:t>（</w:t>
      </w:r>
      <w:r>
        <w:rPr>
          <w:rFonts w:hint="eastAsia" w:ascii="Times New Roman" w:hAnsi="Times New Roman" w:eastAsia="宋体" w:cs="Times New Roman"/>
          <w:b/>
          <w:bCs/>
          <w:kern w:val="2"/>
          <w:sz w:val="21"/>
          <w:szCs w:val="22"/>
          <w:highlight w:val="none"/>
          <w:lang w:val="en-US" w:eastAsia="zh-CN" w:bidi="ar-SA"/>
        </w:rPr>
        <w:t>对于银行、保险、电信、电力、石油石化、邮政、铁路等特殊行业以及获得总公司投标授权的分支机构，</w:t>
      </w:r>
      <w:r>
        <w:rPr>
          <w:rFonts w:hint="eastAsia" w:ascii="Times New Roman" w:hAnsi="Times New Roman" w:cs="Times New Roman"/>
          <w:b/>
          <w:bCs/>
          <w:kern w:val="2"/>
          <w:sz w:val="21"/>
          <w:szCs w:val="22"/>
          <w:highlight w:val="none"/>
          <w:lang w:val="en-US" w:eastAsia="zh-CN" w:bidi="ar-SA"/>
        </w:rPr>
        <w:t>此表</w:t>
      </w:r>
      <w:r>
        <w:rPr>
          <w:rFonts w:hint="eastAsia" w:ascii="Times New Roman" w:hAnsi="Times New Roman" w:eastAsia="宋体" w:cs="Times New Roman"/>
          <w:b/>
          <w:bCs/>
          <w:kern w:val="2"/>
          <w:sz w:val="21"/>
          <w:szCs w:val="22"/>
          <w:highlight w:val="none"/>
          <w:lang w:val="en-US" w:eastAsia="zh-CN" w:bidi="ar-SA"/>
        </w:rPr>
        <w:t>可以提供投标分支机构负责人授权书）</w:t>
      </w:r>
    </w:p>
    <w:p w14:paraId="35C9032C">
      <w:pPr>
        <w:bidi w:val="0"/>
        <w:rPr>
          <w:rFonts w:hint="eastAsia" w:ascii="宋体" w:hAnsi="宋体" w:eastAsia="宋体" w:cs="宋体"/>
          <w:color w:val="auto"/>
          <w:highlight w:val="none"/>
          <w:lang w:val="zh-CN"/>
        </w:rPr>
      </w:pPr>
    </w:p>
    <w:p w14:paraId="26AF15DB">
      <w:pPr>
        <w:bidi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供应商：</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（公章）</w:t>
      </w:r>
    </w:p>
    <w:p w14:paraId="2D2903D3">
      <w:pPr>
        <w:bidi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年</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 xml:space="preserve"> 月 </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日</w:t>
      </w:r>
    </w:p>
    <w:p w14:paraId="1DAFCB65">
      <w:pPr>
        <w:bidi w:val="0"/>
        <w:rPr>
          <w:rFonts w:hint="eastAsia" w:ascii="宋体" w:hAnsi="宋体" w:eastAsia="宋体" w:cs="宋体"/>
          <w:color w:val="auto"/>
          <w:highlight w:val="none"/>
          <w:lang w:val="zh-CN"/>
        </w:rPr>
      </w:pPr>
    </w:p>
    <w:p w14:paraId="75323C2E">
      <w:pPr>
        <w:bidi w:val="0"/>
        <w:rPr>
          <w:rFonts w:hint="eastAsia" w:ascii="宋体" w:hAnsi="宋体" w:eastAsia="宋体" w:cs="宋体"/>
          <w:color w:val="auto"/>
          <w:highlight w:val="none"/>
          <w:lang w:val="zh-CN"/>
        </w:rPr>
      </w:pPr>
    </w:p>
    <w:p w14:paraId="1AA24355">
      <w:pPr>
        <w:bidi w:val="0"/>
        <w:rPr>
          <w:rFonts w:hint="eastAsia" w:ascii="宋体" w:hAnsi="宋体" w:eastAsia="宋体" w:cs="宋体"/>
          <w:color w:val="auto"/>
          <w:highlight w:val="none"/>
        </w:rPr>
      </w:pPr>
    </w:p>
    <w:p w14:paraId="567A0842">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292A470">
      <w:pPr>
        <w:pStyle w:val="5"/>
        <w:bidi w:val="0"/>
        <w:jc w:val="both"/>
        <w:rPr>
          <w:rFonts w:hint="eastAsia" w:ascii="宋体" w:hAnsi="宋体" w:eastAsia="宋体" w:cs="宋体"/>
          <w:color w:val="auto"/>
          <w:highlight w:val="none"/>
        </w:rPr>
      </w:pPr>
      <w:bookmarkStart w:id="149" w:name="_Toc848"/>
      <w:r>
        <w:rPr>
          <w:rFonts w:hint="eastAsia" w:ascii="宋体" w:hAnsi="宋体" w:eastAsia="宋体" w:cs="宋体"/>
          <w:color w:val="auto"/>
          <w:highlight w:val="none"/>
        </w:rPr>
        <w:t>附件9：供应商承诺函</w:t>
      </w:r>
      <w:bookmarkEnd w:id="148"/>
      <w:bookmarkEnd w:id="149"/>
    </w:p>
    <w:p w14:paraId="675A83A3">
      <w:pPr>
        <w:bidi w:val="0"/>
        <w:rPr>
          <w:rFonts w:hint="eastAsia" w:ascii="宋体" w:hAnsi="宋体" w:eastAsia="宋体" w:cs="宋体"/>
          <w:color w:val="auto"/>
          <w:highlight w:val="none"/>
        </w:rPr>
      </w:pPr>
    </w:p>
    <w:p w14:paraId="290B610F">
      <w:pPr>
        <w:bidi w:val="0"/>
        <w:ind w:left="0" w:leftChars="0" w:firstLine="0" w:firstLineChars="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供应商承诺函</w:t>
      </w:r>
    </w:p>
    <w:p w14:paraId="1105372F">
      <w:pPr>
        <w:bidi w:val="0"/>
        <w:ind w:left="0" w:leftChars="0" w:firstLine="0" w:firstLineChars="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致：</w:t>
      </w:r>
      <w:r>
        <w:rPr>
          <w:rFonts w:hint="eastAsia" w:ascii="宋体" w:hAnsi="宋体" w:cs="宋体"/>
          <w:b/>
          <w:bCs/>
          <w:color w:val="auto"/>
          <w:highlight w:val="none"/>
          <w:lang w:eastAsia="zh-CN"/>
        </w:rPr>
        <w:t>海东乐都区乐欣中堃项目管理有限公司</w:t>
      </w:r>
    </w:p>
    <w:p w14:paraId="6787F0CB">
      <w:pPr>
        <w:bidi w:val="0"/>
        <w:rPr>
          <w:rFonts w:hint="eastAsia" w:ascii="宋体" w:hAnsi="宋体" w:eastAsia="宋体" w:cs="宋体"/>
          <w:color w:val="auto"/>
          <w:highlight w:val="none"/>
        </w:rPr>
      </w:pPr>
      <w:r>
        <w:rPr>
          <w:rFonts w:hint="eastAsia" w:ascii="宋体" w:hAnsi="宋体" w:eastAsia="宋体" w:cs="宋体"/>
          <w:color w:val="auto"/>
          <w:highlight w:val="none"/>
        </w:rPr>
        <w:t>关于贵方</w:t>
      </w:r>
      <w:r>
        <w:rPr>
          <w:rFonts w:hint="eastAsia" w:ascii="宋体" w:hAnsi="宋体" w:eastAsia="宋体" w:cs="宋体"/>
          <w:color w:val="auto"/>
          <w:highlight w:val="none"/>
          <w:u w:val="single"/>
        </w:rPr>
        <w:t xml:space="preserve">   年  月  日 （项目名称） </w:t>
      </w:r>
      <w:r>
        <w:rPr>
          <w:rFonts w:hint="eastAsia" w:ascii="宋体" w:hAnsi="宋体" w:eastAsia="宋体" w:cs="宋体"/>
          <w:color w:val="auto"/>
          <w:highlight w:val="none"/>
        </w:rPr>
        <w:t>采购项目，本签字人愿意参加磋商，提供采购项目技术要求的所有服务，并证实提交的所有资料是准确的和真实的。同时，我代表</w:t>
      </w:r>
      <w:r>
        <w:rPr>
          <w:rFonts w:hint="eastAsia" w:ascii="宋体" w:hAnsi="宋体" w:eastAsia="宋体" w:cs="宋体"/>
          <w:color w:val="auto"/>
          <w:highlight w:val="none"/>
          <w:u w:val="single"/>
        </w:rPr>
        <w:t>（</w:t>
      </w:r>
      <w:r>
        <w:rPr>
          <w:rFonts w:hint="eastAsia" w:ascii="宋体" w:hAnsi="宋体" w:eastAsia="宋体" w:cs="宋体"/>
          <w:color w:val="auto"/>
          <w:highlight w:val="none"/>
          <w:u w:val="single"/>
          <w:lang w:eastAsia="zh-CN"/>
        </w:rPr>
        <w:t>供应商</w:t>
      </w:r>
      <w:r>
        <w:rPr>
          <w:rFonts w:hint="eastAsia" w:ascii="宋体" w:hAnsi="宋体" w:eastAsia="宋体" w:cs="宋体"/>
          <w:color w:val="auto"/>
          <w:highlight w:val="none"/>
          <w:u w:val="single"/>
        </w:rPr>
        <w:t>名称）</w:t>
      </w:r>
      <w:r>
        <w:rPr>
          <w:rFonts w:hint="eastAsia" w:ascii="宋体" w:hAnsi="宋体" w:eastAsia="宋体" w:cs="宋体"/>
          <w:color w:val="auto"/>
          <w:highlight w:val="none"/>
        </w:rPr>
        <w:t>，在此作如下承诺：</w:t>
      </w:r>
    </w:p>
    <w:p w14:paraId="0993F44F">
      <w:pPr>
        <w:numPr>
          <w:ilvl w:val="0"/>
          <w:numId w:val="0"/>
        </w:numPr>
        <w:bidi w:val="0"/>
        <w:ind w:firstLine="480" w:firstLineChars="200"/>
        <w:rPr>
          <w:rFonts w:hint="eastAsia" w:ascii="宋体" w:hAnsi="宋体" w:eastAsia="宋体" w:cs="宋体"/>
          <w:color w:val="auto"/>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highlight w:val="none"/>
        </w:rPr>
        <w:t>完全理解和接受磋商文件的一切规定和要求；</w:t>
      </w:r>
    </w:p>
    <w:p w14:paraId="64A8B78C">
      <w:pPr>
        <w:numPr>
          <w:ilvl w:val="0"/>
          <w:numId w:val="0"/>
        </w:numPr>
        <w:bidi w:val="0"/>
        <w:ind w:firstLine="480" w:firstLineChars="200"/>
        <w:rPr>
          <w:rFonts w:hint="eastAsia" w:ascii="宋体" w:hAnsi="宋体" w:eastAsia="宋体" w:cs="宋体"/>
          <w:color w:val="auto"/>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highlight w:val="none"/>
        </w:rPr>
        <w:t>若成交，我方将按照磋商文件的具体规定与采购人签订采购合同，并且严格履行合同义务，按时提供优质的服务。如果在合同执行过程中，发现服务质量、数量出现问题，我方一定尽快完善，并承担相应的经济责任；</w:t>
      </w:r>
    </w:p>
    <w:p w14:paraId="104D435C">
      <w:pPr>
        <w:bidi w:val="0"/>
        <w:rPr>
          <w:rFonts w:hint="eastAsia" w:ascii="宋体" w:hAnsi="宋体" w:eastAsia="宋体" w:cs="宋体"/>
          <w:color w:val="auto"/>
          <w:highlight w:val="none"/>
        </w:rPr>
      </w:pPr>
      <w:r>
        <w:rPr>
          <w:rFonts w:hint="eastAsia" w:ascii="宋体" w:hAnsi="宋体" w:eastAsia="宋体" w:cs="宋体"/>
          <w:color w:val="auto"/>
          <w:highlight w:val="none"/>
        </w:rPr>
        <w:t>3、我方保证甲方在使用该产品或其任何一部分时，不受第三方提出的侵犯专利权、著作权、商标权和工业设计权等知识产权的起诉，若有违犯，愿承担相应的一切责任。</w:t>
      </w:r>
    </w:p>
    <w:p w14:paraId="021BA961">
      <w:pPr>
        <w:bidi w:val="0"/>
        <w:rPr>
          <w:rFonts w:hint="eastAsia" w:ascii="宋体" w:hAnsi="宋体" w:eastAsia="宋体" w:cs="宋体"/>
          <w:color w:val="auto"/>
          <w:highlight w:val="none"/>
        </w:rPr>
      </w:pPr>
      <w:r>
        <w:rPr>
          <w:rFonts w:hint="eastAsia" w:ascii="宋体" w:hAnsi="宋体" w:eastAsia="宋体" w:cs="宋体"/>
          <w:color w:val="auto"/>
          <w:highlight w:val="none"/>
        </w:rPr>
        <w:t>4、我方承诺，除招标文件中规定的进口产品外，所投的产品均为国产产品，且均符合国家强制性标准。若有不实，愿承担相应的责任。</w:t>
      </w:r>
    </w:p>
    <w:p w14:paraId="013305A3">
      <w:pPr>
        <w:bidi w:val="0"/>
        <w:rPr>
          <w:rFonts w:hint="eastAsia" w:ascii="宋体" w:hAnsi="宋体" w:eastAsia="宋体" w:cs="宋体"/>
          <w:color w:val="auto"/>
          <w:highlight w:val="none"/>
        </w:rPr>
      </w:pPr>
      <w:r>
        <w:rPr>
          <w:rFonts w:hint="eastAsia" w:ascii="宋体" w:hAnsi="宋体" w:eastAsia="宋体" w:cs="宋体"/>
          <w:color w:val="auto"/>
          <w:highlight w:val="none"/>
        </w:rPr>
        <w:t>5、针对本项目，我方承诺具备履行合同所</w:t>
      </w:r>
      <w:r>
        <w:rPr>
          <w:rFonts w:hint="eastAsia" w:ascii="宋体" w:hAnsi="宋体" w:cs="宋体"/>
          <w:color w:val="auto"/>
          <w:highlight w:val="none"/>
          <w:lang w:val="en-US" w:eastAsia="zh-CN"/>
        </w:rPr>
        <w:t>必须</w:t>
      </w:r>
      <w:r>
        <w:rPr>
          <w:rFonts w:hint="eastAsia" w:ascii="宋体" w:hAnsi="宋体" w:eastAsia="宋体" w:cs="宋体"/>
          <w:color w:val="auto"/>
          <w:highlight w:val="none"/>
        </w:rPr>
        <w:t>的设备和专业技术能力。</w:t>
      </w:r>
    </w:p>
    <w:p w14:paraId="3DF57A3F">
      <w:pPr>
        <w:bidi w:val="0"/>
        <w:rPr>
          <w:rFonts w:hint="eastAsia" w:ascii="宋体" w:hAnsi="宋体" w:eastAsia="宋体" w:cs="宋体"/>
          <w:color w:val="auto"/>
          <w:highlight w:val="none"/>
        </w:rPr>
      </w:pPr>
      <w:r>
        <w:rPr>
          <w:rFonts w:hint="eastAsia" w:ascii="宋体" w:hAnsi="宋体" w:eastAsia="宋体" w:cs="宋体"/>
          <w:color w:val="auto"/>
          <w:highlight w:val="none"/>
        </w:rPr>
        <w:t>6、在整个磋商过程中我方若有违规行为，贵方可按磋商文件之规定给予处罚，我方完全接受。</w:t>
      </w:r>
    </w:p>
    <w:p w14:paraId="56175FAA">
      <w:pPr>
        <w:bidi w:val="0"/>
        <w:rPr>
          <w:rFonts w:hint="eastAsia" w:ascii="宋体" w:hAnsi="宋体" w:eastAsia="宋体" w:cs="宋体"/>
          <w:color w:val="auto"/>
          <w:highlight w:val="none"/>
        </w:rPr>
      </w:pPr>
      <w:r>
        <w:rPr>
          <w:rFonts w:hint="eastAsia" w:ascii="宋体" w:hAnsi="宋体" w:eastAsia="宋体" w:cs="宋体"/>
          <w:color w:val="auto"/>
          <w:highlight w:val="none"/>
        </w:rPr>
        <w:t>7、若成交，本承诺将成为合同不可分割的一部分，与合同具有同等的法律效力。</w:t>
      </w:r>
    </w:p>
    <w:p w14:paraId="48604158">
      <w:pPr>
        <w:bidi w:val="0"/>
        <w:rPr>
          <w:rFonts w:hint="eastAsia" w:ascii="宋体" w:hAnsi="宋体" w:eastAsia="宋体" w:cs="宋体"/>
          <w:color w:val="auto"/>
          <w:highlight w:val="none"/>
        </w:rPr>
      </w:pPr>
    </w:p>
    <w:p w14:paraId="18896032">
      <w:pPr>
        <w:bidi w:val="0"/>
        <w:rPr>
          <w:rFonts w:hint="eastAsia" w:ascii="宋体" w:hAnsi="宋体" w:eastAsia="宋体" w:cs="宋体"/>
          <w:color w:val="auto"/>
          <w:highlight w:val="none"/>
          <w:lang w:val="zh-CN"/>
        </w:rPr>
      </w:pPr>
    </w:p>
    <w:p w14:paraId="56C79B5E">
      <w:pPr>
        <w:bidi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供应商：</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（公章）</w:t>
      </w:r>
    </w:p>
    <w:p w14:paraId="29B197B5">
      <w:pPr>
        <w:bidi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法定代表人或委托代理人：</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（签字或盖章）</w:t>
      </w:r>
    </w:p>
    <w:p w14:paraId="117B1D7A">
      <w:pPr>
        <w:bidi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年</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 xml:space="preserve"> 月 </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日</w:t>
      </w:r>
    </w:p>
    <w:p w14:paraId="21C9B2F3">
      <w:pPr>
        <w:pStyle w:val="35"/>
        <w:ind w:firstLine="482"/>
        <w:rPr>
          <w:rFonts w:hint="eastAsia" w:ascii="宋体" w:hAnsi="宋体" w:eastAsia="宋体" w:cs="宋体"/>
          <w:b/>
          <w:bCs/>
          <w:color w:val="auto"/>
          <w:highlight w:val="none"/>
          <w:lang w:val="zh-CN"/>
        </w:rPr>
      </w:pPr>
    </w:p>
    <w:p w14:paraId="75E6B700">
      <w:pPr>
        <w:pStyle w:val="35"/>
        <w:ind w:firstLine="482"/>
        <w:rPr>
          <w:rFonts w:hint="eastAsia" w:ascii="宋体" w:hAnsi="宋体" w:eastAsia="宋体" w:cs="宋体"/>
          <w:b/>
          <w:bCs/>
          <w:color w:val="auto"/>
          <w:highlight w:val="none"/>
          <w:lang w:val="zh-CN"/>
        </w:rPr>
      </w:pPr>
    </w:p>
    <w:p w14:paraId="4173BD7C">
      <w:pPr>
        <w:rPr>
          <w:rFonts w:hint="eastAsia" w:ascii="宋体" w:hAnsi="宋体" w:eastAsia="宋体" w:cs="宋体"/>
          <w:b/>
          <w:bCs/>
          <w:color w:val="auto"/>
          <w:highlight w:val="none"/>
        </w:rPr>
      </w:pPr>
    </w:p>
    <w:p w14:paraId="70B6FFCE">
      <w:pPr>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54478155">
      <w:pPr>
        <w:bidi w:val="0"/>
        <w:ind w:left="0" w:leftChars="0"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附件9.1：单位负责人为同一人或者存在直接控股、管理关系的不同</w:t>
      </w:r>
      <w:r>
        <w:rPr>
          <w:rFonts w:hint="eastAsia" w:ascii="宋体" w:hAnsi="宋体" w:eastAsia="宋体" w:cs="宋体"/>
          <w:b/>
          <w:bCs/>
          <w:color w:val="auto"/>
          <w:highlight w:val="none"/>
          <w:lang w:val="en-US" w:eastAsia="zh-CN"/>
        </w:rPr>
        <w:t>供应商</w:t>
      </w:r>
      <w:r>
        <w:rPr>
          <w:rFonts w:hint="eastAsia" w:ascii="宋体" w:hAnsi="宋体" w:eastAsia="宋体" w:cs="宋体"/>
          <w:b/>
          <w:bCs/>
          <w:color w:val="auto"/>
          <w:highlight w:val="none"/>
        </w:rPr>
        <w:t>，不得参加同一合同项下的政府采购活动的承诺函。</w:t>
      </w:r>
    </w:p>
    <w:p w14:paraId="0235D5BD">
      <w:pPr>
        <w:bidi w:val="0"/>
        <w:rPr>
          <w:rFonts w:hint="eastAsia" w:ascii="宋体" w:hAnsi="宋体" w:eastAsia="宋体" w:cs="宋体"/>
          <w:color w:val="auto"/>
          <w:highlight w:val="none"/>
        </w:rPr>
      </w:pPr>
    </w:p>
    <w:p w14:paraId="2D3956F9">
      <w:pPr>
        <w:bidi w:val="0"/>
        <w:rPr>
          <w:rFonts w:hint="eastAsia" w:ascii="宋体" w:hAnsi="宋体" w:eastAsia="宋体" w:cs="宋体"/>
          <w:color w:val="auto"/>
          <w:highlight w:val="none"/>
        </w:rPr>
      </w:pPr>
    </w:p>
    <w:p w14:paraId="3BD282A2">
      <w:pPr>
        <w:bidi w:val="0"/>
        <w:rPr>
          <w:rFonts w:hint="eastAsia" w:ascii="宋体" w:hAnsi="宋体" w:eastAsia="宋体" w:cs="宋体"/>
          <w:color w:val="auto"/>
          <w:highlight w:val="none"/>
        </w:rPr>
      </w:pPr>
      <w:bookmarkStart w:id="150" w:name="_Toc5930"/>
      <w:bookmarkStart w:id="151" w:name="_Toc74901838"/>
      <w:bookmarkStart w:id="152" w:name="_Toc69898412"/>
      <w:bookmarkStart w:id="153" w:name="_Toc83829270"/>
      <w:r>
        <w:rPr>
          <w:rFonts w:hint="eastAsia" w:ascii="宋体" w:hAnsi="宋体" w:eastAsia="宋体" w:cs="宋体"/>
          <w:color w:val="auto"/>
          <w:highlight w:val="none"/>
        </w:rPr>
        <w:t>格式自拟。</w:t>
      </w:r>
      <w:bookmarkEnd w:id="150"/>
      <w:bookmarkEnd w:id="151"/>
      <w:bookmarkEnd w:id="152"/>
      <w:bookmarkEnd w:id="153"/>
    </w:p>
    <w:p w14:paraId="6A06A7AE">
      <w:pPr>
        <w:bidi w:val="0"/>
        <w:rPr>
          <w:rFonts w:hint="eastAsia" w:ascii="宋体" w:hAnsi="宋体" w:eastAsia="宋体" w:cs="宋体"/>
          <w:color w:val="auto"/>
          <w:highlight w:val="none"/>
        </w:rPr>
      </w:pPr>
    </w:p>
    <w:p w14:paraId="5C8DE956">
      <w:pPr>
        <w:bidi w:val="0"/>
        <w:rPr>
          <w:rFonts w:hint="eastAsia" w:ascii="宋体" w:hAnsi="宋体" w:eastAsia="宋体" w:cs="宋体"/>
          <w:color w:val="auto"/>
          <w:highlight w:val="none"/>
        </w:rPr>
      </w:pPr>
    </w:p>
    <w:p w14:paraId="184D992C">
      <w:pPr>
        <w:bidi w:val="0"/>
        <w:rPr>
          <w:rFonts w:hint="eastAsia" w:ascii="宋体" w:hAnsi="宋体" w:eastAsia="宋体" w:cs="宋体"/>
          <w:color w:val="auto"/>
          <w:highlight w:val="none"/>
        </w:rPr>
      </w:pPr>
    </w:p>
    <w:p w14:paraId="46ABBFDE">
      <w:pPr>
        <w:bidi w:val="0"/>
        <w:ind w:left="0" w:leftChars="0"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附件9.2：为本采购项目提供整体设计、规范编制或者项目管理、监理、检测等服务的</w:t>
      </w:r>
      <w:r>
        <w:rPr>
          <w:rFonts w:hint="eastAsia" w:ascii="宋体" w:hAnsi="宋体" w:eastAsia="宋体" w:cs="宋体"/>
          <w:b/>
          <w:bCs/>
          <w:color w:val="auto"/>
          <w:highlight w:val="none"/>
          <w:lang w:val="en-US" w:eastAsia="zh-CN"/>
        </w:rPr>
        <w:t>供应商</w:t>
      </w:r>
      <w:r>
        <w:rPr>
          <w:rFonts w:hint="eastAsia" w:ascii="宋体" w:hAnsi="宋体" w:eastAsia="宋体" w:cs="宋体"/>
          <w:b/>
          <w:bCs/>
          <w:color w:val="auto"/>
          <w:highlight w:val="none"/>
        </w:rPr>
        <w:t>，不得再参加该采购项目的其他采购活动的承诺函。</w:t>
      </w:r>
    </w:p>
    <w:p w14:paraId="4D1DEE32">
      <w:pPr>
        <w:bidi w:val="0"/>
        <w:rPr>
          <w:rFonts w:hint="eastAsia" w:ascii="宋体" w:hAnsi="宋体" w:eastAsia="宋体" w:cs="宋体"/>
          <w:color w:val="auto"/>
          <w:highlight w:val="none"/>
        </w:rPr>
      </w:pPr>
    </w:p>
    <w:p w14:paraId="16133845">
      <w:pPr>
        <w:bidi w:val="0"/>
        <w:rPr>
          <w:rFonts w:hint="eastAsia" w:ascii="宋体" w:hAnsi="宋体" w:eastAsia="宋体" w:cs="宋体"/>
          <w:color w:val="auto"/>
          <w:highlight w:val="none"/>
        </w:rPr>
      </w:pPr>
    </w:p>
    <w:p w14:paraId="6D2D7B9C">
      <w:pPr>
        <w:bidi w:val="0"/>
        <w:rPr>
          <w:rFonts w:hint="eastAsia" w:ascii="宋体" w:hAnsi="宋体" w:eastAsia="宋体" w:cs="宋体"/>
          <w:color w:val="auto"/>
          <w:highlight w:val="none"/>
        </w:rPr>
      </w:pPr>
      <w:r>
        <w:rPr>
          <w:rFonts w:hint="eastAsia" w:ascii="宋体" w:hAnsi="宋体" w:eastAsia="宋体" w:cs="宋体"/>
          <w:color w:val="auto"/>
          <w:highlight w:val="none"/>
        </w:rPr>
        <w:t>格式自拟。</w:t>
      </w:r>
    </w:p>
    <w:p w14:paraId="0AFA8A71">
      <w:pPr>
        <w:bidi w:val="0"/>
        <w:rPr>
          <w:rFonts w:hint="eastAsia" w:ascii="宋体" w:hAnsi="宋体" w:eastAsia="宋体" w:cs="宋体"/>
          <w:color w:val="auto"/>
          <w:highlight w:val="none"/>
        </w:rPr>
      </w:pPr>
    </w:p>
    <w:p w14:paraId="21CFDBE3">
      <w:pPr>
        <w:bidi w:val="0"/>
        <w:rPr>
          <w:rFonts w:hint="eastAsia" w:ascii="宋体" w:hAnsi="宋体" w:eastAsia="宋体" w:cs="宋体"/>
          <w:color w:val="auto"/>
          <w:highlight w:val="none"/>
        </w:rPr>
      </w:pPr>
    </w:p>
    <w:p w14:paraId="43905CAA">
      <w:pPr>
        <w:bidi w:val="0"/>
        <w:rPr>
          <w:rFonts w:hint="eastAsia" w:ascii="宋体" w:hAnsi="宋体" w:eastAsia="宋体" w:cs="宋体"/>
          <w:color w:val="auto"/>
          <w:highlight w:val="none"/>
        </w:rPr>
      </w:pPr>
    </w:p>
    <w:p w14:paraId="7EA60790">
      <w:pPr>
        <w:bidi w:val="0"/>
        <w:rPr>
          <w:rFonts w:hint="eastAsia" w:ascii="宋体" w:hAnsi="宋体" w:eastAsia="宋体" w:cs="宋体"/>
          <w:color w:val="auto"/>
          <w:highlight w:val="none"/>
        </w:rPr>
      </w:pPr>
    </w:p>
    <w:p w14:paraId="535CF5E9">
      <w:pPr>
        <w:bidi w:val="0"/>
        <w:rPr>
          <w:rFonts w:hint="eastAsia" w:ascii="宋体" w:hAnsi="宋体" w:eastAsia="宋体" w:cs="宋体"/>
          <w:color w:val="auto"/>
          <w:highlight w:val="none"/>
        </w:rPr>
      </w:pPr>
    </w:p>
    <w:p w14:paraId="38F7E71A">
      <w:pPr>
        <w:bidi w:val="0"/>
        <w:rPr>
          <w:rFonts w:hint="eastAsia" w:ascii="宋体" w:hAnsi="宋体" w:eastAsia="宋体" w:cs="宋体"/>
          <w:color w:val="auto"/>
          <w:highlight w:val="none"/>
        </w:rPr>
      </w:pPr>
      <w:bookmarkStart w:id="154" w:name="_Toc25458"/>
    </w:p>
    <w:p w14:paraId="28EA902F">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E0C4BB1">
      <w:pPr>
        <w:pStyle w:val="5"/>
        <w:bidi w:val="0"/>
        <w:jc w:val="both"/>
        <w:rPr>
          <w:rFonts w:hint="eastAsia" w:ascii="宋体" w:hAnsi="宋体" w:eastAsia="宋体" w:cs="宋体"/>
          <w:color w:val="auto"/>
          <w:highlight w:val="none"/>
        </w:rPr>
      </w:pPr>
      <w:bookmarkStart w:id="155" w:name="_Toc16053"/>
      <w:r>
        <w:rPr>
          <w:rFonts w:hint="eastAsia" w:ascii="宋体" w:hAnsi="宋体" w:eastAsia="宋体" w:cs="宋体"/>
          <w:color w:val="auto"/>
          <w:highlight w:val="none"/>
        </w:rPr>
        <w:t>附件</w:t>
      </w:r>
      <w:bookmarkStart w:id="156" w:name="_Toc365019584"/>
      <w:bookmarkStart w:id="157" w:name="_Toc376936779"/>
      <w:bookmarkStart w:id="158" w:name="_Toc351475542"/>
      <w:r>
        <w:rPr>
          <w:rFonts w:hint="eastAsia" w:ascii="宋体" w:hAnsi="宋体" w:eastAsia="宋体" w:cs="宋体"/>
          <w:color w:val="auto"/>
          <w:highlight w:val="none"/>
        </w:rPr>
        <w:t>10：供应商诚信承诺书</w:t>
      </w:r>
      <w:bookmarkEnd w:id="154"/>
      <w:bookmarkEnd w:id="155"/>
      <w:bookmarkEnd w:id="156"/>
      <w:bookmarkEnd w:id="157"/>
      <w:bookmarkEnd w:id="158"/>
    </w:p>
    <w:p w14:paraId="4FB5D9EC">
      <w:pPr>
        <w:bidi w:val="0"/>
        <w:ind w:left="0" w:leftChars="0" w:firstLine="0" w:firstLineChars="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供应商诚信承诺书</w:t>
      </w:r>
    </w:p>
    <w:p w14:paraId="47054592">
      <w:pPr>
        <w:bidi w:val="0"/>
        <w:ind w:left="0" w:leftChars="0" w:firstLine="0" w:firstLineChars="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致：</w:t>
      </w:r>
      <w:r>
        <w:rPr>
          <w:rFonts w:hint="eastAsia" w:ascii="宋体" w:hAnsi="宋体" w:cs="宋体"/>
          <w:b/>
          <w:bCs/>
          <w:color w:val="auto"/>
          <w:highlight w:val="none"/>
          <w:lang w:eastAsia="zh-CN"/>
        </w:rPr>
        <w:t>海东乐都区乐欣中堃项目管理有限公司</w:t>
      </w:r>
    </w:p>
    <w:p w14:paraId="7A48A461">
      <w:pPr>
        <w:bidi w:val="0"/>
        <w:rPr>
          <w:rFonts w:hint="eastAsia" w:ascii="宋体" w:hAnsi="宋体" w:eastAsia="宋体" w:cs="宋体"/>
          <w:color w:val="auto"/>
          <w:highlight w:val="none"/>
        </w:rPr>
      </w:pPr>
      <w:r>
        <w:rPr>
          <w:rFonts w:hint="eastAsia" w:ascii="宋体" w:hAnsi="宋体" w:eastAsia="宋体" w:cs="宋体"/>
          <w:color w:val="auto"/>
          <w:highlight w:val="none"/>
        </w:rPr>
        <w:t>为了诚实、客观、有序地参与青海省政府采购活动，愿就以下内容作出承诺：</w:t>
      </w:r>
    </w:p>
    <w:p w14:paraId="381841CE">
      <w:pPr>
        <w:bidi w:val="0"/>
        <w:rPr>
          <w:rFonts w:hint="eastAsia" w:ascii="宋体" w:hAnsi="宋体" w:eastAsia="宋体" w:cs="宋体"/>
          <w:color w:val="auto"/>
          <w:highlight w:val="none"/>
        </w:rPr>
      </w:pPr>
      <w:r>
        <w:rPr>
          <w:rFonts w:hint="eastAsia" w:ascii="宋体" w:hAnsi="宋体" w:eastAsia="宋体" w:cs="宋体"/>
          <w:color w:val="auto"/>
          <w:highlight w:val="none"/>
        </w:rPr>
        <w:t>一、自觉遵守各项法律、法规、规章、制度以及社会公德，维护廉洁环境，与同场竞争的供应商平等参加政府采购活动。</w:t>
      </w:r>
    </w:p>
    <w:p w14:paraId="1F9F95DA">
      <w:pPr>
        <w:bidi w:val="0"/>
        <w:rPr>
          <w:rFonts w:hint="eastAsia" w:ascii="宋体" w:hAnsi="宋体" w:eastAsia="宋体" w:cs="宋体"/>
          <w:color w:val="auto"/>
          <w:highlight w:val="none"/>
        </w:rPr>
      </w:pPr>
      <w:r>
        <w:rPr>
          <w:rFonts w:hint="eastAsia" w:ascii="宋体" w:hAnsi="宋体" w:eastAsia="宋体" w:cs="宋体"/>
          <w:color w:val="auto"/>
          <w:highlight w:val="none"/>
        </w:rPr>
        <w:t>二、参加</w:t>
      </w:r>
      <w:r>
        <w:rPr>
          <w:rFonts w:hint="eastAsia" w:ascii="宋体" w:hAnsi="宋体" w:cs="宋体"/>
          <w:color w:val="auto"/>
          <w:highlight w:val="none"/>
          <w:lang w:eastAsia="zh-CN"/>
        </w:rPr>
        <w:t>海东乐都区乐欣中堃项目管理有限公司</w:t>
      </w:r>
      <w:r>
        <w:rPr>
          <w:rFonts w:hint="eastAsia" w:ascii="宋体" w:hAnsi="宋体" w:eastAsia="宋体" w:cs="宋体"/>
          <w:color w:val="auto"/>
          <w:highlight w:val="none"/>
        </w:rPr>
        <w:t>组织的政府采购活动时，严格按照磋商文件的规定和要求提供所需的相关材料，并对所提供的各类资料的真实性负责，不虚假应标，不虚列业绩。</w:t>
      </w:r>
    </w:p>
    <w:p w14:paraId="1AD5A4D4">
      <w:pPr>
        <w:bidi w:val="0"/>
        <w:rPr>
          <w:rFonts w:hint="eastAsia" w:ascii="宋体" w:hAnsi="宋体" w:eastAsia="宋体" w:cs="宋体"/>
          <w:color w:val="auto"/>
          <w:highlight w:val="none"/>
        </w:rPr>
      </w:pPr>
      <w:r>
        <w:rPr>
          <w:rFonts w:hint="eastAsia" w:ascii="宋体" w:hAnsi="宋体" w:eastAsia="宋体" w:cs="宋体"/>
          <w:color w:val="auto"/>
          <w:highlight w:val="none"/>
        </w:rPr>
        <w:t>三、尊重参与政府采购活动各相关方的合法行为，接受政府采购活动依法形成的意见、结果。</w:t>
      </w:r>
    </w:p>
    <w:p w14:paraId="010A2818">
      <w:pPr>
        <w:bidi w:val="0"/>
        <w:rPr>
          <w:rFonts w:hint="eastAsia" w:ascii="宋体" w:hAnsi="宋体" w:eastAsia="宋体" w:cs="宋体"/>
          <w:color w:val="auto"/>
          <w:highlight w:val="none"/>
        </w:rPr>
      </w:pPr>
      <w:r>
        <w:rPr>
          <w:rFonts w:hint="eastAsia" w:ascii="宋体" w:hAnsi="宋体" w:eastAsia="宋体" w:cs="宋体"/>
          <w:color w:val="auto"/>
          <w:highlight w:val="none"/>
        </w:rPr>
        <w:t>四、依法参加政府采购活动，不围标、串标，维护市场秩序，不提供“三无”产品、以次充好。</w:t>
      </w:r>
    </w:p>
    <w:p w14:paraId="53304EDD">
      <w:pPr>
        <w:bidi w:val="0"/>
        <w:rPr>
          <w:rFonts w:hint="eastAsia" w:ascii="宋体" w:hAnsi="宋体" w:eastAsia="宋体" w:cs="宋体"/>
          <w:color w:val="auto"/>
          <w:highlight w:val="none"/>
        </w:rPr>
      </w:pPr>
      <w:r>
        <w:rPr>
          <w:rFonts w:hint="eastAsia" w:ascii="宋体" w:hAnsi="宋体" w:eastAsia="宋体" w:cs="宋体"/>
          <w:color w:val="auto"/>
          <w:highlight w:val="none"/>
        </w:rPr>
        <w:t>五、积极推动政府采购活动健康开展，对采购活动有疑问、异议时，按法律规定的程序实名（加盖单位章和法定代表人签名）反映情况，不恶意中伤、无事生非，以和谐、平等的心态参加政府采购活动。</w:t>
      </w:r>
    </w:p>
    <w:p w14:paraId="65FE35C1">
      <w:pPr>
        <w:bidi w:val="0"/>
        <w:rPr>
          <w:rFonts w:hint="eastAsia" w:ascii="宋体" w:hAnsi="宋体" w:eastAsia="宋体" w:cs="宋体"/>
          <w:color w:val="auto"/>
          <w:highlight w:val="none"/>
        </w:rPr>
      </w:pPr>
      <w:r>
        <w:rPr>
          <w:rFonts w:hint="eastAsia" w:ascii="宋体" w:hAnsi="宋体" w:eastAsia="宋体" w:cs="宋体"/>
          <w:color w:val="auto"/>
          <w:highlight w:val="none"/>
        </w:rPr>
        <w:t>六、认真履行成交供应商应承担的责任和义务，全面执行采购合同规定的各项内容，保质保量地按时提供采购服务。</w:t>
      </w:r>
    </w:p>
    <w:p w14:paraId="30A3CCB8">
      <w:pPr>
        <w:bidi w:val="0"/>
        <w:rPr>
          <w:rFonts w:hint="eastAsia" w:ascii="宋体" w:hAnsi="宋体" w:eastAsia="宋体" w:cs="宋体"/>
          <w:color w:val="auto"/>
          <w:highlight w:val="none"/>
        </w:rPr>
      </w:pPr>
      <w:r>
        <w:rPr>
          <w:rFonts w:hint="eastAsia" w:ascii="宋体" w:hAnsi="宋体" w:eastAsia="宋体" w:cs="宋体"/>
          <w:color w:val="auto"/>
          <w:highlight w:val="none"/>
        </w:rPr>
        <w:t>若本企业（单位）发生有悖于上述承诺的行为，愿意接受《中华人民共和国政府采购法》和《政府采购法实施条例》中对供应商的相关处理。</w:t>
      </w:r>
    </w:p>
    <w:p w14:paraId="15E31C1C">
      <w:pPr>
        <w:bidi w:val="0"/>
        <w:rPr>
          <w:rFonts w:hint="eastAsia" w:ascii="宋体" w:hAnsi="宋体" w:eastAsia="宋体" w:cs="宋体"/>
          <w:color w:val="auto"/>
          <w:highlight w:val="none"/>
        </w:rPr>
      </w:pPr>
      <w:r>
        <w:rPr>
          <w:rFonts w:hint="eastAsia" w:ascii="宋体" w:hAnsi="宋体" w:eastAsia="宋体" w:cs="宋体"/>
          <w:color w:val="auto"/>
          <w:highlight w:val="none"/>
        </w:rPr>
        <w:t>本承诺是采购项目磋商响应文件的组成部分。</w:t>
      </w:r>
    </w:p>
    <w:p w14:paraId="463AF9DC">
      <w:pPr>
        <w:bidi w:val="0"/>
        <w:rPr>
          <w:rFonts w:hint="eastAsia" w:ascii="宋体" w:hAnsi="宋体" w:eastAsia="宋体" w:cs="宋体"/>
          <w:color w:val="auto"/>
          <w:highlight w:val="none"/>
        </w:rPr>
      </w:pPr>
    </w:p>
    <w:p w14:paraId="7DA1920A">
      <w:pPr>
        <w:bidi w:val="0"/>
        <w:rPr>
          <w:rFonts w:hint="eastAsia" w:ascii="宋体" w:hAnsi="宋体" w:eastAsia="宋体" w:cs="宋体"/>
          <w:color w:val="auto"/>
          <w:highlight w:val="none"/>
        </w:rPr>
      </w:pPr>
    </w:p>
    <w:p w14:paraId="3CED22BC">
      <w:pPr>
        <w:bidi w:val="0"/>
        <w:jc w:val="center"/>
        <w:rPr>
          <w:rFonts w:hint="eastAsia" w:ascii="宋体" w:hAnsi="宋体" w:eastAsia="宋体" w:cs="宋体"/>
          <w:b/>
          <w:bCs/>
          <w:color w:val="auto"/>
          <w:highlight w:val="none"/>
          <w:lang w:val="zh-CN"/>
        </w:rPr>
      </w:pPr>
      <w:bookmarkStart w:id="159" w:name="_Toc23931"/>
      <w:r>
        <w:rPr>
          <w:rFonts w:hint="eastAsia" w:ascii="宋体" w:hAnsi="宋体" w:eastAsia="宋体" w:cs="宋体"/>
          <w:b/>
          <w:bCs/>
          <w:color w:val="auto"/>
          <w:highlight w:val="none"/>
          <w:lang w:val="zh-CN"/>
        </w:rPr>
        <w:t>供应商：</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（公章）</w:t>
      </w:r>
    </w:p>
    <w:p w14:paraId="7609291B">
      <w:pPr>
        <w:bidi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法定代表人或委托代理人：</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（签字或盖章）</w:t>
      </w:r>
    </w:p>
    <w:p w14:paraId="70E6BD67">
      <w:pPr>
        <w:bidi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年</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 xml:space="preserve"> 月 </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日</w:t>
      </w:r>
    </w:p>
    <w:p w14:paraId="423D1DD0">
      <w:pPr>
        <w:bidi w:val="0"/>
        <w:rPr>
          <w:rFonts w:hint="eastAsia" w:ascii="宋体" w:hAnsi="宋体" w:eastAsia="宋体" w:cs="宋体"/>
          <w:color w:val="auto"/>
          <w:highlight w:val="none"/>
        </w:rPr>
      </w:pPr>
    </w:p>
    <w:p w14:paraId="2E01EA76">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9434732">
      <w:pPr>
        <w:pStyle w:val="5"/>
        <w:bidi w:val="0"/>
        <w:jc w:val="both"/>
        <w:rPr>
          <w:rFonts w:hint="eastAsia" w:ascii="宋体" w:hAnsi="宋体" w:eastAsia="宋体" w:cs="宋体"/>
          <w:color w:val="auto"/>
          <w:highlight w:val="none"/>
        </w:rPr>
      </w:pPr>
      <w:bookmarkStart w:id="160" w:name="_Toc5643"/>
      <w:r>
        <w:rPr>
          <w:rFonts w:hint="eastAsia" w:ascii="宋体" w:hAnsi="宋体" w:eastAsia="宋体" w:cs="宋体"/>
          <w:color w:val="auto"/>
          <w:highlight w:val="none"/>
        </w:rPr>
        <w:t>附件11：资格证明材料</w:t>
      </w:r>
      <w:bookmarkEnd w:id="159"/>
      <w:bookmarkEnd w:id="160"/>
    </w:p>
    <w:p w14:paraId="52AEF5FF">
      <w:pPr>
        <w:bidi w:val="0"/>
        <w:rPr>
          <w:rFonts w:hint="eastAsia" w:ascii="宋体" w:hAnsi="宋体" w:eastAsia="宋体" w:cs="宋体"/>
          <w:color w:val="auto"/>
          <w:highlight w:val="none"/>
        </w:rPr>
      </w:pPr>
    </w:p>
    <w:p w14:paraId="6BCC37A6">
      <w:pPr>
        <w:bidi w:val="0"/>
        <w:ind w:left="0" w:leftChars="0" w:firstLine="0" w:firstLineChars="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资格证明材料</w:t>
      </w:r>
    </w:p>
    <w:p w14:paraId="68662971">
      <w:pPr>
        <w:bidi w:val="0"/>
        <w:ind w:left="0" w:leftChars="0"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资格证明材料包括：</w:t>
      </w:r>
    </w:p>
    <w:p w14:paraId="6936A8D9">
      <w:pPr>
        <w:bidi w:val="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提供有效的营业执照、税务登记证、机构代码证或三证（五证）合一统一社会代码证及其他资格证明文件（扫描或复印件）；</w:t>
      </w:r>
    </w:p>
    <w:p w14:paraId="76F3BF20">
      <w:pPr>
        <w:bidi w:val="0"/>
        <w:rPr>
          <w:rFonts w:hint="eastAsia" w:ascii="宋体" w:hAnsi="宋体" w:eastAsia="宋体" w:cs="宋体"/>
          <w:color w:val="auto"/>
          <w:highlight w:val="none"/>
        </w:rPr>
      </w:pPr>
      <w:r>
        <w:rPr>
          <w:rFonts w:hint="eastAsia" w:ascii="宋体" w:hAnsi="宋体" w:eastAsia="宋体" w:cs="宋体"/>
          <w:color w:val="auto"/>
          <w:highlight w:val="none"/>
        </w:rPr>
        <w:t>企业法人需提交“统一社会信用代码的营业执照”，未换证的提交“营业执照、组织机构代码证、税务登记证”；事业法人需提交“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社会团体法人登记证书”或“民办非企业单位登记证书”或“基金会法人登记证书”和“组织机构代码证”；个体工商户需提交“统一社会信用代码的营业执照”或“营业执照、税务登记证”；自然人需提交身份证明。</w:t>
      </w:r>
    </w:p>
    <w:p w14:paraId="2DF8968D">
      <w:pPr>
        <w:bidi w:val="0"/>
        <w:rPr>
          <w:rFonts w:hint="eastAsia" w:ascii="宋体" w:hAnsi="宋体" w:eastAsia="宋体" w:cs="宋体"/>
          <w:color w:val="auto"/>
          <w:highlight w:val="none"/>
        </w:rPr>
      </w:pPr>
      <w:r>
        <w:rPr>
          <w:rFonts w:hint="eastAsia" w:ascii="宋体" w:hAnsi="宋体" w:eastAsia="宋体" w:cs="宋体"/>
          <w:color w:val="auto"/>
          <w:highlight w:val="none"/>
        </w:rPr>
        <w:t>（2）磋商文件规定的有关资格证书、许可证书、认证等；</w:t>
      </w:r>
    </w:p>
    <w:p w14:paraId="2CA795D9">
      <w:pPr>
        <w:bidi w:val="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认为有必要提供的其他资格证明文件。</w:t>
      </w:r>
    </w:p>
    <w:p w14:paraId="29B4F38E">
      <w:pPr>
        <w:pStyle w:val="27"/>
        <w:rPr>
          <w:rFonts w:hint="eastAsia"/>
          <w:b/>
          <w:bCs/>
        </w:rPr>
      </w:pPr>
      <w:r>
        <w:rPr>
          <w:rFonts w:hint="eastAsia" w:ascii="宋体" w:hAnsi="宋体" w:cs="宋体"/>
          <w:b/>
          <w:bCs/>
          <w:color w:val="auto"/>
          <w:highlight w:val="none"/>
          <w:lang w:val="en-US" w:eastAsia="zh-CN"/>
        </w:rPr>
        <w:t>（分支机构参与本项目政府采购活动须提供总公司针对本项目的授权,同时提供总公司和分支机构营业执照副本复印件。（银行、保险、电信、电力、石油石化、邮政、铁路等特殊行业，可出具总公司的有关文件或制度等能够证明总公司授权其独立开展业务的证明））</w:t>
      </w:r>
    </w:p>
    <w:p w14:paraId="17ECE63D">
      <w:pPr>
        <w:bidi w:val="0"/>
        <w:rPr>
          <w:rFonts w:hint="eastAsia" w:ascii="宋体" w:hAnsi="宋体" w:eastAsia="宋体" w:cs="宋体"/>
          <w:color w:val="auto"/>
          <w:highlight w:val="none"/>
        </w:rPr>
      </w:pPr>
    </w:p>
    <w:p w14:paraId="18F2EE90">
      <w:pPr>
        <w:bidi w:val="0"/>
        <w:rPr>
          <w:rFonts w:hint="eastAsia" w:ascii="宋体" w:hAnsi="宋体" w:eastAsia="宋体" w:cs="宋体"/>
          <w:color w:val="auto"/>
          <w:highlight w:val="none"/>
        </w:rPr>
      </w:pPr>
    </w:p>
    <w:p w14:paraId="2CDD525D">
      <w:pPr>
        <w:bidi w:val="0"/>
        <w:rPr>
          <w:rFonts w:hint="eastAsia" w:ascii="宋体" w:hAnsi="宋体" w:eastAsia="宋体" w:cs="宋体"/>
          <w:color w:val="auto"/>
          <w:highlight w:val="none"/>
        </w:rPr>
      </w:pPr>
    </w:p>
    <w:p w14:paraId="15A8059E">
      <w:pPr>
        <w:bidi w:val="0"/>
        <w:rPr>
          <w:rFonts w:hint="eastAsia" w:ascii="宋体" w:hAnsi="宋体" w:eastAsia="宋体" w:cs="宋体"/>
          <w:color w:val="auto"/>
          <w:highlight w:val="none"/>
        </w:rPr>
      </w:pPr>
    </w:p>
    <w:p w14:paraId="79D19C89">
      <w:pPr>
        <w:bidi w:val="0"/>
        <w:rPr>
          <w:rFonts w:hint="eastAsia" w:ascii="宋体" w:hAnsi="宋体" w:eastAsia="宋体" w:cs="宋体"/>
          <w:color w:val="auto"/>
          <w:highlight w:val="none"/>
        </w:rPr>
      </w:pPr>
    </w:p>
    <w:p w14:paraId="5FAA15A8">
      <w:pPr>
        <w:bidi w:val="0"/>
        <w:rPr>
          <w:rFonts w:hint="eastAsia" w:ascii="宋体" w:hAnsi="宋体" w:eastAsia="宋体" w:cs="宋体"/>
          <w:color w:val="auto"/>
          <w:highlight w:val="none"/>
        </w:rPr>
      </w:pPr>
    </w:p>
    <w:p w14:paraId="67941292">
      <w:pPr>
        <w:bidi w:val="0"/>
        <w:rPr>
          <w:rFonts w:hint="eastAsia" w:ascii="宋体" w:hAnsi="宋体" w:eastAsia="宋体" w:cs="宋体"/>
          <w:color w:val="auto"/>
          <w:highlight w:val="none"/>
        </w:rPr>
      </w:pPr>
    </w:p>
    <w:p w14:paraId="6315FB1F">
      <w:pPr>
        <w:bidi w:val="0"/>
        <w:rPr>
          <w:rFonts w:hint="eastAsia" w:ascii="宋体" w:hAnsi="宋体" w:eastAsia="宋体" w:cs="宋体"/>
          <w:color w:val="auto"/>
          <w:highlight w:val="none"/>
        </w:rPr>
      </w:pPr>
    </w:p>
    <w:p w14:paraId="40F7F93A">
      <w:pPr>
        <w:bidi w:val="0"/>
        <w:rPr>
          <w:rFonts w:hint="eastAsia" w:ascii="宋体" w:hAnsi="宋体" w:eastAsia="宋体" w:cs="宋体"/>
          <w:color w:val="auto"/>
          <w:highlight w:val="none"/>
        </w:rPr>
      </w:pPr>
    </w:p>
    <w:p w14:paraId="4C9C98C9">
      <w:pPr>
        <w:bidi w:val="0"/>
        <w:rPr>
          <w:rFonts w:hint="eastAsia" w:ascii="宋体" w:hAnsi="宋体" w:eastAsia="宋体" w:cs="宋体"/>
          <w:color w:val="auto"/>
          <w:highlight w:val="none"/>
        </w:rPr>
      </w:pPr>
    </w:p>
    <w:p w14:paraId="3361F52B">
      <w:pPr>
        <w:rPr>
          <w:rFonts w:hint="eastAsia" w:ascii="宋体" w:hAnsi="宋体" w:eastAsia="宋体" w:cs="宋体"/>
          <w:color w:val="auto"/>
          <w:highlight w:val="none"/>
        </w:rPr>
      </w:pPr>
      <w:bookmarkStart w:id="161" w:name="_Toc32025"/>
    </w:p>
    <w:p w14:paraId="02BBDB06">
      <w:pPr>
        <w:pStyle w:val="5"/>
        <w:bidi w:val="0"/>
        <w:jc w:val="both"/>
        <w:rPr>
          <w:rFonts w:hint="eastAsia" w:ascii="宋体" w:hAnsi="宋体" w:eastAsia="宋体" w:cs="宋体"/>
          <w:color w:val="auto"/>
          <w:highlight w:val="none"/>
        </w:rPr>
      </w:pPr>
      <w:bookmarkStart w:id="162" w:name="_Toc26986"/>
      <w:r>
        <w:rPr>
          <w:rFonts w:hint="eastAsia" w:ascii="宋体" w:hAnsi="宋体" w:eastAsia="宋体" w:cs="宋体"/>
          <w:color w:val="auto"/>
          <w:highlight w:val="none"/>
        </w:rPr>
        <w:t>附件12：财务状况、缴纳税收和社会保障资金证明</w:t>
      </w:r>
      <w:bookmarkEnd w:id="161"/>
      <w:bookmarkEnd w:id="162"/>
    </w:p>
    <w:p w14:paraId="0C1C1E56">
      <w:pPr>
        <w:bidi w:val="0"/>
        <w:rPr>
          <w:rFonts w:hint="eastAsia" w:ascii="宋体" w:hAnsi="宋体" w:eastAsia="宋体" w:cs="宋体"/>
          <w:color w:val="auto"/>
          <w:highlight w:val="none"/>
        </w:rPr>
      </w:pPr>
    </w:p>
    <w:p w14:paraId="7F0D1B15">
      <w:pPr>
        <w:bidi w:val="0"/>
        <w:ind w:left="0" w:leftChars="0" w:firstLine="0" w:firstLineChars="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财务状况、缴纳税收和社会保障资金证明</w:t>
      </w:r>
    </w:p>
    <w:p w14:paraId="2600C815">
      <w:pPr>
        <w:bidi w:val="0"/>
        <w:rPr>
          <w:rFonts w:hint="eastAsia" w:ascii="宋体" w:hAnsi="宋体" w:eastAsia="宋体" w:cs="宋体"/>
          <w:color w:val="auto"/>
          <w:highlight w:val="none"/>
        </w:rPr>
      </w:pPr>
      <w:r>
        <w:rPr>
          <w:rFonts w:hint="eastAsia" w:ascii="宋体" w:hAnsi="宋体" w:eastAsia="宋体" w:cs="宋体"/>
          <w:color w:val="auto"/>
          <w:highlight w:val="none"/>
          <w:lang w:val="zh-CN"/>
        </w:rPr>
        <w:t>按照《政府采购法》第22条规定提供以下相关材料：</w:t>
      </w:r>
    </w:p>
    <w:p w14:paraId="525EDCB1">
      <w:pPr>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1、供应商是法人的，提供基本开户银行</w:t>
      </w:r>
      <w:r>
        <w:rPr>
          <w:rFonts w:hint="eastAsia" w:ascii="宋体" w:hAnsi="宋体" w:eastAsia="宋体" w:cs="宋体"/>
          <w:color w:val="auto"/>
          <w:highlight w:val="none"/>
        </w:rPr>
        <w:t>开标前</w:t>
      </w:r>
      <w:r>
        <w:rPr>
          <w:rFonts w:hint="eastAsia" w:ascii="宋体" w:hAnsi="宋体" w:eastAsia="宋体" w:cs="宋体"/>
          <w:color w:val="auto"/>
          <w:highlight w:val="none"/>
          <w:lang w:val="zh-CN"/>
        </w:rPr>
        <w:t>近三个月内出具的资信证明（同时提供基本账户开户许可证或基本账户信息）</w:t>
      </w:r>
      <w:r>
        <w:rPr>
          <w:rFonts w:hint="eastAsia" w:ascii="宋体" w:hAnsi="宋体" w:eastAsia="宋体" w:cs="宋体"/>
          <w:color w:val="auto"/>
          <w:highlight w:val="none"/>
          <w:lang w:val="en-US" w:eastAsia="zh-CN"/>
        </w:rPr>
        <w:t>或</w:t>
      </w:r>
      <w:r>
        <w:rPr>
          <w:rFonts w:hint="eastAsia" w:ascii="宋体" w:hAnsi="宋体" w:cs="宋体"/>
          <w:color w:val="auto"/>
          <w:highlight w:val="none"/>
          <w:lang w:val="en-US" w:eastAsia="zh-CN"/>
        </w:rPr>
        <w:t>2025年度</w:t>
      </w:r>
      <w:r>
        <w:rPr>
          <w:rFonts w:hint="eastAsia" w:ascii="宋体" w:hAnsi="宋体" w:eastAsia="宋体" w:cs="宋体"/>
          <w:color w:val="auto"/>
          <w:highlight w:val="none"/>
        </w:rPr>
        <w:t>经第三方审计的财务状况报告</w:t>
      </w:r>
      <w:r>
        <w:rPr>
          <w:rFonts w:hint="eastAsia" w:ascii="宋体" w:hAnsi="宋体" w:eastAsia="宋体" w:cs="宋体"/>
          <w:color w:val="auto"/>
          <w:highlight w:val="none"/>
          <w:lang w:val="zh-CN"/>
        </w:rPr>
        <w:t>（扫描或复印件应全面、完整、清晰），包括资产负债表、现金流量表、利润表和财务（会计）报表附注</w:t>
      </w:r>
      <w:r>
        <w:rPr>
          <w:rFonts w:hint="eastAsia" w:ascii="宋体" w:hAnsi="宋体" w:eastAsia="宋体" w:cs="宋体"/>
          <w:color w:val="auto"/>
          <w:highlight w:val="none"/>
        </w:rPr>
        <w:t>，</w:t>
      </w:r>
      <w:r>
        <w:rPr>
          <w:rFonts w:hint="eastAsia" w:ascii="宋体" w:hAnsi="宋体" w:eastAsia="宋体" w:cs="宋体"/>
          <w:color w:val="auto"/>
          <w:highlight w:val="none"/>
          <w:lang w:val="zh-CN"/>
        </w:rPr>
        <w:t>并提供第三方机构的营业执照、执业证书、</w:t>
      </w:r>
      <w:r>
        <w:rPr>
          <w:rFonts w:hint="eastAsia" w:ascii="宋体" w:hAnsi="宋体" w:eastAsia="宋体" w:cs="宋体"/>
          <w:color w:val="auto"/>
          <w:highlight w:val="none"/>
        </w:rPr>
        <w:t>注册会计师证书</w:t>
      </w:r>
      <w:r>
        <w:rPr>
          <w:rFonts w:hint="eastAsia" w:ascii="宋体" w:hAnsi="宋体" w:eastAsia="宋体" w:cs="宋体"/>
          <w:color w:val="auto"/>
          <w:highlight w:val="none"/>
          <w:lang w:val="zh-CN"/>
        </w:rPr>
        <w:t>。</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是其他组织和自然人，没有经审计的财务报告，可以提供基本开户银行出具的资信证明（同时提供基本账户开户许可证</w:t>
      </w:r>
      <w:r>
        <w:rPr>
          <w:rFonts w:hint="eastAsia" w:ascii="宋体" w:hAnsi="宋体" w:eastAsia="宋体" w:cs="宋体"/>
          <w:color w:val="auto"/>
          <w:highlight w:val="none"/>
          <w:lang w:val="zh-CN"/>
        </w:rPr>
        <w:t>或基本账户信息</w:t>
      </w:r>
      <w:r>
        <w:rPr>
          <w:rFonts w:hint="eastAsia" w:ascii="宋体" w:hAnsi="宋体" w:eastAsia="宋体" w:cs="宋体"/>
          <w:color w:val="auto"/>
          <w:highlight w:val="none"/>
        </w:rPr>
        <w:t>）。</w:t>
      </w:r>
    </w:p>
    <w:p w14:paraId="7FA4F1C7">
      <w:pPr>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开标前近半年内任意三个月的依法缴纳税收和社会保障资金记录的证明材料；依法免税或不需要缴纳社会保障资金的供应商须提供相应文件证明其依法免税或不需要缴纳社会保障资金。（成立时间不足三个月的公司按成立月份提供）</w:t>
      </w:r>
    </w:p>
    <w:p w14:paraId="729A7931">
      <w:pPr>
        <w:bidi w:val="0"/>
        <w:rPr>
          <w:rFonts w:hint="eastAsia" w:ascii="宋体" w:hAnsi="宋体" w:eastAsia="宋体" w:cs="宋体"/>
          <w:color w:val="auto"/>
          <w:highlight w:val="none"/>
        </w:rPr>
      </w:pPr>
    </w:p>
    <w:p w14:paraId="0FE22A42">
      <w:pPr>
        <w:bidi w:val="0"/>
        <w:rPr>
          <w:rFonts w:hint="eastAsia" w:ascii="宋体" w:hAnsi="宋体" w:eastAsia="宋体" w:cs="宋体"/>
          <w:color w:val="auto"/>
          <w:highlight w:val="none"/>
        </w:rPr>
      </w:pPr>
    </w:p>
    <w:p w14:paraId="635D9D4F">
      <w:pPr>
        <w:bidi w:val="0"/>
        <w:rPr>
          <w:rFonts w:hint="eastAsia" w:ascii="宋体" w:hAnsi="宋体" w:eastAsia="宋体" w:cs="宋体"/>
          <w:color w:val="auto"/>
          <w:highlight w:val="none"/>
        </w:rPr>
      </w:pPr>
    </w:p>
    <w:p w14:paraId="2056907F">
      <w:pPr>
        <w:bidi w:val="0"/>
        <w:rPr>
          <w:rFonts w:hint="eastAsia" w:ascii="宋体" w:hAnsi="宋体" w:eastAsia="宋体" w:cs="宋体"/>
          <w:color w:val="auto"/>
          <w:highlight w:val="none"/>
        </w:rPr>
      </w:pPr>
    </w:p>
    <w:p w14:paraId="3361582C">
      <w:pPr>
        <w:bidi w:val="0"/>
        <w:rPr>
          <w:rFonts w:hint="eastAsia" w:ascii="宋体" w:hAnsi="宋体" w:eastAsia="宋体" w:cs="宋体"/>
          <w:color w:val="auto"/>
          <w:highlight w:val="none"/>
        </w:rPr>
      </w:pPr>
    </w:p>
    <w:p w14:paraId="07BB4813">
      <w:pPr>
        <w:bidi w:val="0"/>
        <w:rPr>
          <w:rFonts w:hint="eastAsia" w:ascii="宋体" w:hAnsi="宋体" w:eastAsia="宋体" w:cs="宋体"/>
          <w:color w:val="auto"/>
          <w:highlight w:val="none"/>
        </w:rPr>
      </w:pPr>
    </w:p>
    <w:p w14:paraId="3085D3C5">
      <w:pPr>
        <w:bidi w:val="0"/>
        <w:rPr>
          <w:rFonts w:hint="eastAsia" w:ascii="宋体" w:hAnsi="宋体" w:eastAsia="宋体" w:cs="宋体"/>
          <w:color w:val="auto"/>
          <w:highlight w:val="none"/>
        </w:rPr>
      </w:pPr>
    </w:p>
    <w:p w14:paraId="4BE25CF2">
      <w:pPr>
        <w:bidi w:val="0"/>
        <w:rPr>
          <w:rFonts w:hint="eastAsia" w:ascii="宋体" w:hAnsi="宋体" w:eastAsia="宋体" w:cs="宋体"/>
          <w:color w:val="auto"/>
          <w:highlight w:val="none"/>
        </w:rPr>
      </w:pPr>
    </w:p>
    <w:p w14:paraId="6BD8EAEA">
      <w:pPr>
        <w:bidi w:val="0"/>
        <w:rPr>
          <w:rFonts w:hint="eastAsia" w:ascii="宋体" w:hAnsi="宋体" w:eastAsia="宋体" w:cs="宋体"/>
          <w:color w:val="auto"/>
          <w:highlight w:val="none"/>
        </w:rPr>
      </w:pPr>
    </w:p>
    <w:p w14:paraId="0662A7DD">
      <w:pPr>
        <w:bidi w:val="0"/>
        <w:rPr>
          <w:rFonts w:hint="eastAsia" w:ascii="宋体" w:hAnsi="宋体" w:eastAsia="宋体" w:cs="宋体"/>
          <w:color w:val="auto"/>
          <w:highlight w:val="none"/>
        </w:rPr>
      </w:pPr>
    </w:p>
    <w:p w14:paraId="5D41E82D">
      <w:pPr>
        <w:bidi w:val="0"/>
        <w:rPr>
          <w:rFonts w:hint="eastAsia" w:ascii="宋体" w:hAnsi="宋体" w:eastAsia="宋体" w:cs="宋体"/>
          <w:color w:val="auto"/>
          <w:highlight w:val="none"/>
        </w:rPr>
      </w:pPr>
      <w:bookmarkStart w:id="163" w:name="_Toc26496"/>
    </w:p>
    <w:p w14:paraId="2AA40304">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78E5156D">
      <w:pPr>
        <w:pStyle w:val="5"/>
        <w:bidi w:val="0"/>
        <w:jc w:val="both"/>
        <w:rPr>
          <w:rFonts w:hint="eastAsia" w:ascii="宋体" w:hAnsi="宋体" w:eastAsia="宋体" w:cs="宋体"/>
          <w:smallCaps/>
          <w:color w:val="auto"/>
          <w:spacing w:val="20"/>
          <w:kern w:val="2"/>
          <w:sz w:val="28"/>
          <w:szCs w:val="28"/>
          <w:highlight w:val="none"/>
          <w:lang w:val="zh-CN"/>
        </w:rPr>
      </w:pPr>
      <w:bookmarkStart w:id="164" w:name="_Toc16729"/>
      <w:r>
        <w:rPr>
          <w:rFonts w:hint="eastAsia" w:ascii="宋体" w:hAnsi="宋体" w:eastAsia="宋体" w:cs="宋体"/>
          <w:color w:val="auto"/>
          <w:sz w:val="28"/>
          <w:szCs w:val="28"/>
          <w:highlight w:val="none"/>
        </w:rPr>
        <w:t>附件</w:t>
      </w:r>
      <w:r>
        <w:rPr>
          <w:rFonts w:hint="eastAsia" w:ascii="宋体" w:hAnsi="宋体" w:eastAsia="宋体" w:cs="宋体"/>
          <w:smallCaps/>
          <w:color w:val="auto"/>
          <w:spacing w:val="20"/>
          <w:kern w:val="2"/>
          <w:sz w:val="28"/>
          <w:szCs w:val="28"/>
          <w:highlight w:val="none"/>
        </w:rPr>
        <w:t>13：</w:t>
      </w:r>
      <w:bookmarkEnd w:id="163"/>
      <w:r>
        <w:rPr>
          <w:rFonts w:hint="eastAsia" w:ascii="宋体" w:hAnsi="宋体" w:eastAsia="宋体" w:cs="宋体"/>
          <w:smallCaps/>
          <w:color w:val="auto"/>
          <w:spacing w:val="20"/>
          <w:kern w:val="2"/>
          <w:sz w:val="28"/>
          <w:szCs w:val="28"/>
          <w:highlight w:val="none"/>
          <w:lang w:val="zh-CN"/>
        </w:rPr>
        <w:t>具备履行合同所必须的设备和专业技术能力证明</w:t>
      </w:r>
      <w:bookmarkEnd w:id="164"/>
    </w:p>
    <w:p w14:paraId="7CFE1EB4">
      <w:pPr>
        <w:bidi w:val="0"/>
        <w:rPr>
          <w:rFonts w:hint="eastAsia" w:ascii="宋体" w:hAnsi="宋体" w:eastAsia="宋体" w:cs="宋体"/>
          <w:color w:val="auto"/>
          <w:highlight w:val="none"/>
          <w:lang w:val="zh-CN"/>
        </w:rPr>
      </w:pPr>
    </w:p>
    <w:p w14:paraId="42F8ECE3">
      <w:pPr>
        <w:bidi w:val="0"/>
        <w:ind w:left="0" w:leftChars="0" w:firstLine="0" w:firstLineChars="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具备履行合同所必须的设备和专业技术能力证明</w:t>
      </w:r>
    </w:p>
    <w:p w14:paraId="2577C857">
      <w:pPr>
        <w:bidi w:val="0"/>
        <w:rPr>
          <w:rFonts w:hint="eastAsia" w:ascii="宋体" w:hAnsi="宋体" w:eastAsia="宋体" w:cs="宋体"/>
          <w:color w:val="auto"/>
          <w:highlight w:val="none"/>
          <w:lang w:val="zh-CN"/>
        </w:rPr>
      </w:pPr>
    </w:p>
    <w:p w14:paraId="2CA6716F">
      <w:pPr>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为保证本项目合同的顺利履行，供应商必须具备履行合同的设备和专业技术能力，须提供必须具备履行合同的设备和专业技术能力的承诺函（格式自拟）或提供相关设备的购置发票或相关人员的职称证书、用工合同等证明材料。</w:t>
      </w:r>
    </w:p>
    <w:p w14:paraId="0488F0FF">
      <w:pPr>
        <w:bidi w:val="0"/>
        <w:rPr>
          <w:rFonts w:hint="eastAsia" w:ascii="宋体" w:hAnsi="宋体" w:eastAsia="宋体" w:cs="宋体"/>
          <w:color w:val="auto"/>
          <w:highlight w:val="none"/>
          <w:lang w:val="zh-CN"/>
        </w:rPr>
      </w:pPr>
    </w:p>
    <w:p w14:paraId="417D8F85">
      <w:pPr>
        <w:bidi w:val="0"/>
        <w:rPr>
          <w:rFonts w:hint="eastAsia" w:ascii="宋体" w:hAnsi="宋体" w:eastAsia="宋体" w:cs="宋体"/>
          <w:color w:val="auto"/>
          <w:highlight w:val="none"/>
          <w:lang w:val="zh-CN" w:eastAsia="zh-CN"/>
        </w:rPr>
        <w:sectPr>
          <w:headerReference r:id="rId11" w:type="first"/>
          <w:footerReference r:id="rId14" w:type="first"/>
          <w:headerReference r:id="rId9" w:type="default"/>
          <w:footerReference r:id="rId12" w:type="default"/>
          <w:headerReference r:id="rId10" w:type="even"/>
          <w:footerReference r:id="rId13" w:type="even"/>
          <w:pgSz w:w="11849" w:h="16781"/>
          <w:pgMar w:top="1440" w:right="1080" w:bottom="1440" w:left="1080" w:header="624" w:footer="992" w:gutter="0"/>
          <w:pgNumType w:start="1"/>
          <w:cols w:space="720" w:num="1"/>
          <w:docGrid w:linePitch="397" w:charSpace="0"/>
        </w:sectPr>
      </w:pPr>
    </w:p>
    <w:p w14:paraId="23A70246">
      <w:pPr>
        <w:pStyle w:val="5"/>
        <w:bidi w:val="0"/>
        <w:jc w:val="both"/>
        <w:rPr>
          <w:rFonts w:hint="eastAsia" w:ascii="宋体" w:hAnsi="宋体" w:eastAsia="宋体" w:cs="宋体"/>
          <w:color w:val="auto"/>
          <w:highlight w:val="none"/>
        </w:rPr>
      </w:pPr>
      <w:bookmarkStart w:id="165" w:name="_Toc26843"/>
      <w:r>
        <w:rPr>
          <w:rFonts w:hint="eastAsia" w:ascii="宋体" w:hAnsi="宋体" w:eastAsia="宋体" w:cs="宋体"/>
          <w:color w:val="auto"/>
          <w:highlight w:val="none"/>
        </w:rPr>
        <w:t>附件14：无重大违法记录声明</w:t>
      </w:r>
      <w:bookmarkEnd w:id="165"/>
    </w:p>
    <w:p w14:paraId="0E28934A">
      <w:pPr>
        <w:bidi w:val="0"/>
        <w:rPr>
          <w:rFonts w:hint="eastAsia" w:ascii="宋体" w:hAnsi="宋体" w:eastAsia="宋体" w:cs="宋体"/>
          <w:color w:val="auto"/>
          <w:highlight w:val="none"/>
        </w:rPr>
      </w:pPr>
    </w:p>
    <w:p w14:paraId="3829B9FA">
      <w:pPr>
        <w:bidi w:val="0"/>
        <w:ind w:left="0" w:leftChars="0" w:firstLine="0" w:firstLineChars="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无重大违法记录声明</w:t>
      </w:r>
    </w:p>
    <w:p w14:paraId="214DA379">
      <w:pPr>
        <w:bidi w:val="0"/>
        <w:ind w:left="0" w:leftChars="0" w:firstLine="0" w:firstLineChars="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rPr>
        <w:t>致：</w:t>
      </w:r>
      <w:r>
        <w:rPr>
          <w:rFonts w:hint="eastAsia" w:ascii="宋体" w:hAnsi="宋体" w:cs="宋体"/>
          <w:b/>
          <w:bCs/>
          <w:color w:val="auto"/>
          <w:highlight w:val="none"/>
          <w:lang w:eastAsia="zh-CN"/>
        </w:rPr>
        <w:t>海东乐都区乐欣中堃项目管理有限公司</w:t>
      </w:r>
    </w:p>
    <w:p w14:paraId="291722B6">
      <w:pPr>
        <w:bidi w:val="0"/>
        <w:rPr>
          <w:rFonts w:hint="eastAsia" w:ascii="宋体" w:hAnsi="宋体" w:eastAsia="宋体" w:cs="宋体"/>
          <w:color w:val="auto"/>
          <w:highlight w:val="none"/>
          <w:lang w:val="zh-CN"/>
        </w:rPr>
      </w:pPr>
      <w:r>
        <w:rPr>
          <w:rFonts w:hint="eastAsia" w:ascii="宋体" w:hAnsi="宋体" w:eastAsia="宋体" w:cs="宋体"/>
          <w:color w:val="auto"/>
          <w:highlight w:val="none"/>
        </w:rPr>
        <w:t>提供参加政府采购活动前3年内在经营活动中没有重大违法记录的书面声明（格式可自定）。</w:t>
      </w:r>
    </w:p>
    <w:p w14:paraId="154A6A81">
      <w:pPr>
        <w:tabs>
          <w:tab w:val="left" w:pos="168"/>
        </w:tabs>
        <w:adjustRightInd w:val="0"/>
        <w:textAlignment w:val="baseline"/>
        <w:rPr>
          <w:rFonts w:hint="eastAsia" w:ascii="宋体" w:hAnsi="宋体" w:eastAsia="宋体" w:cs="宋体"/>
          <w:b/>
          <w:bCs/>
          <w:color w:val="auto"/>
          <w:highlight w:val="none"/>
        </w:rPr>
      </w:pPr>
    </w:p>
    <w:p w14:paraId="68A2468A">
      <w:pPr>
        <w:tabs>
          <w:tab w:val="left" w:pos="168"/>
        </w:tabs>
        <w:adjustRightInd w:val="0"/>
        <w:textAlignment w:val="baseline"/>
        <w:rPr>
          <w:rFonts w:hint="eastAsia" w:ascii="宋体" w:hAnsi="宋体" w:eastAsia="宋体" w:cs="宋体"/>
          <w:b/>
          <w:bCs/>
          <w:color w:val="auto"/>
          <w:highlight w:val="none"/>
        </w:rPr>
      </w:pPr>
    </w:p>
    <w:p w14:paraId="6EA2175E">
      <w:pPr>
        <w:tabs>
          <w:tab w:val="left" w:pos="168"/>
        </w:tabs>
        <w:adjustRightInd w:val="0"/>
        <w:textAlignment w:val="baseline"/>
        <w:rPr>
          <w:rFonts w:hint="eastAsia" w:ascii="宋体" w:hAnsi="宋体" w:eastAsia="宋体" w:cs="宋体"/>
          <w:b/>
          <w:bCs/>
          <w:color w:val="auto"/>
          <w:highlight w:val="none"/>
        </w:rPr>
      </w:pPr>
    </w:p>
    <w:p w14:paraId="5E4408B6">
      <w:pPr>
        <w:bidi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供应商：</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（公章）</w:t>
      </w:r>
    </w:p>
    <w:p w14:paraId="6E297395">
      <w:pPr>
        <w:bidi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法定代表人或委托代理人：</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（签字或盖章）</w:t>
      </w:r>
    </w:p>
    <w:p w14:paraId="5EE2C8B0">
      <w:pPr>
        <w:bidi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年</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 xml:space="preserve"> 月 </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日</w:t>
      </w:r>
    </w:p>
    <w:p w14:paraId="36568A74">
      <w:pPr>
        <w:tabs>
          <w:tab w:val="left" w:pos="168"/>
        </w:tabs>
        <w:adjustRightInd w:val="0"/>
        <w:textAlignment w:val="baseline"/>
        <w:rPr>
          <w:rFonts w:hint="eastAsia" w:ascii="宋体" w:hAnsi="宋体" w:eastAsia="宋体" w:cs="宋体"/>
          <w:color w:val="auto"/>
          <w:highlight w:val="none"/>
        </w:rPr>
      </w:pPr>
    </w:p>
    <w:p w14:paraId="10829891">
      <w:pPr>
        <w:tabs>
          <w:tab w:val="left" w:pos="168"/>
        </w:tabs>
        <w:adjustRightInd w:val="0"/>
        <w:textAlignment w:val="baseline"/>
        <w:rPr>
          <w:rFonts w:hint="eastAsia" w:ascii="宋体" w:hAnsi="宋体" w:eastAsia="宋体" w:cs="宋体"/>
          <w:b/>
          <w:bCs/>
          <w:color w:val="auto"/>
          <w:highlight w:val="none"/>
        </w:rPr>
      </w:pPr>
    </w:p>
    <w:p w14:paraId="658232E6">
      <w:pPr>
        <w:tabs>
          <w:tab w:val="left" w:pos="168"/>
        </w:tabs>
        <w:adjustRightInd w:val="0"/>
        <w:textAlignment w:val="baseline"/>
        <w:rPr>
          <w:rFonts w:hint="eastAsia" w:ascii="宋体" w:hAnsi="宋体" w:eastAsia="宋体" w:cs="宋体"/>
          <w:b/>
          <w:bCs/>
          <w:color w:val="auto"/>
          <w:highlight w:val="none"/>
        </w:rPr>
      </w:pPr>
    </w:p>
    <w:p w14:paraId="23074260">
      <w:pPr>
        <w:tabs>
          <w:tab w:val="left" w:pos="168"/>
        </w:tabs>
        <w:adjustRightInd w:val="0"/>
        <w:textAlignment w:val="baseline"/>
        <w:rPr>
          <w:rFonts w:hint="eastAsia" w:ascii="宋体" w:hAnsi="宋体" w:eastAsia="宋体" w:cs="宋体"/>
          <w:b/>
          <w:bCs/>
          <w:color w:val="auto"/>
          <w:highlight w:val="none"/>
        </w:rPr>
      </w:pPr>
    </w:p>
    <w:p w14:paraId="1A05B151">
      <w:pPr>
        <w:tabs>
          <w:tab w:val="left" w:pos="168"/>
        </w:tabs>
        <w:adjustRightInd w:val="0"/>
        <w:textAlignment w:val="baseline"/>
        <w:rPr>
          <w:rFonts w:hint="eastAsia" w:ascii="宋体" w:hAnsi="宋体" w:eastAsia="宋体" w:cs="宋体"/>
          <w:b/>
          <w:bCs/>
          <w:color w:val="auto"/>
          <w:highlight w:val="none"/>
        </w:rPr>
      </w:pPr>
    </w:p>
    <w:p w14:paraId="68E1A57E">
      <w:pPr>
        <w:tabs>
          <w:tab w:val="left" w:pos="168"/>
        </w:tabs>
        <w:adjustRightInd w:val="0"/>
        <w:textAlignment w:val="baseline"/>
        <w:rPr>
          <w:rFonts w:hint="eastAsia" w:ascii="宋体" w:hAnsi="宋体" w:eastAsia="宋体" w:cs="宋体"/>
          <w:b/>
          <w:bCs/>
          <w:color w:val="auto"/>
          <w:highlight w:val="none"/>
        </w:rPr>
      </w:pPr>
    </w:p>
    <w:p w14:paraId="7A4EBA9F">
      <w:pPr>
        <w:bidi w:val="0"/>
        <w:rPr>
          <w:rFonts w:hint="eastAsia" w:ascii="宋体" w:hAnsi="宋体" w:eastAsia="宋体" w:cs="宋体"/>
          <w:color w:val="auto"/>
          <w:highlight w:val="none"/>
        </w:rPr>
      </w:pPr>
      <w:bookmarkStart w:id="166" w:name="_Toc22940"/>
    </w:p>
    <w:p w14:paraId="7645F78B">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DDC9B7D">
      <w:pPr>
        <w:pStyle w:val="5"/>
        <w:bidi w:val="0"/>
        <w:jc w:val="both"/>
        <w:rPr>
          <w:rFonts w:hint="eastAsia" w:ascii="宋体" w:hAnsi="宋体" w:eastAsia="宋体" w:cs="宋体"/>
          <w:color w:val="auto"/>
          <w:highlight w:val="none"/>
        </w:rPr>
      </w:pPr>
      <w:bookmarkStart w:id="167" w:name="_Toc13332"/>
      <w:r>
        <w:rPr>
          <w:rFonts w:hint="eastAsia" w:ascii="宋体" w:hAnsi="宋体" w:eastAsia="宋体" w:cs="宋体"/>
          <w:color w:val="auto"/>
          <w:highlight w:val="none"/>
        </w:rPr>
        <w:t>附件15：</w:t>
      </w:r>
      <w:bookmarkEnd w:id="166"/>
      <w:r>
        <w:rPr>
          <w:rFonts w:hint="eastAsia" w:ascii="宋体" w:hAnsi="宋体" w:eastAsia="宋体" w:cs="宋体"/>
          <w:color w:val="auto"/>
          <w:highlight w:val="none"/>
        </w:rPr>
        <w:t>类似业绩证明材料</w:t>
      </w:r>
      <w:bookmarkEnd w:id="167"/>
    </w:p>
    <w:p w14:paraId="5D9A7746">
      <w:pPr>
        <w:bidi w:val="0"/>
        <w:ind w:left="0" w:leftChars="0" w:firstLine="0" w:firstLineChars="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类似业绩证明材料</w:t>
      </w:r>
    </w:p>
    <w:p w14:paraId="31D898DF">
      <w:pPr>
        <w:bidi w:val="0"/>
        <w:rPr>
          <w:rFonts w:hint="eastAsia" w:ascii="宋体" w:hAnsi="宋体" w:eastAsia="宋体" w:cs="宋体"/>
          <w:color w:val="auto"/>
          <w:highlight w:val="none"/>
        </w:rPr>
      </w:pPr>
    </w:p>
    <w:p w14:paraId="0FB2FDCF">
      <w:pPr>
        <w:bidi w:val="0"/>
        <w:rPr>
          <w:rFonts w:hint="eastAsia" w:ascii="宋体" w:hAnsi="宋体" w:eastAsia="宋体" w:cs="宋体"/>
          <w:color w:val="auto"/>
          <w:highlight w:val="none"/>
          <w:lang w:eastAsia="zh-CN"/>
        </w:rPr>
      </w:pPr>
      <w:r>
        <w:rPr>
          <w:rFonts w:hint="eastAsia" w:ascii="宋体" w:hAnsi="宋体" w:eastAsia="宋体" w:cs="宋体"/>
          <w:color w:val="auto"/>
          <w:highlight w:val="none"/>
        </w:rPr>
        <w:t>提供</w:t>
      </w:r>
      <w:r>
        <w:rPr>
          <w:rFonts w:hint="eastAsia" w:ascii="宋体" w:hAnsi="宋体" w:eastAsia="宋体" w:cs="宋体"/>
          <w:color w:val="auto"/>
          <w:highlight w:val="none"/>
          <w:lang w:val="en-US" w:eastAsia="zh-CN"/>
        </w:rPr>
        <w:t>2023年1月1日（以合同签订时间为准）以来取得的类似保险项目业绩</w:t>
      </w:r>
      <w:r>
        <w:rPr>
          <w:rFonts w:hint="eastAsia" w:ascii="宋体" w:hAnsi="宋体" w:cs="宋体"/>
          <w:color w:val="auto"/>
          <w:highlight w:val="none"/>
          <w:lang w:val="en-US" w:eastAsia="zh-CN"/>
        </w:rPr>
        <w:t>,</w:t>
      </w:r>
      <w:r>
        <w:rPr>
          <w:rFonts w:hint="eastAsia" w:ascii="宋体" w:hAnsi="宋体" w:eastAsia="宋体" w:cs="宋体"/>
          <w:color w:val="auto"/>
          <w:highlight w:val="none"/>
          <w:lang w:eastAsia="zh-CN"/>
        </w:rPr>
        <w:t>需提供合同（包含合同首页、合同内容及金额所在页、签字盖章页的扫描或复印件）的证明材料</w:t>
      </w:r>
    </w:p>
    <w:p w14:paraId="674AE499">
      <w:pPr>
        <w:bidi w:val="0"/>
        <w:rPr>
          <w:rFonts w:hint="eastAsia" w:ascii="宋体" w:hAnsi="宋体" w:eastAsia="宋体" w:cs="宋体"/>
          <w:color w:val="auto"/>
          <w:highlight w:val="none"/>
        </w:rPr>
      </w:pPr>
    </w:p>
    <w:p w14:paraId="378D10CD">
      <w:pPr>
        <w:bidi w:val="0"/>
        <w:rPr>
          <w:rFonts w:hint="eastAsia" w:ascii="宋体" w:hAnsi="宋体" w:eastAsia="宋体" w:cs="宋体"/>
          <w:color w:val="auto"/>
          <w:highlight w:val="none"/>
        </w:rPr>
      </w:pPr>
    </w:p>
    <w:p w14:paraId="0D581EDC">
      <w:pPr>
        <w:bidi w:val="0"/>
        <w:rPr>
          <w:rFonts w:hint="eastAsia" w:ascii="宋体" w:hAnsi="宋体" w:eastAsia="宋体" w:cs="宋体"/>
          <w:color w:val="auto"/>
          <w:highlight w:val="none"/>
        </w:rPr>
      </w:pPr>
    </w:p>
    <w:p w14:paraId="180AAF2A">
      <w:pPr>
        <w:bidi w:val="0"/>
        <w:rPr>
          <w:rFonts w:hint="eastAsia" w:ascii="宋体" w:hAnsi="宋体" w:eastAsia="宋体" w:cs="宋体"/>
          <w:color w:val="auto"/>
          <w:highlight w:val="none"/>
        </w:rPr>
      </w:pPr>
    </w:p>
    <w:p w14:paraId="2659275A">
      <w:pPr>
        <w:bidi w:val="0"/>
        <w:rPr>
          <w:rFonts w:hint="eastAsia" w:ascii="宋体" w:hAnsi="宋体" w:eastAsia="宋体" w:cs="宋体"/>
          <w:color w:val="auto"/>
          <w:highlight w:val="none"/>
        </w:rPr>
      </w:pPr>
    </w:p>
    <w:p w14:paraId="7DCFB0DC">
      <w:pPr>
        <w:bidi w:val="0"/>
        <w:rPr>
          <w:rFonts w:hint="eastAsia" w:ascii="宋体" w:hAnsi="宋体" w:eastAsia="宋体" w:cs="宋体"/>
          <w:color w:val="auto"/>
          <w:highlight w:val="none"/>
        </w:rPr>
      </w:pPr>
    </w:p>
    <w:p w14:paraId="487B40D9">
      <w:pPr>
        <w:bidi w:val="0"/>
        <w:rPr>
          <w:rFonts w:hint="eastAsia" w:ascii="宋体" w:hAnsi="宋体" w:eastAsia="宋体" w:cs="宋体"/>
          <w:color w:val="auto"/>
          <w:highlight w:val="none"/>
        </w:rPr>
      </w:pPr>
    </w:p>
    <w:p w14:paraId="7097E347">
      <w:pPr>
        <w:bidi w:val="0"/>
        <w:rPr>
          <w:rFonts w:hint="eastAsia" w:ascii="宋体" w:hAnsi="宋体" w:eastAsia="宋体" w:cs="宋体"/>
          <w:color w:val="auto"/>
          <w:highlight w:val="none"/>
        </w:rPr>
      </w:pPr>
    </w:p>
    <w:p w14:paraId="3D7AFD06">
      <w:pPr>
        <w:bidi w:val="0"/>
        <w:rPr>
          <w:rFonts w:hint="eastAsia" w:ascii="宋体" w:hAnsi="宋体" w:eastAsia="宋体" w:cs="宋体"/>
          <w:color w:val="auto"/>
          <w:highlight w:val="none"/>
        </w:rPr>
      </w:pPr>
    </w:p>
    <w:p w14:paraId="10632357">
      <w:pPr>
        <w:bidi w:val="0"/>
        <w:rPr>
          <w:rFonts w:hint="eastAsia" w:ascii="宋体" w:hAnsi="宋体" w:eastAsia="宋体" w:cs="宋体"/>
          <w:color w:val="auto"/>
          <w:highlight w:val="none"/>
        </w:rPr>
      </w:pPr>
    </w:p>
    <w:p w14:paraId="57C0AA34">
      <w:pPr>
        <w:bidi w:val="0"/>
        <w:rPr>
          <w:rFonts w:hint="eastAsia" w:ascii="宋体" w:hAnsi="宋体" w:eastAsia="宋体" w:cs="宋体"/>
          <w:color w:val="auto"/>
          <w:highlight w:val="none"/>
        </w:rPr>
      </w:pPr>
    </w:p>
    <w:p w14:paraId="404E2898">
      <w:pPr>
        <w:bidi w:val="0"/>
        <w:rPr>
          <w:rFonts w:hint="eastAsia" w:ascii="宋体" w:hAnsi="宋体" w:eastAsia="宋体" w:cs="宋体"/>
          <w:color w:val="auto"/>
          <w:highlight w:val="none"/>
        </w:rPr>
      </w:pPr>
    </w:p>
    <w:p w14:paraId="64479A1C">
      <w:pPr>
        <w:bidi w:val="0"/>
        <w:rPr>
          <w:rFonts w:hint="eastAsia" w:ascii="宋体" w:hAnsi="宋体" w:eastAsia="宋体" w:cs="宋体"/>
          <w:color w:val="auto"/>
          <w:highlight w:val="none"/>
        </w:rPr>
      </w:pPr>
    </w:p>
    <w:p w14:paraId="27D71402">
      <w:pPr>
        <w:bidi w:val="0"/>
        <w:rPr>
          <w:rFonts w:hint="eastAsia" w:ascii="宋体" w:hAnsi="宋体" w:eastAsia="宋体" w:cs="宋体"/>
          <w:color w:val="auto"/>
          <w:highlight w:val="none"/>
        </w:rPr>
      </w:pPr>
    </w:p>
    <w:p w14:paraId="491F03EE">
      <w:pPr>
        <w:bidi w:val="0"/>
        <w:rPr>
          <w:rFonts w:hint="eastAsia" w:ascii="宋体" w:hAnsi="宋体" w:eastAsia="宋体" w:cs="宋体"/>
          <w:color w:val="auto"/>
          <w:highlight w:val="none"/>
        </w:rPr>
      </w:pPr>
    </w:p>
    <w:p w14:paraId="5DF137F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65AE13F">
      <w:pPr>
        <w:pStyle w:val="5"/>
        <w:bidi w:val="0"/>
        <w:jc w:val="both"/>
        <w:rPr>
          <w:rFonts w:hint="eastAsia" w:ascii="宋体" w:hAnsi="宋体" w:eastAsia="宋体" w:cs="宋体"/>
          <w:color w:val="auto"/>
          <w:highlight w:val="none"/>
        </w:rPr>
      </w:pPr>
      <w:bookmarkStart w:id="168" w:name="_Toc24090"/>
      <w:r>
        <w:rPr>
          <w:rFonts w:hint="eastAsia" w:ascii="宋体" w:hAnsi="宋体" w:eastAsia="宋体" w:cs="宋体"/>
          <w:color w:val="auto"/>
          <w:highlight w:val="none"/>
        </w:rPr>
        <w:t>附件1</w:t>
      </w:r>
      <w:bookmarkStart w:id="169" w:name="_Toc325726049"/>
      <w:bookmarkStart w:id="170" w:name="_Toc376936781"/>
      <w:r>
        <w:rPr>
          <w:rFonts w:hint="eastAsia" w:ascii="宋体" w:hAnsi="宋体" w:cs="宋体"/>
          <w:color w:val="auto"/>
          <w:highlight w:val="none"/>
          <w:lang w:val="en-US" w:eastAsia="zh-CN"/>
        </w:rPr>
        <w:t>6</w:t>
      </w:r>
      <w:r>
        <w:rPr>
          <w:rFonts w:hint="eastAsia" w:ascii="宋体" w:hAnsi="宋体" w:eastAsia="宋体" w:cs="宋体"/>
          <w:color w:val="auto"/>
          <w:highlight w:val="none"/>
        </w:rPr>
        <w:t>：</w:t>
      </w:r>
      <w:bookmarkEnd w:id="169"/>
      <w:bookmarkEnd w:id="170"/>
      <w:r>
        <w:rPr>
          <w:rFonts w:hint="eastAsia" w:ascii="宋体" w:hAnsi="宋体" w:eastAsia="宋体" w:cs="宋体"/>
          <w:color w:val="auto"/>
          <w:highlight w:val="none"/>
        </w:rPr>
        <w:t>服务能力与方案</w:t>
      </w:r>
      <w:bookmarkEnd w:id="168"/>
    </w:p>
    <w:p w14:paraId="515858FF">
      <w:pPr>
        <w:bidi w:val="0"/>
        <w:rPr>
          <w:rFonts w:hint="eastAsia" w:ascii="宋体" w:hAnsi="宋体" w:eastAsia="宋体" w:cs="宋体"/>
          <w:color w:val="auto"/>
          <w:highlight w:val="none"/>
        </w:rPr>
      </w:pPr>
      <w:bookmarkStart w:id="171" w:name="_Toc91517563"/>
      <w:bookmarkStart w:id="172" w:name="_Toc91517357"/>
      <w:bookmarkStart w:id="173" w:name="_Toc416363470"/>
      <w:bookmarkStart w:id="174" w:name="_Toc21098"/>
    </w:p>
    <w:p w14:paraId="1C47DF60">
      <w:pPr>
        <w:bidi w:val="0"/>
        <w:rPr>
          <w:rFonts w:hint="eastAsia" w:ascii="宋体" w:hAnsi="宋体" w:eastAsia="宋体" w:cs="宋体"/>
          <w:color w:val="auto"/>
          <w:highlight w:val="none"/>
        </w:rPr>
      </w:pPr>
    </w:p>
    <w:p w14:paraId="25211596">
      <w:pPr>
        <w:bidi w:val="0"/>
        <w:rPr>
          <w:rFonts w:hint="eastAsia" w:ascii="宋体" w:hAnsi="宋体" w:eastAsia="宋体" w:cs="宋体"/>
          <w:color w:val="auto"/>
          <w:highlight w:val="none"/>
        </w:rPr>
      </w:pPr>
      <w:r>
        <w:rPr>
          <w:rFonts w:hint="eastAsia" w:ascii="宋体" w:hAnsi="宋体" w:eastAsia="宋体" w:cs="宋体"/>
          <w:color w:val="auto"/>
          <w:highlight w:val="none"/>
        </w:rPr>
        <w:t>根据采购项目内容及评分标准，提供详细的服务方案等。</w:t>
      </w:r>
      <w:bookmarkEnd w:id="171"/>
      <w:bookmarkEnd w:id="172"/>
    </w:p>
    <w:p w14:paraId="18710DEF">
      <w:pPr>
        <w:bidi w:val="0"/>
        <w:rPr>
          <w:rFonts w:hint="eastAsia" w:ascii="宋体" w:hAnsi="宋体" w:eastAsia="宋体" w:cs="宋体"/>
          <w:color w:val="auto"/>
          <w:highlight w:val="none"/>
          <w:lang w:val="zh-CN"/>
        </w:rPr>
      </w:pPr>
    </w:p>
    <w:p w14:paraId="0426F772">
      <w:pPr>
        <w:bidi w:val="0"/>
        <w:rPr>
          <w:rFonts w:hint="eastAsia" w:ascii="宋体" w:hAnsi="宋体" w:eastAsia="宋体" w:cs="宋体"/>
          <w:color w:val="auto"/>
          <w:highlight w:val="none"/>
          <w:lang w:val="zh-CN"/>
        </w:rPr>
      </w:pPr>
    </w:p>
    <w:p w14:paraId="0089CBB0">
      <w:pPr>
        <w:bidi w:val="0"/>
        <w:rPr>
          <w:rFonts w:hint="eastAsia" w:ascii="宋体" w:hAnsi="宋体" w:eastAsia="宋体" w:cs="宋体"/>
          <w:color w:val="auto"/>
          <w:highlight w:val="none"/>
          <w:lang w:val="zh-CN"/>
        </w:rPr>
      </w:pPr>
    </w:p>
    <w:p w14:paraId="4DD1E143">
      <w:pPr>
        <w:bidi w:val="0"/>
        <w:rPr>
          <w:rFonts w:hint="eastAsia" w:ascii="宋体" w:hAnsi="宋体" w:eastAsia="宋体" w:cs="宋体"/>
          <w:color w:val="auto"/>
          <w:highlight w:val="none"/>
          <w:lang w:val="zh-CN"/>
        </w:rPr>
      </w:pPr>
    </w:p>
    <w:p w14:paraId="20C088EE">
      <w:pPr>
        <w:bidi w:val="0"/>
        <w:rPr>
          <w:rFonts w:hint="eastAsia" w:ascii="宋体" w:hAnsi="宋体" w:eastAsia="宋体" w:cs="宋体"/>
          <w:color w:val="auto"/>
          <w:highlight w:val="none"/>
          <w:lang w:val="zh-CN"/>
        </w:rPr>
      </w:pPr>
    </w:p>
    <w:p w14:paraId="6049E927">
      <w:pPr>
        <w:bidi w:val="0"/>
        <w:rPr>
          <w:rFonts w:hint="eastAsia" w:ascii="宋体" w:hAnsi="宋体" w:eastAsia="宋体" w:cs="宋体"/>
          <w:color w:val="auto"/>
          <w:highlight w:val="none"/>
          <w:lang w:val="zh-CN"/>
        </w:rPr>
      </w:pPr>
    </w:p>
    <w:p w14:paraId="5EA26501">
      <w:pPr>
        <w:bidi w:val="0"/>
        <w:rPr>
          <w:rFonts w:hint="eastAsia" w:ascii="宋体" w:hAnsi="宋体" w:eastAsia="宋体" w:cs="宋体"/>
          <w:color w:val="auto"/>
          <w:highlight w:val="none"/>
          <w:lang w:val="zh-CN"/>
        </w:rPr>
      </w:pPr>
    </w:p>
    <w:p w14:paraId="3F702F60">
      <w:pPr>
        <w:bidi w:val="0"/>
        <w:rPr>
          <w:rFonts w:hint="eastAsia" w:ascii="宋体" w:hAnsi="宋体" w:eastAsia="宋体" w:cs="宋体"/>
          <w:color w:val="auto"/>
          <w:highlight w:val="none"/>
          <w:lang w:val="zh-CN"/>
        </w:rPr>
      </w:pPr>
    </w:p>
    <w:p w14:paraId="6D0A333A">
      <w:pPr>
        <w:bidi w:val="0"/>
        <w:rPr>
          <w:rFonts w:hint="eastAsia" w:ascii="宋体" w:hAnsi="宋体" w:eastAsia="宋体" w:cs="宋体"/>
          <w:color w:val="auto"/>
          <w:highlight w:val="none"/>
          <w:lang w:val="zh-CN"/>
        </w:rPr>
      </w:pPr>
    </w:p>
    <w:p w14:paraId="28CF29BA">
      <w:pPr>
        <w:bidi w:val="0"/>
        <w:rPr>
          <w:rFonts w:hint="eastAsia" w:ascii="宋体" w:hAnsi="宋体" w:eastAsia="宋体" w:cs="宋体"/>
          <w:color w:val="auto"/>
          <w:highlight w:val="none"/>
          <w:lang w:val="zh-CN"/>
        </w:rPr>
      </w:pPr>
    </w:p>
    <w:p w14:paraId="137BF0A4">
      <w:pPr>
        <w:bidi w:val="0"/>
        <w:rPr>
          <w:rFonts w:hint="eastAsia" w:ascii="宋体" w:hAnsi="宋体" w:eastAsia="宋体" w:cs="宋体"/>
          <w:color w:val="auto"/>
          <w:highlight w:val="none"/>
          <w:lang w:val="zh-CN"/>
        </w:rPr>
      </w:pPr>
    </w:p>
    <w:p w14:paraId="3B8BB3B1">
      <w:pPr>
        <w:bidi w:val="0"/>
        <w:rPr>
          <w:rFonts w:hint="eastAsia" w:ascii="宋体" w:hAnsi="宋体" w:eastAsia="宋体" w:cs="宋体"/>
          <w:color w:val="auto"/>
          <w:highlight w:val="none"/>
          <w:lang w:val="zh-CN"/>
        </w:rPr>
      </w:pPr>
    </w:p>
    <w:p w14:paraId="519A8B2D">
      <w:pPr>
        <w:bidi w:val="0"/>
        <w:rPr>
          <w:rFonts w:hint="eastAsia" w:ascii="宋体" w:hAnsi="宋体" w:eastAsia="宋体" w:cs="宋体"/>
          <w:color w:val="auto"/>
          <w:highlight w:val="none"/>
          <w:lang w:val="zh-CN"/>
        </w:rPr>
      </w:pPr>
    </w:p>
    <w:p w14:paraId="47A79799">
      <w:pPr>
        <w:bidi w:val="0"/>
        <w:rPr>
          <w:rFonts w:hint="eastAsia" w:ascii="宋体" w:hAnsi="宋体" w:eastAsia="宋体" w:cs="宋体"/>
          <w:color w:val="auto"/>
          <w:highlight w:val="none"/>
          <w:lang w:val="zh-CN"/>
        </w:rPr>
      </w:pPr>
    </w:p>
    <w:p w14:paraId="5C9D6921">
      <w:pPr>
        <w:bidi w:val="0"/>
        <w:rPr>
          <w:rFonts w:hint="eastAsia" w:ascii="宋体" w:hAnsi="宋体" w:eastAsia="宋体" w:cs="宋体"/>
          <w:color w:val="auto"/>
          <w:highlight w:val="none"/>
          <w:lang w:val="zh-CN"/>
        </w:rPr>
      </w:pPr>
    </w:p>
    <w:p w14:paraId="64EA45E8">
      <w:pPr>
        <w:bidi w:val="0"/>
        <w:rPr>
          <w:rFonts w:hint="eastAsia" w:ascii="宋体" w:hAnsi="宋体" w:eastAsia="宋体" w:cs="宋体"/>
          <w:color w:val="auto"/>
          <w:highlight w:val="none"/>
          <w:lang w:val="zh-CN"/>
        </w:rPr>
      </w:pPr>
    </w:p>
    <w:p w14:paraId="44129D9A">
      <w:pPr>
        <w:bidi w:val="0"/>
        <w:rPr>
          <w:rFonts w:hint="eastAsia" w:ascii="宋体" w:hAnsi="宋体" w:eastAsia="宋体" w:cs="宋体"/>
          <w:color w:val="auto"/>
          <w:highlight w:val="none"/>
          <w:lang w:val="zh-CN"/>
        </w:rPr>
      </w:pPr>
    </w:p>
    <w:p w14:paraId="05EFB87D">
      <w:pPr>
        <w:bidi w:val="0"/>
        <w:rPr>
          <w:rFonts w:hint="eastAsia" w:ascii="宋体" w:hAnsi="宋体" w:eastAsia="宋体" w:cs="宋体"/>
          <w:color w:val="auto"/>
          <w:highlight w:val="none"/>
        </w:rPr>
      </w:pPr>
    </w:p>
    <w:p w14:paraId="398DCBE9">
      <w:pPr>
        <w:bidi w:val="0"/>
        <w:rPr>
          <w:rFonts w:hint="eastAsia" w:ascii="宋体" w:hAnsi="宋体" w:eastAsia="宋体" w:cs="宋体"/>
          <w:color w:val="auto"/>
          <w:highlight w:val="none"/>
        </w:rPr>
      </w:pPr>
    </w:p>
    <w:p w14:paraId="1D5FA273">
      <w:pPr>
        <w:bidi w:val="0"/>
        <w:rPr>
          <w:rFonts w:hint="eastAsia" w:ascii="宋体" w:hAnsi="宋体" w:eastAsia="宋体" w:cs="宋体"/>
          <w:color w:val="auto"/>
          <w:highlight w:val="none"/>
        </w:rPr>
      </w:pPr>
    </w:p>
    <w:p w14:paraId="5AB50228">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55B8B5B">
      <w:pPr>
        <w:pStyle w:val="5"/>
        <w:bidi w:val="0"/>
        <w:jc w:val="both"/>
        <w:rPr>
          <w:rFonts w:hint="eastAsia" w:ascii="宋体" w:hAnsi="宋体" w:eastAsia="宋体" w:cs="宋体"/>
          <w:color w:val="auto"/>
          <w:highlight w:val="none"/>
        </w:rPr>
      </w:pPr>
      <w:bookmarkStart w:id="175" w:name="_Toc2596"/>
      <w:r>
        <w:rPr>
          <w:rFonts w:hint="eastAsia" w:ascii="宋体" w:hAnsi="宋体" w:eastAsia="宋体" w:cs="宋体"/>
          <w:color w:val="auto"/>
          <w:highlight w:val="none"/>
        </w:rPr>
        <w:t>附件1</w:t>
      </w:r>
      <w:r>
        <w:rPr>
          <w:rFonts w:hint="eastAsia" w:ascii="宋体" w:hAnsi="宋体" w:cs="宋体"/>
          <w:color w:val="auto"/>
          <w:highlight w:val="none"/>
          <w:lang w:val="en-US" w:eastAsia="zh-CN"/>
        </w:rPr>
        <w:t>7</w:t>
      </w:r>
      <w:r>
        <w:rPr>
          <w:rFonts w:hint="eastAsia" w:ascii="宋体" w:hAnsi="宋体" w:eastAsia="宋体" w:cs="宋体"/>
          <w:color w:val="auto"/>
          <w:highlight w:val="none"/>
        </w:rPr>
        <w:t>：最终报价表</w:t>
      </w:r>
      <w:bookmarkEnd w:id="173"/>
      <w:bookmarkEnd w:id="174"/>
      <w:bookmarkEnd w:id="175"/>
    </w:p>
    <w:p w14:paraId="3C9F0295">
      <w:pPr>
        <w:bidi w:val="0"/>
        <w:rPr>
          <w:rFonts w:hint="eastAsia" w:ascii="宋体" w:hAnsi="宋体" w:eastAsia="宋体" w:cs="宋体"/>
          <w:color w:val="auto"/>
          <w:highlight w:val="none"/>
        </w:rPr>
      </w:pPr>
    </w:p>
    <w:p w14:paraId="175D21DA">
      <w:pPr>
        <w:bidi w:val="0"/>
        <w:ind w:left="0" w:leftChars="0" w:firstLine="0" w:firstLineChars="0"/>
        <w:jc w:val="center"/>
        <w:rPr>
          <w:rFonts w:hint="eastAsia" w:ascii="宋体" w:hAnsi="宋体" w:eastAsia="宋体" w:cs="宋体"/>
          <w:b/>
          <w:bCs/>
          <w:color w:val="auto"/>
          <w:sz w:val="32"/>
          <w:szCs w:val="32"/>
          <w:highlight w:val="none"/>
          <w:lang w:val="zh-CN"/>
        </w:rPr>
      </w:pPr>
      <w:bookmarkStart w:id="176" w:name="_Toc408326292"/>
      <w:r>
        <w:rPr>
          <w:rFonts w:hint="eastAsia" w:ascii="宋体" w:hAnsi="宋体" w:eastAsia="宋体" w:cs="宋体"/>
          <w:b/>
          <w:bCs/>
          <w:color w:val="auto"/>
          <w:sz w:val="32"/>
          <w:szCs w:val="32"/>
          <w:highlight w:val="none"/>
          <w:lang w:val="zh-CN"/>
        </w:rPr>
        <w:t>最终报价</w:t>
      </w:r>
      <w:bookmarkEnd w:id="176"/>
      <w:r>
        <w:rPr>
          <w:rFonts w:hint="eastAsia" w:ascii="宋体" w:hAnsi="宋体" w:eastAsia="宋体" w:cs="宋体"/>
          <w:b/>
          <w:bCs/>
          <w:color w:val="auto"/>
          <w:sz w:val="32"/>
          <w:szCs w:val="32"/>
          <w:highlight w:val="none"/>
          <w:lang w:val="zh-CN"/>
        </w:rPr>
        <w:t>表</w:t>
      </w:r>
    </w:p>
    <w:p w14:paraId="08F3FD1E">
      <w:pPr>
        <w:bidi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项目名称：</w:t>
      </w:r>
      <w:r>
        <w:rPr>
          <w:rFonts w:hint="eastAsia" w:ascii="宋体" w:hAnsi="宋体" w:eastAsia="宋体" w:cs="宋体"/>
          <w:color w:val="auto"/>
          <w:highlight w:val="none"/>
          <w:lang w:val="en-US" w:eastAsia="zh-CN"/>
        </w:rPr>
        <w:t xml:space="preserve">                                                </w:t>
      </w:r>
    </w:p>
    <w:tbl>
      <w:tblPr>
        <w:tblStyle w:val="6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1"/>
        <w:gridCol w:w="6568"/>
      </w:tblGrid>
      <w:tr w14:paraId="7B817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291" w:type="dxa"/>
            <w:vAlign w:val="center"/>
          </w:tcPr>
          <w:p w14:paraId="17EC3C46">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供应商名称</w:t>
            </w:r>
          </w:p>
        </w:tc>
        <w:tc>
          <w:tcPr>
            <w:tcW w:w="6568" w:type="dxa"/>
            <w:vAlign w:val="center"/>
          </w:tcPr>
          <w:p w14:paraId="145F67CF">
            <w:pPr>
              <w:pStyle w:val="13"/>
              <w:bidi w:val="0"/>
              <w:rPr>
                <w:rFonts w:hint="eastAsia" w:ascii="宋体" w:hAnsi="宋体" w:eastAsia="宋体" w:cs="宋体"/>
                <w:color w:val="auto"/>
                <w:highlight w:val="none"/>
              </w:rPr>
            </w:pPr>
          </w:p>
        </w:tc>
      </w:tr>
      <w:tr w14:paraId="0358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2291" w:type="dxa"/>
            <w:vAlign w:val="center"/>
          </w:tcPr>
          <w:p w14:paraId="77E924AE">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磋商</w:t>
            </w:r>
            <w:r>
              <w:rPr>
                <w:rFonts w:hint="eastAsia" w:ascii="宋体" w:hAnsi="宋体" w:eastAsia="宋体" w:cs="宋体"/>
                <w:color w:val="auto"/>
                <w:highlight w:val="none"/>
                <w:lang w:val="zh-CN"/>
              </w:rPr>
              <w:t>报价（</w:t>
            </w:r>
            <w:r>
              <w:rPr>
                <w:rFonts w:hint="eastAsia" w:ascii="宋体" w:hAnsi="宋体" w:eastAsia="宋体" w:cs="宋体"/>
                <w:color w:val="auto"/>
                <w:highlight w:val="none"/>
              </w:rPr>
              <w:t>元</w:t>
            </w:r>
            <w:r>
              <w:rPr>
                <w:rFonts w:hint="eastAsia" w:ascii="宋体" w:hAnsi="宋体" w:eastAsia="宋体" w:cs="宋体"/>
                <w:color w:val="auto"/>
                <w:highlight w:val="none"/>
                <w:lang w:val="zh-CN"/>
              </w:rPr>
              <w:t>）</w:t>
            </w:r>
          </w:p>
        </w:tc>
        <w:tc>
          <w:tcPr>
            <w:tcW w:w="6568" w:type="dxa"/>
            <w:vAlign w:val="center"/>
          </w:tcPr>
          <w:p w14:paraId="6AA53E62">
            <w:pPr>
              <w:pStyle w:val="13"/>
              <w:bidi w:val="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大写：</w:t>
            </w:r>
          </w:p>
          <w:p w14:paraId="31B267DF">
            <w:pPr>
              <w:pStyle w:val="13"/>
              <w:bidi w:val="0"/>
              <w:rPr>
                <w:rFonts w:hint="eastAsia" w:ascii="宋体" w:hAnsi="宋体" w:eastAsia="宋体" w:cs="宋体"/>
                <w:color w:val="auto"/>
                <w:highlight w:val="none"/>
              </w:rPr>
            </w:pPr>
            <w:r>
              <w:rPr>
                <w:rFonts w:hint="eastAsia" w:ascii="宋体" w:hAnsi="宋体" w:eastAsia="宋体" w:cs="宋体"/>
                <w:color w:val="auto"/>
                <w:highlight w:val="none"/>
                <w:lang w:val="zh-CN"/>
              </w:rPr>
              <w:t>小写：</w:t>
            </w:r>
          </w:p>
        </w:tc>
      </w:tr>
      <w:tr w14:paraId="203D7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291" w:type="dxa"/>
            <w:vAlign w:val="center"/>
          </w:tcPr>
          <w:p w14:paraId="07BF7A1E">
            <w:pPr>
              <w:pStyle w:val="13"/>
              <w:bidi w:val="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服务期限</w:t>
            </w:r>
          </w:p>
        </w:tc>
        <w:tc>
          <w:tcPr>
            <w:tcW w:w="6568" w:type="dxa"/>
            <w:vAlign w:val="center"/>
          </w:tcPr>
          <w:p w14:paraId="11CE2683">
            <w:pPr>
              <w:pStyle w:val="13"/>
              <w:bidi w:val="0"/>
              <w:rPr>
                <w:rFonts w:hint="eastAsia" w:ascii="宋体" w:hAnsi="宋体" w:eastAsia="宋体" w:cs="宋体"/>
                <w:color w:val="auto"/>
                <w:highlight w:val="none"/>
              </w:rPr>
            </w:pPr>
          </w:p>
        </w:tc>
      </w:tr>
      <w:tr w14:paraId="0A750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291" w:type="dxa"/>
            <w:vAlign w:val="center"/>
          </w:tcPr>
          <w:p w14:paraId="21B48200">
            <w:pPr>
              <w:pStyle w:val="13"/>
              <w:bidi w:val="0"/>
              <w:rPr>
                <w:rFonts w:hint="eastAsia" w:ascii="宋体" w:hAnsi="宋体" w:eastAsia="宋体" w:cs="宋体"/>
                <w:color w:val="auto"/>
                <w:highlight w:val="none"/>
              </w:rPr>
            </w:pPr>
            <w:r>
              <w:rPr>
                <w:rFonts w:hint="eastAsia" w:ascii="宋体" w:hAnsi="宋体" w:eastAsia="宋体" w:cs="宋体"/>
                <w:color w:val="auto"/>
                <w:highlight w:val="none"/>
              </w:rPr>
              <w:t>优惠承诺及其他</w:t>
            </w:r>
          </w:p>
        </w:tc>
        <w:tc>
          <w:tcPr>
            <w:tcW w:w="6568" w:type="dxa"/>
            <w:vAlign w:val="center"/>
          </w:tcPr>
          <w:p w14:paraId="06447AAB">
            <w:pPr>
              <w:pStyle w:val="13"/>
              <w:bidi w:val="0"/>
              <w:rPr>
                <w:rFonts w:hint="eastAsia" w:ascii="宋体" w:hAnsi="宋体" w:eastAsia="宋体" w:cs="宋体"/>
                <w:color w:val="auto"/>
                <w:highlight w:val="none"/>
              </w:rPr>
            </w:pPr>
          </w:p>
        </w:tc>
      </w:tr>
    </w:tbl>
    <w:p w14:paraId="0F2584B9">
      <w:pPr>
        <w:bidi w:val="0"/>
        <w:rPr>
          <w:rFonts w:hint="eastAsia" w:ascii="宋体" w:hAnsi="宋体" w:eastAsia="宋体" w:cs="宋体"/>
          <w:color w:val="auto"/>
          <w:highlight w:val="none"/>
        </w:rPr>
      </w:pPr>
    </w:p>
    <w:p w14:paraId="21E15D8E">
      <w:pPr>
        <w:bidi w:val="0"/>
        <w:rPr>
          <w:rFonts w:hint="eastAsia" w:ascii="宋体" w:hAnsi="宋体" w:eastAsia="宋体" w:cs="宋体"/>
          <w:color w:val="auto"/>
          <w:highlight w:val="none"/>
          <w:lang w:eastAsia="zh-CN"/>
        </w:rPr>
      </w:pPr>
      <w:r>
        <w:rPr>
          <w:rFonts w:hint="eastAsia" w:ascii="宋体" w:hAnsi="宋体" w:eastAsia="宋体" w:cs="宋体"/>
          <w:color w:val="auto"/>
          <w:highlight w:val="none"/>
        </w:rPr>
        <w:t>注：1、磋</w:t>
      </w:r>
      <w:r>
        <w:rPr>
          <w:rFonts w:hint="eastAsia" w:ascii="宋体" w:hAnsi="宋体" w:eastAsia="宋体" w:cs="宋体"/>
          <w:b w:val="0"/>
          <w:bCs w:val="0"/>
          <w:color w:val="auto"/>
          <w:highlight w:val="none"/>
        </w:rPr>
        <w:t>商报价为</w:t>
      </w:r>
      <w:r>
        <w:rPr>
          <w:rFonts w:hint="eastAsia" w:ascii="宋体" w:hAnsi="宋体" w:cs="宋体"/>
          <w:b w:val="0"/>
          <w:bCs w:val="0"/>
          <w:color w:val="auto"/>
          <w:highlight w:val="none"/>
          <w:lang w:val="en-US" w:eastAsia="zh-CN"/>
        </w:rPr>
        <w:t>总金额</w:t>
      </w:r>
      <w:r>
        <w:rPr>
          <w:rFonts w:hint="eastAsia" w:ascii="宋体" w:hAnsi="宋体" w:eastAsia="宋体" w:cs="宋体"/>
          <w:b w:val="0"/>
          <w:bCs w:val="0"/>
          <w:color w:val="auto"/>
          <w:highlight w:val="none"/>
        </w:rPr>
        <w:t>。</w:t>
      </w:r>
      <w:r>
        <w:rPr>
          <w:rFonts w:hint="eastAsia" w:ascii="宋体" w:hAnsi="宋体" w:eastAsia="宋体" w:cs="宋体"/>
          <w:color w:val="auto"/>
          <w:highlight w:val="none"/>
        </w:rPr>
        <w:t>包括</w:t>
      </w:r>
      <w:r>
        <w:rPr>
          <w:rFonts w:hint="eastAsia" w:ascii="宋体" w:hAnsi="宋体" w:cs="宋体"/>
          <w:color w:val="auto"/>
          <w:highlight w:val="none"/>
          <w:lang w:eastAsia="zh-CN"/>
        </w:rPr>
        <w:t>服务费、保险费、差旅费、人员工资、招标代理费、税金及不可预见费等全部费用。</w:t>
      </w:r>
    </w:p>
    <w:p w14:paraId="48993E79">
      <w:pPr>
        <w:numPr>
          <w:ilvl w:val="0"/>
          <w:numId w:val="30"/>
        </w:numPr>
        <w:bidi w:val="0"/>
        <w:ind w:firstLine="964" w:firstLineChars="400"/>
        <w:rPr>
          <w:rFonts w:hint="eastAsia"/>
        </w:rPr>
      </w:pPr>
      <w:r>
        <w:rPr>
          <w:rFonts w:hint="eastAsia" w:ascii="宋体" w:hAnsi="宋体" w:eastAsia="宋体" w:cs="宋体"/>
          <w:b/>
          <w:bCs/>
          <w:color w:val="auto"/>
          <w:highlight w:val="none"/>
        </w:rPr>
        <w:t>此表在磋商期间，由磋商小组确定合格的供应商后，在政采云平台线上填写。</w:t>
      </w:r>
    </w:p>
    <w:p w14:paraId="059FE57E">
      <w:pPr>
        <w:bidi w:val="0"/>
        <w:rPr>
          <w:rFonts w:hint="eastAsia" w:ascii="宋体" w:hAnsi="宋体" w:eastAsia="宋体" w:cs="宋体"/>
          <w:color w:val="auto"/>
          <w:highlight w:val="none"/>
        </w:rPr>
      </w:pPr>
    </w:p>
    <w:p w14:paraId="3F6DE5C0">
      <w:pPr>
        <w:pStyle w:val="2"/>
        <w:rPr>
          <w:rFonts w:hint="eastAsia" w:ascii="宋体" w:hAnsi="宋体" w:eastAsia="宋体" w:cs="宋体"/>
          <w:color w:val="auto"/>
          <w:highlight w:val="none"/>
        </w:rPr>
      </w:pPr>
    </w:p>
    <w:p w14:paraId="261B7B27">
      <w:pPr>
        <w:rPr>
          <w:rFonts w:hint="eastAsia"/>
        </w:rPr>
      </w:pPr>
    </w:p>
    <w:p w14:paraId="4F1AE434">
      <w:pPr>
        <w:bidi w:val="0"/>
        <w:rPr>
          <w:rFonts w:hint="eastAsia" w:ascii="宋体" w:hAnsi="宋体" w:eastAsia="宋体" w:cs="宋体"/>
          <w:color w:val="auto"/>
          <w:highlight w:val="none"/>
        </w:rPr>
      </w:pPr>
    </w:p>
    <w:p w14:paraId="249F577D">
      <w:pPr>
        <w:bidi w:val="0"/>
        <w:rPr>
          <w:rFonts w:hint="eastAsia" w:ascii="宋体" w:hAnsi="宋体" w:eastAsia="宋体" w:cs="宋体"/>
          <w:color w:val="auto"/>
          <w:highlight w:val="none"/>
        </w:rPr>
      </w:pPr>
    </w:p>
    <w:p w14:paraId="17327620">
      <w:pPr>
        <w:bidi w:val="0"/>
        <w:jc w:val="center"/>
        <w:rPr>
          <w:rFonts w:hint="eastAsia" w:ascii="宋体" w:hAnsi="宋体" w:eastAsia="宋体" w:cs="宋体"/>
          <w:b/>
          <w:bCs/>
          <w:color w:val="auto"/>
          <w:highlight w:val="none"/>
          <w:lang w:val="zh-CN"/>
        </w:rPr>
      </w:pPr>
      <w:bookmarkStart w:id="177" w:name="_Toc31842"/>
      <w:r>
        <w:rPr>
          <w:rFonts w:hint="eastAsia" w:ascii="宋体" w:hAnsi="宋体" w:eastAsia="宋体" w:cs="宋体"/>
          <w:b/>
          <w:bCs/>
          <w:color w:val="auto"/>
          <w:highlight w:val="none"/>
          <w:lang w:val="zh-CN"/>
        </w:rPr>
        <w:t>供应商：</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（公章）</w:t>
      </w:r>
    </w:p>
    <w:p w14:paraId="65563C75">
      <w:pPr>
        <w:bidi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法定代表人或委托代理人：</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（签字或盖章）</w:t>
      </w:r>
    </w:p>
    <w:p w14:paraId="0A0EB073">
      <w:pPr>
        <w:bidi w:val="0"/>
        <w:jc w:val="center"/>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年</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 xml:space="preserve"> 月 </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日</w:t>
      </w:r>
    </w:p>
    <w:p w14:paraId="6E418D07">
      <w:pPr>
        <w:bidi w:val="0"/>
        <w:rPr>
          <w:rFonts w:hint="eastAsia" w:ascii="宋体" w:hAnsi="宋体" w:eastAsia="宋体" w:cs="宋体"/>
          <w:color w:val="auto"/>
          <w:highlight w:val="none"/>
        </w:rPr>
      </w:pPr>
    </w:p>
    <w:p w14:paraId="10558F84">
      <w:pPr>
        <w:bidi w:val="0"/>
        <w:rPr>
          <w:rFonts w:hint="eastAsia" w:ascii="宋体" w:hAnsi="宋体" w:eastAsia="宋体" w:cs="宋体"/>
          <w:color w:val="auto"/>
          <w:highlight w:val="none"/>
        </w:rPr>
      </w:pPr>
    </w:p>
    <w:p w14:paraId="531F4D36">
      <w:pPr>
        <w:bidi w:val="0"/>
        <w:rPr>
          <w:rFonts w:hint="eastAsia" w:ascii="宋体" w:hAnsi="宋体" w:eastAsia="宋体" w:cs="宋体"/>
          <w:color w:val="auto"/>
          <w:highlight w:val="none"/>
        </w:rPr>
      </w:pPr>
    </w:p>
    <w:p w14:paraId="7417DB13">
      <w:pPr>
        <w:bidi w:val="0"/>
        <w:rPr>
          <w:rFonts w:hint="eastAsia" w:ascii="宋体" w:hAnsi="宋体" w:eastAsia="宋体" w:cs="宋体"/>
          <w:color w:val="auto"/>
          <w:highlight w:val="none"/>
        </w:rPr>
      </w:pPr>
    </w:p>
    <w:p w14:paraId="0B99138A">
      <w:pPr>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br w:type="page"/>
      </w:r>
    </w:p>
    <w:p w14:paraId="444CD897">
      <w:pPr>
        <w:pStyle w:val="5"/>
        <w:bidi w:val="0"/>
        <w:jc w:val="both"/>
        <w:rPr>
          <w:rFonts w:hint="eastAsia" w:ascii="宋体" w:hAnsi="宋体" w:eastAsia="宋体" w:cs="宋体"/>
          <w:color w:val="auto"/>
          <w:highlight w:val="none"/>
          <w:lang w:eastAsia="zh-CN"/>
        </w:rPr>
      </w:pPr>
      <w:bookmarkStart w:id="178" w:name="_Toc24612"/>
      <w:r>
        <w:rPr>
          <w:rFonts w:hint="eastAsia" w:ascii="宋体" w:hAnsi="宋体" w:eastAsia="宋体" w:cs="宋体"/>
          <w:color w:val="auto"/>
          <w:highlight w:val="none"/>
        </w:rPr>
        <w:t>附件1</w:t>
      </w:r>
      <w:r>
        <w:rPr>
          <w:rFonts w:hint="eastAsia" w:ascii="宋体" w:hAnsi="宋体" w:cs="宋体"/>
          <w:color w:val="auto"/>
          <w:highlight w:val="none"/>
          <w:lang w:val="en-US" w:eastAsia="zh-CN"/>
        </w:rPr>
        <w:t>8</w:t>
      </w:r>
      <w:r>
        <w:rPr>
          <w:rFonts w:hint="eastAsia" w:ascii="宋体" w:hAnsi="宋体" w:eastAsia="宋体" w:cs="宋体"/>
          <w:color w:val="auto"/>
          <w:highlight w:val="none"/>
        </w:rPr>
        <w:t>：</w:t>
      </w:r>
      <w:bookmarkEnd w:id="177"/>
      <w:r>
        <w:rPr>
          <w:rFonts w:hint="eastAsia" w:ascii="宋体" w:hAnsi="宋体" w:eastAsia="宋体" w:cs="宋体"/>
          <w:color w:val="auto"/>
          <w:highlight w:val="none"/>
          <w:lang w:eastAsia="zh-CN"/>
        </w:rPr>
        <w:t>供应商认为在其他方面有必要说明的事项</w:t>
      </w:r>
      <w:bookmarkEnd w:id="178"/>
    </w:p>
    <w:p w14:paraId="33365594">
      <w:pPr>
        <w:bidi w:val="0"/>
        <w:ind w:left="0" w:leftChars="0" w:firstLine="0" w:firstLineChars="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供应商认为在其他方面有必要说明的事项</w:t>
      </w:r>
    </w:p>
    <w:p w14:paraId="4E97888D">
      <w:pPr>
        <w:bidi w:val="0"/>
        <w:rPr>
          <w:rFonts w:hint="eastAsia" w:ascii="宋体" w:hAnsi="宋体" w:eastAsia="宋体" w:cs="宋体"/>
          <w:color w:val="auto"/>
          <w:highlight w:val="none"/>
          <w:lang w:val="zh-CN"/>
        </w:rPr>
      </w:pPr>
      <w:bookmarkStart w:id="179" w:name="_Toc25058"/>
      <w:bookmarkStart w:id="180" w:name="_Toc69898423"/>
      <w:bookmarkStart w:id="181" w:name="_Toc74901848"/>
    </w:p>
    <w:p w14:paraId="7F3E6F11">
      <w:pPr>
        <w:bidi w:val="0"/>
        <w:rPr>
          <w:rFonts w:hint="eastAsia" w:ascii="宋体" w:hAnsi="宋体" w:eastAsia="宋体" w:cs="宋体"/>
          <w:color w:val="auto"/>
          <w:highlight w:val="none"/>
          <w:lang w:val="zh-CN"/>
        </w:rPr>
      </w:pPr>
    </w:p>
    <w:p w14:paraId="781E306D">
      <w:pPr>
        <w:bidi w:val="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格式自拟</w:t>
      </w:r>
      <w:bookmarkEnd w:id="179"/>
    </w:p>
    <w:p w14:paraId="5F82EA68">
      <w:pPr>
        <w:bidi w:val="0"/>
        <w:rPr>
          <w:rFonts w:hint="eastAsia" w:ascii="宋体" w:hAnsi="宋体" w:eastAsia="宋体" w:cs="宋体"/>
          <w:color w:val="auto"/>
          <w:highlight w:val="none"/>
          <w:lang w:val="zh-CN"/>
        </w:rPr>
      </w:pPr>
    </w:p>
    <w:bookmarkEnd w:id="180"/>
    <w:bookmarkEnd w:id="181"/>
    <w:p w14:paraId="3228E932">
      <w:pPr>
        <w:bidi w:val="0"/>
        <w:rPr>
          <w:rFonts w:hint="eastAsia" w:ascii="宋体" w:hAnsi="宋体" w:eastAsia="宋体" w:cs="宋体"/>
          <w:color w:val="auto"/>
          <w:highlight w:val="none"/>
          <w:lang w:val="zh-CN" w:eastAsia="zh-CN"/>
        </w:rPr>
      </w:pPr>
      <w:bookmarkStart w:id="182" w:name="_Toc22784_WPSOffice_Level3"/>
      <w:bookmarkStart w:id="183" w:name="_Toc6454"/>
      <w:bookmarkStart w:id="184" w:name="_Toc31539"/>
      <w:bookmarkStart w:id="185" w:name="_Toc376936782"/>
      <w:bookmarkStart w:id="186" w:name="_Toc325726051"/>
    </w:p>
    <w:p w14:paraId="6AB366E8">
      <w:pPr>
        <w:bidi w:val="0"/>
        <w:rPr>
          <w:rFonts w:hint="eastAsia" w:ascii="宋体" w:hAnsi="宋体" w:eastAsia="宋体" w:cs="宋体"/>
          <w:color w:val="auto"/>
          <w:highlight w:val="none"/>
          <w:lang w:val="zh-CN"/>
        </w:rPr>
      </w:pPr>
    </w:p>
    <w:p w14:paraId="718BC45C">
      <w:pPr>
        <w:bidi w:val="0"/>
        <w:rPr>
          <w:rFonts w:hint="eastAsia" w:ascii="宋体" w:hAnsi="宋体" w:eastAsia="宋体" w:cs="宋体"/>
          <w:color w:val="auto"/>
          <w:highlight w:val="none"/>
          <w:lang w:val="zh-CN"/>
        </w:rPr>
      </w:pPr>
    </w:p>
    <w:p w14:paraId="592854C5">
      <w:pPr>
        <w:bidi w:val="0"/>
        <w:rPr>
          <w:rFonts w:hint="eastAsia" w:ascii="宋体" w:hAnsi="宋体" w:eastAsia="宋体" w:cs="宋体"/>
          <w:color w:val="auto"/>
          <w:highlight w:val="none"/>
          <w:lang w:val="zh-CN"/>
        </w:rPr>
      </w:pPr>
    </w:p>
    <w:p w14:paraId="0F75D769">
      <w:pPr>
        <w:bidi w:val="0"/>
        <w:rPr>
          <w:rFonts w:hint="eastAsia" w:ascii="宋体" w:hAnsi="宋体" w:eastAsia="宋体" w:cs="宋体"/>
          <w:color w:val="auto"/>
          <w:highlight w:val="none"/>
          <w:lang w:val="zh-CN"/>
        </w:rPr>
      </w:pPr>
    </w:p>
    <w:p w14:paraId="4D905F71">
      <w:pPr>
        <w:bidi w:val="0"/>
        <w:rPr>
          <w:rFonts w:hint="eastAsia" w:ascii="宋体" w:hAnsi="宋体" w:eastAsia="宋体" w:cs="宋体"/>
          <w:color w:val="auto"/>
          <w:highlight w:val="none"/>
          <w:lang w:val="zh-CN"/>
        </w:rPr>
      </w:pPr>
    </w:p>
    <w:p w14:paraId="6D5328C1">
      <w:pPr>
        <w:bidi w:val="0"/>
        <w:rPr>
          <w:rFonts w:hint="eastAsia" w:ascii="宋体" w:hAnsi="宋体" w:eastAsia="宋体" w:cs="宋体"/>
          <w:color w:val="auto"/>
          <w:highlight w:val="none"/>
          <w:lang w:val="zh-CN"/>
        </w:rPr>
      </w:pPr>
    </w:p>
    <w:p w14:paraId="5BAD77C4">
      <w:pPr>
        <w:bidi w:val="0"/>
        <w:rPr>
          <w:rFonts w:hint="eastAsia" w:ascii="宋体" w:hAnsi="宋体" w:eastAsia="宋体" w:cs="宋体"/>
          <w:color w:val="auto"/>
          <w:highlight w:val="none"/>
          <w:lang w:val="zh-CN"/>
        </w:rPr>
      </w:pPr>
    </w:p>
    <w:p w14:paraId="14566D19">
      <w:pPr>
        <w:bidi w:val="0"/>
        <w:rPr>
          <w:rFonts w:hint="eastAsia" w:ascii="宋体" w:hAnsi="宋体" w:eastAsia="宋体" w:cs="宋体"/>
          <w:color w:val="auto"/>
          <w:highlight w:val="none"/>
          <w:lang w:val="zh-CN"/>
        </w:rPr>
      </w:pPr>
    </w:p>
    <w:p w14:paraId="0D19838C">
      <w:pPr>
        <w:bidi w:val="0"/>
        <w:rPr>
          <w:rFonts w:hint="eastAsia" w:ascii="宋体" w:hAnsi="宋体" w:eastAsia="宋体" w:cs="宋体"/>
          <w:color w:val="auto"/>
          <w:highlight w:val="none"/>
          <w:lang w:val="zh-CN"/>
        </w:rPr>
      </w:pPr>
    </w:p>
    <w:p w14:paraId="64F9A8BA">
      <w:pPr>
        <w:bidi w:val="0"/>
        <w:rPr>
          <w:rFonts w:hint="eastAsia" w:ascii="宋体" w:hAnsi="宋体" w:eastAsia="宋体" w:cs="宋体"/>
          <w:color w:val="auto"/>
          <w:highlight w:val="none"/>
          <w:lang w:val="zh-CN"/>
        </w:rPr>
      </w:pPr>
    </w:p>
    <w:p w14:paraId="75C1C16F">
      <w:pPr>
        <w:bidi w:val="0"/>
        <w:rPr>
          <w:rFonts w:hint="eastAsia" w:ascii="宋体" w:hAnsi="宋体" w:eastAsia="宋体" w:cs="宋体"/>
          <w:color w:val="auto"/>
          <w:highlight w:val="none"/>
          <w:lang w:val="zh-CN"/>
        </w:rPr>
      </w:pPr>
    </w:p>
    <w:p w14:paraId="482FDDAE">
      <w:pPr>
        <w:bidi w:val="0"/>
        <w:rPr>
          <w:rFonts w:hint="eastAsia" w:ascii="宋体" w:hAnsi="宋体" w:eastAsia="宋体" w:cs="宋体"/>
          <w:color w:val="auto"/>
          <w:highlight w:val="none"/>
          <w:lang w:val="zh-CN"/>
        </w:rPr>
      </w:pPr>
    </w:p>
    <w:p w14:paraId="75956D3C">
      <w:pPr>
        <w:bidi w:val="0"/>
        <w:rPr>
          <w:rFonts w:hint="eastAsia" w:ascii="宋体" w:hAnsi="宋体" w:eastAsia="宋体" w:cs="宋体"/>
          <w:color w:val="auto"/>
          <w:highlight w:val="none"/>
          <w:lang w:val="zh-CN"/>
        </w:rPr>
      </w:pPr>
    </w:p>
    <w:p w14:paraId="6738F024">
      <w:pPr>
        <w:bidi w:val="0"/>
        <w:rPr>
          <w:rFonts w:hint="eastAsia" w:ascii="宋体" w:hAnsi="宋体" w:eastAsia="宋体" w:cs="宋体"/>
          <w:color w:val="auto"/>
          <w:highlight w:val="none"/>
          <w:lang w:val="zh-CN"/>
        </w:rPr>
      </w:pPr>
    </w:p>
    <w:p w14:paraId="3EAE4034">
      <w:pPr>
        <w:bidi w:val="0"/>
        <w:rPr>
          <w:rFonts w:hint="eastAsia" w:ascii="宋体" w:hAnsi="宋体" w:eastAsia="宋体" w:cs="宋体"/>
          <w:color w:val="auto"/>
          <w:highlight w:val="none"/>
          <w:lang w:val="zh-CN"/>
        </w:rPr>
      </w:pPr>
    </w:p>
    <w:p w14:paraId="71ACCC87">
      <w:pPr>
        <w:bidi w:val="0"/>
        <w:rPr>
          <w:rFonts w:hint="eastAsia" w:ascii="宋体" w:hAnsi="宋体" w:eastAsia="宋体" w:cs="宋体"/>
          <w:color w:val="auto"/>
          <w:highlight w:val="none"/>
          <w:lang w:val="zh-CN"/>
        </w:rPr>
      </w:pPr>
    </w:p>
    <w:p w14:paraId="1841A4C9">
      <w:pPr>
        <w:bidi w:val="0"/>
        <w:rPr>
          <w:rFonts w:hint="eastAsia" w:ascii="宋体" w:hAnsi="宋体" w:eastAsia="宋体" w:cs="宋体"/>
          <w:color w:val="auto"/>
          <w:highlight w:val="none"/>
          <w:lang w:val="zh-CN"/>
        </w:rPr>
      </w:pPr>
    </w:p>
    <w:p w14:paraId="5F665211">
      <w:pPr>
        <w:bidi w:val="0"/>
        <w:rPr>
          <w:rFonts w:hint="eastAsia" w:ascii="宋体" w:hAnsi="宋体" w:eastAsia="宋体" w:cs="宋体"/>
          <w:color w:val="auto"/>
          <w:highlight w:val="none"/>
          <w:lang w:val="zh-CN"/>
        </w:rPr>
      </w:pPr>
    </w:p>
    <w:p w14:paraId="6BB5DBD0">
      <w:pPr>
        <w:bidi w:val="0"/>
        <w:rPr>
          <w:rFonts w:hint="eastAsia" w:ascii="宋体" w:hAnsi="宋体" w:eastAsia="宋体" w:cs="宋体"/>
          <w:color w:val="auto"/>
          <w:highlight w:val="none"/>
          <w:lang w:val="zh-CN"/>
        </w:rPr>
      </w:pPr>
    </w:p>
    <w:p w14:paraId="4E84B869">
      <w:pPr>
        <w:bidi w:val="0"/>
        <w:rPr>
          <w:rFonts w:hint="eastAsia" w:ascii="宋体" w:hAnsi="宋体" w:eastAsia="宋体" w:cs="宋体"/>
          <w:color w:val="auto"/>
          <w:highlight w:val="none"/>
          <w:lang w:val="zh-CN"/>
        </w:rPr>
      </w:pPr>
    </w:p>
    <w:p w14:paraId="70FFBD22">
      <w:pPr>
        <w:bidi w:val="0"/>
        <w:rPr>
          <w:rFonts w:hint="eastAsia" w:ascii="宋体" w:hAnsi="宋体" w:eastAsia="宋体" w:cs="宋体"/>
          <w:color w:val="auto"/>
          <w:highlight w:val="none"/>
          <w:lang w:val="zh-CN"/>
        </w:rPr>
      </w:pPr>
    </w:p>
    <w:p w14:paraId="15FF27C4">
      <w:pPr>
        <w:bidi w:val="0"/>
        <w:rPr>
          <w:rFonts w:hint="eastAsia" w:ascii="宋体" w:hAnsi="宋体" w:eastAsia="宋体" w:cs="宋体"/>
          <w:color w:val="auto"/>
          <w:highlight w:val="none"/>
        </w:rPr>
      </w:pPr>
    </w:p>
    <w:p w14:paraId="321D9ED6">
      <w:pPr>
        <w:rPr>
          <w:rFonts w:hint="eastAsia" w:ascii="宋体" w:hAnsi="宋体" w:eastAsia="宋体" w:cs="宋体"/>
          <w:smallCaps/>
          <w:color w:val="auto"/>
          <w:spacing w:val="20"/>
          <w:sz w:val="28"/>
          <w:szCs w:val="28"/>
          <w:highlight w:val="none"/>
        </w:rPr>
      </w:pPr>
      <w:r>
        <w:rPr>
          <w:rFonts w:hint="eastAsia" w:ascii="宋体" w:hAnsi="宋体" w:eastAsia="宋体" w:cs="宋体"/>
          <w:smallCaps/>
          <w:color w:val="auto"/>
          <w:spacing w:val="20"/>
          <w:sz w:val="28"/>
          <w:szCs w:val="28"/>
          <w:highlight w:val="none"/>
        </w:rPr>
        <w:br w:type="page"/>
      </w:r>
    </w:p>
    <w:p w14:paraId="589D2452">
      <w:pPr>
        <w:pStyle w:val="5"/>
        <w:bidi w:val="0"/>
        <w:jc w:val="both"/>
        <w:rPr>
          <w:rFonts w:hint="eastAsia" w:ascii="宋体" w:hAnsi="宋体" w:eastAsia="宋体" w:cs="宋体"/>
          <w:color w:val="auto"/>
          <w:highlight w:val="none"/>
        </w:rPr>
      </w:pPr>
      <w:bookmarkStart w:id="187" w:name="_Toc1660"/>
      <w:r>
        <w:rPr>
          <w:rFonts w:hint="eastAsia" w:ascii="宋体" w:hAnsi="宋体" w:eastAsia="宋体" w:cs="宋体"/>
          <w:color w:val="auto"/>
          <w:highlight w:val="none"/>
        </w:rPr>
        <w:t>附件</w:t>
      </w:r>
      <w:r>
        <w:rPr>
          <w:rFonts w:hint="eastAsia" w:ascii="宋体" w:hAnsi="宋体" w:cs="宋体"/>
          <w:color w:val="auto"/>
          <w:highlight w:val="none"/>
          <w:lang w:val="en-US" w:eastAsia="zh-CN"/>
        </w:rPr>
        <w:t>19</w:t>
      </w:r>
      <w:r>
        <w:rPr>
          <w:rFonts w:hint="eastAsia" w:ascii="宋体" w:hAnsi="宋体" w:eastAsia="宋体" w:cs="宋体"/>
          <w:color w:val="auto"/>
          <w:highlight w:val="none"/>
        </w:rPr>
        <w:t>：享受政府采购政策优惠的证明资料</w:t>
      </w:r>
      <w:bookmarkEnd w:id="187"/>
    </w:p>
    <w:p w14:paraId="6C9AAD9E">
      <w:pPr>
        <w:bidi w:val="0"/>
        <w:ind w:left="0" w:leftChars="0" w:firstLine="0" w:firstLineChars="0"/>
        <w:rPr>
          <w:rFonts w:hint="eastAsia" w:ascii="宋体" w:hAnsi="宋体" w:eastAsia="宋体" w:cs="宋体"/>
          <w:color w:val="auto"/>
          <w:highlight w:val="none"/>
        </w:rPr>
      </w:pPr>
    </w:p>
    <w:p w14:paraId="5D0A1B1F">
      <w:pPr>
        <w:bidi w:val="0"/>
        <w:ind w:left="0" w:leftChars="0" w:firstLine="0" w:firstLineChars="0"/>
        <w:jc w:val="center"/>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zh-CN"/>
        </w:rPr>
        <w:t>1.中小企业声明函</w:t>
      </w:r>
      <w:bookmarkEnd w:id="182"/>
      <w:bookmarkEnd w:id="183"/>
      <w:bookmarkEnd w:id="184"/>
      <w:r>
        <w:rPr>
          <w:rFonts w:hint="eastAsia" w:ascii="宋体" w:hAnsi="宋体" w:eastAsia="宋体" w:cs="宋体"/>
          <w:b/>
          <w:bCs/>
          <w:color w:val="auto"/>
          <w:sz w:val="32"/>
          <w:szCs w:val="32"/>
          <w:highlight w:val="none"/>
          <w:lang w:val="zh-CN"/>
        </w:rPr>
        <w:t>（服务）</w:t>
      </w:r>
      <w:r>
        <w:rPr>
          <w:rFonts w:hint="eastAsia" w:ascii="宋体" w:hAnsi="宋体" w:cs="宋体"/>
          <w:b/>
          <w:bCs/>
          <w:color w:val="auto"/>
          <w:sz w:val="32"/>
          <w:szCs w:val="32"/>
          <w:highlight w:val="none"/>
          <w:lang w:val="zh-CN"/>
        </w:rPr>
        <w:t>（</w:t>
      </w:r>
      <w:r>
        <w:rPr>
          <w:rFonts w:hint="eastAsia" w:ascii="宋体" w:hAnsi="宋体" w:cs="宋体"/>
          <w:b/>
          <w:bCs/>
          <w:color w:val="auto"/>
          <w:sz w:val="32"/>
          <w:szCs w:val="32"/>
          <w:highlight w:val="none"/>
          <w:lang w:val="en-US" w:eastAsia="zh-CN"/>
        </w:rPr>
        <w:t>本项目不适用）</w:t>
      </w:r>
    </w:p>
    <w:p w14:paraId="14169680">
      <w:pPr>
        <w:bidi w:val="0"/>
        <w:rPr>
          <w:rFonts w:hint="eastAsia" w:ascii="宋体" w:hAnsi="宋体" w:eastAsia="宋体" w:cs="宋体"/>
          <w:color w:val="auto"/>
          <w:highlight w:val="none"/>
        </w:rPr>
      </w:pPr>
      <w:bookmarkStart w:id="188" w:name="_Toc17607_WPSOffice_Level2"/>
      <w:bookmarkStart w:id="189" w:name="_Toc16462_WPSOffice_Level2"/>
      <w:bookmarkStart w:id="190" w:name="_Toc22185_WPSOffice_Level2"/>
      <w:r>
        <w:rPr>
          <w:rFonts w:hint="eastAsia" w:ascii="宋体" w:hAnsi="宋体" w:eastAsia="宋体" w:cs="宋体"/>
          <w:color w:val="auto"/>
          <w:highlight w:val="none"/>
        </w:rPr>
        <w:t>本公司郑重声明，根据《政府采购促进中小企业发展管理办法》（财库﹝2020﹞46 号）的规定，本公司参加</w:t>
      </w:r>
      <w:r>
        <w:rPr>
          <w:rFonts w:hint="eastAsia" w:ascii="宋体" w:hAnsi="宋体" w:cs="宋体"/>
          <w:color w:val="auto"/>
          <w:highlight w:val="none"/>
          <w:u w:val="single"/>
          <w:lang w:eastAsia="zh-CN"/>
        </w:rPr>
        <w:t>海东市乐都区应急管理局（本级）</w:t>
      </w:r>
      <w:r>
        <w:rPr>
          <w:rFonts w:hint="eastAsia" w:ascii="宋体" w:hAnsi="宋体" w:eastAsia="宋体" w:cs="宋体"/>
          <w:color w:val="auto"/>
          <w:highlight w:val="none"/>
        </w:rPr>
        <w:t>的</w:t>
      </w:r>
      <w:r>
        <w:rPr>
          <w:rFonts w:hint="eastAsia" w:ascii="宋体" w:hAnsi="宋体" w:cs="宋体"/>
          <w:color w:val="auto"/>
          <w:highlight w:val="none"/>
          <w:u w:val="single"/>
          <w:lang w:val="zh-CN"/>
        </w:rPr>
        <w:t>海东市乐都区2026-2027年度政策性农村住房保险</w:t>
      </w:r>
      <w:r>
        <w:rPr>
          <w:rFonts w:hint="eastAsia" w:ascii="宋体" w:hAnsi="宋体" w:eastAsia="宋体" w:cs="宋体"/>
          <w:color w:val="auto"/>
          <w:highlight w:val="none"/>
        </w:rPr>
        <w:t>采购活动，服务全部由符合政策要求的中小企业承接。相关企业的具体情况如下：</w:t>
      </w:r>
    </w:p>
    <w:p w14:paraId="0578596F">
      <w:pPr>
        <w:bidi w:val="0"/>
        <w:rPr>
          <w:rFonts w:hint="eastAsia" w:ascii="宋体" w:hAnsi="宋体" w:eastAsia="宋体" w:cs="宋体"/>
          <w:color w:val="auto"/>
          <w:highlight w:val="none"/>
        </w:rPr>
      </w:pPr>
      <w:r>
        <w:rPr>
          <w:rFonts w:hint="eastAsia" w:ascii="宋体" w:hAnsi="宋体" w:cs="宋体"/>
          <w:color w:val="auto"/>
          <w:highlight w:val="none"/>
          <w:u w:val="single"/>
          <w:lang w:val="zh-CN"/>
        </w:rPr>
        <w:t>海东市乐都区2026-2027年度政策性农村住房保险</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（其他未列明</w:t>
      </w:r>
      <w:r>
        <w:rPr>
          <w:rFonts w:hint="eastAsia" w:ascii="宋体" w:hAnsi="宋体" w:cs="宋体"/>
          <w:color w:val="auto"/>
          <w:highlight w:val="none"/>
          <w:u w:val="single"/>
          <w:lang w:val="en-US" w:eastAsia="zh-CN"/>
        </w:rPr>
        <w:t>行业</w:t>
      </w:r>
      <w:r>
        <w:rPr>
          <w:rFonts w:hint="eastAsia" w:ascii="宋体" w:hAnsi="宋体" w:eastAsia="宋体" w:cs="宋体"/>
          <w:color w:val="auto"/>
          <w:highlight w:val="none"/>
          <w:u w:val="single"/>
        </w:rPr>
        <w:t>）</w:t>
      </w:r>
      <w:r>
        <w:rPr>
          <w:rFonts w:hint="eastAsia" w:ascii="宋体" w:hAnsi="宋体" w:eastAsia="宋体" w:cs="宋体"/>
          <w:color w:val="auto"/>
          <w:highlight w:val="none"/>
        </w:rPr>
        <w:t>；承接企业为</w:t>
      </w:r>
      <w:r>
        <w:rPr>
          <w:rFonts w:hint="eastAsia" w:ascii="宋体" w:hAnsi="宋体" w:eastAsia="宋体" w:cs="宋体"/>
          <w:color w:val="auto"/>
          <w:highlight w:val="none"/>
          <w:u w:val="single"/>
        </w:rPr>
        <w:t>（企业名称）</w:t>
      </w:r>
      <w:r>
        <w:rPr>
          <w:rFonts w:hint="eastAsia" w:ascii="宋体" w:hAnsi="宋体" w:eastAsia="宋体" w:cs="宋体"/>
          <w:color w:val="auto"/>
          <w:highlight w:val="none"/>
        </w:rPr>
        <w:t>，从业人员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人，营业收入为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万元，资产总额为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万元</w:t>
      </w:r>
      <w:r>
        <w:rPr>
          <w:rFonts w:hint="eastAsia" w:ascii="宋体" w:hAnsi="宋体" w:eastAsia="宋体" w:cs="宋体"/>
          <w:color w:val="auto"/>
          <w:highlight w:val="none"/>
          <w:vertAlign w:val="superscript"/>
        </w:rPr>
        <w:t>1</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 xml:space="preserve">       （中型企业、小型企业、微型企业）</w:t>
      </w:r>
      <w:r>
        <w:rPr>
          <w:rFonts w:hint="eastAsia" w:ascii="宋体" w:hAnsi="宋体" w:eastAsia="宋体" w:cs="宋体"/>
          <w:color w:val="auto"/>
          <w:highlight w:val="none"/>
        </w:rPr>
        <w:t>；</w:t>
      </w:r>
    </w:p>
    <w:p w14:paraId="31B38AF5">
      <w:pPr>
        <w:bidi w:val="0"/>
        <w:rPr>
          <w:rFonts w:hint="eastAsia" w:ascii="宋体" w:hAnsi="宋体" w:eastAsia="宋体" w:cs="宋体"/>
          <w:color w:val="auto"/>
          <w:highlight w:val="none"/>
        </w:rPr>
      </w:pPr>
    </w:p>
    <w:p w14:paraId="5A6779FF">
      <w:pPr>
        <w:bidi w:val="0"/>
        <w:rPr>
          <w:rFonts w:hint="eastAsia" w:ascii="宋体" w:hAnsi="宋体" w:eastAsia="宋体" w:cs="宋体"/>
          <w:color w:val="auto"/>
          <w:highlight w:val="none"/>
        </w:rPr>
      </w:pPr>
      <w:r>
        <w:rPr>
          <w:rFonts w:hint="eastAsia" w:ascii="宋体" w:hAnsi="宋体" w:eastAsia="宋体" w:cs="宋体"/>
          <w:color w:val="auto"/>
          <w:highlight w:val="none"/>
        </w:rPr>
        <w:t>……</w:t>
      </w:r>
    </w:p>
    <w:p w14:paraId="478B13D9">
      <w:pPr>
        <w:bidi w:val="0"/>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14:paraId="1E75839F">
      <w:pPr>
        <w:bidi w:val="0"/>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14:paraId="45AC11BD">
      <w:pPr>
        <w:bidi w:val="0"/>
        <w:rPr>
          <w:rFonts w:hint="eastAsia" w:ascii="宋体" w:hAnsi="宋体" w:eastAsia="宋体" w:cs="宋体"/>
          <w:color w:val="auto"/>
          <w:highlight w:val="none"/>
        </w:rPr>
      </w:pPr>
    </w:p>
    <w:p w14:paraId="7ABA54D8">
      <w:pPr>
        <w:bidi w:val="0"/>
        <w:rPr>
          <w:rFonts w:hint="eastAsia" w:ascii="宋体" w:hAnsi="宋体" w:eastAsia="宋体" w:cs="宋体"/>
          <w:color w:val="auto"/>
          <w:highlight w:val="none"/>
        </w:rPr>
      </w:pPr>
    </w:p>
    <w:p w14:paraId="31ABB073">
      <w:pPr>
        <w:bidi w:val="0"/>
        <w:rPr>
          <w:rFonts w:hint="eastAsia" w:ascii="宋体" w:hAnsi="宋体" w:eastAsia="宋体" w:cs="宋体"/>
          <w:color w:val="auto"/>
          <w:highlight w:val="none"/>
        </w:rPr>
      </w:pPr>
    </w:p>
    <w:p w14:paraId="707B6D03">
      <w:pPr>
        <w:wordWrap w:val="0"/>
        <w:bidi w:val="0"/>
        <w:jc w:val="righ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企业名称（盖章）：</w:t>
      </w:r>
      <w:r>
        <w:rPr>
          <w:rFonts w:hint="eastAsia" w:ascii="宋体" w:hAnsi="宋体" w:eastAsia="宋体" w:cs="宋体"/>
          <w:color w:val="auto"/>
          <w:highlight w:val="none"/>
          <w:lang w:val="en-US" w:eastAsia="zh-CN"/>
        </w:rPr>
        <w:t xml:space="preserve">   </w:t>
      </w:r>
    </w:p>
    <w:p w14:paraId="7B167C77">
      <w:pPr>
        <w:wordWrap w:val="0"/>
        <w:bidi w:val="0"/>
        <w:jc w:val="right"/>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日 期：</w:t>
      </w:r>
      <w:r>
        <w:rPr>
          <w:rFonts w:hint="eastAsia" w:ascii="宋体" w:hAnsi="宋体" w:eastAsia="宋体" w:cs="宋体"/>
          <w:color w:val="auto"/>
          <w:highlight w:val="none"/>
          <w:lang w:val="en-US" w:eastAsia="zh-CN"/>
        </w:rPr>
        <w:t xml:space="preserve">   </w:t>
      </w:r>
    </w:p>
    <w:p w14:paraId="22BF9DFA">
      <w:pPr>
        <w:bidi w:val="0"/>
        <w:rPr>
          <w:rFonts w:hint="eastAsia" w:ascii="宋体" w:hAnsi="宋体" w:eastAsia="宋体" w:cs="宋体"/>
          <w:color w:val="auto"/>
          <w:highlight w:val="none"/>
        </w:rPr>
      </w:pPr>
    </w:p>
    <w:p w14:paraId="5E21790E">
      <w:pPr>
        <w:bidi w:val="0"/>
        <w:rPr>
          <w:rFonts w:hint="eastAsia" w:ascii="宋体" w:hAnsi="宋体" w:eastAsia="宋体" w:cs="宋体"/>
          <w:color w:val="auto"/>
          <w:highlight w:val="none"/>
        </w:rPr>
      </w:pPr>
    </w:p>
    <w:p w14:paraId="19237C56">
      <w:pPr>
        <w:bidi w:val="0"/>
        <w:rPr>
          <w:rFonts w:hint="eastAsia" w:ascii="宋体" w:hAnsi="宋体" w:eastAsia="宋体" w:cs="宋体"/>
          <w:color w:val="auto"/>
          <w:highlight w:val="none"/>
        </w:rPr>
      </w:pPr>
    </w:p>
    <w:p w14:paraId="3898017C">
      <w:pPr>
        <w:bidi w:val="0"/>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vertAlign w:val="superscript"/>
        </w:rPr>
        <w:t>1</w:t>
      </w:r>
      <w:r>
        <w:rPr>
          <w:rFonts w:hint="eastAsia" w:ascii="宋体" w:hAnsi="宋体" w:eastAsia="宋体" w:cs="宋体"/>
          <w:color w:val="auto"/>
          <w:highlight w:val="none"/>
        </w:rPr>
        <w:t>从业人员、营业收入、资产总额填报上一年度数据，无上一年度数据的新成立企业可不填报。</w:t>
      </w:r>
    </w:p>
    <w:p w14:paraId="0AF5AE2C">
      <w:pPr>
        <w:bidi w:val="0"/>
        <w:rPr>
          <w:rFonts w:hint="default" w:ascii="宋体" w:hAnsi="宋体" w:eastAsia="宋体" w:cs="宋体"/>
          <w:color w:val="auto"/>
          <w:highlight w:val="none"/>
          <w:lang w:val="en-US" w:eastAsia="zh-CN"/>
        </w:rPr>
      </w:pPr>
    </w:p>
    <w:p w14:paraId="278B6E71">
      <w:pPr>
        <w:bidi w:val="0"/>
        <w:rPr>
          <w:rFonts w:hint="eastAsia" w:ascii="宋体" w:hAnsi="宋体" w:eastAsia="宋体" w:cs="宋体"/>
          <w:color w:val="auto"/>
          <w:highlight w:val="none"/>
        </w:rPr>
      </w:pPr>
    </w:p>
    <w:bookmarkEnd w:id="188"/>
    <w:bookmarkEnd w:id="189"/>
    <w:bookmarkEnd w:id="190"/>
    <w:p w14:paraId="0A3552C6">
      <w:pPr>
        <w:pStyle w:val="4"/>
        <w:rPr>
          <w:rFonts w:hint="eastAsia" w:ascii="宋体" w:hAnsi="宋体" w:eastAsia="宋体" w:cs="宋体"/>
          <w:color w:val="auto"/>
          <w:highlight w:val="none"/>
        </w:rPr>
      </w:pPr>
      <w:bookmarkStart w:id="191" w:name="_Toc11740"/>
      <w:bookmarkStart w:id="192" w:name="_Toc12160"/>
      <w:bookmarkStart w:id="193" w:name="_Toc14211_WPSOffice_Level3"/>
    </w:p>
    <w:p w14:paraId="117A5E2E">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p w14:paraId="4D931612">
      <w:pPr>
        <w:bidi w:val="0"/>
        <w:ind w:left="0" w:leftChars="0" w:firstLine="0" w:firstLineChars="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2.残疾人福利性单位声明函</w:t>
      </w:r>
      <w:bookmarkEnd w:id="191"/>
      <w:bookmarkEnd w:id="192"/>
      <w:bookmarkEnd w:id="193"/>
    </w:p>
    <w:p w14:paraId="07DC928F">
      <w:pPr>
        <w:bidi w:val="0"/>
        <w:rPr>
          <w:rFonts w:hint="eastAsia" w:ascii="宋体" w:hAnsi="宋体" w:eastAsia="宋体" w:cs="宋体"/>
          <w:color w:val="auto"/>
          <w:highlight w:val="none"/>
        </w:rPr>
      </w:pPr>
    </w:p>
    <w:p w14:paraId="4B07945E">
      <w:pPr>
        <w:bidi w:val="0"/>
        <w:rPr>
          <w:rFonts w:hint="eastAsia" w:ascii="宋体" w:hAnsi="宋体" w:eastAsia="宋体" w:cs="宋体"/>
          <w:color w:val="auto"/>
          <w:highlight w:val="none"/>
        </w:rPr>
      </w:pPr>
      <w:r>
        <w:rPr>
          <w:rFonts w:hint="eastAsia" w:ascii="宋体" w:hAnsi="宋体" w:eastAsia="宋体" w:cs="宋体"/>
          <w:color w:val="auto"/>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单位的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项目采购活动提供本单位制造的货物（由本单位承担工程/提供服务），或者提供其他残疾人福利性单位制造的货物（不包括使用非残疾人福利性单位注册商标的货物）。</w:t>
      </w:r>
    </w:p>
    <w:p w14:paraId="66A0D614">
      <w:pPr>
        <w:bidi w:val="0"/>
        <w:rPr>
          <w:rFonts w:hint="eastAsia" w:ascii="宋体" w:hAnsi="宋体" w:eastAsia="宋体" w:cs="宋体"/>
          <w:color w:val="auto"/>
          <w:highlight w:val="none"/>
        </w:rPr>
      </w:pPr>
      <w:r>
        <w:rPr>
          <w:rFonts w:hint="eastAsia" w:ascii="宋体" w:hAnsi="宋体" w:eastAsia="宋体" w:cs="宋体"/>
          <w:color w:val="auto"/>
          <w:highlight w:val="none"/>
        </w:rPr>
        <w:t>本单位对上述声明的真实性负责。如有虚假，将依法承担相应责任。</w:t>
      </w:r>
    </w:p>
    <w:p w14:paraId="37FA673C">
      <w:pPr>
        <w:bidi w:val="0"/>
        <w:rPr>
          <w:rFonts w:hint="eastAsia" w:ascii="宋体" w:hAnsi="宋体" w:eastAsia="宋体" w:cs="宋体"/>
          <w:color w:val="auto"/>
          <w:highlight w:val="none"/>
        </w:rPr>
      </w:pPr>
    </w:p>
    <w:p w14:paraId="3B52ADEC">
      <w:pPr>
        <w:pStyle w:val="35"/>
        <w:ind w:firstLine="480"/>
        <w:rPr>
          <w:rFonts w:hint="eastAsia" w:ascii="宋体" w:hAnsi="宋体" w:eastAsia="宋体" w:cs="宋体"/>
          <w:color w:val="auto"/>
          <w:highlight w:val="none"/>
        </w:rPr>
      </w:pPr>
    </w:p>
    <w:p w14:paraId="59E08B2C">
      <w:pPr>
        <w:pStyle w:val="35"/>
        <w:ind w:firstLine="480"/>
        <w:rPr>
          <w:rFonts w:hint="eastAsia" w:ascii="宋体" w:hAnsi="宋体" w:eastAsia="宋体" w:cs="宋体"/>
          <w:color w:val="auto"/>
          <w:highlight w:val="none"/>
        </w:rPr>
      </w:pPr>
    </w:p>
    <w:p w14:paraId="28424206">
      <w:pPr>
        <w:pStyle w:val="35"/>
        <w:ind w:firstLine="480"/>
        <w:rPr>
          <w:rFonts w:hint="eastAsia" w:ascii="宋体" w:hAnsi="宋体" w:eastAsia="宋体" w:cs="宋体"/>
          <w:color w:val="auto"/>
          <w:highlight w:val="none"/>
        </w:rPr>
      </w:pPr>
    </w:p>
    <w:p w14:paraId="6FE34FED">
      <w:pPr>
        <w:pStyle w:val="35"/>
        <w:ind w:firstLine="480"/>
        <w:rPr>
          <w:rFonts w:hint="eastAsia" w:ascii="宋体" w:hAnsi="宋体" w:eastAsia="宋体" w:cs="宋体"/>
          <w:color w:val="auto"/>
          <w:highlight w:val="none"/>
        </w:rPr>
      </w:pPr>
    </w:p>
    <w:p w14:paraId="4BC17D63">
      <w:pPr>
        <w:bidi w:val="0"/>
        <w:rPr>
          <w:rFonts w:hint="eastAsia" w:ascii="宋体" w:hAnsi="宋体" w:eastAsia="宋体" w:cs="宋体"/>
          <w:color w:val="auto"/>
          <w:highlight w:val="none"/>
        </w:rPr>
      </w:pPr>
    </w:p>
    <w:p w14:paraId="33BBEAA9">
      <w:pPr>
        <w:bidi w:val="0"/>
        <w:rPr>
          <w:rFonts w:hint="eastAsia" w:ascii="宋体" w:hAnsi="宋体" w:eastAsia="宋体" w:cs="宋体"/>
          <w:color w:val="auto"/>
          <w:highlight w:val="none"/>
        </w:rPr>
      </w:pPr>
      <w:bookmarkStart w:id="194" w:name="_Toc9477"/>
      <w:bookmarkStart w:id="195" w:name="_Toc30801"/>
    </w:p>
    <w:p w14:paraId="34FCCF03">
      <w:pPr>
        <w:bidi w:val="0"/>
        <w:rPr>
          <w:rFonts w:hint="eastAsia" w:ascii="宋体" w:hAnsi="宋体" w:eastAsia="宋体" w:cs="宋体"/>
          <w:color w:val="auto"/>
          <w:highlight w:val="none"/>
        </w:rPr>
      </w:pPr>
    </w:p>
    <w:p w14:paraId="4365C41C">
      <w:pPr>
        <w:bidi w:val="0"/>
        <w:rPr>
          <w:rFonts w:hint="eastAsia" w:ascii="宋体" w:hAnsi="宋体" w:eastAsia="宋体" w:cs="宋体"/>
          <w:color w:val="auto"/>
          <w:highlight w:val="none"/>
        </w:rPr>
      </w:pPr>
    </w:p>
    <w:p w14:paraId="6DF19A54">
      <w:pPr>
        <w:bidi w:val="0"/>
        <w:rPr>
          <w:rFonts w:hint="eastAsia" w:ascii="宋体" w:hAnsi="宋体" w:eastAsia="宋体" w:cs="宋体"/>
          <w:color w:val="auto"/>
          <w:highlight w:val="none"/>
        </w:rPr>
      </w:pPr>
      <w:r>
        <w:rPr>
          <w:rFonts w:hint="eastAsia" w:ascii="宋体" w:hAnsi="宋体" w:eastAsia="宋体" w:cs="宋体"/>
          <w:color w:val="auto"/>
          <w:highlight w:val="none"/>
        </w:rPr>
        <w:t>若无此项内容，可不提供此函。</w:t>
      </w:r>
    </w:p>
    <w:p w14:paraId="0B1CBAA0">
      <w:pPr>
        <w:bidi w:val="0"/>
        <w:rPr>
          <w:rFonts w:hint="eastAsia" w:ascii="宋体" w:hAnsi="宋体" w:eastAsia="宋体" w:cs="宋体"/>
          <w:color w:val="auto"/>
          <w:highlight w:val="none"/>
        </w:rPr>
      </w:pPr>
    </w:p>
    <w:p w14:paraId="4E0D2B22">
      <w:pPr>
        <w:bidi w:val="0"/>
        <w:rPr>
          <w:rFonts w:hint="eastAsia" w:ascii="宋体" w:hAnsi="宋体" w:eastAsia="宋体" w:cs="宋体"/>
          <w:color w:val="auto"/>
          <w:highlight w:val="none"/>
        </w:rPr>
      </w:pPr>
    </w:p>
    <w:p w14:paraId="0269E03E">
      <w:pPr>
        <w:bidi w:val="0"/>
        <w:rPr>
          <w:rFonts w:hint="eastAsia" w:ascii="宋体" w:hAnsi="宋体" w:eastAsia="宋体" w:cs="宋体"/>
          <w:color w:val="auto"/>
          <w:highlight w:val="none"/>
        </w:rPr>
      </w:pPr>
    </w:p>
    <w:p w14:paraId="682F9AE4">
      <w:pPr>
        <w:bidi w:val="0"/>
        <w:rPr>
          <w:rFonts w:hint="eastAsia" w:ascii="宋体" w:hAnsi="宋体" w:eastAsia="宋体" w:cs="宋体"/>
          <w:color w:val="auto"/>
          <w:highlight w:val="none"/>
        </w:rPr>
      </w:pPr>
    </w:p>
    <w:p w14:paraId="7F238541">
      <w:pPr>
        <w:bidi w:val="0"/>
        <w:rPr>
          <w:rFonts w:hint="eastAsia" w:ascii="宋体" w:hAnsi="宋体" w:eastAsia="宋体" w:cs="宋体"/>
          <w:color w:val="auto"/>
          <w:highlight w:val="none"/>
        </w:rPr>
      </w:pPr>
    </w:p>
    <w:p w14:paraId="425246D8">
      <w:pPr>
        <w:bidi w:val="0"/>
        <w:rPr>
          <w:rFonts w:hint="eastAsia" w:ascii="宋体" w:hAnsi="宋体" w:eastAsia="宋体" w:cs="宋体"/>
          <w:color w:val="auto"/>
          <w:highlight w:val="none"/>
        </w:rPr>
      </w:pPr>
    </w:p>
    <w:p w14:paraId="4D8D2D23">
      <w:pPr>
        <w:bidi w:val="0"/>
        <w:rPr>
          <w:rFonts w:hint="eastAsia" w:ascii="宋体" w:hAnsi="宋体" w:eastAsia="宋体" w:cs="宋体"/>
          <w:color w:val="auto"/>
          <w:highlight w:val="none"/>
        </w:rPr>
      </w:pPr>
    </w:p>
    <w:p w14:paraId="4053DEDF">
      <w:pPr>
        <w:bidi w:val="0"/>
        <w:rPr>
          <w:rFonts w:hint="eastAsia" w:ascii="宋体" w:hAnsi="宋体" w:eastAsia="宋体" w:cs="宋体"/>
          <w:color w:val="auto"/>
          <w:highlight w:val="none"/>
        </w:rPr>
      </w:pPr>
    </w:p>
    <w:p w14:paraId="1F022FE5">
      <w:pPr>
        <w:pStyle w:val="80"/>
        <w:rPr>
          <w:rFonts w:hint="eastAsia" w:ascii="宋体" w:hAnsi="宋体" w:eastAsia="宋体" w:cs="宋体"/>
          <w:color w:val="auto"/>
          <w:highlight w:val="none"/>
        </w:rPr>
      </w:pPr>
    </w:p>
    <w:p w14:paraId="7195CDAA">
      <w:pPr>
        <w:pStyle w:val="80"/>
        <w:rPr>
          <w:rFonts w:hint="eastAsia" w:ascii="宋体" w:hAnsi="宋体" w:eastAsia="宋体" w:cs="宋体"/>
          <w:color w:val="auto"/>
          <w:highlight w:val="none"/>
        </w:rPr>
      </w:pPr>
    </w:p>
    <w:p w14:paraId="31AE2632">
      <w:pPr>
        <w:pStyle w:val="80"/>
        <w:rPr>
          <w:rFonts w:hint="eastAsia" w:ascii="宋体" w:hAnsi="宋体" w:eastAsia="宋体" w:cs="宋体"/>
          <w:color w:val="auto"/>
          <w:highlight w:val="none"/>
        </w:rPr>
      </w:pPr>
    </w:p>
    <w:p w14:paraId="3B162AB7">
      <w:pPr>
        <w:pStyle w:val="80"/>
        <w:rPr>
          <w:rFonts w:hint="eastAsia" w:ascii="宋体" w:hAnsi="宋体" w:eastAsia="宋体" w:cs="宋体"/>
          <w:color w:val="auto"/>
          <w:highlight w:val="none"/>
        </w:rPr>
      </w:pPr>
    </w:p>
    <w:p w14:paraId="756BD7FE">
      <w:pPr>
        <w:bidi w:val="0"/>
        <w:ind w:left="0" w:leftChars="0" w:firstLine="0" w:firstLineChars="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3.监狱企业证明资料</w:t>
      </w:r>
      <w:bookmarkEnd w:id="194"/>
      <w:bookmarkEnd w:id="195"/>
    </w:p>
    <w:p w14:paraId="4908B25A">
      <w:pPr>
        <w:bidi w:val="0"/>
        <w:rPr>
          <w:rFonts w:hint="eastAsia" w:ascii="宋体" w:hAnsi="宋体" w:eastAsia="宋体" w:cs="宋体"/>
          <w:color w:val="auto"/>
          <w:highlight w:val="none"/>
        </w:rPr>
      </w:pPr>
    </w:p>
    <w:p w14:paraId="47D1E3A6">
      <w:pPr>
        <w:bidi w:val="0"/>
        <w:rPr>
          <w:rFonts w:hint="eastAsia" w:ascii="宋体" w:hAnsi="宋体" w:eastAsia="宋体" w:cs="宋体"/>
          <w:color w:val="auto"/>
          <w:highlight w:val="none"/>
        </w:rPr>
      </w:pPr>
      <w:r>
        <w:rPr>
          <w:rFonts w:hint="eastAsia" w:ascii="宋体" w:hAnsi="宋体" w:eastAsia="宋体" w:cs="宋体"/>
          <w:color w:val="auto"/>
          <w:highlight w:val="none"/>
        </w:rPr>
        <w:t>备注：按《财政部 司法部关于政府采购支持监狱企业发展有关问题的通知》(财库〔2014〕68号)文件规定提供证明文件（复印件）。</w:t>
      </w:r>
    </w:p>
    <w:p w14:paraId="2249E3CD">
      <w:pPr>
        <w:bidi w:val="0"/>
        <w:rPr>
          <w:rFonts w:hint="eastAsia" w:ascii="宋体" w:hAnsi="宋体" w:eastAsia="宋体" w:cs="宋体"/>
          <w:color w:val="auto"/>
          <w:highlight w:val="none"/>
        </w:rPr>
      </w:pPr>
      <w:bookmarkStart w:id="196" w:name="_Toc22071_WPSOffice_Level3"/>
    </w:p>
    <w:p w14:paraId="1F03B238">
      <w:pPr>
        <w:bidi w:val="0"/>
        <w:rPr>
          <w:rFonts w:hint="eastAsia" w:ascii="宋体" w:hAnsi="宋体" w:eastAsia="宋体" w:cs="宋体"/>
          <w:color w:val="auto"/>
          <w:highlight w:val="none"/>
        </w:rPr>
      </w:pPr>
    </w:p>
    <w:p w14:paraId="30B88B40">
      <w:pPr>
        <w:bidi w:val="0"/>
        <w:rPr>
          <w:rFonts w:hint="eastAsia" w:ascii="宋体" w:hAnsi="宋体" w:eastAsia="宋体" w:cs="宋体"/>
          <w:color w:val="auto"/>
          <w:highlight w:val="none"/>
        </w:rPr>
      </w:pPr>
    </w:p>
    <w:bookmarkEnd w:id="196"/>
    <w:p w14:paraId="381FBE03">
      <w:pPr>
        <w:bidi w:val="0"/>
        <w:rPr>
          <w:rFonts w:hint="eastAsia" w:ascii="宋体" w:hAnsi="宋体" w:eastAsia="宋体" w:cs="宋体"/>
          <w:color w:val="auto"/>
          <w:highlight w:val="none"/>
        </w:rPr>
      </w:pPr>
    </w:p>
    <w:p w14:paraId="6DC3EC76">
      <w:pPr>
        <w:bidi w:val="0"/>
        <w:rPr>
          <w:rFonts w:hint="eastAsia" w:ascii="宋体" w:hAnsi="宋体" w:eastAsia="宋体" w:cs="宋体"/>
          <w:color w:val="auto"/>
          <w:highlight w:val="none"/>
        </w:rPr>
      </w:pPr>
      <w:r>
        <w:rPr>
          <w:rFonts w:hint="eastAsia" w:ascii="宋体" w:hAnsi="宋体" w:eastAsia="宋体" w:cs="宋体"/>
          <w:color w:val="auto"/>
          <w:highlight w:val="none"/>
        </w:rPr>
        <w:t>若无此项内容，可不提供此函。</w:t>
      </w:r>
    </w:p>
    <w:p w14:paraId="5D26EDDE">
      <w:pPr>
        <w:bidi w:val="0"/>
        <w:rPr>
          <w:rFonts w:hint="eastAsia" w:ascii="宋体" w:hAnsi="宋体" w:eastAsia="宋体" w:cs="宋体"/>
          <w:color w:val="auto"/>
          <w:highlight w:val="none"/>
        </w:rPr>
      </w:pPr>
    </w:p>
    <w:p w14:paraId="0B78C666">
      <w:pPr>
        <w:bidi w:val="0"/>
        <w:rPr>
          <w:rFonts w:hint="eastAsia" w:ascii="宋体" w:hAnsi="宋体" w:eastAsia="宋体" w:cs="宋体"/>
          <w:color w:val="auto"/>
          <w:highlight w:val="none"/>
        </w:rPr>
      </w:pPr>
    </w:p>
    <w:p w14:paraId="5F45584F">
      <w:pPr>
        <w:bidi w:val="0"/>
        <w:rPr>
          <w:rFonts w:hint="eastAsia" w:ascii="宋体" w:hAnsi="宋体" w:eastAsia="宋体" w:cs="宋体"/>
          <w:color w:val="auto"/>
          <w:highlight w:val="none"/>
        </w:rPr>
      </w:pPr>
    </w:p>
    <w:p w14:paraId="5E6AE622">
      <w:pPr>
        <w:pStyle w:val="3"/>
        <w:numPr>
          <w:ilvl w:val="0"/>
          <w:numId w:val="0"/>
        </w:numPr>
        <w:bidi w:val="0"/>
        <w:ind w:leftChars="0"/>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197" w:name="_Toc13920"/>
      <w:r>
        <w:rPr>
          <w:rFonts w:hint="eastAsia" w:ascii="宋体" w:hAnsi="宋体" w:eastAsia="宋体" w:cs="宋体"/>
          <w:color w:val="auto"/>
          <w:highlight w:val="none"/>
        </w:rPr>
        <w:t xml:space="preserve">第六部分 </w:t>
      </w:r>
      <w:bookmarkEnd w:id="185"/>
      <w:bookmarkEnd w:id="186"/>
      <w:r>
        <w:rPr>
          <w:rFonts w:hint="eastAsia" w:ascii="宋体" w:hAnsi="宋体" w:eastAsia="宋体" w:cs="宋体"/>
          <w:color w:val="auto"/>
          <w:highlight w:val="none"/>
        </w:rPr>
        <w:t>磋商及采购项目技术要求</w:t>
      </w:r>
      <w:bookmarkEnd w:id="197"/>
    </w:p>
    <w:p w14:paraId="283C2B1B">
      <w:pPr>
        <w:ind w:firstLine="542"/>
        <w:outlineLvl w:val="1"/>
        <w:rPr>
          <w:rFonts w:ascii="宋体" w:hAnsi="宋体"/>
          <w:b/>
          <w:bCs/>
          <w:color w:val="auto"/>
          <w:sz w:val="27"/>
          <w:szCs w:val="27"/>
          <w:highlight w:val="none"/>
        </w:rPr>
      </w:pPr>
      <w:bookmarkStart w:id="198" w:name="_Toc19303"/>
      <w:bookmarkStart w:id="199" w:name="_Toc26595"/>
      <w:bookmarkStart w:id="200" w:name="_Toc73113615"/>
      <w:bookmarkStart w:id="201" w:name="_Toc416183246"/>
      <w:bookmarkStart w:id="202" w:name="_Toc78299222"/>
      <w:bookmarkStart w:id="203" w:name="_Toc325726053"/>
      <w:bookmarkStart w:id="204" w:name="_Toc376936784"/>
      <w:bookmarkStart w:id="205" w:name="_Toc88839798"/>
      <w:bookmarkStart w:id="206" w:name="_Toc75964243"/>
      <w:bookmarkStart w:id="207" w:name="_Toc75964802"/>
      <w:bookmarkStart w:id="208" w:name="_Toc5555_WPSOffice_Level2"/>
      <w:bookmarkStart w:id="209" w:name="_Toc5173845"/>
      <w:bookmarkStart w:id="210" w:name="_Toc10780"/>
      <w:bookmarkStart w:id="211" w:name="_Toc24290"/>
      <w:bookmarkStart w:id="212" w:name="_Toc118812027"/>
      <w:r>
        <w:rPr>
          <w:rFonts w:hint="eastAsia" w:ascii="宋体" w:hAnsi="宋体"/>
          <w:b/>
          <w:bCs/>
          <w:color w:val="auto"/>
          <w:sz w:val="27"/>
          <w:szCs w:val="27"/>
          <w:highlight w:val="none"/>
        </w:rPr>
        <w:t>1、投标说明</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25FB47E1">
      <w:pPr>
        <w:spacing w:line="360" w:lineRule="auto"/>
        <w:ind w:firstLine="470" w:firstLineChars="196"/>
        <w:rPr>
          <w:rFonts w:ascii="宋体" w:hAnsi="宋体"/>
          <w:color w:val="auto"/>
          <w:highlight w:val="none"/>
          <w:lang w:val="zh-CN"/>
        </w:rPr>
      </w:pPr>
      <w:r>
        <w:rPr>
          <w:rFonts w:hint="eastAsia" w:ascii="宋体" w:hAnsi="宋体"/>
          <w:color w:val="auto"/>
          <w:highlight w:val="none"/>
          <w:lang w:val="zh-CN"/>
        </w:rPr>
        <w:t>1.1</w:t>
      </w:r>
      <w:r>
        <w:rPr>
          <w:rFonts w:hint="eastAsia" w:ascii="宋体" w:hAnsi="宋体"/>
          <w:color w:val="auto"/>
          <w:highlight w:val="none"/>
        </w:rPr>
        <w:t>供应商必须对磋商文件中所有内容作为一个整体进行投标，不能拆分或少报。否则，投标无效。</w:t>
      </w:r>
    </w:p>
    <w:p w14:paraId="3D09BF09">
      <w:pPr>
        <w:widowControl w:val="0"/>
        <w:autoSpaceDE w:val="0"/>
        <w:autoSpaceDN w:val="0"/>
        <w:spacing w:line="360" w:lineRule="auto"/>
        <w:ind w:firstLine="480" w:firstLineChars="200"/>
        <w:jc w:val="both"/>
        <w:rPr>
          <w:rFonts w:hint="eastAsia" w:ascii="宋体" w:hAnsi="宋体" w:eastAsia="宋体"/>
          <w:color w:val="auto"/>
          <w:highlight w:val="none"/>
          <w:lang w:eastAsia="zh-CN"/>
        </w:rPr>
      </w:pPr>
      <w:r>
        <w:rPr>
          <w:rFonts w:hint="eastAsia" w:ascii="宋体" w:hAnsi="宋体"/>
          <w:color w:val="auto"/>
          <w:highlight w:val="none"/>
          <w:lang w:val="zh-CN"/>
        </w:rPr>
        <w:t>1.2</w:t>
      </w:r>
      <w:r>
        <w:rPr>
          <w:rFonts w:hint="eastAsia" w:ascii="宋体" w:hAnsi="宋体"/>
          <w:color w:val="auto"/>
          <w:highlight w:val="none"/>
        </w:rPr>
        <w:t>磋商报价为总报价。必须包括：</w:t>
      </w:r>
      <w:r>
        <w:rPr>
          <w:rFonts w:hint="eastAsia" w:ascii="宋体" w:hAnsi="宋体"/>
          <w:color w:val="auto"/>
          <w:highlight w:val="none"/>
          <w:lang w:eastAsia="zh-CN"/>
        </w:rPr>
        <w:t>服务费、保险费、差旅费、人员工资、招标代理费、税金及不可预见费等全部费用。</w:t>
      </w:r>
    </w:p>
    <w:p w14:paraId="61A85723">
      <w:pPr>
        <w:spacing w:line="360" w:lineRule="auto"/>
        <w:ind w:firstLine="470" w:firstLineChars="196"/>
        <w:rPr>
          <w:rFonts w:ascii="宋体" w:hAnsi="宋体"/>
          <w:color w:val="auto"/>
          <w:highlight w:val="none"/>
          <w:lang w:val="zh-CN"/>
        </w:rPr>
      </w:pPr>
      <w:r>
        <w:rPr>
          <w:rFonts w:hint="eastAsia" w:ascii="宋体" w:hAnsi="宋体"/>
          <w:color w:val="auto"/>
          <w:highlight w:val="none"/>
          <w:lang w:val="zh-CN"/>
        </w:rPr>
        <w:t>1.</w:t>
      </w:r>
      <w:r>
        <w:rPr>
          <w:rFonts w:hint="eastAsia" w:ascii="宋体" w:hAnsi="宋体"/>
          <w:color w:val="auto"/>
          <w:highlight w:val="none"/>
        </w:rPr>
        <w:t>3 所</w:t>
      </w:r>
      <w:r>
        <w:rPr>
          <w:rFonts w:hint="eastAsia" w:ascii="宋体" w:hAnsi="宋体"/>
          <w:color w:val="auto"/>
          <w:highlight w:val="none"/>
          <w:lang w:val="en-US" w:eastAsia="zh-CN"/>
        </w:rPr>
        <w:t>提供的服务</w:t>
      </w:r>
      <w:r>
        <w:rPr>
          <w:rFonts w:hint="eastAsia" w:ascii="宋体" w:hAnsi="宋体"/>
          <w:color w:val="auto"/>
          <w:highlight w:val="none"/>
        </w:rPr>
        <w:t>或其任何一部分不得侵犯专利权、著作权、商标权和工业设计权等知识产权。</w:t>
      </w:r>
    </w:p>
    <w:p w14:paraId="7D9D8B02">
      <w:pPr>
        <w:spacing w:line="360" w:lineRule="auto"/>
        <w:ind w:firstLine="480"/>
        <w:rPr>
          <w:rFonts w:ascii="宋体" w:hAnsi="宋体"/>
          <w:color w:val="auto"/>
          <w:highlight w:val="none"/>
          <w:lang w:val="zh-CN"/>
        </w:rPr>
      </w:pPr>
      <w:r>
        <w:rPr>
          <w:rFonts w:hint="eastAsia" w:ascii="宋体" w:hAnsi="宋体"/>
          <w:color w:val="auto"/>
          <w:highlight w:val="none"/>
        </w:rPr>
        <w:t>1.</w:t>
      </w:r>
      <w:r>
        <w:rPr>
          <w:rFonts w:hint="eastAsia" w:ascii="宋体" w:hAnsi="宋体"/>
          <w:color w:val="auto"/>
          <w:highlight w:val="none"/>
          <w:lang w:val="en-US" w:eastAsia="zh-CN"/>
        </w:rPr>
        <w:t>4</w:t>
      </w:r>
      <w:r>
        <w:rPr>
          <w:rFonts w:hint="eastAsia" w:ascii="宋体" w:hAnsi="宋体"/>
          <w:color w:val="auto"/>
          <w:highlight w:val="none"/>
        </w:rPr>
        <w:t xml:space="preserve"> 项目中标</w:t>
      </w:r>
      <w:r>
        <w:rPr>
          <w:rFonts w:hint="eastAsia" w:ascii="宋体" w:hAnsi="宋体"/>
          <w:color w:val="auto"/>
          <w:highlight w:val="none"/>
          <w:lang w:val="zh-CN"/>
        </w:rPr>
        <w:t>后分包情况：不允许。</w:t>
      </w:r>
    </w:p>
    <w:p w14:paraId="2A79A8B9">
      <w:pPr>
        <w:ind w:firstLine="542"/>
        <w:outlineLvl w:val="1"/>
        <w:rPr>
          <w:rFonts w:ascii="宋体" w:hAnsi="宋体"/>
          <w:b/>
          <w:bCs/>
          <w:color w:val="auto"/>
          <w:sz w:val="27"/>
          <w:szCs w:val="27"/>
          <w:highlight w:val="none"/>
        </w:rPr>
      </w:pPr>
      <w:bookmarkStart w:id="213" w:name="_Toc88839799"/>
      <w:bookmarkStart w:id="214" w:name="_Toc19498_WPSOffice_Level2"/>
      <w:bookmarkStart w:id="215" w:name="_Toc10416"/>
      <w:bookmarkStart w:id="216" w:name="_Toc16416"/>
      <w:bookmarkStart w:id="217" w:name="_Toc21995"/>
      <w:r>
        <w:rPr>
          <w:rFonts w:hint="eastAsia" w:ascii="宋体" w:hAnsi="宋体"/>
          <w:b/>
          <w:bCs/>
          <w:color w:val="auto"/>
          <w:sz w:val="27"/>
          <w:szCs w:val="27"/>
          <w:highlight w:val="none"/>
        </w:rPr>
        <w:t>2、报价说明</w:t>
      </w:r>
      <w:bookmarkEnd w:id="213"/>
      <w:bookmarkEnd w:id="214"/>
      <w:bookmarkEnd w:id="215"/>
      <w:bookmarkEnd w:id="216"/>
      <w:bookmarkEnd w:id="217"/>
    </w:p>
    <w:p w14:paraId="258BD4FE">
      <w:pPr>
        <w:numPr>
          <w:ilvl w:val="0"/>
          <w:numId w:val="0"/>
        </w:numPr>
        <w:autoSpaceDE w:val="0"/>
        <w:autoSpaceDN w:val="0"/>
        <w:spacing w:line="360" w:lineRule="auto"/>
        <w:ind w:firstLine="480" w:firstLineChars="200"/>
        <w:rPr>
          <w:rFonts w:hint="eastAsia" w:ascii="宋体" w:hAnsi="宋体" w:cs="宋体"/>
          <w:b/>
          <w:bCs/>
          <w:color w:val="auto"/>
          <w:kern w:val="0"/>
          <w:highlight w:val="none"/>
          <w:lang w:val="zh-CN"/>
        </w:rPr>
      </w:pPr>
      <w:r>
        <w:rPr>
          <w:rFonts w:hint="eastAsia" w:ascii="宋体" w:hAnsi="宋体" w:cs="宋体"/>
          <w:color w:val="auto"/>
          <w:kern w:val="0"/>
          <w:highlight w:val="none"/>
        </w:rPr>
        <w:t>2</w:t>
      </w:r>
      <w:r>
        <w:rPr>
          <w:rFonts w:hint="eastAsia" w:ascii="宋体" w:hAnsi="宋体" w:cs="宋体"/>
          <w:color w:val="auto"/>
          <w:kern w:val="0"/>
          <w:highlight w:val="none"/>
          <w:lang w:val="zh-CN"/>
        </w:rPr>
        <w:t>.1</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采购需求中带有“★”号标注的技术参数为实质性响应，必须满足，否则将视为无效</w:t>
      </w:r>
      <w:r>
        <w:rPr>
          <w:rFonts w:hint="eastAsia" w:ascii="宋体" w:hAnsi="宋体" w:cs="宋体"/>
          <w:color w:val="auto"/>
          <w:kern w:val="0"/>
          <w:highlight w:val="none"/>
          <w:lang w:val="en-US" w:eastAsia="zh-CN"/>
        </w:rPr>
        <w:t>响应</w:t>
      </w:r>
      <w:r>
        <w:rPr>
          <w:rFonts w:hint="eastAsia" w:ascii="宋体" w:hAnsi="宋体" w:cs="宋体"/>
          <w:color w:val="auto"/>
          <w:kern w:val="0"/>
          <w:highlight w:val="none"/>
          <w:lang w:val="zh-CN"/>
        </w:rPr>
        <w:t>。</w:t>
      </w:r>
    </w:p>
    <w:p w14:paraId="090A7FAF">
      <w:pPr>
        <w:spacing w:line="360" w:lineRule="auto"/>
        <w:ind w:left="-2" w:leftChars="-1" w:firstLine="480" w:firstLineChars="200"/>
        <w:rPr>
          <w:rFonts w:ascii="宋体" w:hAnsi="宋体" w:cs="宋体"/>
          <w:color w:val="auto"/>
          <w:highlight w:val="none"/>
        </w:rPr>
      </w:pPr>
      <w:r>
        <w:rPr>
          <w:rFonts w:hint="eastAsia" w:ascii="宋体" w:hAnsi="宋体" w:cs="宋体"/>
          <w:color w:val="auto"/>
          <w:highlight w:val="none"/>
          <w:lang w:val="en-US" w:eastAsia="zh-CN"/>
        </w:rPr>
        <w:t>2.2</w:t>
      </w:r>
      <w:r>
        <w:rPr>
          <w:rFonts w:hint="eastAsia" w:ascii="宋体" w:hAnsi="宋体" w:cs="宋体"/>
          <w:color w:val="auto"/>
          <w:highlight w:val="none"/>
        </w:rPr>
        <w:t>本次</w:t>
      </w:r>
      <w:r>
        <w:rPr>
          <w:rFonts w:hint="eastAsia" w:ascii="宋体" w:hAnsi="宋体" w:cs="宋体"/>
          <w:color w:val="auto"/>
          <w:highlight w:val="none"/>
          <w:lang w:val="en-US" w:eastAsia="zh-CN"/>
        </w:rPr>
        <w:t>磋商</w:t>
      </w:r>
      <w:r>
        <w:rPr>
          <w:rFonts w:hint="eastAsia" w:ascii="宋体" w:hAnsi="宋体" w:cs="宋体"/>
          <w:color w:val="auto"/>
          <w:highlight w:val="none"/>
        </w:rPr>
        <w:t>文件中规定的</w:t>
      </w:r>
      <w:r>
        <w:rPr>
          <w:rFonts w:hint="eastAsia" w:ascii="宋体" w:hAnsi="宋体" w:cs="宋体"/>
          <w:color w:val="auto"/>
          <w:kern w:val="0"/>
          <w:highlight w:val="none"/>
        </w:rPr>
        <w:t>最高限价</w:t>
      </w:r>
      <w:r>
        <w:rPr>
          <w:rFonts w:hint="eastAsia" w:ascii="宋体" w:hAnsi="宋体" w:cs="宋体"/>
          <w:color w:val="auto"/>
          <w:highlight w:val="none"/>
        </w:rPr>
        <w:t>为</w:t>
      </w:r>
      <w:r>
        <w:rPr>
          <w:rFonts w:hint="eastAsia" w:ascii="宋体" w:hAnsi="宋体" w:cs="宋体"/>
          <w:color w:val="auto"/>
          <w:highlight w:val="none"/>
          <w:lang w:val="en-US" w:eastAsia="zh-CN"/>
        </w:rPr>
        <w:t>项目</w:t>
      </w:r>
      <w:r>
        <w:rPr>
          <w:rFonts w:hint="eastAsia" w:ascii="宋体" w:hAnsi="宋体" w:cs="宋体"/>
          <w:color w:val="auto"/>
          <w:highlight w:val="none"/>
        </w:rPr>
        <w:t>最高限价，</w:t>
      </w:r>
      <w:r>
        <w:rPr>
          <w:rFonts w:hint="eastAsia" w:ascii="宋体" w:hAnsi="宋体" w:cs="宋体"/>
          <w:color w:val="auto"/>
          <w:highlight w:val="none"/>
          <w:lang w:val="en-US" w:eastAsia="zh-CN"/>
        </w:rPr>
        <w:t>供应商</w:t>
      </w:r>
      <w:r>
        <w:rPr>
          <w:rFonts w:hint="eastAsia" w:ascii="宋体" w:hAnsi="宋体" w:cs="宋体"/>
          <w:color w:val="auto"/>
          <w:highlight w:val="none"/>
        </w:rPr>
        <w:t>的报价不得超出此额度。否则，</w:t>
      </w:r>
      <w:r>
        <w:rPr>
          <w:rFonts w:hint="eastAsia" w:ascii="宋体" w:hAnsi="宋体" w:cs="宋体"/>
          <w:color w:val="auto"/>
          <w:highlight w:val="none"/>
          <w:lang w:val="en-US" w:eastAsia="zh-CN"/>
        </w:rPr>
        <w:t>响应</w:t>
      </w:r>
      <w:r>
        <w:rPr>
          <w:rFonts w:hint="eastAsia" w:ascii="宋体" w:hAnsi="宋体" w:cs="宋体"/>
          <w:color w:val="auto"/>
          <w:highlight w:val="none"/>
        </w:rPr>
        <w:t>无效。</w:t>
      </w:r>
      <w:r>
        <w:rPr>
          <w:rFonts w:hint="eastAsia" w:ascii="宋体" w:hAnsi="宋体" w:cs="宋体"/>
          <w:color w:val="auto"/>
          <w:highlight w:val="none"/>
          <w:lang w:val="en-US" w:eastAsia="zh-CN"/>
        </w:rPr>
        <w:t xml:space="preserve"> </w:t>
      </w:r>
    </w:p>
    <w:p w14:paraId="27FADFE2">
      <w:pPr>
        <w:ind w:firstLine="542"/>
        <w:outlineLvl w:val="1"/>
        <w:rPr>
          <w:rFonts w:hint="eastAsia" w:ascii="宋体" w:hAnsi="宋体"/>
          <w:b/>
          <w:bCs/>
          <w:color w:val="auto"/>
          <w:sz w:val="27"/>
          <w:szCs w:val="27"/>
          <w:highlight w:val="none"/>
        </w:rPr>
      </w:pPr>
      <w:bookmarkStart w:id="218" w:name="_Toc31207"/>
      <w:bookmarkStart w:id="219" w:name="_Toc78299223"/>
      <w:bookmarkStart w:id="220" w:name="_Toc22145_WPSOffice_Level2"/>
      <w:bookmarkStart w:id="221" w:name="_Toc88839800"/>
      <w:bookmarkStart w:id="222" w:name="_Toc30748"/>
      <w:bookmarkStart w:id="223" w:name="_Toc10090"/>
      <w:r>
        <w:rPr>
          <w:rFonts w:hint="eastAsia" w:ascii="宋体" w:hAnsi="宋体"/>
          <w:b/>
          <w:bCs/>
          <w:color w:val="auto"/>
          <w:sz w:val="27"/>
          <w:szCs w:val="27"/>
          <w:highlight w:val="none"/>
        </w:rPr>
        <w:t>3、商务要求</w:t>
      </w:r>
      <w:bookmarkEnd w:id="218"/>
      <w:bookmarkEnd w:id="219"/>
      <w:bookmarkEnd w:id="220"/>
      <w:bookmarkEnd w:id="221"/>
      <w:bookmarkEnd w:id="222"/>
      <w:bookmarkEnd w:id="223"/>
    </w:p>
    <w:p w14:paraId="0A79BF69">
      <w:pPr>
        <w:autoSpaceDE w:val="0"/>
        <w:autoSpaceDN w:val="0"/>
        <w:spacing w:line="540" w:lineRule="exact"/>
        <w:ind w:firstLine="480"/>
        <w:rPr>
          <w:rFonts w:hint="default" w:ascii="宋体" w:hAnsi="宋体" w:cs="宋体"/>
          <w:color w:val="auto"/>
          <w:highlight w:val="none"/>
          <w:lang w:val="en-US"/>
        </w:rPr>
      </w:pPr>
      <w:r>
        <w:rPr>
          <w:rFonts w:hint="eastAsia" w:ascii="宋体" w:hAnsi="宋体" w:cs="宋体"/>
          <w:color w:val="auto"/>
          <w:highlight w:val="none"/>
        </w:rPr>
        <w:t>1</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服务期限</w:t>
      </w:r>
      <w:r>
        <w:rPr>
          <w:rFonts w:hint="eastAsia" w:ascii="宋体" w:hAnsi="宋体" w:cs="宋体"/>
          <w:color w:val="auto"/>
          <w:highlight w:val="none"/>
        </w:rPr>
        <w:t>：</w:t>
      </w:r>
      <w:r>
        <w:rPr>
          <w:rFonts w:hint="eastAsia" w:ascii="宋体" w:hAnsi="宋体" w:cs="宋体"/>
          <w:color w:val="auto"/>
          <w:highlight w:val="none"/>
          <w:lang w:val="en-US" w:eastAsia="zh-CN"/>
        </w:rPr>
        <w:t>2026年至2027年</w:t>
      </w:r>
    </w:p>
    <w:p w14:paraId="2DEC9B7C">
      <w:pPr>
        <w:autoSpaceDE w:val="0"/>
        <w:autoSpaceDN w:val="0"/>
        <w:spacing w:line="540" w:lineRule="exact"/>
        <w:ind w:firstLine="480"/>
        <w:rPr>
          <w:rFonts w:hint="eastAsia" w:ascii="宋体" w:hAnsi="宋体" w:eastAsia="宋体" w:cs="宋体"/>
          <w:color w:val="auto"/>
          <w:highlight w:val="none"/>
          <w:lang w:eastAsia="zh-CN"/>
        </w:rPr>
      </w:pPr>
      <w:r>
        <w:rPr>
          <w:rFonts w:hint="eastAsia" w:ascii="宋体" w:hAnsi="宋体" w:cs="宋体"/>
          <w:color w:val="auto"/>
          <w:highlight w:val="none"/>
        </w:rPr>
        <w:t>2</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服务</w:t>
      </w:r>
      <w:r>
        <w:rPr>
          <w:rFonts w:hint="eastAsia" w:ascii="宋体" w:hAnsi="宋体" w:cs="宋体"/>
          <w:color w:val="auto"/>
          <w:highlight w:val="none"/>
        </w:rPr>
        <w:t>地点：</w:t>
      </w:r>
      <w:r>
        <w:rPr>
          <w:rFonts w:hint="eastAsia" w:ascii="宋体" w:hAnsi="宋体" w:cs="宋体"/>
          <w:color w:val="auto"/>
          <w:highlight w:val="none"/>
          <w:lang w:val="en-US" w:eastAsia="zh-CN"/>
        </w:rPr>
        <w:t>乐都区</w:t>
      </w:r>
    </w:p>
    <w:p w14:paraId="21F9475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3、付款方式：签订合同时约定</w:t>
      </w:r>
    </w:p>
    <w:p w14:paraId="02D62A9B">
      <w:pPr>
        <w:ind w:firstLine="542"/>
        <w:outlineLvl w:val="1"/>
        <w:rPr>
          <w:rFonts w:hint="eastAsia" w:ascii="宋体" w:hAnsi="宋体" w:eastAsia="宋体"/>
          <w:b/>
          <w:bCs/>
          <w:color w:val="auto"/>
          <w:sz w:val="27"/>
          <w:szCs w:val="27"/>
          <w:highlight w:val="none"/>
        </w:rPr>
      </w:pPr>
      <w:bookmarkStart w:id="224" w:name="_Toc14591"/>
      <w:r>
        <w:rPr>
          <w:rFonts w:hint="eastAsia" w:ascii="宋体" w:hAnsi="宋体" w:eastAsia="宋体"/>
          <w:b/>
          <w:bCs/>
          <w:color w:val="auto"/>
          <w:sz w:val="27"/>
          <w:szCs w:val="27"/>
          <w:highlight w:val="none"/>
          <w:lang w:val="en-US" w:eastAsia="zh-CN"/>
        </w:rPr>
        <w:t>4</w:t>
      </w:r>
      <w:r>
        <w:rPr>
          <w:rFonts w:hint="eastAsia" w:ascii="宋体" w:hAnsi="宋体" w:eastAsia="宋体"/>
          <w:b/>
          <w:bCs/>
          <w:color w:val="auto"/>
          <w:sz w:val="27"/>
          <w:szCs w:val="27"/>
          <w:highlight w:val="none"/>
          <w:lang w:val="zh-CN" w:eastAsia="zh-CN"/>
        </w:rPr>
        <w:t>、采购需求</w:t>
      </w:r>
      <w:bookmarkEnd w:id="212"/>
      <w:bookmarkEnd w:id="224"/>
    </w:p>
    <w:p w14:paraId="41F54DFA">
      <w:pPr>
        <w:autoSpaceDE w:val="0"/>
        <w:autoSpaceDN w:val="0"/>
        <w:spacing w:line="540" w:lineRule="exact"/>
        <w:ind w:firstLine="48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一、保险内容</w:t>
      </w:r>
    </w:p>
    <w:p w14:paraId="72ED6D42">
      <w:pPr>
        <w:autoSpaceDE w:val="0"/>
        <w:autoSpaceDN w:val="0"/>
        <w:spacing w:line="540" w:lineRule="exact"/>
        <w:ind w:firstLine="480"/>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(一)实施范围：</w:t>
      </w:r>
      <w:r>
        <w:rPr>
          <w:rFonts w:hint="eastAsia" w:ascii="宋体" w:hAnsi="宋体" w:eastAsia="宋体" w:cs="宋体"/>
          <w:color w:val="auto"/>
          <w:highlight w:val="none"/>
          <w:lang w:val="en-US" w:eastAsia="zh-CN"/>
        </w:rPr>
        <w:t>全区范围内具有本区农业户籍的常住农户，均可作为被保险人。</w:t>
      </w:r>
    </w:p>
    <w:p w14:paraId="1ACB7900">
      <w:pPr>
        <w:autoSpaceDE w:val="0"/>
        <w:autoSpaceDN w:val="0"/>
        <w:spacing w:line="540" w:lineRule="exact"/>
        <w:ind w:firstLine="480"/>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(二)保险期限：</w:t>
      </w:r>
      <w:r>
        <w:rPr>
          <w:rFonts w:hint="eastAsia" w:ascii="宋体" w:hAnsi="宋体" w:eastAsia="宋体" w:cs="宋体"/>
          <w:color w:val="auto"/>
          <w:highlight w:val="none"/>
          <w:lang w:val="en-US" w:eastAsia="zh-CN"/>
        </w:rPr>
        <w:t>一年。</w:t>
      </w:r>
    </w:p>
    <w:p w14:paraId="3C66BF33">
      <w:pPr>
        <w:autoSpaceDE w:val="0"/>
        <w:autoSpaceDN w:val="0"/>
        <w:spacing w:line="540" w:lineRule="exact"/>
        <w:ind w:firstLine="480"/>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(三)保险标的：</w:t>
      </w:r>
      <w:r>
        <w:rPr>
          <w:rFonts w:hint="eastAsia" w:ascii="宋体" w:hAnsi="宋体" w:eastAsia="宋体" w:cs="宋体"/>
          <w:color w:val="auto"/>
          <w:highlight w:val="none"/>
          <w:lang w:val="en-US" w:eastAsia="zh-CN"/>
        </w:rPr>
        <w:t>所有坐落于乡村且有人长期生活居住的成套房间，包括卧室，正厅，餐厅，厨房，卫生间。保险标的仅指房屋主体，不包括附属建筑物。附属建筑物指附属于房屋外部或者独立于房屋的围墙，院门，车库，厕所，粪寮，禽畜间，柴草间，杂物间，简易搭盖，单独的店面，作坊等。以户为单位，一户只保一座房屋，一户主有多座房屋的，只保户主(以户口簿列明的户主为准)日常长期居住房屋；多户未分家且共同居住的，视为一户，按一户赔偿。无人居住和正在建造的房屋，装潢，室内财产均不纳入保险标的范围。</w:t>
      </w:r>
    </w:p>
    <w:p w14:paraId="0BD7F5D9">
      <w:pPr>
        <w:autoSpaceDE w:val="0"/>
        <w:autoSpaceDN w:val="0"/>
        <w:spacing w:line="540" w:lineRule="exact"/>
        <w:ind w:firstLine="48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(四)保险责任</w:t>
      </w:r>
    </w:p>
    <w:p w14:paraId="7925D9E3">
      <w:pPr>
        <w:autoSpaceDE w:val="0"/>
        <w:autoSpaceDN w:val="0"/>
        <w:spacing w:line="540" w:lineRule="exact"/>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1.政策性农村住房保险责任：在保险期间内，由于下列原因直接造成保险标的倒塌或受损(房屋倒塌或受损的界定标准和裁定办法根据应急部制定的政策实施)，保险人按本保险合同的约定负责赔偿：</w:t>
      </w:r>
    </w:p>
    <w:p w14:paraId="5A267DFD">
      <w:pPr>
        <w:autoSpaceDE w:val="0"/>
        <w:autoSpaceDN w:val="0"/>
        <w:spacing w:line="540" w:lineRule="exact"/>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(1)自然灾害：因地震，雷击，大风，暴雨，雨涝，洪水，雪灾，冰雹，泥石流，冰凌，山体崩塌，突发性滑坡，地面突然下陷造成的房屋损失；</w:t>
      </w:r>
    </w:p>
    <w:p w14:paraId="799DB6FA">
      <w:pPr>
        <w:autoSpaceDE w:val="0"/>
        <w:autoSpaceDN w:val="0"/>
        <w:spacing w:line="540" w:lineRule="exact"/>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(2)意外事故：泥石流，崩塌，突发性滑坡；</w:t>
      </w:r>
    </w:p>
    <w:p w14:paraId="6E1815E2">
      <w:pPr>
        <w:autoSpaceDE w:val="0"/>
        <w:autoSpaceDN w:val="0"/>
        <w:spacing w:line="540" w:lineRule="exact"/>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(3)正损费用：在自然灾害及意外事故发生时，农村居民为防止灾害损失扩大所花费的必要，合理的费用，下列原因造成的损失，费用，保险人不负责赔偿；</w:t>
      </w:r>
    </w:p>
    <w:p w14:paraId="41C65CE8">
      <w:pPr>
        <w:autoSpaceDE w:val="0"/>
        <w:autoSpaceDN w:val="0"/>
        <w:spacing w:line="540" w:lineRule="exact"/>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(1)投保人，被保险人及其家庭成员，寄宿人员，租借人员，雇佣人员的违法，犯罪或故意行为；</w:t>
      </w:r>
    </w:p>
    <w:p w14:paraId="0FA77F86">
      <w:pPr>
        <w:autoSpaceDE w:val="0"/>
        <w:autoSpaceDN w:val="0"/>
        <w:spacing w:line="540" w:lineRule="exact"/>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(2)战争，敌对行动，军事行动，武装冲突，罢工，骚乱，暴动，政变，谋反，恐怖活动；</w:t>
      </w:r>
    </w:p>
    <w:p w14:paraId="043DF1CE">
      <w:pPr>
        <w:autoSpaceDE w:val="0"/>
        <w:autoSpaceDN w:val="0"/>
        <w:spacing w:line="540" w:lineRule="exact"/>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(3)核辐射，核爆炸，核污染及其他放射性污染；</w:t>
      </w:r>
    </w:p>
    <w:p w14:paraId="33292BA3">
      <w:pPr>
        <w:autoSpaceDE w:val="0"/>
        <w:autoSpaceDN w:val="0"/>
        <w:spacing w:line="540" w:lineRule="exact"/>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(4)行政行为或司法行为。</w:t>
      </w:r>
    </w:p>
    <w:p w14:paraId="79E67752">
      <w:pPr>
        <w:autoSpaceDE w:val="0"/>
        <w:autoSpaceDN w:val="0"/>
        <w:spacing w:line="540" w:lineRule="exact"/>
        <w:ind w:firstLine="48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2.附加商业险保险责任：保险人对超过政策性农村住房保险赔偿金额部分损失以及农房装修，农房室内财产，农房室内盗抢等其他与农房相关的财产保险损失负责赔偿。</w:t>
      </w:r>
    </w:p>
    <w:p w14:paraId="36F89B51">
      <w:pPr>
        <w:autoSpaceDE w:val="0"/>
        <w:autoSpaceDN w:val="0"/>
        <w:spacing w:line="540" w:lineRule="exact"/>
        <w:ind w:firstLine="48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二、工作要求</w:t>
      </w:r>
    </w:p>
    <w:p w14:paraId="7B8B718A">
      <w:pPr>
        <w:autoSpaceDE w:val="0"/>
        <w:autoSpaceDN w:val="0"/>
        <w:spacing w:line="540" w:lineRule="exact"/>
        <w:ind w:firstLine="480"/>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(一)切实强化宣传力度。</w:t>
      </w:r>
      <w:r>
        <w:rPr>
          <w:rFonts w:hint="eastAsia" w:ascii="宋体" w:hAnsi="宋体" w:eastAsia="宋体" w:cs="宋体"/>
          <w:color w:val="auto"/>
          <w:highlight w:val="none"/>
          <w:lang w:val="en-US" w:eastAsia="zh-CN"/>
        </w:rPr>
        <w:t>各乡镇(街道)，各有关部门要协助保险公司做好政策宣传工作，增强广大农民群众的风险意识和保险意识，使广大农民群众了解党和政府为民办事的目的和意义，使这项"民心工程"深入民心。</w:t>
      </w:r>
    </w:p>
    <w:p w14:paraId="637FD4AE">
      <w:pPr>
        <w:autoSpaceDE w:val="0"/>
        <w:autoSpaceDN w:val="0"/>
        <w:spacing w:line="540" w:lineRule="exact"/>
        <w:ind w:firstLine="480"/>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(二)切实做好保险服务工作。</w:t>
      </w:r>
      <w:r>
        <w:rPr>
          <w:rFonts w:hint="eastAsia" w:ascii="宋体" w:hAnsi="宋体" w:eastAsia="宋体" w:cs="宋体"/>
          <w:color w:val="auto"/>
          <w:highlight w:val="none"/>
          <w:lang w:val="en-US" w:eastAsia="zh-CN"/>
        </w:rPr>
        <w:t>保险公司要切实增强社会责任感，从服务"三农"的全局出发，在理赔过程中坚持合理，公正，主动，简便和有利于农户恢复重建的原则，为农户提供宣传，承保，防灾防损，查勘定损，理赔，电话热线等专业化服务，主动公开客户服务电话，积极稳妥地做好各项工作。要充分发挥承办机构的网络，人才，管理，服务等专业优势，为农民群众提供优质保险服务。要加强农村保险服务网点建设，方便农户投保和索赔。要按照保险条款规定，及时做好理赔工作，切实做到应赔尽赔，能赔快赔，要按照预防为主，防赔结合的方针助力农户防灾防损。</w:t>
      </w:r>
    </w:p>
    <w:p w14:paraId="64F35537">
      <w:pPr>
        <w:autoSpaceDE w:val="0"/>
        <w:autoSpaceDN w:val="0"/>
        <w:spacing w:line="540" w:lineRule="exact"/>
        <w:ind w:firstLine="480"/>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(三)切实规范理赔服务：</w:t>
      </w:r>
      <w:r>
        <w:rPr>
          <w:rFonts w:hint="eastAsia" w:ascii="宋体" w:hAnsi="宋体" w:eastAsia="宋体" w:cs="宋体"/>
          <w:color w:val="auto"/>
          <w:highlight w:val="none"/>
          <w:lang w:val="en-US" w:eastAsia="zh-CN"/>
        </w:rPr>
        <w:t>保险公司要制定详细的理赔操作细则，严格规范理赔操作流程，防范各类风险，发生保险范围下的灾害事故。由承保机构在约定时间内进行查勘，定损。承保机构应根据农村住房保险合同约定，按合同条款合理定损，并及时支付赔款，不得超期赔付，做到"定损到户""理赔到户"和"理赔结果公开"，理赔款通过农户"一卡通"发放，确保赔款及时，足额支付给被保险人。被保险人与承保机构之间因农村住房承保，理赔等发生争议，可引入第三方评估定损或通过协商解决，协商未果的。可向有管辖权的人民法院提起诉讼。</w:t>
      </w:r>
    </w:p>
    <w:p w14:paraId="4EB1F9E7">
      <w:pPr>
        <w:autoSpaceDE w:val="0"/>
        <w:autoSpaceDN w:val="0"/>
        <w:spacing w:line="540" w:lineRule="exact"/>
        <w:ind w:firstLine="480"/>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(四)加强责任落实。</w:t>
      </w:r>
      <w:r>
        <w:rPr>
          <w:rFonts w:hint="eastAsia" w:ascii="宋体" w:hAnsi="宋体" w:eastAsia="宋体" w:cs="宋体"/>
          <w:color w:val="auto"/>
          <w:highlight w:val="none"/>
          <w:lang w:val="en-US" w:eastAsia="zh-CN"/>
        </w:rPr>
        <w:t>政策性农村住房保险工作是一项惠及农民群众的民心工程，涉及面广，政策性强，各乡镇(街道)，各有关部门必须实事求是地做好政策性农村住房保险工作，确保此项工作顺利实施。</w:t>
      </w:r>
    </w:p>
    <w:p w14:paraId="07040215">
      <w:pPr>
        <w:autoSpaceDE w:val="0"/>
        <w:autoSpaceDN w:val="0"/>
        <w:spacing w:line="540" w:lineRule="exact"/>
        <w:ind w:firstLine="480"/>
        <w:rPr>
          <w:rFonts w:hint="eastAsia" w:ascii="宋体" w:hAnsi="宋体" w:eastAsia="宋体" w:cs="宋体"/>
          <w:sz w:val="24"/>
          <w:szCs w:val="24"/>
          <w:lang w:val="en-US" w:eastAsia="zh-CN"/>
        </w:rPr>
      </w:pPr>
    </w:p>
    <w:sectPr>
      <w:pgSz w:w="11906" w:h="16838"/>
      <w:pgMar w:top="1440" w:right="1080" w:bottom="1440" w:left="1080" w:header="567"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PMingLiUfalt">
    <w:altName w:val="MingLiU-ExtB"/>
    <w:panose1 w:val="00000000000000000000"/>
    <w:charset w:val="88"/>
    <w:family w:val="roma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楷体_GB2312">
    <w:panose1 w:val="02010609030101010101"/>
    <w:charset w:val="7A"/>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Arial Black">
    <w:panose1 w:val="020B0A04020102020204"/>
    <w:charset w:val="00"/>
    <w:family w:val="swiss"/>
    <w:pitch w:val="default"/>
    <w:sig w:usb0="A00002AF" w:usb1="400078FB" w:usb2="00000000" w:usb3="00000000" w:csb0="6000009F" w:csb1="DFD70000"/>
  </w:font>
  <w:font w:name="长城仿宋">
    <w:altName w:val="宋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Baskerville">
    <w:altName w:val="Georgia"/>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ヒラギノ角ゴ Pro W3">
    <w:altName w:val="MS Gothic"/>
    <w:panose1 w:val="00000000000000000000"/>
    <w:charset w:val="80"/>
    <w:family w:val="auto"/>
    <w:pitch w:val="default"/>
    <w:sig w:usb0="00000000" w:usb1="00000000" w:usb2="01000407" w:usb3="00000000" w:csb0="00020000" w:csb1="00000000"/>
  </w:font>
  <w:font w:name="MS Gothic">
    <w:panose1 w:val="020B0609070205080204"/>
    <w:charset w:val="80"/>
    <w:family w:val="auto"/>
    <w:pitch w:val="default"/>
    <w:sig w:usb0="E00002FF" w:usb1="6AC7FDFB" w:usb2="08000012" w:usb3="00000000" w:csb0="4002009F" w:csb1="DFD70000"/>
  </w:font>
  <w:font w:name="Arial Narrow">
    <w:altName w:val="Arial"/>
    <w:panose1 w:val="020B0606020202030204"/>
    <w:charset w:val="00"/>
    <w:family w:val="swiss"/>
    <w:pitch w:val="default"/>
    <w:sig w:usb0="00000000" w:usb1="00000000" w:usb2="00000000" w:usb3="00000000" w:csb0="2000009F" w:csb1="DFD70000"/>
  </w:font>
  <w:font w:name="小标宋">
    <w:altName w:val="宋体"/>
    <w:panose1 w:val="00000000000000000000"/>
    <w:charset w:val="86"/>
    <w:family w:val="roma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Adobe 黑体 Std R">
    <w:altName w:val="黑体"/>
    <w:panose1 w:val="020B0400000000000000"/>
    <w:charset w:val="86"/>
    <w:family w:val="auto"/>
    <w:pitch w:val="default"/>
    <w:sig w:usb0="00000000" w:usb1="00000000" w:usb2="00000016" w:usb3="00000000" w:csb0="00060007"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Futura Bk">
    <w:altName w:val="Segoe Print"/>
    <w:panose1 w:val="00000000000000000000"/>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Swift-Light">
    <w:altName w:val="Times New Roman"/>
    <w:panose1 w:val="00000000000000000000"/>
    <w:charset w:val="4D"/>
    <w:family w:val="auto"/>
    <w:pitch w:val="default"/>
    <w:sig w:usb0="00000000" w:usb1="00000000" w:usb2="00000000" w:usb3="00000000" w:csb0="00000001" w:csb1="00000000"/>
  </w:font>
  <w:font w:name="Univers 57 Condensed">
    <w:altName w:val="Times New Roman"/>
    <w:panose1 w:val="00000000000000000000"/>
    <w:charset w:val="4D"/>
    <w:family w:val="auto"/>
    <w:pitch w:val="default"/>
    <w:sig w:usb0="00000000" w:usb1="00000000" w:usb2="00000000" w:usb3="00000000" w:csb0="00000001" w:csb1="00000000"/>
  </w:font>
  <w:font w:name="Univers 67 CondensedBold">
    <w:altName w:val="Times New Roman"/>
    <w:panose1 w:val="00000000000000000000"/>
    <w:charset w:val="4D"/>
    <w:family w:val="auto"/>
    <w:pitch w:val="default"/>
    <w:sig w:usb0="00000000" w:usb1="00000000" w:usb2="00000000" w:usb3="00000000" w:csb0="00000001" w:csb1="00000000"/>
  </w:font>
  <w:font w:name="Univers 67 CondensedBoldOblique">
    <w:altName w:val="Times New Roman"/>
    <w:panose1 w:val="00000000000000000000"/>
    <w:charset w:val="4D"/>
    <w:family w:val="auto"/>
    <w:pitch w:val="default"/>
    <w:sig w:usb0="00000000" w:usb1="00000000" w:usb2="00000000" w:usb3="00000000" w:csb0="00000001" w:csb1="00000000"/>
  </w:font>
  <w:font w:name="ITCCenturyBookT">
    <w:altName w:val="Times New Roman"/>
    <w:panose1 w:val="00000000000000000000"/>
    <w:charset w:val="00"/>
    <w:family w:val="auto"/>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Helvetica">
    <w:altName w:val="Arial"/>
    <w:panose1 w:val="020B0504020202020204"/>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C3913">
    <w:pPr>
      <w:pStyle w:val="4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98309">
    <w:pPr>
      <w:pStyle w:val="41"/>
      <w:framePr w:wrap="around" w:vAnchor="text" w:hAnchor="margin" w:y="1"/>
      <w:ind w:firstLine="360"/>
      <w:rPr>
        <w:rStyle w:val="74"/>
      </w:rPr>
    </w:pPr>
    <w:r>
      <w:rPr>
        <w:rStyle w:val="74"/>
      </w:rPr>
      <w:fldChar w:fldCharType="begin"/>
    </w:r>
    <w:r>
      <w:rPr>
        <w:rStyle w:val="74"/>
      </w:rPr>
      <w:instrText xml:space="preserve">PAGE  </w:instrText>
    </w:r>
    <w:r>
      <w:rPr>
        <w:rStyle w:val="74"/>
      </w:rPr>
      <w:fldChar w:fldCharType="end"/>
    </w:r>
  </w:p>
  <w:p w14:paraId="33D0EBB3">
    <w:pPr>
      <w:pStyle w:val="4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4C268">
    <w:pPr>
      <w:pStyle w:val="41"/>
      <w:framePr w:wrap="around" w:vAnchor="text" w:hAnchor="margin" w:xAlign="center" w:y="1"/>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7E1F4">
    <w:pPr>
      <w:pStyle w:val="41"/>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7BD845">
                          <w:pPr>
                            <w:pStyle w:val="41"/>
                            <w:ind w:firstLine="360"/>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457BD845">
                    <w:pPr>
                      <w:pStyle w:val="41"/>
                      <w:ind w:firstLine="360"/>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27D7D">
    <w:pPr>
      <w:pStyle w:val="41"/>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D77B7">
    <w:pPr>
      <w:pStyle w:val="4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0A382">
    <w:pPr>
      <w:ind w:left="0" w:leftChars="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E210E">
    <w:pPr>
      <w:pStyle w:val="42"/>
      <w:keepNext w:val="0"/>
      <w:keepLines w:val="0"/>
      <w:pageBreakBefore w:val="0"/>
      <w:widowControl w:val="0"/>
      <w:pBdr>
        <w:bottom w:val="thinThickSmallGap" w:color="auto" w:sz="12" w:space="1"/>
      </w:pBdr>
      <w:kinsoku/>
      <w:wordWrap/>
      <w:overflowPunct/>
      <w:topLinePunct w:val="0"/>
      <w:bidi w:val="0"/>
      <w:adjustRightInd/>
      <w:snapToGrid w:val="0"/>
      <w:ind w:left="0" w:leftChars="0" w:firstLine="0" w:firstLineChars="0"/>
      <w:jc w:val="both"/>
      <w:textAlignment w:val="auto"/>
      <w:rPr>
        <w:rFonts w:hint="default" w:eastAsia="仿宋_GB2312"/>
        <w:lang w:val="en-US"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A803E">
    <w:pPr>
      <w:pStyle w:val="4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E69DA">
    <w:pPr>
      <w:pStyle w:val="4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DA80D"/>
    <w:multiLevelType w:val="singleLevel"/>
    <w:tmpl w:val="8EDDA80D"/>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1">
    <w:nsid w:val="91C8D9C4"/>
    <w:multiLevelType w:val="singleLevel"/>
    <w:tmpl w:val="91C8D9C4"/>
    <w:lvl w:ilvl="0" w:tentative="0">
      <w:start w:val="2"/>
      <w:numFmt w:val="decimal"/>
      <w:suff w:val="nothing"/>
      <w:lvlText w:val="%1、"/>
      <w:lvlJc w:val="left"/>
      <w:pPr>
        <w:ind w:left="960" w:leftChars="0" w:firstLine="0" w:firstLineChars="0"/>
      </w:pPr>
    </w:lvl>
  </w:abstractNum>
  <w:abstractNum w:abstractNumId="2">
    <w:nsid w:val="A888BE09"/>
    <w:multiLevelType w:val="singleLevel"/>
    <w:tmpl w:val="A888BE09"/>
    <w:lvl w:ilvl="0" w:tentative="0">
      <w:start w:val="1"/>
      <w:numFmt w:val="decimal"/>
      <w:pStyle w:val="28"/>
      <w:lvlText w:val="%1."/>
      <w:lvlJc w:val="left"/>
      <w:pPr>
        <w:tabs>
          <w:tab w:val="left" w:pos="1200"/>
        </w:tabs>
        <w:ind w:left="1200" w:hanging="360"/>
      </w:pPr>
    </w:lvl>
  </w:abstractNum>
  <w:abstractNum w:abstractNumId="3">
    <w:nsid w:val="C5EF427C"/>
    <w:multiLevelType w:val="singleLevel"/>
    <w:tmpl w:val="C5EF427C"/>
    <w:lvl w:ilvl="0" w:tentative="0">
      <w:start w:val="1"/>
      <w:numFmt w:val="bullet"/>
      <w:pStyle w:val="32"/>
      <w:lvlText w:val=""/>
      <w:lvlJc w:val="left"/>
      <w:pPr>
        <w:tabs>
          <w:tab w:val="left" w:pos="780"/>
        </w:tabs>
        <w:ind w:left="780" w:hanging="360"/>
      </w:pPr>
      <w:rPr>
        <w:rFonts w:hint="default" w:ascii="Wingdings" w:hAnsi="Wingdings"/>
      </w:rPr>
    </w:lvl>
  </w:abstractNum>
  <w:abstractNum w:abstractNumId="4">
    <w:nsid w:val="DF9E23AF"/>
    <w:multiLevelType w:val="singleLevel"/>
    <w:tmpl w:val="DF9E23AF"/>
    <w:lvl w:ilvl="0" w:tentative="0">
      <w:start w:val="1"/>
      <w:numFmt w:val="bullet"/>
      <w:pStyle w:val="20"/>
      <w:lvlText w:val=""/>
      <w:lvlJc w:val="left"/>
      <w:pPr>
        <w:tabs>
          <w:tab w:val="left" w:pos="360"/>
        </w:tabs>
        <w:ind w:left="360" w:hanging="360"/>
      </w:pPr>
      <w:rPr>
        <w:rFonts w:hint="default" w:ascii="Wingdings" w:hAnsi="Wingdings"/>
      </w:rPr>
    </w:lvl>
  </w:abstractNum>
  <w:abstractNum w:abstractNumId="5">
    <w:nsid w:val="00A14B4A"/>
    <w:multiLevelType w:val="multilevel"/>
    <w:tmpl w:val="00A14B4A"/>
    <w:lvl w:ilvl="0" w:tentative="0">
      <w:start w:val="1"/>
      <w:numFmt w:val="decimal"/>
      <w:pStyle w:val="893"/>
      <w:suff w:val="nothing"/>
      <w:lvlText w:val="%1."/>
      <w:lvlJc w:val="left"/>
      <w:pPr>
        <w:ind w:left="0" w:firstLine="0"/>
      </w:pPr>
      <w:rPr>
        <w:rFonts w:hint="eastAsia"/>
      </w:rPr>
    </w:lvl>
    <w:lvl w:ilvl="1" w:tentative="0">
      <w:start w:val="1"/>
      <w:numFmt w:val="decimal"/>
      <w:pStyle w:val="892"/>
      <w:suff w:val="nothing"/>
      <w:lvlText w:val="%1.%2."/>
      <w:lvlJc w:val="left"/>
      <w:pPr>
        <w:ind w:left="0" w:firstLine="0"/>
      </w:pPr>
      <w:rPr>
        <w:rFonts w:hint="eastAsia"/>
      </w:rPr>
    </w:lvl>
    <w:lvl w:ilvl="2" w:tentative="0">
      <w:start w:val="1"/>
      <w:numFmt w:val="decimal"/>
      <w:pStyle w:val="891"/>
      <w:suff w:val="nothing"/>
      <w:lvlText w:val="%1.%2.%3."/>
      <w:lvlJc w:val="left"/>
      <w:pPr>
        <w:ind w:left="852" w:firstLine="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suff w:val="nothing"/>
      <w:lvlText w:val="%1.%2.%3.%4."/>
      <w:lvlJc w:val="left"/>
      <w:pPr>
        <w:ind w:left="0" w:firstLine="0"/>
      </w:pPr>
      <w:rPr>
        <w:rFonts w:hint="eastAsia"/>
        <w:b/>
      </w:rPr>
    </w:lvl>
    <w:lvl w:ilvl="4" w:tentative="0">
      <w:start w:val="1"/>
      <w:numFmt w:val="decimal"/>
      <w:lvlText w:val="%1.%2.%3.%4.%5."/>
      <w:lvlJc w:val="left"/>
      <w:pPr>
        <w:ind w:left="0" w:firstLine="0"/>
      </w:pPr>
      <w:rPr>
        <w:rFonts w:hint="eastAsia"/>
        <w:b/>
        <w:bCs/>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6">
    <w:nsid w:val="07724F5B"/>
    <w:multiLevelType w:val="multilevel"/>
    <w:tmpl w:val="07724F5B"/>
    <w:lvl w:ilvl="0" w:tentative="0">
      <w:start w:val="1"/>
      <w:numFmt w:val="decimal"/>
      <w:pStyle w:val="245"/>
      <w:lvlText w:val="%1"/>
      <w:lvlJc w:val="left"/>
      <w:pPr>
        <w:tabs>
          <w:tab w:val="left" w:pos="425"/>
        </w:tabs>
        <w:ind w:left="425" w:hanging="425"/>
      </w:pPr>
      <w:rPr>
        <w:rFonts w:cs="Times New Roman"/>
      </w:rPr>
    </w:lvl>
    <w:lvl w:ilvl="1" w:tentative="0">
      <w:start w:val="1"/>
      <w:numFmt w:val="decimal"/>
      <w:lvlText w:val="%1.%2"/>
      <w:lvlJc w:val="left"/>
      <w:pPr>
        <w:tabs>
          <w:tab w:val="left" w:pos="992"/>
        </w:tabs>
        <w:ind w:left="992" w:hanging="567"/>
      </w:pPr>
      <w:rPr>
        <w:rFonts w:cs="Times New Roman"/>
      </w:rPr>
    </w:lvl>
    <w:lvl w:ilvl="2" w:tentative="0">
      <w:start w:val="1"/>
      <w:numFmt w:val="decimal"/>
      <w:lvlText w:val="%1.%2.%3"/>
      <w:lvlJc w:val="left"/>
      <w:pPr>
        <w:tabs>
          <w:tab w:val="left" w:pos="1418"/>
        </w:tabs>
        <w:ind w:left="1418" w:hanging="567"/>
      </w:pPr>
      <w:rPr>
        <w:rFonts w:cs="Times New Roman"/>
      </w:rPr>
    </w:lvl>
    <w:lvl w:ilvl="3" w:tentative="0">
      <w:start w:val="1"/>
      <w:numFmt w:val="decimal"/>
      <w:pStyle w:val="196"/>
      <w:lvlText w:val="%1.%2.%3.%4"/>
      <w:lvlJc w:val="left"/>
      <w:pPr>
        <w:tabs>
          <w:tab w:val="left" w:pos="1984"/>
        </w:tabs>
        <w:ind w:left="1984" w:hanging="708"/>
      </w:pPr>
      <w:rPr>
        <w:rFonts w:cs="Times New Roman"/>
      </w:rPr>
    </w:lvl>
    <w:lvl w:ilvl="4" w:tentative="0">
      <w:start w:val="1"/>
      <w:numFmt w:val="decimal"/>
      <w:lvlText w:val="%1.%2.%3.%4.%5"/>
      <w:lvlJc w:val="left"/>
      <w:pPr>
        <w:tabs>
          <w:tab w:val="left" w:pos="2551"/>
        </w:tabs>
        <w:ind w:left="2551" w:hanging="850"/>
      </w:pPr>
      <w:rPr>
        <w:rFonts w:cs="Times New Roman"/>
      </w:rPr>
    </w:lvl>
    <w:lvl w:ilvl="5" w:tentative="0">
      <w:start w:val="1"/>
      <w:numFmt w:val="decimal"/>
      <w:lvlText w:val="%1.%2.%3.%4.%5.%6"/>
      <w:lvlJc w:val="left"/>
      <w:pPr>
        <w:tabs>
          <w:tab w:val="left" w:pos="3260"/>
        </w:tabs>
        <w:ind w:left="3260" w:hanging="1134"/>
      </w:pPr>
      <w:rPr>
        <w:rFonts w:cs="Times New Roman"/>
      </w:rPr>
    </w:lvl>
    <w:lvl w:ilvl="6" w:tentative="0">
      <w:start w:val="1"/>
      <w:numFmt w:val="decimal"/>
      <w:lvlText w:val="%1.%2.%3.%4.%5.%6.%7"/>
      <w:lvlJc w:val="left"/>
      <w:pPr>
        <w:tabs>
          <w:tab w:val="left" w:pos="3827"/>
        </w:tabs>
        <w:ind w:left="3827" w:hanging="1276"/>
      </w:pPr>
      <w:rPr>
        <w:rFonts w:cs="Times New Roman"/>
      </w:rPr>
    </w:lvl>
    <w:lvl w:ilvl="7" w:tentative="0">
      <w:start w:val="1"/>
      <w:numFmt w:val="decimal"/>
      <w:lvlText w:val="%1.%2.%3.%4.%5.%6.%7.%8"/>
      <w:lvlJc w:val="left"/>
      <w:pPr>
        <w:tabs>
          <w:tab w:val="left" w:pos="4394"/>
        </w:tabs>
        <w:ind w:left="4394" w:hanging="1418"/>
      </w:pPr>
      <w:rPr>
        <w:rFonts w:cs="Times New Roman"/>
      </w:rPr>
    </w:lvl>
    <w:lvl w:ilvl="8" w:tentative="0">
      <w:start w:val="1"/>
      <w:numFmt w:val="decimal"/>
      <w:lvlText w:val="%1.%2.%3.%4.%5.%6.%7.%8.%9"/>
      <w:lvlJc w:val="left"/>
      <w:pPr>
        <w:tabs>
          <w:tab w:val="left" w:pos="5102"/>
        </w:tabs>
        <w:ind w:left="5102" w:hanging="1700"/>
      </w:pPr>
      <w:rPr>
        <w:rFonts w:cs="Times New Roman"/>
      </w:rPr>
    </w:lvl>
  </w:abstractNum>
  <w:abstractNum w:abstractNumId="7">
    <w:nsid w:val="09BE6CC9"/>
    <w:multiLevelType w:val="multilevel"/>
    <w:tmpl w:val="09BE6CC9"/>
    <w:lvl w:ilvl="0" w:tentative="0">
      <w:start w:val="1"/>
      <w:numFmt w:val="chineseCounting"/>
      <w:suff w:val="nothing"/>
      <w:lvlText w:val="%1、"/>
      <w:lvlJc w:val="left"/>
      <w:pPr>
        <w:tabs>
          <w:tab w:val="left" w:pos="0"/>
        </w:tabs>
        <w:ind w:left="0" w:firstLine="0"/>
      </w:pPr>
      <w:rPr>
        <w:rFonts w:hint="eastAsia" w:ascii="黑体" w:hAnsi="黑体" w:eastAsia="黑体"/>
      </w:rPr>
    </w:lvl>
    <w:lvl w:ilvl="1" w:tentative="0">
      <w:start w:val="1"/>
      <w:numFmt w:val="chineseCounting"/>
      <w:suff w:val="nothing"/>
      <w:lvlText w:val="（%2）"/>
      <w:lvlJc w:val="left"/>
      <w:pPr>
        <w:tabs>
          <w:tab w:val="left" w:pos="0"/>
        </w:tabs>
        <w:ind w:left="0" w:firstLine="0"/>
      </w:pPr>
      <w:rPr>
        <w:rFonts w:hint="eastAsia" w:ascii="黑体" w:hAnsi="黑体" w:eastAsia="黑体"/>
      </w:rPr>
    </w:lvl>
    <w:lvl w:ilvl="2" w:tentative="0">
      <w:start w:val="1"/>
      <w:numFmt w:val="decimal"/>
      <w:pStyle w:val="6"/>
      <w:suff w:val="nothing"/>
      <w:lvlText w:val="%3．"/>
      <w:lvlJc w:val="left"/>
      <w:pPr>
        <w:ind w:left="0" w:firstLine="400"/>
      </w:pPr>
      <w:rPr>
        <w:rFonts w:hint="eastAsia" w:ascii="黑体" w:hAnsi="黑体" w:eastAsia="黑体"/>
      </w:rPr>
    </w:lvl>
    <w:lvl w:ilvl="3" w:tentative="0">
      <w:start w:val="1"/>
      <w:numFmt w:val="decimal"/>
      <w:pStyle w:val="7"/>
      <w:suff w:val="nothing"/>
      <w:lvlText w:val="（%4）"/>
      <w:lvlJc w:val="left"/>
      <w:pPr>
        <w:tabs>
          <w:tab w:val="left" w:pos="0"/>
        </w:tabs>
        <w:ind w:left="0" w:firstLine="402"/>
      </w:pPr>
      <w:rPr>
        <w:rFonts w:hint="eastAsia" w:ascii="黑体" w:hAnsi="黑体" w:eastAsia="黑体"/>
      </w:rPr>
    </w:lvl>
    <w:lvl w:ilvl="4" w:tentative="0">
      <w:start w:val="1"/>
      <w:numFmt w:val="decimalEnclosedCircleChinese"/>
      <w:pStyle w:val="8"/>
      <w:suff w:val="nothing"/>
      <w:lvlText w:val="%5"/>
      <w:lvlJc w:val="left"/>
      <w:pPr>
        <w:tabs>
          <w:tab w:val="left" w:pos="0"/>
        </w:tabs>
        <w:ind w:left="0" w:firstLine="402"/>
      </w:pPr>
      <w:rPr>
        <w:rFonts w:hint="eastAsia" w:ascii="黑体" w:hAnsi="黑体" w:eastAsia="黑体"/>
      </w:rPr>
    </w:lvl>
    <w:lvl w:ilvl="5" w:tentative="0">
      <w:start w:val="1"/>
      <w:numFmt w:val="decimal"/>
      <w:pStyle w:val="9"/>
      <w:suff w:val="nothing"/>
      <w:lvlText w:val="%6）"/>
      <w:lvlJc w:val="left"/>
      <w:pPr>
        <w:ind w:left="0" w:firstLine="402"/>
      </w:pPr>
      <w:rPr>
        <w:rFonts w:hint="eastAsia"/>
      </w:rPr>
    </w:lvl>
    <w:lvl w:ilvl="6" w:tentative="0">
      <w:start w:val="1"/>
      <w:numFmt w:val="lowerLetter"/>
      <w:pStyle w:val="10"/>
      <w:suff w:val="nothing"/>
      <w:lvlText w:val="%7．"/>
      <w:lvlJc w:val="left"/>
      <w:pPr>
        <w:ind w:left="0" w:firstLine="402"/>
      </w:pPr>
      <w:rPr>
        <w:rFonts w:hint="eastAsia"/>
      </w:rPr>
    </w:lvl>
    <w:lvl w:ilvl="7" w:tentative="0">
      <w:start w:val="1"/>
      <w:numFmt w:val="lowerLetter"/>
      <w:pStyle w:val="11"/>
      <w:suff w:val="nothing"/>
      <w:lvlText w:val="%8）"/>
      <w:lvlJc w:val="left"/>
      <w:pPr>
        <w:ind w:left="0" w:firstLine="402"/>
      </w:pPr>
      <w:rPr>
        <w:rFonts w:hint="eastAsia"/>
      </w:rPr>
    </w:lvl>
    <w:lvl w:ilvl="8" w:tentative="0">
      <w:start w:val="1"/>
      <w:numFmt w:val="lowerRoman"/>
      <w:pStyle w:val="12"/>
      <w:suff w:val="nothing"/>
      <w:lvlText w:val="%9 "/>
      <w:lvlJc w:val="left"/>
      <w:pPr>
        <w:ind w:left="0" w:firstLine="402"/>
      </w:pPr>
      <w:rPr>
        <w:rFonts w:hint="eastAsia"/>
      </w:rPr>
    </w:lvl>
  </w:abstractNum>
  <w:abstractNum w:abstractNumId="8">
    <w:nsid w:val="157AF077"/>
    <w:multiLevelType w:val="singleLevel"/>
    <w:tmpl w:val="157AF077"/>
    <w:lvl w:ilvl="0" w:tentative="0">
      <w:start w:val="5"/>
      <w:numFmt w:val="chineseCounting"/>
      <w:suff w:val="nothing"/>
      <w:lvlText w:val="%1、"/>
      <w:lvlJc w:val="left"/>
      <w:rPr>
        <w:rFonts w:hint="eastAsia"/>
      </w:rPr>
    </w:lvl>
  </w:abstractNum>
  <w:abstractNum w:abstractNumId="9">
    <w:nsid w:val="17DA37AD"/>
    <w:multiLevelType w:val="multilevel"/>
    <w:tmpl w:val="17DA37AD"/>
    <w:lvl w:ilvl="0" w:tentative="0">
      <w:start w:val="1"/>
      <w:numFmt w:val="decimal"/>
      <w:pStyle w:val="358"/>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0">
    <w:nsid w:val="21BDB762"/>
    <w:multiLevelType w:val="singleLevel"/>
    <w:tmpl w:val="21BDB762"/>
    <w:lvl w:ilvl="0" w:tentative="0">
      <w:start w:val="2"/>
      <w:numFmt w:val="decimal"/>
      <w:suff w:val="nothing"/>
      <w:lvlText w:val="%1、"/>
      <w:lvlJc w:val="left"/>
    </w:lvl>
  </w:abstractNum>
  <w:abstractNum w:abstractNumId="11">
    <w:nsid w:val="2BBA491D"/>
    <w:multiLevelType w:val="multilevel"/>
    <w:tmpl w:val="2BBA491D"/>
    <w:lvl w:ilvl="0" w:tentative="0">
      <w:start w:val="1"/>
      <w:numFmt w:val="decimal"/>
      <w:pStyle w:val="354"/>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2">
    <w:nsid w:val="2E965F2D"/>
    <w:multiLevelType w:val="multilevel"/>
    <w:tmpl w:val="2E965F2D"/>
    <w:lvl w:ilvl="0" w:tentative="0">
      <w:start w:val="1"/>
      <w:numFmt w:val="decimal"/>
      <w:pStyle w:val="673"/>
      <w:lvlText w:val="%1."/>
      <w:lvlJc w:val="left"/>
      <w:pPr>
        <w:ind w:left="987" w:hanging="420"/>
      </w:pPr>
      <w:rPr>
        <w:rFonts w:hint="eastAsia"/>
      </w:rPr>
    </w:lvl>
    <w:lvl w:ilvl="1" w:tentative="0">
      <w:start w:val="1"/>
      <w:numFmt w:val="decimal"/>
      <w:pStyle w:val="671"/>
      <w:lvlText w:val="%1.%2"/>
      <w:lvlJc w:val="left"/>
      <w:pPr>
        <w:ind w:left="992" w:hanging="567"/>
      </w:pPr>
      <w:rPr>
        <w:rFonts w:hint="eastAsia"/>
      </w:rPr>
    </w:lvl>
    <w:lvl w:ilvl="2" w:tentative="0">
      <w:start w:val="1"/>
      <w:numFmt w:val="decimal"/>
      <w:pStyle w:val="681"/>
      <w:lvlText w:val="%1.%2.%3"/>
      <w:lvlJc w:val="left"/>
      <w:pPr>
        <w:ind w:left="2694" w:hanging="567"/>
      </w:pPr>
      <w:rPr>
        <w:rFonts w:hint="eastAsia"/>
      </w:rPr>
    </w:lvl>
    <w:lvl w:ilvl="3" w:tentative="0">
      <w:start w:val="1"/>
      <w:numFmt w:val="decimal"/>
      <w:pStyle w:val="683"/>
      <w:lvlText w:val="%1.%2.%3.%4"/>
      <w:lvlJc w:val="left"/>
      <w:pPr>
        <w:ind w:left="3119" w:hanging="708"/>
      </w:pPr>
      <w:rPr>
        <w:rFonts w:hint="eastAsia"/>
      </w:rPr>
    </w:lvl>
    <w:lvl w:ilvl="4" w:tentative="0">
      <w:start w:val="1"/>
      <w:numFmt w:val="decimal"/>
      <w:pStyle w:val="867"/>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301F4884"/>
    <w:multiLevelType w:val="multilevel"/>
    <w:tmpl w:val="301F4884"/>
    <w:lvl w:ilvl="0" w:tentative="0">
      <w:start w:val="2"/>
      <w:numFmt w:val="decimal"/>
      <w:pStyle w:val="413"/>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4">
    <w:nsid w:val="32EF3B4D"/>
    <w:multiLevelType w:val="multilevel"/>
    <w:tmpl w:val="32EF3B4D"/>
    <w:lvl w:ilvl="0" w:tentative="0">
      <w:start w:val="1"/>
      <w:numFmt w:val="decimal"/>
      <w:pStyle w:val="447"/>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5">
    <w:nsid w:val="3746462F"/>
    <w:multiLevelType w:val="multilevel"/>
    <w:tmpl w:val="3746462F"/>
    <w:lvl w:ilvl="0" w:tentative="0">
      <w:start w:val="1"/>
      <w:numFmt w:val="decimal"/>
      <w:pStyle w:val="851"/>
      <w:lvlText w:val="%1."/>
      <w:lvlJc w:val="left"/>
      <w:pPr>
        <w:tabs>
          <w:tab w:val="left" w:pos="360"/>
        </w:tabs>
        <w:ind w:left="360" w:hanging="360"/>
      </w:pPr>
    </w:lvl>
    <w:lvl w:ilvl="1" w:tentative="0">
      <w:start w:val="1"/>
      <w:numFmt w:val="lowerLetter"/>
      <w:pStyle w:val="856"/>
      <w:lvlText w:val="%2)"/>
      <w:lvlJc w:val="left"/>
      <w:pPr>
        <w:tabs>
          <w:tab w:val="left" w:pos="360"/>
        </w:tabs>
        <w:ind w:left="360" w:hanging="360"/>
      </w:pPr>
    </w:lvl>
    <w:lvl w:ilvl="2" w:tentative="0">
      <w:start w:val="1"/>
      <w:numFmt w:val="lowerRoman"/>
      <w:pStyle w:val="857"/>
      <w:lvlText w:val="%3)"/>
      <w:lvlJc w:val="left"/>
      <w:pPr>
        <w:tabs>
          <w:tab w:val="left" w:pos="720"/>
        </w:tabs>
        <w:ind w:left="360" w:hanging="360"/>
      </w:pPr>
    </w:lvl>
    <w:lvl w:ilvl="3" w:tentative="0">
      <w:start w:val="1"/>
      <w:numFmt w:val="none"/>
      <w:lvlText w:val=""/>
      <w:lvlJc w:val="left"/>
      <w:pPr>
        <w:tabs>
          <w:tab w:val="left" w:pos="1440"/>
        </w:tabs>
        <w:ind w:left="1440" w:hanging="360"/>
      </w:pPr>
    </w:lvl>
    <w:lvl w:ilvl="4" w:tentative="0">
      <w:start w:val="1"/>
      <w:numFmt w:val="none"/>
      <w:lvlText w:val=""/>
      <w:lvlJc w:val="left"/>
      <w:pPr>
        <w:tabs>
          <w:tab w:val="left" w:pos="1800"/>
        </w:tabs>
        <w:ind w:left="1800" w:hanging="360"/>
      </w:pPr>
    </w:lvl>
    <w:lvl w:ilvl="5" w:tentative="0">
      <w:start w:val="1"/>
      <w:numFmt w:val="none"/>
      <w:lvlText w:val=""/>
      <w:lvlJc w:val="left"/>
      <w:pPr>
        <w:tabs>
          <w:tab w:val="left" w:pos="2160"/>
        </w:tabs>
        <w:ind w:left="2160" w:hanging="360"/>
      </w:pPr>
    </w:lvl>
    <w:lvl w:ilvl="6" w:tentative="0">
      <w:start w:val="1"/>
      <w:numFmt w:val="none"/>
      <w:lvlText w:val=""/>
      <w:lvlJc w:val="left"/>
      <w:pPr>
        <w:tabs>
          <w:tab w:val="left" w:pos="2520"/>
        </w:tabs>
        <w:ind w:left="2520" w:hanging="360"/>
      </w:pPr>
    </w:lvl>
    <w:lvl w:ilvl="7" w:tentative="0">
      <w:start w:val="1"/>
      <w:numFmt w:val="none"/>
      <w:lvlText w:val=""/>
      <w:lvlJc w:val="left"/>
      <w:pPr>
        <w:tabs>
          <w:tab w:val="left" w:pos="2880"/>
        </w:tabs>
        <w:ind w:left="2880" w:hanging="360"/>
      </w:pPr>
    </w:lvl>
    <w:lvl w:ilvl="8" w:tentative="0">
      <w:start w:val="1"/>
      <w:numFmt w:val="none"/>
      <w:lvlText w:val=""/>
      <w:lvlJc w:val="left"/>
      <w:pPr>
        <w:tabs>
          <w:tab w:val="left" w:pos="3240"/>
        </w:tabs>
        <w:ind w:left="3240" w:hanging="360"/>
      </w:pPr>
    </w:lvl>
  </w:abstractNum>
  <w:abstractNum w:abstractNumId="16">
    <w:nsid w:val="3B0163A1"/>
    <w:multiLevelType w:val="multilevel"/>
    <w:tmpl w:val="3B0163A1"/>
    <w:lvl w:ilvl="0" w:tentative="0">
      <w:start w:val="1"/>
      <w:numFmt w:val="decimal"/>
      <w:lvlText w:val="%1."/>
      <w:lvlJc w:val="left"/>
      <w:pPr>
        <w:tabs>
          <w:tab w:val="left" w:pos="360"/>
        </w:tabs>
        <w:ind w:left="360" w:hanging="360"/>
      </w:pPr>
      <w:rPr>
        <w:rFonts w:hint="default" w:cs="Times New Roman"/>
      </w:rPr>
    </w:lvl>
    <w:lvl w:ilvl="1" w:tentative="0">
      <w:start w:val="1"/>
      <w:numFmt w:val="decimal"/>
      <w:pStyle w:val="453"/>
      <w:lvlText w:val="(%2)"/>
      <w:lvlJc w:val="left"/>
      <w:pPr>
        <w:tabs>
          <w:tab w:val="left" w:pos="840"/>
        </w:tabs>
        <w:ind w:left="840" w:hanging="420"/>
      </w:pPr>
      <w:rPr>
        <w:rFonts w:hint="default" w:hAnsi="宋体" w:cs="宋体"/>
        <w:b w:val="0"/>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7">
    <w:nsid w:val="3DC04DD7"/>
    <w:multiLevelType w:val="singleLevel"/>
    <w:tmpl w:val="3DC04DD7"/>
    <w:lvl w:ilvl="0" w:tentative="0">
      <w:start w:val="2"/>
      <w:numFmt w:val="decimal"/>
      <w:suff w:val="space"/>
      <w:lvlText w:val="%1."/>
      <w:lvlJc w:val="left"/>
    </w:lvl>
  </w:abstractNum>
  <w:abstractNum w:abstractNumId="18">
    <w:nsid w:val="4185C42F"/>
    <w:multiLevelType w:val="singleLevel"/>
    <w:tmpl w:val="4185C42F"/>
    <w:lvl w:ilvl="0" w:tentative="0">
      <w:start w:val="1"/>
      <w:numFmt w:val="bullet"/>
      <w:pStyle w:val="26"/>
      <w:lvlText w:val=""/>
      <w:lvlJc w:val="left"/>
      <w:pPr>
        <w:tabs>
          <w:tab w:val="left" w:pos="1200"/>
        </w:tabs>
        <w:ind w:left="1200" w:hanging="360"/>
      </w:pPr>
      <w:rPr>
        <w:rFonts w:hint="default" w:ascii="Wingdings" w:hAnsi="Wingdings"/>
      </w:rPr>
    </w:lvl>
  </w:abstractNum>
  <w:abstractNum w:abstractNumId="19">
    <w:nsid w:val="42E45F04"/>
    <w:multiLevelType w:val="multilevel"/>
    <w:tmpl w:val="42E45F04"/>
    <w:lvl w:ilvl="0" w:tentative="0">
      <w:start w:val="1"/>
      <w:numFmt w:val="decimal"/>
      <w:pStyle w:val="465"/>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0">
    <w:nsid w:val="44BC128B"/>
    <w:multiLevelType w:val="multilevel"/>
    <w:tmpl w:val="44BC128B"/>
    <w:lvl w:ilvl="0" w:tentative="0">
      <w:start w:val="1"/>
      <w:numFmt w:val="bullet"/>
      <w:pStyle w:val="701"/>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21">
    <w:nsid w:val="48174DE5"/>
    <w:multiLevelType w:val="multilevel"/>
    <w:tmpl w:val="48174DE5"/>
    <w:lvl w:ilvl="0" w:tentative="0">
      <w:start w:val="1"/>
      <w:numFmt w:val="decimal"/>
      <w:pStyle w:val="174"/>
      <w:lvlText w:val="%1、"/>
      <w:lvlJc w:val="left"/>
      <w:pPr>
        <w:tabs>
          <w:tab w:val="left" w:pos="360"/>
        </w:tabs>
        <w:ind w:left="360" w:hanging="360"/>
      </w:pPr>
      <w:rPr>
        <w:rFonts w:hint="default"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2">
    <w:nsid w:val="4B9D13A2"/>
    <w:multiLevelType w:val="multilevel"/>
    <w:tmpl w:val="4B9D13A2"/>
    <w:lvl w:ilvl="0" w:tentative="0">
      <w:start w:val="1"/>
      <w:numFmt w:val="bullet"/>
      <w:pStyle w:val="162"/>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3">
    <w:nsid w:val="522F0A5E"/>
    <w:multiLevelType w:val="multilevel"/>
    <w:tmpl w:val="522F0A5E"/>
    <w:lvl w:ilvl="0" w:tentative="0">
      <w:start w:val="1"/>
      <w:numFmt w:val="bullet"/>
      <w:pStyle w:val="831"/>
      <w:lvlText w:val=""/>
      <w:lvlJc w:val="left"/>
      <w:pPr>
        <w:tabs>
          <w:tab w:val="left" w:pos="360"/>
        </w:tabs>
        <w:ind w:left="360" w:hanging="360"/>
      </w:pPr>
      <w:rPr>
        <w:rFonts w:hint="default" w:ascii="Wingdings" w:hAnsi="Wingdings"/>
        <w:b w:val="0"/>
        <w:i w:val="0"/>
        <w:color w:val="CC9900"/>
        <w:sz w:val="20"/>
      </w:rPr>
    </w:lvl>
    <w:lvl w:ilvl="1" w:tentative="0">
      <w:start w:val="1"/>
      <w:numFmt w:val="decimal"/>
      <w:lvlText w:val="%2."/>
      <w:lvlJc w:val="left"/>
      <w:pPr>
        <w:tabs>
          <w:tab w:val="left" w:pos="1440"/>
        </w:tabs>
        <w:ind w:left="1440" w:hanging="360"/>
      </w:p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4">
    <w:nsid w:val="52CC104B"/>
    <w:multiLevelType w:val="multilevel"/>
    <w:tmpl w:val="52CC104B"/>
    <w:lvl w:ilvl="0" w:tentative="0">
      <w:start w:val="1"/>
      <w:numFmt w:val="decimal"/>
      <w:pStyle w:val="356"/>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5">
    <w:nsid w:val="54DE11A5"/>
    <w:multiLevelType w:val="multilevel"/>
    <w:tmpl w:val="54DE11A5"/>
    <w:lvl w:ilvl="0" w:tentative="0">
      <w:start w:val="1"/>
      <w:numFmt w:val="bullet"/>
      <w:pStyle w:val="761"/>
      <w:lvlText w:val=""/>
      <w:lvlJc w:val="left"/>
      <w:pPr>
        <w:tabs>
          <w:tab w:val="left" w:pos="360"/>
        </w:tabs>
        <w:ind w:left="360" w:hanging="360"/>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6">
    <w:nsid w:val="63075CD5"/>
    <w:multiLevelType w:val="singleLevel"/>
    <w:tmpl w:val="63075CD5"/>
    <w:lvl w:ilvl="0" w:tentative="0">
      <w:start w:val="1"/>
      <w:numFmt w:val="bullet"/>
      <w:pStyle w:val="865"/>
      <w:lvlText w:val=""/>
      <w:lvlJc w:val="left"/>
      <w:pPr>
        <w:tabs>
          <w:tab w:val="left" w:pos="1440"/>
        </w:tabs>
        <w:ind w:left="1440" w:hanging="360"/>
      </w:pPr>
      <w:rPr>
        <w:rFonts w:hint="default" w:ascii="Symbol" w:hAnsi="Symbol"/>
        <w:b w:val="0"/>
        <w:i w:val="0"/>
        <w:sz w:val="12"/>
      </w:rPr>
    </w:lvl>
  </w:abstractNum>
  <w:abstractNum w:abstractNumId="27">
    <w:nsid w:val="6D1D48D6"/>
    <w:multiLevelType w:val="multilevel"/>
    <w:tmpl w:val="6D1D48D6"/>
    <w:lvl w:ilvl="0" w:tentative="0">
      <w:start w:val="1"/>
      <w:numFmt w:val="decimal"/>
      <w:pStyle w:val="386"/>
      <w:lvlText w:val="%1."/>
      <w:lvlJc w:val="left"/>
      <w:pPr>
        <w:tabs>
          <w:tab w:val="left" w:pos="360"/>
        </w:tabs>
        <w:ind w:left="360" w:hanging="360"/>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8">
    <w:nsid w:val="6E2143A3"/>
    <w:multiLevelType w:val="multilevel"/>
    <w:tmpl w:val="6E2143A3"/>
    <w:lvl w:ilvl="0" w:tentative="0">
      <w:start w:val="1"/>
      <w:numFmt w:val="bullet"/>
      <w:pStyle w:val="147"/>
      <w:lvlText w:val=""/>
      <w:lvlJc w:val="left"/>
      <w:pPr>
        <w:tabs>
          <w:tab w:val="left" w:pos="840"/>
        </w:tabs>
        <w:ind w:left="840" w:hanging="420"/>
      </w:pPr>
      <w:rPr>
        <w:rFonts w:hint="default" w:ascii="Symbol" w:hAnsi="Symbol"/>
        <w:color w:val="auto"/>
        <w:sz w:val="24"/>
      </w:rPr>
    </w:lvl>
    <w:lvl w:ilvl="1" w:tentative="0">
      <w:start w:val="1"/>
      <w:numFmt w:val="decimal"/>
      <w:lvlText w:val="%2)"/>
      <w:lvlJc w:val="left"/>
      <w:pPr>
        <w:tabs>
          <w:tab w:val="left" w:pos="840"/>
        </w:tabs>
        <w:ind w:left="840" w:hanging="420"/>
      </w:pPr>
      <w:rPr>
        <w:rFonts w:cs="Times New Roman"/>
      </w:rPr>
    </w:lvl>
    <w:lvl w:ilvl="2" w:tentative="0">
      <w:start w:val="1"/>
      <w:numFmt w:val="japaneseCounting"/>
      <w:pStyle w:val="298"/>
      <w:lvlText w:val="（%3）"/>
      <w:lvlJc w:val="left"/>
      <w:pPr>
        <w:tabs>
          <w:tab w:val="left" w:pos="1560"/>
        </w:tabs>
        <w:ind w:left="1560" w:hanging="720"/>
      </w:pPr>
      <w:rPr>
        <w:rFonts w:hint="eastAsia" w:cs="Times New Roman"/>
      </w:rPr>
    </w:lvl>
    <w:lvl w:ilvl="3" w:tentative="0">
      <w:start w:val="1"/>
      <w:numFmt w:val="decimal"/>
      <w:pStyle w:val="186"/>
      <w:lvlText w:val="%4)"/>
      <w:lvlJc w:val="left"/>
      <w:pPr>
        <w:tabs>
          <w:tab w:val="left" w:pos="1680"/>
        </w:tabs>
        <w:ind w:left="1680" w:hanging="420"/>
      </w:pPr>
      <w:rPr>
        <w:rFonts w:cs="Times New Roman"/>
      </w:rPr>
    </w:lvl>
    <w:lvl w:ilvl="4" w:tentative="0">
      <w:start w:val="1"/>
      <w:numFmt w:val="decimal"/>
      <w:lvlText w:val="（%5）"/>
      <w:lvlJc w:val="left"/>
      <w:pPr>
        <w:tabs>
          <w:tab w:val="left" w:pos="2865"/>
        </w:tabs>
        <w:ind w:left="2865" w:hanging="1185"/>
      </w:pPr>
      <w:rPr>
        <w:rFonts w:hint="eastAsia" w:cs="Times New Roman"/>
      </w:rPr>
    </w:lvl>
    <w:lvl w:ilvl="5" w:tentative="0">
      <w:start w:val="1"/>
      <w:numFmt w:val="decimal"/>
      <w:lvlText w:val="%6）"/>
      <w:lvlJc w:val="left"/>
      <w:pPr>
        <w:tabs>
          <w:tab w:val="left" w:pos="2460"/>
        </w:tabs>
        <w:ind w:left="2460" w:hanging="360"/>
      </w:pPr>
      <w:rPr>
        <w:rFonts w:hint="eastAsia" w:cs="Times New Roman"/>
      </w:rPr>
    </w:lvl>
    <w:lvl w:ilvl="6" w:tentative="0">
      <w:start w:val="1"/>
      <w:numFmt w:val="decimal"/>
      <w:lvlText w:val="%7、"/>
      <w:lvlJc w:val="left"/>
      <w:pPr>
        <w:tabs>
          <w:tab w:val="left" w:pos="3465"/>
        </w:tabs>
        <w:ind w:left="3465" w:hanging="945"/>
      </w:pPr>
      <w:rPr>
        <w:rFonts w:hint="eastAsia" w:cs="Times New Roman"/>
      </w:rPr>
    </w:lvl>
    <w:lvl w:ilvl="7" w:tentative="0">
      <w:start w:val="3"/>
      <w:numFmt w:val="japaneseCounting"/>
      <w:lvlText w:val="%8、"/>
      <w:lvlJc w:val="left"/>
      <w:pPr>
        <w:tabs>
          <w:tab w:val="left" w:pos="3660"/>
        </w:tabs>
        <w:ind w:left="3660" w:hanging="720"/>
      </w:pPr>
      <w:rPr>
        <w:rFonts w:hint="default" w:cs="Times New Roman"/>
      </w:rPr>
    </w:lvl>
    <w:lvl w:ilvl="8" w:tentative="0">
      <w:start w:val="2"/>
      <w:numFmt w:val="decimal"/>
      <w:lvlText w:val="%9．"/>
      <w:lvlJc w:val="left"/>
      <w:pPr>
        <w:tabs>
          <w:tab w:val="left" w:pos="3720"/>
        </w:tabs>
        <w:ind w:left="3720" w:hanging="360"/>
      </w:pPr>
      <w:rPr>
        <w:rFonts w:hint="default" w:cs="Times New Roman"/>
      </w:rPr>
    </w:lvl>
  </w:abstractNum>
  <w:abstractNum w:abstractNumId="29">
    <w:nsid w:val="7B151701"/>
    <w:multiLevelType w:val="multilevel"/>
    <w:tmpl w:val="7B151701"/>
    <w:lvl w:ilvl="0" w:tentative="0">
      <w:start w:val="1"/>
      <w:numFmt w:val="decimal"/>
      <w:lvlText w:val="%1."/>
      <w:lvlJc w:val="left"/>
      <w:pPr>
        <w:tabs>
          <w:tab w:val="left" w:pos="0"/>
        </w:tabs>
        <w:ind w:left="420" w:hanging="420"/>
      </w:pPr>
      <w:rPr>
        <w:rFonts w:hint="eastAsia" w:cs="Times New Roman"/>
      </w:rPr>
    </w:lvl>
    <w:lvl w:ilvl="1" w:tentative="0">
      <w:start w:val="1"/>
      <w:numFmt w:val="decimal"/>
      <w:pStyle w:val="535"/>
      <w:lvlText w:val="%1.%2"/>
      <w:lvlJc w:val="left"/>
      <w:pPr>
        <w:tabs>
          <w:tab w:val="left" w:pos="700"/>
        </w:tabs>
        <w:ind w:left="700" w:hanging="700"/>
      </w:pPr>
      <w:rPr>
        <w:rFonts w:hint="eastAsia" w:cs="Times New Roman"/>
      </w:rPr>
    </w:lvl>
    <w:lvl w:ilvl="2" w:tentative="0">
      <w:start w:val="1"/>
      <w:numFmt w:val="decimal"/>
      <w:lvlText w:val="%1.%2.%3"/>
      <w:lvlJc w:val="left"/>
      <w:pPr>
        <w:tabs>
          <w:tab w:val="left" w:pos="0"/>
        </w:tabs>
        <w:ind w:left="1418" w:hanging="1418"/>
      </w:pPr>
      <w:rPr>
        <w:rFonts w:hint="eastAsia" w:cs="Times New Roman"/>
      </w:rPr>
    </w:lvl>
    <w:lvl w:ilvl="3" w:tentative="0">
      <w:start w:val="1"/>
      <w:numFmt w:val="decimal"/>
      <w:lvlText w:val="%1.%2.%3.%4"/>
      <w:lvlJc w:val="left"/>
      <w:pPr>
        <w:tabs>
          <w:tab w:val="left" w:pos="0"/>
        </w:tabs>
        <w:ind w:left="1984" w:hanging="1984"/>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num w:numId="1">
    <w:abstractNumId w:val="7"/>
  </w:num>
  <w:num w:numId="2">
    <w:abstractNumId w:val="0"/>
  </w:num>
  <w:num w:numId="3">
    <w:abstractNumId w:val="4"/>
  </w:num>
  <w:num w:numId="4">
    <w:abstractNumId w:val="18"/>
  </w:num>
  <w:num w:numId="5">
    <w:abstractNumId w:val="2"/>
  </w:num>
  <w:num w:numId="6">
    <w:abstractNumId w:val="3"/>
  </w:num>
  <w:num w:numId="7">
    <w:abstractNumId w:val="28"/>
  </w:num>
  <w:num w:numId="8">
    <w:abstractNumId w:val="22"/>
  </w:num>
  <w:num w:numId="9">
    <w:abstractNumId w:val="21"/>
  </w:num>
  <w:num w:numId="10">
    <w:abstractNumId w:val="6"/>
  </w:num>
  <w:num w:numId="11">
    <w:abstractNumId w:val="11"/>
  </w:num>
  <w:num w:numId="12">
    <w:abstractNumId w:val="24"/>
  </w:num>
  <w:num w:numId="13">
    <w:abstractNumId w:val="9"/>
  </w:num>
  <w:num w:numId="14">
    <w:abstractNumId w:val="27"/>
  </w:num>
  <w:num w:numId="15">
    <w:abstractNumId w:val="13"/>
  </w:num>
  <w:num w:numId="16">
    <w:abstractNumId w:val="14"/>
  </w:num>
  <w:num w:numId="17">
    <w:abstractNumId w:val="16"/>
  </w:num>
  <w:num w:numId="18">
    <w:abstractNumId w:val="19"/>
  </w:num>
  <w:num w:numId="19">
    <w:abstractNumId w:val="29"/>
  </w:num>
  <w:num w:numId="20">
    <w:abstractNumId w:val="12"/>
  </w:num>
  <w:num w:numId="21">
    <w:abstractNumId w:val="20"/>
  </w:num>
  <w:num w:numId="22">
    <w:abstractNumId w:val="25"/>
  </w:num>
  <w:num w:numId="23">
    <w:abstractNumId w:val="23"/>
  </w:num>
  <w:num w:numId="24">
    <w:abstractNumId w:val="15"/>
  </w:num>
  <w:num w:numId="25">
    <w:abstractNumId w:val="26"/>
  </w:num>
  <w:num w:numId="26">
    <w:abstractNumId w:val="5"/>
  </w:num>
  <w:num w:numId="27">
    <w:abstractNumId w:val="17"/>
  </w:num>
  <w:num w:numId="28">
    <w:abstractNumId w:val="8"/>
  </w:num>
  <w:num w:numId="29">
    <w:abstractNumId w:val="1"/>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displayBackgroundShape w:val="1"/>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1ZjcyZGNmODdjYTYzN2QxZDRmN2EyZjUzOTIwNzMifQ=="/>
  </w:docVars>
  <w:rsids>
    <w:rsidRoot w:val="0018706E"/>
    <w:rsid w:val="00004AB6"/>
    <w:rsid w:val="0000646B"/>
    <w:rsid w:val="00007388"/>
    <w:rsid w:val="00010118"/>
    <w:rsid w:val="00010DC1"/>
    <w:rsid w:val="00013E49"/>
    <w:rsid w:val="00014059"/>
    <w:rsid w:val="0001485F"/>
    <w:rsid w:val="0001531B"/>
    <w:rsid w:val="00017A64"/>
    <w:rsid w:val="00017B07"/>
    <w:rsid w:val="00021687"/>
    <w:rsid w:val="0002385C"/>
    <w:rsid w:val="000263BB"/>
    <w:rsid w:val="0003085D"/>
    <w:rsid w:val="00030C77"/>
    <w:rsid w:val="00030FE3"/>
    <w:rsid w:val="0003207D"/>
    <w:rsid w:val="00035255"/>
    <w:rsid w:val="00035BB1"/>
    <w:rsid w:val="00037C9D"/>
    <w:rsid w:val="00042D24"/>
    <w:rsid w:val="00044243"/>
    <w:rsid w:val="00044278"/>
    <w:rsid w:val="000449CB"/>
    <w:rsid w:val="00044ACA"/>
    <w:rsid w:val="00046FE0"/>
    <w:rsid w:val="000548FE"/>
    <w:rsid w:val="00055B69"/>
    <w:rsid w:val="000577AF"/>
    <w:rsid w:val="0005784B"/>
    <w:rsid w:val="00057AD6"/>
    <w:rsid w:val="00060E1F"/>
    <w:rsid w:val="00065FFA"/>
    <w:rsid w:val="0007179E"/>
    <w:rsid w:val="00072C12"/>
    <w:rsid w:val="00072E08"/>
    <w:rsid w:val="00073ACC"/>
    <w:rsid w:val="00074D15"/>
    <w:rsid w:val="00083554"/>
    <w:rsid w:val="00085A5C"/>
    <w:rsid w:val="00087AD2"/>
    <w:rsid w:val="000907F9"/>
    <w:rsid w:val="00090C2E"/>
    <w:rsid w:val="000930E6"/>
    <w:rsid w:val="00094321"/>
    <w:rsid w:val="00094922"/>
    <w:rsid w:val="000966A7"/>
    <w:rsid w:val="00097501"/>
    <w:rsid w:val="0009788E"/>
    <w:rsid w:val="000A0651"/>
    <w:rsid w:val="000A0F35"/>
    <w:rsid w:val="000A257E"/>
    <w:rsid w:val="000A2934"/>
    <w:rsid w:val="000A573E"/>
    <w:rsid w:val="000B0376"/>
    <w:rsid w:val="000B1BCB"/>
    <w:rsid w:val="000B467E"/>
    <w:rsid w:val="000B5468"/>
    <w:rsid w:val="000C07BE"/>
    <w:rsid w:val="000C3AC6"/>
    <w:rsid w:val="000C4C06"/>
    <w:rsid w:val="000C503A"/>
    <w:rsid w:val="000C6D61"/>
    <w:rsid w:val="000D137F"/>
    <w:rsid w:val="000D2618"/>
    <w:rsid w:val="000D3A78"/>
    <w:rsid w:val="000D3E5A"/>
    <w:rsid w:val="000D49E1"/>
    <w:rsid w:val="000D4A25"/>
    <w:rsid w:val="000D7166"/>
    <w:rsid w:val="000E004B"/>
    <w:rsid w:val="000E058F"/>
    <w:rsid w:val="000E09B7"/>
    <w:rsid w:val="000E1477"/>
    <w:rsid w:val="000E215F"/>
    <w:rsid w:val="000E3438"/>
    <w:rsid w:val="000E3A95"/>
    <w:rsid w:val="000E4403"/>
    <w:rsid w:val="000E4FEC"/>
    <w:rsid w:val="000E5BCD"/>
    <w:rsid w:val="000E6809"/>
    <w:rsid w:val="000E7149"/>
    <w:rsid w:val="000F1818"/>
    <w:rsid w:val="000F222A"/>
    <w:rsid w:val="000F24C3"/>
    <w:rsid w:val="000F2C9B"/>
    <w:rsid w:val="000F38E3"/>
    <w:rsid w:val="000F5824"/>
    <w:rsid w:val="000F7C55"/>
    <w:rsid w:val="00100E38"/>
    <w:rsid w:val="00101796"/>
    <w:rsid w:val="00101C04"/>
    <w:rsid w:val="00103F6B"/>
    <w:rsid w:val="0010409F"/>
    <w:rsid w:val="00106E96"/>
    <w:rsid w:val="00106EAB"/>
    <w:rsid w:val="00107D21"/>
    <w:rsid w:val="00107DCB"/>
    <w:rsid w:val="00110D0C"/>
    <w:rsid w:val="0011118B"/>
    <w:rsid w:val="00111CCA"/>
    <w:rsid w:val="00115461"/>
    <w:rsid w:val="00116079"/>
    <w:rsid w:val="00121225"/>
    <w:rsid w:val="001224FD"/>
    <w:rsid w:val="001260F0"/>
    <w:rsid w:val="00130731"/>
    <w:rsid w:val="0013081B"/>
    <w:rsid w:val="00131614"/>
    <w:rsid w:val="00131855"/>
    <w:rsid w:val="00134C20"/>
    <w:rsid w:val="001352CF"/>
    <w:rsid w:val="0013558E"/>
    <w:rsid w:val="001365D5"/>
    <w:rsid w:val="00140E5A"/>
    <w:rsid w:val="00142A1A"/>
    <w:rsid w:val="00143ACC"/>
    <w:rsid w:val="00143CCF"/>
    <w:rsid w:val="0014595F"/>
    <w:rsid w:val="001459F8"/>
    <w:rsid w:val="00147CFB"/>
    <w:rsid w:val="00151210"/>
    <w:rsid w:val="0015133A"/>
    <w:rsid w:val="001523AF"/>
    <w:rsid w:val="0015242F"/>
    <w:rsid w:val="001528A2"/>
    <w:rsid w:val="00153802"/>
    <w:rsid w:val="0015386D"/>
    <w:rsid w:val="0015460C"/>
    <w:rsid w:val="001574E3"/>
    <w:rsid w:val="00157E83"/>
    <w:rsid w:val="00160FC2"/>
    <w:rsid w:val="00162EC8"/>
    <w:rsid w:val="001640B3"/>
    <w:rsid w:val="0016477E"/>
    <w:rsid w:val="001668A8"/>
    <w:rsid w:val="001678A3"/>
    <w:rsid w:val="00167A84"/>
    <w:rsid w:val="00167AC4"/>
    <w:rsid w:val="001722EA"/>
    <w:rsid w:val="00174822"/>
    <w:rsid w:val="001760B6"/>
    <w:rsid w:val="00177381"/>
    <w:rsid w:val="00180204"/>
    <w:rsid w:val="00183EBD"/>
    <w:rsid w:val="00184410"/>
    <w:rsid w:val="00184FBA"/>
    <w:rsid w:val="00185891"/>
    <w:rsid w:val="00185D1A"/>
    <w:rsid w:val="0018706E"/>
    <w:rsid w:val="001926B8"/>
    <w:rsid w:val="00193AF8"/>
    <w:rsid w:val="001948CE"/>
    <w:rsid w:val="001951A7"/>
    <w:rsid w:val="00195451"/>
    <w:rsid w:val="001A0D80"/>
    <w:rsid w:val="001A268E"/>
    <w:rsid w:val="001A490C"/>
    <w:rsid w:val="001A7214"/>
    <w:rsid w:val="001A7600"/>
    <w:rsid w:val="001A79CF"/>
    <w:rsid w:val="001B23AE"/>
    <w:rsid w:val="001B3DC6"/>
    <w:rsid w:val="001B440A"/>
    <w:rsid w:val="001B52F9"/>
    <w:rsid w:val="001B6256"/>
    <w:rsid w:val="001B7113"/>
    <w:rsid w:val="001B7D39"/>
    <w:rsid w:val="001C17BB"/>
    <w:rsid w:val="001C3D20"/>
    <w:rsid w:val="001C58C5"/>
    <w:rsid w:val="001C5DFA"/>
    <w:rsid w:val="001D1520"/>
    <w:rsid w:val="001D176A"/>
    <w:rsid w:val="001D5FB4"/>
    <w:rsid w:val="001D6720"/>
    <w:rsid w:val="001D6C70"/>
    <w:rsid w:val="001D6D9C"/>
    <w:rsid w:val="001E0483"/>
    <w:rsid w:val="001E0777"/>
    <w:rsid w:val="001E4D70"/>
    <w:rsid w:val="001E7A0E"/>
    <w:rsid w:val="001F18C8"/>
    <w:rsid w:val="001F5012"/>
    <w:rsid w:val="001F50F4"/>
    <w:rsid w:val="001F5A01"/>
    <w:rsid w:val="001F6F44"/>
    <w:rsid w:val="001F792F"/>
    <w:rsid w:val="00202E39"/>
    <w:rsid w:val="00204363"/>
    <w:rsid w:val="002047AC"/>
    <w:rsid w:val="002049FA"/>
    <w:rsid w:val="00206129"/>
    <w:rsid w:val="002061B2"/>
    <w:rsid w:val="00210B8B"/>
    <w:rsid w:val="00210C58"/>
    <w:rsid w:val="002125F8"/>
    <w:rsid w:val="0021339B"/>
    <w:rsid w:val="00215412"/>
    <w:rsid w:val="00215575"/>
    <w:rsid w:val="00215EA1"/>
    <w:rsid w:val="00215EFD"/>
    <w:rsid w:val="0022037D"/>
    <w:rsid w:val="002203A1"/>
    <w:rsid w:val="002229C7"/>
    <w:rsid w:val="00227EEC"/>
    <w:rsid w:val="00230585"/>
    <w:rsid w:val="0023102E"/>
    <w:rsid w:val="00235D53"/>
    <w:rsid w:val="00241C21"/>
    <w:rsid w:val="00242D7B"/>
    <w:rsid w:val="002437CE"/>
    <w:rsid w:val="002440EC"/>
    <w:rsid w:val="002471C2"/>
    <w:rsid w:val="0025153C"/>
    <w:rsid w:val="00251B1E"/>
    <w:rsid w:val="0025358E"/>
    <w:rsid w:val="00254086"/>
    <w:rsid w:val="002544E4"/>
    <w:rsid w:val="00255188"/>
    <w:rsid w:val="0025696A"/>
    <w:rsid w:val="00257723"/>
    <w:rsid w:val="00257E00"/>
    <w:rsid w:val="00262E26"/>
    <w:rsid w:val="00263546"/>
    <w:rsid w:val="00265E0C"/>
    <w:rsid w:val="00265F6E"/>
    <w:rsid w:val="00266324"/>
    <w:rsid w:val="002731B9"/>
    <w:rsid w:val="002737B1"/>
    <w:rsid w:val="00275389"/>
    <w:rsid w:val="002802F7"/>
    <w:rsid w:val="00280D02"/>
    <w:rsid w:val="00282975"/>
    <w:rsid w:val="00284A86"/>
    <w:rsid w:val="00285013"/>
    <w:rsid w:val="00287C0E"/>
    <w:rsid w:val="0029078F"/>
    <w:rsid w:val="002916D2"/>
    <w:rsid w:val="00291714"/>
    <w:rsid w:val="002940C3"/>
    <w:rsid w:val="00294A64"/>
    <w:rsid w:val="00295E02"/>
    <w:rsid w:val="002A3626"/>
    <w:rsid w:val="002A5404"/>
    <w:rsid w:val="002B0857"/>
    <w:rsid w:val="002B20BC"/>
    <w:rsid w:val="002B2569"/>
    <w:rsid w:val="002B4717"/>
    <w:rsid w:val="002B5C0D"/>
    <w:rsid w:val="002B630D"/>
    <w:rsid w:val="002B7CF6"/>
    <w:rsid w:val="002C3E38"/>
    <w:rsid w:val="002C441A"/>
    <w:rsid w:val="002C4A4A"/>
    <w:rsid w:val="002C5A90"/>
    <w:rsid w:val="002C6CA7"/>
    <w:rsid w:val="002C6FCD"/>
    <w:rsid w:val="002D34B1"/>
    <w:rsid w:val="002D366F"/>
    <w:rsid w:val="002D4DDF"/>
    <w:rsid w:val="002D56BF"/>
    <w:rsid w:val="002D79DE"/>
    <w:rsid w:val="002E006F"/>
    <w:rsid w:val="002E0C3A"/>
    <w:rsid w:val="002E4D7A"/>
    <w:rsid w:val="002E7326"/>
    <w:rsid w:val="002E77C7"/>
    <w:rsid w:val="002F0A32"/>
    <w:rsid w:val="002F26F4"/>
    <w:rsid w:val="002F3691"/>
    <w:rsid w:val="002F4C85"/>
    <w:rsid w:val="002F53BA"/>
    <w:rsid w:val="002F7767"/>
    <w:rsid w:val="002F7862"/>
    <w:rsid w:val="002F7CCF"/>
    <w:rsid w:val="003008C0"/>
    <w:rsid w:val="003011AE"/>
    <w:rsid w:val="00302CCD"/>
    <w:rsid w:val="00304EEB"/>
    <w:rsid w:val="0030515C"/>
    <w:rsid w:val="003053DC"/>
    <w:rsid w:val="003135BA"/>
    <w:rsid w:val="003139C8"/>
    <w:rsid w:val="00314B51"/>
    <w:rsid w:val="00314D34"/>
    <w:rsid w:val="003155FD"/>
    <w:rsid w:val="00316B71"/>
    <w:rsid w:val="00316FA9"/>
    <w:rsid w:val="003230DF"/>
    <w:rsid w:val="00323487"/>
    <w:rsid w:val="00326FE3"/>
    <w:rsid w:val="00327BC7"/>
    <w:rsid w:val="0033300E"/>
    <w:rsid w:val="00335036"/>
    <w:rsid w:val="00337C3E"/>
    <w:rsid w:val="00340132"/>
    <w:rsid w:val="003405CD"/>
    <w:rsid w:val="0034323A"/>
    <w:rsid w:val="003447F7"/>
    <w:rsid w:val="003453AB"/>
    <w:rsid w:val="00347225"/>
    <w:rsid w:val="00347DD8"/>
    <w:rsid w:val="00350AB7"/>
    <w:rsid w:val="00351551"/>
    <w:rsid w:val="00352660"/>
    <w:rsid w:val="00353686"/>
    <w:rsid w:val="00353BDC"/>
    <w:rsid w:val="003565D2"/>
    <w:rsid w:val="003577C6"/>
    <w:rsid w:val="00360226"/>
    <w:rsid w:val="00360900"/>
    <w:rsid w:val="00362076"/>
    <w:rsid w:val="003623AC"/>
    <w:rsid w:val="0036316D"/>
    <w:rsid w:val="00364141"/>
    <w:rsid w:val="00365B5B"/>
    <w:rsid w:val="003673E1"/>
    <w:rsid w:val="003733C6"/>
    <w:rsid w:val="00376316"/>
    <w:rsid w:val="0037667B"/>
    <w:rsid w:val="00377EBD"/>
    <w:rsid w:val="00381721"/>
    <w:rsid w:val="00381BA4"/>
    <w:rsid w:val="00381BD1"/>
    <w:rsid w:val="0038239C"/>
    <w:rsid w:val="0038244D"/>
    <w:rsid w:val="00383642"/>
    <w:rsid w:val="00386A38"/>
    <w:rsid w:val="003977FC"/>
    <w:rsid w:val="003A0091"/>
    <w:rsid w:val="003A1832"/>
    <w:rsid w:val="003A1EBE"/>
    <w:rsid w:val="003A26F1"/>
    <w:rsid w:val="003A2FBB"/>
    <w:rsid w:val="003A5AB1"/>
    <w:rsid w:val="003B10BB"/>
    <w:rsid w:val="003B1F04"/>
    <w:rsid w:val="003B21F7"/>
    <w:rsid w:val="003B40B1"/>
    <w:rsid w:val="003B417A"/>
    <w:rsid w:val="003B4837"/>
    <w:rsid w:val="003B5C43"/>
    <w:rsid w:val="003B5E00"/>
    <w:rsid w:val="003B6790"/>
    <w:rsid w:val="003C4FFD"/>
    <w:rsid w:val="003C7A11"/>
    <w:rsid w:val="003D0744"/>
    <w:rsid w:val="003D0EA9"/>
    <w:rsid w:val="003D1FCD"/>
    <w:rsid w:val="003D38C5"/>
    <w:rsid w:val="003D3F92"/>
    <w:rsid w:val="003D40D8"/>
    <w:rsid w:val="003D693A"/>
    <w:rsid w:val="003D6A32"/>
    <w:rsid w:val="003D76DA"/>
    <w:rsid w:val="003E0DA6"/>
    <w:rsid w:val="003E2AFC"/>
    <w:rsid w:val="003E4763"/>
    <w:rsid w:val="003E6EEF"/>
    <w:rsid w:val="003F18A4"/>
    <w:rsid w:val="003F206E"/>
    <w:rsid w:val="003F444E"/>
    <w:rsid w:val="003F5E8D"/>
    <w:rsid w:val="003F676A"/>
    <w:rsid w:val="0040070E"/>
    <w:rsid w:val="00401175"/>
    <w:rsid w:val="00401EAE"/>
    <w:rsid w:val="0040388A"/>
    <w:rsid w:val="00403AC4"/>
    <w:rsid w:val="0040641B"/>
    <w:rsid w:val="00406662"/>
    <w:rsid w:val="00406709"/>
    <w:rsid w:val="00411945"/>
    <w:rsid w:val="00413A20"/>
    <w:rsid w:val="00417454"/>
    <w:rsid w:val="00420316"/>
    <w:rsid w:val="0042251A"/>
    <w:rsid w:val="0042320E"/>
    <w:rsid w:val="00425272"/>
    <w:rsid w:val="004259FB"/>
    <w:rsid w:val="004261EC"/>
    <w:rsid w:val="004262EA"/>
    <w:rsid w:val="00427828"/>
    <w:rsid w:val="00430C89"/>
    <w:rsid w:val="00430CD0"/>
    <w:rsid w:val="004311C4"/>
    <w:rsid w:val="0043288D"/>
    <w:rsid w:val="00435C84"/>
    <w:rsid w:val="0043641F"/>
    <w:rsid w:val="00440016"/>
    <w:rsid w:val="0044225F"/>
    <w:rsid w:val="00442C07"/>
    <w:rsid w:val="00443F7C"/>
    <w:rsid w:val="00446AB2"/>
    <w:rsid w:val="00447AB2"/>
    <w:rsid w:val="004501EA"/>
    <w:rsid w:val="0045265D"/>
    <w:rsid w:val="004552B9"/>
    <w:rsid w:val="0046529A"/>
    <w:rsid w:val="004674E8"/>
    <w:rsid w:val="00472E5D"/>
    <w:rsid w:val="00472FFD"/>
    <w:rsid w:val="00480204"/>
    <w:rsid w:val="004802B6"/>
    <w:rsid w:val="004829CA"/>
    <w:rsid w:val="00484B25"/>
    <w:rsid w:val="00485ABB"/>
    <w:rsid w:val="00486982"/>
    <w:rsid w:val="00487F65"/>
    <w:rsid w:val="00490B7F"/>
    <w:rsid w:val="0049159C"/>
    <w:rsid w:val="00494920"/>
    <w:rsid w:val="00494A6F"/>
    <w:rsid w:val="0049518A"/>
    <w:rsid w:val="004A025E"/>
    <w:rsid w:val="004A1853"/>
    <w:rsid w:val="004A2D7E"/>
    <w:rsid w:val="004A3D7C"/>
    <w:rsid w:val="004A441D"/>
    <w:rsid w:val="004A79A9"/>
    <w:rsid w:val="004A7C72"/>
    <w:rsid w:val="004B0A42"/>
    <w:rsid w:val="004B0DF1"/>
    <w:rsid w:val="004B0FEC"/>
    <w:rsid w:val="004B2FFD"/>
    <w:rsid w:val="004B3368"/>
    <w:rsid w:val="004B34A8"/>
    <w:rsid w:val="004B5D01"/>
    <w:rsid w:val="004C1607"/>
    <w:rsid w:val="004C4D2F"/>
    <w:rsid w:val="004C5BD7"/>
    <w:rsid w:val="004C7E33"/>
    <w:rsid w:val="004D20F7"/>
    <w:rsid w:val="004D2DD9"/>
    <w:rsid w:val="004D2FB2"/>
    <w:rsid w:val="004D3D66"/>
    <w:rsid w:val="004D43F1"/>
    <w:rsid w:val="004D552D"/>
    <w:rsid w:val="004E1A51"/>
    <w:rsid w:val="004E1B6A"/>
    <w:rsid w:val="004E1DC6"/>
    <w:rsid w:val="004E32B5"/>
    <w:rsid w:val="004E4D1D"/>
    <w:rsid w:val="004E5B91"/>
    <w:rsid w:val="004E67F5"/>
    <w:rsid w:val="004E70C3"/>
    <w:rsid w:val="004F0801"/>
    <w:rsid w:val="004F15F4"/>
    <w:rsid w:val="004F1AC0"/>
    <w:rsid w:val="004F1F82"/>
    <w:rsid w:val="004F384E"/>
    <w:rsid w:val="004F4096"/>
    <w:rsid w:val="004F50D9"/>
    <w:rsid w:val="004F5453"/>
    <w:rsid w:val="004F6E89"/>
    <w:rsid w:val="004F79EF"/>
    <w:rsid w:val="00500535"/>
    <w:rsid w:val="0050197F"/>
    <w:rsid w:val="005020DB"/>
    <w:rsid w:val="00503799"/>
    <w:rsid w:val="00503F3E"/>
    <w:rsid w:val="00504B0B"/>
    <w:rsid w:val="00505486"/>
    <w:rsid w:val="00505683"/>
    <w:rsid w:val="00506D01"/>
    <w:rsid w:val="005117FC"/>
    <w:rsid w:val="0051235C"/>
    <w:rsid w:val="00512C85"/>
    <w:rsid w:val="00515136"/>
    <w:rsid w:val="00516540"/>
    <w:rsid w:val="00526B29"/>
    <w:rsid w:val="005335BF"/>
    <w:rsid w:val="005374C3"/>
    <w:rsid w:val="00541FEB"/>
    <w:rsid w:val="00543AA8"/>
    <w:rsid w:val="00546444"/>
    <w:rsid w:val="005470C1"/>
    <w:rsid w:val="005479AD"/>
    <w:rsid w:val="00555BF0"/>
    <w:rsid w:val="00556443"/>
    <w:rsid w:val="00557886"/>
    <w:rsid w:val="00557E12"/>
    <w:rsid w:val="005602E7"/>
    <w:rsid w:val="0056225C"/>
    <w:rsid w:val="00562F34"/>
    <w:rsid w:val="0056426D"/>
    <w:rsid w:val="005665AC"/>
    <w:rsid w:val="00566B7D"/>
    <w:rsid w:val="0057107E"/>
    <w:rsid w:val="00571413"/>
    <w:rsid w:val="00572D76"/>
    <w:rsid w:val="0057366A"/>
    <w:rsid w:val="00574187"/>
    <w:rsid w:val="005742A3"/>
    <w:rsid w:val="00574ACE"/>
    <w:rsid w:val="00576392"/>
    <w:rsid w:val="0057765D"/>
    <w:rsid w:val="00577C80"/>
    <w:rsid w:val="00581381"/>
    <w:rsid w:val="005826FA"/>
    <w:rsid w:val="00584F6E"/>
    <w:rsid w:val="005857CF"/>
    <w:rsid w:val="00590266"/>
    <w:rsid w:val="00591FC1"/>
    <w:rsid w:val="00593234"/>
    <w:rsid w:val="00594623"/>
    <w:rsid w:val="00596443"/>
    <w:rsid w:val="005965D3"/>
    <w:rsid w:val="005A1BB9"/>
    <w:rsid w:val="005A39E4"/>
    <w:rsid w:val="005A429B"/>
    <w:rsid w:val="005A4B5A"/>
    <w:rsid w:val="005A6479"/>
    <w:rsid w:val="005A75AF"/>
    <w:rsid w:val="005B00AA"/>
    <w:rsid w:val="005B19A6"/>
    <w:rsid w:val="005B2202"/>
    <w:rsid w:val="005B7060"/>
    <w:rsid w:val="005C17B8"/>
    <w:rsid w:val="005C1C93"/>
    <w:rsid w:val="005C3206"/>
    <w:rsid w:val="005C3A6E"/>
    <w:rsid w:val="005C3EEC"/>
    <w:rsid w:val="005C4726"/>
    <w:rsid w:val="005C4E61"/>
    <w:rsid w:val="005C69B2"/>
    <w:rsid w:val="005C6CE3"/>
    <w:rsid w:val="005C73BE"/>
    <w:rsid w:val="005C73D4"/>
    <w:rsid w:val="005D04C5"/>
    <w:rsid w:val="005D17AF"/>
    <w:rsid w:val="005E02FA"/>
    <w:rsid w:val="005E28AA"/>
    <w:rsid w:val="005E4ED6"/>
    <w:rsid w:val="005E5F90"/>
    <w:rsid w:val="005E664A"/>
    <w:rsid w:val="005F0811"/>
    <w:rsid w:val="005F485A"/>
    <w:rsid w:val="005F4A51"/>
    <w:rsid w:val="00601DB2"/>
    <w:rsid w:val="00602AFA"/>
    <w:rsid w:val="00602CF5"/>
    <w:rsid w:val="00602D37"/>
    <w:rsid w:val="006078D2"/>
    <w:rsid w:val="00612F14"/>
    <w:rsid w:val="006153A4"/>
    <w:rsid w:val="006153C4"/>
    <w:rsid w:val="0061687A"/>
    <w:rsid w:val="00620668"/>
    <w:rsid w:val="00621512"/>
    <w:rsid w:val="00622051"/>
    <w:rsid w:val="00623CC5"/>
    <w:rsid w:val="00624722"/>
    <w:rsid w:val="00624E7C"/>
    <w:rsid w:val="00625C84"/>
    <w:rsid w:val="00625C9D"/>
    <w:rsid w:val="00627286"/>
    <w:rsid w:val="00627A5D"/>
    <w:rsid w:val="00627CDF"/>
    <w:rsid w:val="00630BF2"/>
    <w:rsid w:val="006314C7"/>
    <w:rsid w:val="00632E0F"/>
    <w:rsid w:val="00633BE5"/>
    <w:rsid w:val="006342FF"/>
    <w:rsid w:val="00635D5B"/>
    <w:rsid w:val="00635F92"/>
    <w:rsid w:val="00637036"/>
    <w:rsid w:val="00640B52"/>
    <w:rsid w:val="006427EF"/>
    <w:rsid w:val="00643922"/>
    <w:rsid w:val="006463C8"/>
    <w:rsid w:val="00646CB9"/>
    <w:rsid w:val="0064776B"/>
    <w:rsid w:val="00647EF3"/>
    <w:rsid w:val="0065091E"/>
    <w:rsid w:val="00651F02"/>
    <w:rsid w:val="00652214"/>
    <w:rsid w:val="00652220"/>
    <w:rsid w:val="006535A8"/>
    <w:rsid w:val="006543C3"/>
    <w:rsid w:val="00655A1A"/>
    <w:rsid w:val="0065644A"/>
    <w:rsid w:val="00661645"/>
    <w:rsid w:val="00661E22"/>
    <w:rsid w:val="00663E49"/>
    <w:rsid w:val="006658B5"/>
    <w:rsid w:val="0066674F"/>
    <w:rsid w:val="006667E9"/>
    <w:rsid w:val="00670093"/>
    <w:rsid w:val="00671955"/>
    <w:rsid w:val="00673467"/>
    <w:rsid w:val="006741A4"/>
    <w:rsid w:val="00676F9F"/>
    <w:rsid w:val="006843CE"/>
    <w:rsid w:val="00684553"/>
    <w:rsid w:val="006853B9"/>
    <w:rsid w:val="00685692"/>
    <w:rsid w:val="00685A8A"/>
    <w:rsid w:val="006931A8"/>
    <w:rsid w:val="0069473F"/>
    <w:rsid w:val="006947E2"/>
    <w:rsid w:val="0069483C"/>
    <w:rsid w:val="006957B3"/>
    <w:rsid w:val="00696A5A"/>
    <w:rsid w:val="00696AAF"/>
    <w:rsid w:val="006A1D9B"/>
    <w:rsid w:val="006A25E5"/>
    <w:rsid w:val="006A324F"/>
    <w:rsid w:val="006A57B5"/>
    <w:rsid w:val="006A5FD6"/>
    <w:rsid w:val="006A71FB"/>
    <w:rsid w:val="006B161D"/>
    <w:rsid w:val="006B1F8D"/>
    <w:rsid w:val="006B22E2"/>
    <w:rsid w:val="006B3461"/>
    <w:rsid w:val="006B58CB"/>
    <w:rsid w:val="006B5F47"/>
    <w:rsid w:val="006C0142"/>
    <w:rsid w:val="006C039F"/>
    <w:rsid w:val="006C4B06"/>
    <w:rsid w:val="006C4EA5"/>
    <w:rsid w:val="006C5AEB"/>
    <w:rsid w:val="006C7451"/>
    <w:rsid w:val="006D0A50"/>
    <w:rsid w:val="006D1160"/>
    <w:rsid w:val="006D136B"/>
    <w:rsid w:val="006D1B81"/>
    <w:rsid w:val="006D2A98"/>
    <w:rsid w:val="006D3A2B"/>
    <w:rsid w:val="006D45E9"/>
    <w:rsid w:val="006D4E87"/>
    <w:rsid w:val="006D5BF4"/>
    <w:rsid w:val="006D5F8E"/>
    <w:rsid w:val="006D65E7"/>
    <w:rsid w:val="006E06F0"/>
    <w:rsid w:val="006E093F"/>
    <w:rsid w:val="006E0E15"/>
    <w:rsid w:val="006E5098"/>
    <w:rsid w:val="006E5231"/>
    <w:rsid w:val="006E5324"/>
    <w:rsid w:val="006F26E9"/>
    <w:rsid w:val="006F2FED"/>
    <w:rsid w:val="006F4BF9"/>
    <w:rsid w:val="006F5831"/>
    <w:rsid w:val="006F68D5"/>
    <w:rsid w:val="00700D1C"/>
    <w:rsid w:val="007012C9"/>
    <w:rsid w:val="00701A74"/>
    <w:rsid w:val="00702588"/>
    <w:rsid w:val="00702E01"/>
    <w:rsid w:val="00705DEA"/>
    <w:rsid w:val="00705ECD"/>
    <w:rsid w:val="007062EB"/>
    <w:rsid w:val="007102D6"/>
    <w:rsid w:val="007129BD"/>
    <w:rsid w:val="00714860"/>
    <w:rsid w:val="00714999"/>
    <w:rsid w:val="00717391"/>
    <w:rsid w:val="00720501"/>
    <w:rsid w:val="00720727"/>
    <w:rsid w:val="00721321"/>
    <w:rsid w:val="0072200A"/>
    <w:rsid w:val="0072237D"/>
    <w:rsid w:val="00722749"/>
    <w:rsid w:val="00723776"/>
    <w:rsid w:val="00723F45"/>
    <w:rsid w:val="007244F5"/>
    <w:rsid w:val="007255F1"/>
    <w:rsid w:val="00727985"/>
    <w:rsid w:val="00731458"/>
    <w:rsid w:val="00735A66"/>
    <w:rsid w:val="00736E02"/>
    <w:rsid w:val="0074024E"/>
    <w:rsid w:val="007429E9"/>
    <w:rsid w:val="00743F9D"/>
    <w:rsid w:val="00744022"/>
    <w:rsid w:val="007443D3"/>
    <w:rsid w:val="00744CA9"/>
    <w:rsid w:val="00745759"/>
    <w:rsid w:val="0074647F"/>
    <w:rsid w:val="007464DA"/>
    <w:rsid w:val="00746523"/>
    <w:rsid w:val="00752E02"/>
    <w:rsid w:val="0075481B"/>
    <w:rsid w:val="00755112"/>
    <w:rsid w:val="00755810"/>
    <w:rsid w:val="00757738"/>
    <w:rsid w:val="00757BC8"/>
    <w:rsid w:val="0076150D"/>
    <w:rsid w:val="00764350"/>
    <w:rsid w:val="00765168"/>
    <w:rsid w:val="0076546F"/>
    <w:rsid w:val="007670CF"/>
    <w:rsid w:val="00767B3B"/>
    <w:rsid w:val="00771815"/>
    <w:rsid w:val="00772228"/>
    <w:rsid w:val="007723FD"/>
    <w:rsid w:val="007745B4"/>
    <w:rsid w:val="00774654"/>
    <w:rsid w:val="00774C83"/>
    <w:rsid w:val="007753DB"/>
    <w:rsid w:val="00777149"/>
    <w:rsid w:val="007801B2"/>
    <w:rsid w:val="0078244B"/>
    <w:rsid w:val="00782873"/>
    <w:rsid w:val="007833A6"/>
    <w:rsid w:val="007833DD"/>
    <w:rsid w:val="0078423A"/>
    <w:rsid w:val="007844AE"/>
    <w:rsid w:val="00785675"/>
    <w:rsid w:val="007904F7"/>
    <w:rsid w:val="007922A5"/>
    <w:rsid w:val="00793BEA"/>
    <w:rsid w:val="00794984"/>
    <w:rsid w:val="00794A14"/>
    <w:rsid w:val="007973E0"/>
    <w:rsid w:val="00797817"/>
    <w:rsid w:val="007979B4"/>
    <w:rsid w:val="007A100D"/>
    <w:rsid w:val="007A122C"/>
    <w:rsid w:val="007A2272"/>
    <w:rsid w:val="007A3002"/>
    <w:rsid w:val="007A3E1E"/>
    <w:rsid w:val="007A450A"/>
    <w:rsid w:val="007A51B9"/>
    <w:rsid w:val="007A5826"/>
    <w:rsid w:val="007A5A0D"/>
    <w:rsid w:val="007A6964"/>
    <w:rsid w:val="007A7E2D"/>
    <w:rsid w:val="007B0CC9"/>
    <w:rsid w:val="007B1DA1"/>
    <w:rsid w:val="007C180D"/>
    <w:rsid w:val="007C332F"/>
    <w:rsid w:val="007C4A11"/>
    <w:rsid w:val="007C4B79"/>
    <w:rsid w:val="007C7F43"/>
    <w:rsid w:val="007D12DB"/>
    <w:rsid w:val="007D495B"/>
    <w:rsid w:val="007E0125"/>
    <w:rsid w:val="007E18B2"/>
    <w:rsid w:val="007E4FA2"/>
    <w:rsid w:val="007F1888"/>
    <w:rsid w:val="007F58D3"/>
    <w:rsid w:val="007F5A87"/>
    <w:rsid w:val="007F762C"/>
    <w:rsid w:val="00800C62"/>
    <w:rsid w:val="00803B05"/>
    <w:rsid w:val="00803BFB"/>
    <w:rsid w:val="00804608"/>
    <w:rsid w:val="008049B5"/>
    <w:rsid w:val="00804B79"/>
    <w:rsid w:val="00806BE2"/>
    <w:rsid w:val="00807520"/>
    <w:rsid w:val="008100F1"/>
    <w:rsid w:val="00814E81"/>
    <w:rsid w:val="00820637"/>
    <w:rsid w:val="00824E63"/>
    <w:rsid w:val="0082738E"/>
    <w:rsid w:val="00835945"/>
    <w:rsid w:val="00835E0F"/>
    <w:rsid w:val="00840702"/>
    <w:rsid w:val="00840BA5"/>
    <w:rsid w:val="008424D2"/>
    <w:rsid w:val="00844FA4"/>
    <w:rsid w:val="00845035"/>
    <w:rsid w:val="008450EB"/>
    <w:rsid w:val="00845B3B"/>
    <w:rsid w:val="00850147"/>
    <w:rsid w:val="00852895"/>
    <w:rsid w:val="00853578"/>
    <w:rsid w:val="008559FE"/>
    <w:rsid w:val="00856353"/>
    <w:rsid w:val="00857613"/>
    <w:rsid w:val="0086004A"/>
    <w:rsid w:val="00860D7A"/>
    <w:rsid w:val="00861108"/>
    <w:rsid w:val="00863B59"/>
    <w:rsid w:val="00864087"/>
    <w:rsid w:val="00864348"/>
    <w:rsid w:val="00864F96"/>
    <w:rsid w:val="00871209"/>
    <w:rsid w:val="008739C6"/>
    <w:rsid w:val="00874145"/>
    <w:rsid w:val="008742AA"/>
    <w:rsid w:val="00874BED"/>
    <w:rsid w:val="008752FB"/>
    <w:rsid w:val="008776CA"/>
    <w:rsid w:val="008777AC"/>
    <w:rsid w:val="0088308C"/>
    <w:rsid w:val="00884C84"/>
    <w:rsid w:val="0088702F"/>
    <w:rsid w:val="008909B2"/>
    <w:rsid w:val="0089317A"/>
    <w:rsid w:val="00893818"/>
    <w:rsid w:val="00893CB7"/>
    <w:rsid w:val="008949AC"/>
    <w:rsid w:val="00894C42"/>
    <w:rsid w:val="00897120"/>
    <w:rsid w:val="008974B1"/>
    <w:rsid w:val="00897809"/>
    <w:rsid w:val="008A1162"/>
    <w:rsid w:val="008A24B5"/>
    <w:rsid w:val="008A5E1D"/>
    <w:rsid w:val="008B031B"/>
    <w:rsid w:val="008B0E0F"/>
    <w:rsid w:val="008B276D"/>
    <w:rsid w:val="008B2FAF"/>
    <w:rsid w:val="008B334D"/>
    <w:rsid w:val="008B49FF"/>
    <w:rsid w:val="008B67EC"/>
    <w:rsid w:val="008B79A0"/>
    <w:rsid w:val="008B7A70"/>
    <w:rsid w:val="008B7AF2"/>
    <w:rsid w:val="008C1A15"/>
    <w:rsid w:val="008C2EBE"/>
    <w:rsid w:val="008C3FB2"/>
    <w:rsid w:val="008C57F7"/>
    <w:rsid w:val="008C5D38"/>
    <w:rsid w:val="008C75DA"/>
    <w:rsid w:val="008C7E56"/>
    <w:rsid w:val="008D138C"/>
    <w:rsid w:val="008D1930"/>
    <w:rsid w:val="008D34ED"/>
    <w:rsid w:val="008D4195"/>
    <w:rsid w:val="008D6799"/>
    <w:rsid w:val="008D7C8C"/>
    <w:rsid w:val="008E003A"/>
    <w:rsid w:val="008E0510"/>
    <w:rsid w:val="008E2B23"/>
    <w:rsid w:val="008E3B3D"/>
    <w:rsid w:val="008E7E16"/>
    <w:rsid w:val="008F16F1"/>
    <w:rsid w:val="008F2042"/>
    <w:rsid w:val="008F325D"/>
    <w:rsid w:val="008F390F"/>
    <w:rsid w:val="008F52A2"/>
    <w:rsid w:val="008F6C46"/>
    <w:rsid w:val="008F6E72"/>
    <w:rsid w:val="008F77F5"/>
    <w:rsid w:val="008F7981"/>
    <w:rsid w:val="008F7D44"/>
    <w:rsid w:val="00902345"/>
    <w:rsid w:val="009023CA"/>
    <w:rsid w:val="0090356D"/>
    <w:rsid w:val="0090419B"/>
    <w:rsid w:val="009051CC"/>
    <w:rsid w:val="0090608E"/>
    <w:rsid w:val="00906142"/>
    <w:rsid w:val="00906791"/>
    <w:rsid w:val="00906998"/>
    <w:rsid w:val="00907231"/>
    <w:rsid w:val="0091082F"/>
    <w:rsid w:val="00912BE5"/>
    <w:rsid w:val="00912D73"/>
    <w:rsid w:val="009147E2"/>
    <w:rsid w:val="009154F0"/>
    <w:rsid w:val="00915981"/>
    <w:rsid w:val="0092079A"/>
    <w:rsid w:val="00921D6E"/>
    <w:rsid w:val="009227D1"/>
    <w:rsid w:val="009236B5"/>
    <w:rsid w:val="0092421C"/>
    <w:rsid w:val="00924DFB"/>
    <w:rsid w:val="0092504A"/>
    <w:rsid w:val="009266CE"/>
    <w:rsid w:val="009269DA"/>
    <w:rsid w:val="009269F7"/>
    <w:rsid w:val="009273CC"/>
    <w:rsid w:val="00930024"/>
    <w:rsid w:val="009313B1"/>
    <w:rsid w:val="009353FA"/>
    <w:rsid w:val="00935E1B"/>
    <w:rsid w:val="00937635"/>
    <w:rsid w:val="00937C81"/>
    <w:rsid w:val="00942AA1"/>
    <w:rsid w:val="00942AB2"/>
    <w:rsid w:val="009455A7"/>
    <w:rsid w:val="00946966"/>
    <w:rsid w:val="00950463"/>
    <w:rsid w:val="00950607"/>
    <w:rsid w:val="009510FC"/>
    <w:rsid w:val="00953A24"/>
    <w:rsid w:val="0095475C"/>
    <w:rsid w:val="009567D4"/>
    <w:rsid w:val="009574E2"/>
    <w:rsid w:val="0096063B"/>
    <w:rsid w:val="009611D5"/>
    <w:rsid w:val="00962CA4"/>
    <w:rsid w:val="00963F0C"/>
    <w:rsid w:val="00964E24"/>
    <w:rsid w:val="00965693"/>
    <w:rsid w:val="009663F2"/>
    <w:rsid w:val="00970CF8"/>
    <w:rsid w:val="00971ED0"/>
    <w:rsid w:val="009742D6"/>
    <w:rsid w:val="00976248"/>
    <w:rsid w:val="00976AF5"/>
    <w:rsid w:val="00977F99"/>
    <w:rsid w:val="0098216C"/>
    <w:rsid w:val="00982FDD"/>
    <w:rsid w:val="009837A5"/>
    <w:rsid w:val="00984256"/>
    <w:rsid w:val="00986753"/>
    <w:rsid w:val="00987168"/>
    <w:rsid w:val="009874D5"/>
    <w:rsid w:val="00990171"/>
    <w:rsid w:val="009923BA"/>
    <w:rsid w:val="00997AE3"/>
    <w:rsid w:val="00997CDC"/>
    <w:rsid w:val="009A03BC"/>
    <w:rsid w:val="009A1E23"/>
    <w:rsid w:val="009A1F06"/>
    <w:rsid w:val="009A2AD0"/>
    <w:rsid w:val="009A594F"/>
    <w:rsid w:val="009A665E"/>
    <w:rsid w:val="009A6AB8"/>
    <w:rsid w:val="009A73AA"/>
    <w:rsid w:val="009B0213"/>
    <w:rsid w:val="009B030C"/>
    <w:rsid w:val="009B204B"/>
    <w:rsid w:val="009B2C91"/>
    <w:rsid w:val="009B73A9"/>
    <w:rsid w:val="009C1F4B"/>
    <w:rsid w:val="009C2D14"/>
    <w:rsid w:val="009C3ED0"/>
    <w:rsid w:val="009C3F00"/>
    <w:rsid w:val="009C60EB"/>
    <w:rsid w:val="009C7DA3"/>
    <w:rsid w:val="009D0728"/>
    <w:rsid w:val="009D1701"/>
    <w:rsid w:val="009D192F"/>
    <w:rsid w:val="009D6159"/>
    <w:rsid w:val="009E0531"/>
    <w:rsid w:val="009E0744"/>
    <w:rsid w:val="009E0E93"/>
    <w:rsid w:val="009E17C6"/>
    <w:rsid w:val="009E26EB"/>
    <w:rsid w:val="009E4D5D"/>
    <w:rsid w:val="009E6036"/>
    <w:rsid w:val="009E7800"/>
    <w:rsid w:val="009F03B8"/>
    <w:rsid w:val="009F1709"/>
    <w:rsid w:val="009F4B99"/>
    <w:rsid w:val="009F5ACA"/>
    <w:rsid w:val="009F6482"/>
    <w:rsid w:val="009F7612"/>
    <w:rsid w:val="00A00172"/>
    <w:rsid w:val="00A0057B"/>
    <w:rsid w:val="00A01015"/>
    <w:rsid w:val="00A026A4"/>
    <w:rsid w:val="00A031E2"/>
    <w:rsid w:val="00A045F9"/>
    <w:rsid w:val="00A045FB"/>
    <w:rsid w:val="00A046BB"/>
    <w:rsid w:val="00A0494E"/>
    <w:rsid w:val="00A054F2"/>
    <w:rsid w:val="00A0615A"/>
    <w:rsid w:val="00A06581"/>
    <w:rsid w:val="00A0744E"/>
    <w:rsid w:val="00A076B7"/>
    <w:rsid w:val="00A1035E"/>
    <w:rsid w:val="00A111A0"/>
    <w:rsid w:val="00A113F0"/>
    <w:rsid w:val="00A12329"/>
    <w:rsid w:val="00A129FD"/>
    <w:rsid w:val="00A14CE4"/>
    <w:rsid w:val="00A16337"/>
    <w:rsid w:val="00A2035E"/>
    <w:rsid w:val="00A2203D"/>
    <w:rsid w:val="00A22D34"/>
    <w:rsid w:val="00A22ED9"/>
    <w:rsid w:val="00A23254"/>
    <w:rsid w:val="00A31B4A"/>
    <w:rsid w:val="00A31B53"/>
    <w:rsid w:val="00A341FC"/>
    <w:rsid w:val="00A35FEF"/>
    <w:rsid w:val="00A3620A"/>
    <w:rsid w:val="00A37C2B"/>
    <w:rsid w:val="00A409D7"/>
    <w:rsid w:val="00A40E50"/>
    <w:rsid w:val="00A41975"/>
    <w:rsid w:val="00A42AAF"/>
    <w:rsid w:val="00A43B50"/>
    <w:rsid w:val="00A45914"/>
    <w:rsid w:val="00A510E5"/>
    <w:rsid w:val="00A513E7"/>
    <w:rsid w:val="00A5170A"/>
    <w:rsid w:val="00A534C9"/>
    <w:rsid w:val="00A541EA"/>
    <w:rsid w:val="00A545AA"/>
    <w:rsid w:val="00A54FED"/>
    <w:rsid w:val="00A5598D"/>
    <w:rsid w:val="00A62444"/>
    <w:rsid w:val="00A629A2"/>
    <w:rsid w:val="00A63794"/>
    <w:rsid w:val="00A64525"/>
    <w:rsid w:val="00A67F4B"/>
    <w:rsid w:val="00A7102C"/>
    <w:rsid w:val="00A73B29"/>
    <w:rsid w:val="00A80463"/>
    <w:rsid w:val="00A813F2"/>
    <w:rsid w:val="00A8182A"/>
    <w:rsid w:val="00A81B57"/>
    <w:rsid w:val="00A821B8"/>
    <w:rsid w:val="00A832F2"/>
    <w:rsid w:val="00A839A1"/>
    <w:rsid w:val="00A85990"/>
    <w:rsid w:val="00A86DCD"/>
    <w:rsid w:val="00A86F9C"/>
    <w:rsid w:val="00A8715E"/>
    <w:rsid w:val="00A875F1"/>
    <w:rsid w:val="00A9048E"/>
    <w:rsid w:val="00A9101B"/>
    <w:rsid w:val="00A914DA"/>
    <w:rsid w:val="00A9160D"/>
    <w:rsid w:val="00A91D4A"/>
    <w:rsid w:val="00A920A7"/>
    <w:rsid w:val="00A920D5"/>
    <w:rsid w:val="00A96AFF"/>
    <w:rsid w:val="00A97C5C"/>
    <w:rsid w:val="00AA053D"/>
    <w:rsid w:val="00AA10A4"/>
    <w:rsid w:val="00AA15E5"/>
    <w:rsid w:val="00AA2143"/>
    <w:rsid w:val="00AA2A4C"/>
    <w:rsid w:val="00AA3287"/>
    <w:rsid w:val="00AA748F"/>
    <w:rsid w:val="00AB0E29"/>
    <w:rsid w:val="00AB1A14"/>
    <w:rsid w:val="00AB5C59"/>
    <w:rsid w:val="00AC233A"/>
    <w:rsid w:val="00AC2FC1"/>
    <w:rsid w:val="00AC549E"/>
    <w:rsid w:val="00AC5895"/>
    <w:rsid w:val="00AD1810"/>
    <w:rsid w:val="00AD222E"/>
    <w:rsid w:val="00AD4426"/>
    <w:rsid w:val="00AD612D"/>
    <w:rsid w:val="00AE2756"/>
    <w:rsid w:val="00AE52A4"/>
    <w:rsid w:val="00AE68D8"/>
    <w:rsid w:val="00AE7271"/>
    <w:rsid w:val="00AE79E3"/>
    <w:rsid w:val="00AF10B4"/>
    <w:rsid w:val="00AF2554"/>
    <w:rsid w:val="00AF38A7"/>
    <w:rsid w:val="00AF39FE"/>
    <w:rsid w:val="00AF5D08"/>
    <w:rsid w:val="00AF67F0"/>
    <w:rsid w:val="00AF7324"/>
    <w:rsid w:val="00B00890"/>
    <w:rsid w:val="00B00C83"/>
    <w:rsid w:val="00B03082"/>
    <w:rsid w:val="00B04D4B"/>
    <w:rsid w:val="00B05DA1"/>
    <w:rsid w:val="00B06552"/>
    <w:rsid w:val="00B06DD3"/>
    <w:rsid w:val="00B06FC1"/>
    <w:rsid w:val="00B07D7A"/>
    <w:rsid w:val="00B11541"/>
    <w:rsid w:val="00B118E3"/>
    <w:rsid w:val="00B13933"/>
    <w:rsid w:val="00B13973"/>
    <w:rsid w:val="00B14741"/>
    <w:rsid w:val="00B15490"/>
    <w:rsid w:val="00B15931"/>
    <w:rsid w:val="00B15FCE"/>
    <w:rsid w:val="00B22814"/>
    <w:rsid w:val="00B24840"/>
    <w:rsid w:val="00B2486E"/>
    <w:rsid w:val="00B250AE"/>
    <w:rsid w:val="00B26526"/>
    <w:rsid w:val="00B26A20"/>
    <w:rsid w:val="00B30E67"/>
    <w:rsid w:val="00B31FEE"/>
    <w:rsid w:val="00B320F3"/>
    <w:rsid w:val="00B32D63"/>
    <w:rsid w:val="00B33179"/>
    <w:rsid w:val="00B33226"/>
    <w:rsid w:val="00B33C3D"/>
    <w:rsid w:val="00B35FD1"/>
    <w:rsid w:val="00B377A5"/>
    <w:rsid w:val="00B3794A"/>
    <w:rsid w:val="00B416BC"/>
    <w:rsid w:val="00B4250C"/>
    <w:rsid w:val="00B4288A"/>
    <w:rsid w:val="00B43D5B"/>
    <w:rsid w:val="00B445EB"/>
    <w:rsid w:val="00B47632"/>
    <w:rsid w:val="00B51C36"/>
    <w:rsid w:val="00B524FD"/>
    <w:rsid w:val="00B54B3A"/>
    <w:rsid w:val="00B55FB3"/>
    <w:rsid w:val="00B5772F"/>
    <w:rsid w:val="00B57F90"/>
    <w:rsid w:val="00B57FA6"/>
    <w:rsid w:val="00B61DC4"/>
    <w:rsid w:val="00B622D6"/>
    <w:rsid w:val="00B63F1F"/>
    <w:rsid w:val="00B6748B"/>
    <w:rsid w:val="00B6769C"/>
    <w:rsid w:val="00B71067"/>
    <w:rsid w:val="00B718DE"/>
    <w:rsid w:val="00B71A40"/>
    <w:rsid w:val="00B72537"/>
    <w:rsid w:val="00B73970"/>
    <w:rsid w:val="00B753F8"/>
    <w:rsid w:val="00B75BBA"/>
    <w:rsid w:val="00B76091"/>
    <w:rsid w:val="00B806E0"/>
    <w:rsid w:val="00B817B5"/>
    <w:rsid w:val="00B81E6B"/>
    <w:rsid w:val="00B835CC"/>
    <w:rsid w:val="00B83F30"/>
    <w:rsid w:val="00B841A6"/>
    <w:rsid w:val="00B852D9"/>
    <w:rsid w:val="00B86268"/>
    <w:rsid w:val="00B871F5"/>
    <w:rsid w:val="00B9096F"/>
    <w:rsid w:val="00B9283E"/>
    <w:rsid w:val="00B92E9C"/>
    <w:rsid w:val="00B941AF"/>
    <w:rsid w:val="00B94413"/>
    <w:rsid w:val="00B945A9"/>
    <w:rsid w:val="00B9646F"/>
    <w:rsid w:val="00BA0967"/>
    <w:rsid w:val="00BA253C"/>
    <w:rsid w:val="00BA296B"/>
    <w:rsid w:val="00BA37C5"/>
    <w:rsid w:val="00BA457A"/>
    <w:rsid w:val="00BA4C13"/>
    <w:rsid w:val="00BA6294"/>
    <w:rsid w:val="00BA6733"/>
    <w:rsid w:val="00BA77A1"/>
    <w:rsid w:val="00BB0C07"/>
    <w:rsid w:val="00BB6A9D"/>
    <w:rsid w:val="00BC1009"/>
    <w:rsid w:val="00BC2ACE"/>
    <w:rsid w:val="00BC31C4"/>
    <w:rsid w:val="00BC49A9"/>
    <w:rsid w:val="00BC4E62"/>
    <w:rsid w:val="00BC56B1"/>
    <w:rsid w:val="00BC6389"/>
    <w:rsid w:val="00BC79A4"/>
    <w:rsid w:val="00BC7E02"/>
    <w:rsid w:val="00BD17CD"/>
    <w:rsid w:val="00BD3A0A"/>
    <w:rsid w:val="00BD4520"/>
    <w:rsid w:val="00BD6AB1"/>
    <w:rsid w:val="00BD6C57"/>
    <w:rsid w:val="00BD7A9B"/>
    <w:rsid w:val="00BE0E53"/>
    <w:rsid w:val="00BE28E9"/>
    <w:rsid w:val="00BE409B"/>
    <w:rsid w:val="00BE5235"/>
    <w:rsid w:val="00BE7E01"/>
    <w:rsid w:val="00BF1BC6"/>
    <w:rsid w:val="00BF2690"/>
    <w:rsid w:val="00BF40E7"/>
    <w:rsid w:val="00BF6EB8"/>
    <w:rsid w:val="00BF6F51"/>
    <w:rsid w:val="00BF7F1B"/>
    <w:rsid w:val="00C006E9"/>
    <w:rsid w:val="00C00FC8"/>
    <w:rsid w:val="00C01005"/>
    <w:rsid w:val="00C01CF3"/>
    <w:rsid w:val="00C02138"/>
    <w:rsid w:val="00C03577"/>
    <w:rsid w:val="00C03CF8"/>
    <w:rsid w:val="00C0591E"/>
    <w:rsid w:val="00C06313"/>
    <w:rsid w:val="00C07D4F"/>
    <w:rsid w:val="00C10CD5"/>
    <w:rsid w:val="00C121F3"/>
    <w:rsid w:val="00C12756"/>
    <w:rsid w:val="00C13D11"/>
    <w:rsid w:val="00C16617"/>
    <w:rsid w:val="00C16F29"/>
    <w:rsid w:val="00C21252"/>
    <w:rsid w:val="00C25E10"/>
    <w:rsid w:val="00C26CF4"/>
    <w:rsid w:val="00C27B17"/>
    <w:rsid w:val="00C306A8"/>
    <w:rsid w:val="00C308DF"/>
    <w:rsid w:val="00C31107"/>
    <w:rsid w:val="00C32E4E"/>
    <w:rsid w:val="00C3392F"/>
    <w:rsid w:val="00C34967"/>
    <w:rsid w:val="00C34BE5"/>
    <w:rsid w:val="00C357CC"/>
    <w:rsid w:val="00C35AF1"/>
    <w:rsid w:val="00C3611E"/>
    <w:rsid w:val="00C3640D"/>
    <w:rsid w:val="00C36BB9"/>
    <w:rsid w:val="00C36BD6"/>
    <w:rsid w:val="00C37EDC"/>
    <w:rsid w:val="00C427E4"/>
    <w:rsid w:val="00C43D44"/>
    <w:rsid w:val="00C4600D"/>
    <w:rsid w:val="00C46B3A"/>
    <w:rsid w:val="00C50769"/>
    <w:rsid w:val="00C5345D"/>
    <w:rsid w:val="00C53888"/>
    <w:rsid w:val="00C54F72"/>
    <w:rsid w:val="00C56660"/>
    <w:rsid w:val="00C56EEA"/>
    <w:rsid w:val="00C60249"/>
    <w:rsid w:val="00C6237C"/>
    <w:rsid w:val="00C6263E"/>
    <w:rsid w:val="00C63E93"/>
    <w:rsid w:val="00C6538C"/>
    <w:rsid w:val="00C658FA"/>
    <w:rsid w:val="00C66FBB"/>
    <w:rsid w:val="00C67129"/>
    <w:rsid w:val="00C704EA"/>
    <w:rsid w:val="00C770CF"/>
    <w:rsid w:val="00C77846"/>
    <w:rsid w:val="00C81E76"/>
    <w:rsid w:val="00C82D7C"/>
    <w:rsid w:val="00C83034"/>
    <w:rsid w:val="00C8618D"/>
    <w:rsid w:val="00C862E2"/>
    <w:rsid w:val="00C866D9"/>
    <w:rsid w:val="00C91F25"/>
    <w:rsid w:val="00C91FAA"/>
    <w:rsid w:val="00C931D9"/>
    <w:rsid w:val="00C9348C"/>
    <w:rsid w:val="00C948EE"/>
    <w:rsid w:val="00C95950"/>
    <w:rsid w:val="00C967FD"/>
    <w:rsid w:val="00C96877"/>
    <w:rsid w:val="00C9701D"/>
    <w:rsid w:val="00CA026D"/>
    <w:rsid w:val="00CA0578"/>
    <w:rsid w:val="00CA4E36"/>
    <w:rsid w:val="00CA5273"/>
    <w:rsid w:val="00CA60B7"/>
    <w:rsid w:val="00CA78E3"/>
    <w:rsid w:val="00CB1B66"/>
    <w:rsid w:val="00CB20EA"/>
    <w:rsid w:val="00CB292F"/>
    <w:rsid w:val="00CB48F3"/>
    <w:rsid w:val="00CB4EB9"/>
    <w:rsid w:val="00CB7516"/>
    <w:rsid w:val="00CB7D9B"/>
    <w:rsid w:val="00CC1BC3"/>
    <w:rsid w:val="00CC1D90"/>
    <w:rsid w:val="00CC5847"/>
    <w:rsid w:val="00CC5F67"/>
    <w:rsid w:val="00CC668B"/>
    <w:rsid w:val="00CD5C99"/>
    <w:rsid w:val="00CE1690"/>
    <w:rsid w:val="00CE1D98"/>
    <w:rsid w:val="00CE2958"/>
    <w:rsid w:val="00CE31C5"/>
    <w:rsid w:val="00CE3CD8"/>
    <w:rsid w:val="00CE402D"/>
    <w:rsid w:val="00CE43C0"/>
    <w:rsid w:val="00CE4BCE"/>
    <w:rsid w:val="00CE5DFE"/>
    <w:rsid w:val="00CE6D1F"/>
    <w:rsid w:val="00CE6DE9"/>
    <w:rsid w:val="00CF06B8"/>
    <w:rsid w:val="00CF1343"/>
    <w:rsid w:val="00CF4FAA"/>
    <w:rsid w:val="00CF5AC7"/>
    <w:rsid w:val="00CF6091"/>
    <w:rsid w:val="00CF6ABF"/>
    <w:rsid w:val="00CF73F2"/>
    <w:rsid w:val="00D01629"/>
    <w:rsid w:val="00D0184B"/>
    <w:rsid w:val="00D02385"/>
    <w:rsid w:val="00D03322"/>
    <w:rsid w:val="00D05106"/>
    <w:rsid w:val="00D053F7"/>
    <w:rsid w:val="00D06F68"/>
    <w:rsid w:val="00D07C92"/>
    <w:rsid w:val="00D109F1"/>
    <w:rsid w:val="00D12E5A"/>
    <w:rsid w:val="00D13540"/>
    <w:rsid w:val="00D1354E"/>
    <w:rsid w:val="00D13B4B"/>
    <w:rsid w:val="00D140BD"/>
    <w:rsid w:val="00D14196"/>
    <w:rsid w:val="00D142F2"/>
    <w:rsid w:val="00D15287"/>
    <w:rsid w:val="00D1642F"/>
    <w:rsid w:val="00D16DB4"/>
    <w:rsid w:val="00D20191"/>
    <w:rsid w:val="00D207F6"/>
    <w:rsid w:val="00D20A71"/>
    <w:rsid w:val="00D21AC6"/>
    <w:rsid w:val="00D21E81"/>
    <w:rsid w:val="00D22B34"/>
    <w:rsid w:val="00D23113"/>
    <w:rsid w:val="00D23D14"/>
    <w:rsid w:val="00D255BB"/>
    <w:rsid w:val="00D262CA"/>
    <w:rsid w:val="00D26B52"/>
    <w:rsid w:val="00D277FE"/>
    <w:rsid w:val="00D33A5A"/>
    <w:rsid w:val="00D34170"/>
    <w:rsid w:val="00D35620"/>
    <w:rsid w:val="00D35B40"/>
    <w:rsid w:val="00D36559"/>
    <w:rsid w:val="00D371CD"/>
    <w:rsid w:val="00D375E6"/>
    <w:rsid w:val="00D37A9A"/>
    <w:rsid w:val="00D416A8"/>
    <w:rsid w:val="00D4179E"/>
    <w:rsid w:val="00D426B4"/>
    <w:rsid w:val="00D4363B"/>
    <w:rsid w:val="00D43D70"/>
    <w:rsid w:val="00D51453"/>
    <w:rsid w:val="00D529D9"/>
    <w:rsid w:val="00D52E3F"/>
    <w:rsid w:val="00D52EC4"/>
    <w:rsid w:val="00D53F05"/>
    <w:rsid w:val="00D543EA"/>
    <w:rsid w:val="00D5443D"/>
    <w:rsid w:val="00D54495"/>
    <w:rsid w:val="00D60BA2"/>
    <w:rsid w:val="00D62F43"/>
    <w:rsid w:val="00D65DF2"/>
    <w:rsid w:val="00D67E89"/>
    <w:rsid w:val="00D71EAC"/>
    <w:rsid w:val="00D73206"/>
    <w:rsid w:val="00D74C53"/>
    <w:rsid w:val="00D76A50"/>
    <w:rsid w:val="00D76CC6"/>
    <w:rsid w:val="00D7711F"/>
    <w:rsid w:val="00D77EED"/>
    <w:rsid w:val="00D80877"/>
    <w:rsid w:val="00D80BA1"/>
    <w:rsid w:val="00D80EC2"/>
    <w:rsid w:val="00D81166"/>
    <w:rsid w:val="00D81B62"/>
    <w:rsid w:val="00D84368"/>
    <w:rsid w:val="00D84DE5"/>
    <w:rsid w:val="00D900FA"/>
    <w:rsid w:val="00D90239"/>
    <w:rsid w:val="00D90F1A"/>
    <w:rsid w:val="00D91D8A"/>
    <w:rsid w:val="00D93E7B"/>
    <w:rsid w:val="00D94866"/>
    <w:rsid w:val="00D948B8"/>
    <w:rsid w:val="00D962D0"/>
    <w:rsid w:val="00D9702F"/>
    <w:rsid w:val="00DA043F"/>
    <w:rsid w:val="00DA1025"/>
    <w:rsid w:val="00DA1EB0"/>
    <w:rsid w:val="00DA29A7"/>
    <w:rsid w:val="00DA3A27"/>
    <w:rsid w:val="00DA3F7B"/>
    <w:rsid w:val="00DA40DC"/>
    <w:rsid w:val="00DA47EA"/>
    <w:rsid w:val="00DA52F1"/>
    <w:rsid w:val="00DA5F26"/>
    <w:rsid w:val="00DA6ACF"/>
    <w:rsid w:val="00DA6E48"/>
    <w:rsid w:val="00DA74A1"/>
    <w:rsid w:val="00DB0B12"/>
    <w:rsid w:val="00DB2221"/>
    <w:rsid w:val="00DB22D9"/>
    <w:rsid w:val="00DB2682"/>
    <w:rsid w:val="00DB4726"/>
    <w:rsid w:val="00DB5969"/>
    <w:rsid w:val="00DC1507"/>
    <w:rsid w:val="00DC1658"/>
    <w:rsid w:val="00DC6729"/>
    <w:rsid w:val="00DD186C"/>
    <w:rsid w:val="00DD292F"/>
    <w:rsid w:val="00DD419C"/>
    <w:rsid w:val="00DD4573"/>
    <w:rsid w:val="00DE1993"/>
    <w:rsid w:val="00DE2E87"/>
    <w:rsid w:val="00DE38E5"/>
    <w:rsid w:val="00DE3B43"/>
    <w:rsid w:val="00DE3F1D"/>
    <w:rsid w:val="00DE7288"/>
    <w:rsid w:val="00DE75FB"/>
    <w:rsid w:val="00DE7666"/>
    <w:rsid w:val="00DE7AAC"/>
    <w:rsid w:val="00DE7EB9"/>
    <w:rsid w:val="00DF5801"/>
    <w:rsid w:val="00DF6230"/>
    <w:rsid w:val="00E01642"/>
    <w:rsid w:val="00E02ECA"/>
    <w:rsid w:val="00E046F0"/>
    <w:rsid w:val="00E05055"/>
    <w:rsid w:val="00E06BD4"/>
    <w:rsid w:val="00E11EBB"/>
    <w:rsid w:val="00E12058"/>
    <w:rsid w:val="00E1248B"/>
    <w:rsid w:val="00E129B9"/>
    <w:rsid w:val="00E157CE"/>
    <w:rsid w:val="00E17A3A"/>
    <w:rsid w:val="00E2183E"/>
    <w:rsid w:val="00E2234B"/>
    <w:rsid w:val="00E24A05"/>
    <w:rsid w:val="00E26E7E"/>
    <w:rsid w:val="00E2732F"/>
    <w:rsid w:val="00E278B5"/>
    <w:rsid w:val="00E27C6F"/>
    <w:rsid w:val="00E31393"/>
    <w:rsid w:val="00E31897"/>
    <w:rsid w:val="00E34460"/>
    <w:rsid w:val="00E40C05"/>
    <w:rsid w:val="00E456F3"/>
    <w:rsid w:val="00E45973"/>
    <w:rsid w:val="00E45D59"/>
    <w:rsid w:val="00E46A3C"/>
    <w:rsid w:val="00E47C7F"/>
    <w:rsid w:val="00E47ED6"/>
    <w:rsid w:val="00E5031B"/>
    <w:rsid w:val="00E55222"/>
    <w:rsid w:val="00E5564B"/>
    <w:rsid w:val="00E557D9"/>
    <w:rsid w:val="00E55B7A"/>
    <w:rsid w:val="00E56213"/>
    <w:rsid w:val="00E6006A"/>
    <w:rsid w:val="00E67B95"/>
    <w:rsid w:val="00E708A3"/>
    <w:rsid w:val="00E71D2E"/>
    <w:rsid w:val="00E7371F"/>
    <w:rsid w:val="00E73DF9"/>
    <w:rsid w:val="00E7563B"/>
    <w:rsid w:val="00E777BE"/>
    <w:rsid w:val="00E77B40"/>
    <w:rsid w:val="00E80438"/>
    <w:rsid w:val="00E8288C"/>
    <w:rsid w:val="00E836A0"/>
    <w:rsid w:val="00E87832"/>
    <w:rsid w:val="00E9043C"/>
    <w:rsid w:val="00E907C8"/>
    <w:rsid w:val="00E92982"/>
    <w:rsid w:val="00E92ACD"/>
    <w:rsid w:val="00E93CFD"/>
    <w:rsid w:val="00E94180"/>
    <w:rsid w:val="00E94FD2"/>
    <w:rsid w:val="00EA04E9"/>
    <w:rsid w:val="00EA249F"/>
    <w:rsid w:val="00EA2506"/>
    <w:rsid w:val="00EA2E61"/>
    <w:rsid w:val="00EA3E9E"/>
    <w:rsid w:val="00EA5B83"/>
    <w:rsid w:val="00EA67AA"/>
    <w:rsid w:val="00EA67CA"/>
    <w:rsid w:val="00EA6D38"/>
    <w:rsid w:val="00EA7273"/>
    <w:rsid w:val="00EA7D4D"/>
    <w:rsid w:val="00EA7FDF"/>
    <w:rsid w:val="00EB1E7F"/>
    <w:rsid w:val="00EB2806"/>
    <w:rsid w:val="00EB3D5B"/>
    <w:rsid w:val="00EB5010"/>
    <w:rsid w:val="00EB571E"/>
    <w:rsid w:val="00EB6C1A"/>
    <w:rsid w:val="00EB6C59"/>
    <w:rsid w:val="00EB6D79"/>
    <w:rsid w:val="00EB75F5"/>
    <w:rsid w:val="00EB7FF4"/>
    <w:rsid w:val="00EC0D4F"/>
    <w:rsid w:val="00EC20DF"/>
    <w:rsid w:val="00EC5CC4"/>
    <w:rsid w:val="00EC5FDE"/>
    <w:rsid w:val="00EC74F0"/>
    <w:rsid w:val="00EC7817"/>
    <w:rsid w:val="00ED18D7"/>
    <w:rsid w:val="00ED3BD8"/>
    <w:rsid w:val="00ED40F1"/>
    <w:rsid w:val="00ED499D"/>
    <w:rsid w:val="00ED4C91"/>
    <w:rsid w:val="00ED507B"/>
    <w:rsid w:val="00ED514C"/>
    <w:rsid w:val="00ED6B0A"/>
    <w:rsid w:val="00ED6E61"/>
    <w:rsid w:val="00EE16E8"/>
    <w:rsid w:val="00EE2512"/>
    <w:rsid w:val="00EE2EE6"/>
    <w:rsid w:val="00EE5ACF"/>
    <w:rsid w:val="00EE6651"/>
    <w:rsid w:val="00EE7525"/>
    <w:rsid w:val="00EE7AF0"/>
    <w:rsid w:val="00EE7B90"/>
    <w:rsid w:val="00EF0BCA"/>
    <w:rsid w:val="00EF1D89"/>
    <w:rsid w:val="00EF3203"/>
    <w:rsid w:val="00EF3818"/>
    <w:rsid w:val="00EF39F1"/>
    <w:rsid w:val="00EF3CC8"/>
    <w:rsid w:val="00EF4B03"/>
    <w:rsid w:val="00EF5D92"/>
    <w:rsid w:val="00EF6418"/>
    <w:rsid w:val="00EF74EF"/>
    <w:rsid w:val="00EF7A0D"/>
    <w:rsid w:val="00F016C0"/>
    <w:rsid w:val="00F02168"/>
    <w:rsid w:val="00F024C6"/>
    <w:rsid w:val="00F046AB"/>
    <w:rsid w:val="00F05881"/>
    <w:rsid w:val="00F071A6"/>
    <w:rsid w:val="00F07C89"/>
    <w:rsid w:val="00F07FDE"/>
    <w:rsid w:val="00F101F3"/>
    <w:rsid w:val="00F115A3"/>
    <w:rsid w:val="00F13866"/>
    <w:rsid w:val="00F14FC8"/>
    <w:rsid w:val="00F15EA6"/>
    <w:rsid w:val="00F167E3"/>
    <w:rsid w:val="00F16CE6"/>
    <w:rsid w:val="00F20451"/>
    <w:rsid w:val="00F21229"/>
    <w:rsid w:val="00F26ECA"/>
    <w:rsid w:val="00F3027B"/>
    <w:rsid w:val="00F3082D"/>
    <w:rsid w:val="00F30D84"/>
    <w:rsid w:val="00F31667"/>
    <w:rsid w:val="00F3179D"/>
    <w:rsid w:val="00F3215D"/>
    <w:rsid w:val="00F32277"/>
    <w:rsid w:val="00F32280"/>
    <w:rsid w:val="00F33903"/>
    <w:rsid w:val="00F36708"/>
    <w:rsid w:val="00F378DC"/>
    <w:rsid w:val="00F4091D"/>
    <w:rsid w:val="00F44E9E"/>
    <w:rsid w:val="00F45DD2"/>
    <w:rsid w:val="00F45FC5"/>
    <w:rsid w:val="00F4681B"/>
    <w:rsid w:val="00F4749C"/>
    <w:rsid w:val="00F51384"/>
    <w:rsid w:val="00F51FB4"/>
    <w:rsid w:val="00F52B71"/>
    <w:rsid w:val="00F534FE"/>
    <w:rsid w:val="00F56496"/>
    <w:rsid w:val="00F5731D"/>
    <w:rsid w:val="00F6049A"/>
    <w:rsid w:val="00F60A18"/>
    <w:rsid w:val="00F6326A"/>
    <w:rsid w:val="00F63C3A"/>
    <w:rsid w:val="00F64B41"/>
    <w:rsid w:val="00F65E48"/>
    <w:rsid w:val="00F65F84"/>
    <w:rsid w:val="00F65FAE"/>
    <w:rsid w:val="00F66409"/>
    <w:rsid w:val="00F66927"/>
    <w:rsid w:val="00F7513C"/>
    <w:rsid w:val="00F76C37"/>
    <w:rsid w:val="00F77E63"/>
    <w:rsid w:val="00F801C3"/>
    <w:rsid w:val="00F80636"/>
    <w:rsid w:val="00F809AA"/>
    <w:rsid w:val="00F81537"/>
    <w:rsid w:val="00F8164C"/>
    <w:rsid w:val="00F834CE"/>
    <w:rsid w:val="00F837E7"/>
    <w:rsid w:val="00F83FC1"/>
    <w:rsid w:val="00F85185"/>
    <w:rsid w:val="00F85E9E"/>
    <w:rsid w:val="00F90CDA"/>
    <w:rsid w:val="00F90F67"/>
    <w:rsid w:val="00F91BCA"/>
    <w:rsid w:val="00F952F2"/>
    <w:rsid w:val="00FA0F1F"/>
    <w:rsid w:val="00FA1CA7"/>
    <w:rsid w:val="00FA32A1"/>
    <w:rsid w:val="00FA4B78"/>
    <w:rsid w:val="00FA670F"/>
    <w:rsid w:val="00FA706F"/>
    <w:rsid w:val="00FA79F1"/>
    <w:rsid w:val="00FA7A70"/>
    <w:rsid w:val="00FB13D0"/>
    <w:rsid w:val="00FB48CF"/>
    <w:rsid w:val="00FB5772"/>
    <w:rsid w:val="00FB5FB9"/>
    <w:rsid w:val="00FB6F83"/>
    <w:rsid w:val="00FB7A04"/>
    <w:rsid w:val="00FC2882"/>
    <w:rsid w:val="00FC33FF"/>
    <w:rsid w:val="00FC35ED"/>
    <w:rsid w:val="00FC4202"/>
    <w:rsid w:val="00FC6E9E"/>
    <w:rsid w:val="00FD28A1"/>
    <w:rsid w:val="00FD6739"/>
    <w:rsid w:val="00FE05FA"/>
    <w:rsid w:val="00FE37CF"/>
    <w:rsid w:val="00FE3C9D"/>
    <w:rsid w:val="00FE51A5"/>
    <w:rsid w:val="00FF0F0C"/>
    <w:rsid w:val="00FF1628"/>
    <w:rsid w:val="00FF23EC"/>
    <w:rsid w:val="00FF306A"/>
    <w:rsid w:val="00FF72C9"/>
    <w:rsid w:val="0129483A"/>
    <w:rsid w:val="012A6BDB"/>
    <w:rsid w:val="015C2B0C"/>
    <w:rsid w:val="01883901"/>
    <w:rsid w:val="01BB3A13"/>
    <w:rsid w:val="01C901A1"/>
    <w:rsid w:val="01CE4415"/>
    <w:rsid w:val="01DE6ED6"/>
    <w:rsid w:val="02094A42"/>
    <w:rsid w:val="02104022"/>
    <w:rsid w:val="025F0B06"/>
    <w:rsid w:val="025F4662"/>
    <w:rsid w:val="027125E7"/>
    <w:rsid w:val="0273635F"/>
    <w:rsid w:val="029D33DC"/>
    <w:rsid w:val="029F53A6"/>
    <w:rsid w:val="02A227A1"/>
    <w:rsid w:val="02AD35A0"/>
    <w:rsid w:val="02AD361F"/>
    <w:rsid w:val="02BA3F8E"/>
    <w:rsid w:val="02D07CF0"/>
    <w:rsid w:val="02EE0DE9"/>
    <w:rsid w:val="02FA082F"/>
    <w:rsid w:val="03067533"/>
    <w:rsid w:val="03127926"/>
    <w:rsid w:val="03547F3F"/>
    <w:rsid w:val="036F2A12"/>
    <w:rsid w:val="03A72764"/>
    <w:rsid w:val="04104DE8"/>
    <w:rsid w:val="042E69E2"/>
    <w:rsid w:val="043236CA"/>
    <w:rsid w:val="04373762"/>
    <w:rsid w:val="04561F88"/>
    <w:rsid w:val="0475494B"/>
    <w:rsid w:val="04B844FD"/>
    <w:rsid w:val="04E059DF"/>
    <w:rsid w:val="04E777B9"/>
    <w:rsid w:val="04F04E90"/>
    <w:rsid w:val="04F62F1D"/>
    <w:rsid w:val="0507517F"/>
    <w:rsid w:val="051A0AAC"/>
    <w:rsid w:val="051F25B6"/>
    <w:rsid w:val="052E656D"/>
    <w:rsid w:val="053B00F0"/>
    <w:rsid w:val="05483AD3"/>
    <w:rsid w:val="054A15F9"/>
    <w:rsid w:val="05571F68"/>
    <w:rsid w:val="055C757F"/>
    <w:rsid w:val="056621AB"/>
    <w:rsid w:val="05984FF0"/>
    <w:rsid w:val="059874F0"/>
    <w:rsid w:val="059A6ED7"/>
    <w:rsid w:val="059E1945"/>
    <w:rsid w:val="05CA3668"/>
    <w:rsid w:val="05DD679E"/>
    <w:rsid w:val="06110369"/>
    <w:rsid w:val="062E2CC9"/>
    <w:rsid w:val="065B5FB3"/>
    <w:rsid w:val="065E2E28"/>
    <w:rsid w:val="067D2292"/>
    <w:rsid w:val="0680580D"/>
    <w:rsid w:val="06E53056"/>
    <w:rsid w:val="06FA704F"/>
    <w:rsid w:val="070D211A"/>
    <w:rsid w:val="07177C01"/>
    <w:rsid w:val="07326D28"/>
    <w:rsid w:val="07485275"/>
    <w:rsid w:val="077C5CB6"/>
    <w:rsid w:val="07966D78"/>
    <w:rsid w:val="07C05BA3"/>
    <w:rsid w:val="0800444E"/>
    <w:rsid w:val="080C2EFD"/>
    <w:rsid w:val="080C528C"/>
    <w:rsid w:val="083B347B"/>
    <w:rsid w:val="08404F36"/>
    <w:rsid w:val="084772BB"/>
    <w:rsid w:val="08512C9F"/>
    <w:rsid w:val="08667779"/>
    <w:rsid w:val="087370B9"/>
    <w:rsid w:val="087D3E43"/>
    <w:rsid w:val="08971F79"/>
    <w:rsid w:val="089A2898"/>
    <w:rsid w:val="089C26B1"/>
    <w:rsid w:val="09012917"/>
    <w:rsid w:val="09664CA9"/>
    <w:rsid w:val="098A46BA"/>
    <w:rsid w:val="09A6526C"/>
    <w:rsid w:val="09DE099D"/>
    <w:rsid w:val="09F913FD"/>
    <w:rsid w:val="0A271C87"/>
    <w:rsid w:val="0A5E6197"/>
    <w:rsid w:val="0A660DA3"/>
    <w:rsid w:val="0A6767AA"/>
    <w:rsid w:val="0A7669ED"/>
    <w:rsid w:val="0A851326"/>
    <w:rsid w:val="0A8E01DA"/>
    <w:rsid w:val="0AB228D3"/>
    <w:rsid w:val="0AC736EC"/>
    <w:rsid w:val="0AD55E09"/>
    <w:rsid w:val="0AF618DB"/>
    <w:rsid w:val="0B3D58B0"/>
    <w:rsid w:val="0B413D76"/>
    <w:rsid w:val="0B505EF0"/>
    <w:rsid w:val="0BB36504"/>
    <w:rsid w:val="0BB55B0D"/>
    <w:rsid w:val="0BD01EAC"/>
    <w:rsid w:val="0BDC5FAC"/>
    <w:rsid w:val="0BF36AE5"/>
    <w:rsid w:val="0C3E32CE"/>
    <w:rsid w:val="0C4D19CF"/>
    <w:rsid w:val="0C6F1945"/>
    <w:rsid w:val="0C9062DC"/>
    <w:rsid w:val="0CC96384"/>
    <w:rsid w:val="0CD345CA"/>
    <w:rsid w:val="0CDA44CD"/>
    <w:rsid w:val="0CDD11A6"/>
    <w:rsid w:val="0CF22817"/>
    <w:rsid w:val="0CF804C6"/>
    <w:rsid w:val="0D08580A"/>
    <w:rsid w:val="0D2121C5"/>
    <w:rsid w:val="0D247DB9"/>
    <w:rsid w:val="0D3712C1"/>
    <w:rsid w:val="0D444B80"/>
    <w:rsid w:val="0D4950F2"/>
    <w:rsid w:val="0D605732"/>
    <w:rsid w:val="0D6763C0"/>
    <w:rsid w:val="0D756817"/>
    <w:rsid w:val="0D7C256C"/>
    <w:rsid w:val="0D9A0C44"/>
    <w:rsid w:val="0DAD6BC9"/>
    <w:rsid w:val="0DB91B6A"/>
    <w:rsid w:val="0DCA5CDB"/>
    <w:rsid w:val="0DD95C10"/>
    <w:rsid w:val="0E122F7E"/>
    <w:rsid w:val="0E172295"/>
    <w:rsid w:val="0E286250"/>
    <w:rsid w:val="0E456E02"/>
    <w:rsid w:val="0E495ACB"/>
    <w:rsid w:val="0E5057A7"/>
    <w:rsid w:val="0E547045"/>
    <w:rsid w:val="0E5F479F"/>
    <w:rsid w:val="0E6C22A1"/>
    <w:rsid w:val="0E8755E8"/>
    <w:rsid w:val="0EAE0E4B"/>
    <w:rsid w:val="0EC0292C"/>
    <w:rsid w:val="0EE26D46"/>
    <w:rsid w:val="0EF7557C"/>
    <w:rsid w:val="0F0E0BAD"/>
    <w:rsid w:val="0F1C7D35"/>
    <w:rsid w:val="0F2E5468"/>
    <w:rsid w:val="0F340AD2"/>
    <w:rsid w:val="0F384BB8"/>
    <w:rsid w:val="0F403A6D"/>
    <w:rsid w:val="0F4E396C"/>
    <w:rsid w:val="0F587009"/>
    <w:rsid w:val="0F5B7DD1"/>
    <w:rsid w:val="0F63518D"/>
    <w:rsid w:val="0F6634D4"/>
    <w:rsid w:val="0FB56996"/>
    <w:rsid w:val="0FE34B24"/>
    <w:rsid w:val="10084EE2"/>
    <w:rsid w:val="1031680F"/>
    <w:rsid w:val="10344A25"/>
    <w:rsid w:val="1086149E"/>
    <w:rsid w:val="1088277D"/>
    <w:rsid w:val="108D1493"/>
    <w:rsid w:val="10BE27A2"/>
    <w:rsid w:val="10C81F6C"/>
    <w:rsid w:val="10C86105"/>
    <w:rsid w:val="10FA2D58"/>
    <w:rsid w:val="112F5B47"/>
    <w:rsid w:val="115803EA"/>
    <w:rsid w:val="11763776"/>
    <w:rsid w:val="11982360"/>
    <w:rsid w:val="11B57CEC"/>
    <w:rsid w:val="11C33E42"/>
    <w:rsid w:val="11C47354"/>
    <w:rsid w:val="11EB4770"/>
    <w:rsid w:val="11F50B3F"/>
    <w:rsid w:val="12280984"/>
    <w:rsid w:val="122A7611"/>
    <w:rsid w:val="1235718D"/>
    <w:rsid w:val="125E66E4"/>
    <w:rsid w:val="12627082"/>
    <w:rsid w:val="128755FC"/>
    <w:rsid w:val="12901EFB"/>
    <w:rsid w:val="1294682C"/>
    <w:rsid w:val="129F4F73"/>
    <w:rsid w:val="12EE67D4"/>
    <w:rsid w:val="12F6524A"/>
    <w:rsid w:val="12FC7CAB"/>
    <w:rsid w:val="13102B90"/>
    <w:rsid w:val="132A70C8"/>
    <w:rsid w:val="1363332F"/>
    <w:rsid w:val="13686FE3"/>
    <w:rsid w:val="13B1795D"/>
    <w:rsid w:val="13DB5A21"/>
    <w:rsid w:val="13F4268A"/>
    <w:rsid w:val="142A31E2"/>
    <w:rsid w:val="142A6E10"/>
    <w:rsid w:val="1437543F"/>
    <w:rsid w:val="143A0A8B"/>
    <w:rsid w:val="143A231E"/>
    <w:rsid w:val="144725A7"/>
    <w:rsid w:val="1461070D"/>
    <w:rsid w:val="14641498"/>
    <w:rsid w:val="148D505F"/>
    <w:rsid w:val="14BB6070"/>
    <w:rsid w:val="1509375B"/>
    <w:rsid w:val="151B529C"/>
    <w:rsid w:val="15260317"/>
    <w:rsid w:val="15313AA5"/>
    <w:rsid w:val="154A230C"/>
    <w:rsid w:val="15510782"/>
    <w:rsid w:val="15A16353"/>
    <w:rsid w:val="15B91E83"/>
    <w:rsid w:val="15BF393E"/>
    <w:rsid w:val="15FD4466"/>
    <w:rsid w:val="16471A2D"/>
    <w:rsid w:val="16485E16"/>
    <w:rsid w:val="16493207"/>
    <w:rsid w:val="16540140"/>
    <w:rsid w:val="16753FFC"/>
    <w:rsid w:val="16760DED"/>
    <w:rsid w:val="167B3E10"/>
    <w:rsid w:val="167D1103"/>
    <w:rsid w:val="16970417"/>
    <w:rsid w:val="16B71F57"/>
    <w:rsid w:val="16CA37C3"/>
    <w:rsid w:val="16CB5E37"/>
    <w:rsid w:val="16D550DC"/>
    <w:rsid w:val="16F301BE"/>
    <w:rsid w:val="17054BAE"/>
    <w:rsid w:val="173B5246"/>
    <w:rsid w:val="1740285C"/>
    <w:rsid w:val="174D6117"/>
    <w:rsid w:val="1751027F"/>
    <w:rsid w:val="1752258F"/>
    <w:rsid w:val="175E4FA4"/>
    <w:rsid w:val="1768590F"/>
    <w:rsid w:val="17911912"/>
    <w:rsid w:val="17921CA7"/>
    <w:rsid w:val="17BB6387"/>
    <w:rsid w:val="180231F4"/>
    <w:rsid w:val="18027B12"/>
    <w:rsid w:val="1820443C"/>
    <w:rsid w:val="1828111B"/>
    <w:rsid w:val="182E0907"/>
    <w:rsid w:val="184264AC"/>
    <w:rsid w:val="18565113"/>
    <w:rsid w:val="185D743E"/>
    <w:rsid w:val="186239EB"/>
    <w:rsid w:val="18695DE3"/>
    <w:rsid w:val="18714C97"/>
    <w:rsid w:val="187C78C4"/>
    <w:rsid w:val="18880910"/>
    <w:rsid w:val="188B3FAB"/>
    <w:rsid w:val="189570F0"/>
    <w:rsid w:val="18AF6479"/>
    <w:rsid w:val="18B76B4E"/>
    <w:rsid w:val="18BD5FFA"/>
    <w:rsid w:val="18D535F0"/>
    <w:rsid w:val="18D63D1F"/>
    <w:rsid w:val="18DF60A5"/>
    <w:rsid w:val="19407488"/>
    <w:rsid w:val="195B397D"/>
    <w:rsid w:val="198D5B01"/>
    <w:rsid w:val="199345C8"/>
    <w:rsid w:val="19962C07"/>
    <w:rsid w:val="19AF49FC"/>
    <w:rsid w:val="19BD63E6"/>
    <w:rsid w:val="19CF0541"/>
    <w:rsid w:val="19D8310B"/>
    <w:rsid w:val="19EE731B"/>
    <w:rsid w:val="19FB45B3"/>
    <w:rsid w:val="1A051879"/>
    <w:rsid w:val="1A0F4768"/>
    <w:rsid w:val="1A226372"/>
    <w:rsid w:val="1A230012"/>
    <w:rsid w:val="1A445AD5"/>
    <w:rsid w:val="1A544ED2"/>
    <w:rsid w:val="1A5F56EF"/>
    <w:rsid w:val="1A7840BF"/>
    <w:rsid w:val="1A9A04D5"/>
    <w:rsid w:val="1AC02B38"/>
    <w:rsid w:val="1AC165E2"/>
    <w:rsid w:val="1AE50F3D"/>
    <w:rsid w:val="1B18764C"/>
    <w:rsid w:val="1B1E2B28"/>
    <w:rsid w:val="1B30283F"/>
    <w:rsid w:val="1B4B5E16"/>
    <w:rsid w:val="1B5A7C65"/>
    <w:rsid w:val="1B640C92"/>
    <w:rsid w:val="1B770817"/>
    <w:rsid w:val="1B7B241B"/>
    <w:rsid w:val="1B830F69"/>
    <w:rsid w:val="1BC46542"/>
    <w:rsid w:val="1BE82855"/>
    <w:rsid w:val="1C395ACC"/>
    <w:rsid w:val="1C623275"/>
    <w:rsid w:val="1C67088B"/>
    <w:rsid w:val="1C7555BC"/>
    <w:rsid w:val="1C821221"/>
    <w:rsid w:val="1CA8513B"/>
    <w:rsid w:val="1CB57848"/>
    <w:rsid w:val="1CB6711D"/>
    <w:rsid w:val="1CCB3F5A"/>
    <w:rsid w:val="1CD04E2A"/>
    <w:rsid w:val="1CD81789"/>
    <w:rsid w:val="1CD87093"/>
    <w:rsid w:val="1CE348D7"/>
    <w:rsid w:val="1CE81315"/>
    <w:rsid w:val="1CF3211F"/>
    <w:rsid w:val="1CF55E97"/>
    <w:rsid w:val="1D1327C1"/>
    <w:rsid w:val="1D17405F"/>
    <w:rsid w:val="1D217359"/>
    <w:rsid w:val="1D262445"/>
    <w:rsid w:val="1D28626C"/>
    <w:rsid w:val="1D596721"/>
    <w:rsid w:val="1D64124F"/>
    <w:rsid w:val="1D755083"/>
    <w:rsid w:val="1D774AFE"/>
    <w:rsid w:val="1D81772B"/>
    <w:rsid w:val="1DC37D43"/>
    <w:rsid w:val="1DC96D3B"/>
    <w:rsid w:val="1DD513E3"/>
    <w:rsid w:val="1DD91EA0"/>
    <w:rsid w:val="1DF64CFA"/>
    <w:rsid w:val="1E200DA7"/>
    <w:rsid w:val="1E2C7696"/>
    <w:rsid w:val="1E3B16EB"/>
    <w:rsid w:val="1E401394"/>
    <w:rsid w:val="1E546BED"/>
    <w:rsid w:val="1E5A174A"/>
    <w:rsid w:val="1E6A4663"/>
    <w:rsid w:val="1E8223FB"/>
    <w:rsid w:val="1E923B5D"/>
    <w:rsid w:val="1EC84785"/>
    <w:rsid w:val="1F072E33"/>
    <w:rsid w:val="1F0E1492"/>
    <w:rsid w:val="1F1B770B"/>
    <w:rsid w:val="1F1C595D"/>
    <w:rsid w:val="1F3233D2"/>
    <w:rsid w:val="1F5350F7"/>
    <w:rsid w:val="1F536EA5"/>
    <w:rsid w:val="1F607F6A"/>
    <w:rsid w:val="1F692B6A"/>
    <w:rsid w:val="1F774213"/>
    <w:rsid w:val="1FE40369"/>
    <w:rsid w:val="200265BA"/>
    <w:rsid w:val="20181A1D"/>
    <w:rsid w:val="20196340"/>
    <w:rsid w:val="20207824"/>
    <w:rsid w:val="202747B8"/>
    <w:rsid w:val="202C6073"/>
    <w:rsid w:val="20333A02"/>
    <w:rsid w:val="20337402"/>
    <w:rsid w:val="204E5182"/>
    <w:rsid w:val="20511636"/>
    <w:rsid w:val="205155EF"/>
    <w:rsid w:val="20542543"/>
    <w:rsid w:val="20592BE1"/>
    <w:rsid w:val="207F650F"/>
    <w:rsid w:val="20B849AB"/>
    <w:rsid w:val="20CA76E9"/>
    <w:rsid w:val="20D34741"/>
    <w:rsid w:val="20DD2ECA"/>
    <w:rsid w:val="20FD5FE6"/>
    <w:rsid w:val="2128125A"/>
    <w:rsid w:val="213B4A81"/>
    <w:rsid w:val="21661111"/>
    <w:rsid w:val="217145EC"/>
    <w:rsid w:val="217F21D3"/>
    <w:rsid w:val="218D0A8E"/>
    <w:rsid w:val="218E0668"/>
    <w:rsid w:val="219A40C3"/>
    <w:rsid w:val="21A02C66"/>
    <w:rsid w:val="21AD2B8D"/>
    <w:rsid w:val="21BA145D"/>
    <w:rsid w:val="21DF0EC4"/>
    <w:rsid w:val="21E4611E"/>
    <w:rsid w:val="21E8243E"/>
    <w:rsid w:val="22034BB2"/>
    <w:rsid w:val="221943D6"/>
    <w:rsid w:val="22235254"/>
    <w:rsid w:val="222E3E14"/>
    <w:rsid w:val="225B3325"/>
    <w:rsid w:val="22681B28"/>
    <w:rsid w:val="227B5C56"/>
    <w:rsid w:val="229249BD"/>
    <w:rsid w:val="2292538B"/>
    <w:rsid w:val="22F62969"/>
    <w:rsid w:val="22F8048F"/>
    <w:rsid w:val="233530B5"/>
    <w:rsid w:val="23712E98"/>
    <w:rsid w:val="237241BE"/>
    <w:rsid w:val="23BE4923"/>
    <w:rsid w:val="23C175DC"/>
    <w:rsid w:val="23D127C6"/>
    <w:rsid w:val="23EA6B62"/>
    <w:rsid w:val="23F24EDE"/>
    <w:rsid w:val="23F95670"/>
    <w:rsid w:val="23FF13A9"/>
    <w:rsid w:val="241F1756"/>
    <w:rsid w:val="242E7905"/>
    <w:rsid w:val="245416F5"/>
    <w:rsid w:val="246431F8"/>
    <w:rsid w:val="247C50B2"/>
    <w:rsid w:val="247C6E9E"/>
    <w:rsid w:val="2498732E"/>
    <w:rsid w:val="24A0641B"/>
    <w:rsid w:val="24B77ED6"/>
    <w:rsid w:val="24BD373E"/>
    <w:rsid w:val="24DE5462"/>
    <w:rsid w:val="24E67DA3"/>
    <w:rsid w:val="250016C2"/>
    <w:rsid w:val="250C1FD0"/>
    <w:rsid w:val="2545676E"/>
    <w:rsid w:val="257C3487"/>
    <w:rsid w:val="258A31FA"/>
    <w:rsid w:val="258E0C37"/>
    <w:rsid w:val="25CD79B1"/>
    <w:rsid w:val="25D23219"/>
    <w:rsid w:val="25F451B5"/>
    <w:rsid w:val="2608037C"/>
    <w:rsid w:val="269A7FB7"/>
    <w:rsid w:val="26B44B38"/>
    <w:rsid w:val="26BB338B"/>
    <w:rsid w:val="26C6367F"/>
    <w:rsid w:val="26EC5096"/>
    <w:rsid w:val="26F611A5"/>
    <w:rsid w:val="27042C3A"/>
    <w:rsid w:val="271033BC"/>
    <w:rsid w:val="27174C5C"/>
    <w:rsid w:val="27181100"/>
    <w:rsid w:val="271D0AF7"/>
    <w:rsid w:val="271D6716"/>
    <w:rsid w:val="27304C62"/>
    <w:rsid w:val="273D0B66"/>
    <w:rsid w:val="274D39F6"/>
    <w:rsid w:val="27830026"/>
    <w:rsid w:val="27910EB2"/>
    <w:rsid w:val="27921723"/>
    <w:rsid w:val="27962024"/>
    <w:rsid w:val="279A06C8"/>
    <w:rsid w:val="27A26C1B"/>
    <w:rsid w:val="27BF5A1F"/>
    <w:rsid w:val="27CC165C"/>
    <w:rsid w:val="27E72880"/>
    <w:rsid w:val="28186EDD"/>
    <w:rsid w:val="281D485F"/>
    <w:rsid w:val="282D0BDB"/>
    <w:rsid w:val="283B7A47"/>
    <w:rsid w:val="285C6DCA"/>
    <w:rsid w:val="2868600E"/>
    <w:rsid w:val="286F2FA1"/>
    <w:rsid w:val="28AD3ACA"/>
    <w:rsid w:val="28B210E0"/>
    <w:rsid w:val="28C52844"/>
    <w:rsid w:val="29202D73"/>
    <w:rsid w:val="293033C4"/>
    <w:rsid w:val="295959FF"/>
    <w:rsid w:val="296028EA"/>
    <w:rsid w:val="298E7457"/>
    <w:rsid w:val="29CB28B7"/>
    <w:rsid w:val="29DC4815"/>
    <w:rsid w:val="2A1F09F7"/>
    <w:rsid w:val="2A305874"/>
    <w:rsid w:val="2A5A37DD"/>
    <w:rsid w:val="2A652C4B"/>
    <w:rsid w:val="2A684DE8"/>
    <w:rsid w:val="2A775A4E"/>
    <w:rsid w:val="2A9943B2"/>
    <w:rsid w:val="2AA36F32"/>
    <w:rsid w:val="2ACA2711"/>
    <w:rsid w:val="2AD4279C"/>
    <w:rsid w:val="2B0B4AD7"/>
    <w:rsid w:val="2B0E64C2"/>
    <w:rsid w:val="2B220A9D"/>
    <w:rsid w:val="2B277B63"/>
    <w:rsid w:val="2B2F6A18"/>
    <w:rsid w:val="2B4E7E60"/>
    <w:rsid w:val="2B77216D"/>
    <w:rsid w:val="2B962EC0"/>
    <w:rsid w:val="2B9A264F"/>
    <w:rsid w:val="2BAA6A6C"/>
    <w:rsid w:val="2BB07462"/>
    <w:rsid w:val="2BB13F66"/>
    <w:rsid w:val="2BBA2E63"/>
    <w:rsid w:val="2BDE4F1A"/>
    <w:rsid w:val="2BE94B33"/>
    <w:rsid w:val="2BF122DB"/>
    <w:rsid w:val="2C166F93"/>
    <w:rsid w:val="2C1D2D14"/>
    <w:rsid w:val="2C287B42"/>
    <w:rsid w:val="2C752B50"/>
    <w:rsid w:val="2C856919"/>
    <w:rsid w:val="2CA5623F"/>
    <w:rsid w:val="2CC730C5"/>
    <w:rsid w:val="2CCE2AFC"/>
    <w:rsid w:val="2CD71115"/>
    <w:rsid w:val="2CDC7C0C"/>
    <w:rsid w:val="2D247237"/>
    <w:rsid w:val="2D2A56E9"/>
    <w:rsid w:val="2D2B1461"/>
    <w:rsid w:val="2D417001"/>
    <w:rsid w:val="2D6148F5"/>
    <w:rsid w:val="2D914CD1"/>
    <w:rsid w:val="2DA70EA5"/>
    <w:rsid w:val="2DB37828"/>
    <w:rsid w:val="2DCA2A28"/>
    <w:rsid w:val="2DD90EBD"/>
    <w:rsid w:val="2DF9095D"/>
    <w:rsid w:val="2E187C37"/>
    <w:rsid w:val="2E362909"/>
    <w:rsid w:val="2E472483"/>
    <w:rsid w:val="2E903C71"/>
    <w:rsid w:val="2E9A09EC"/>
    <w:rsid w:val="2EA46585"/>
    <w:rsid w:val="2EAD4823"/>
    <w:rsid w:val="2EDC6EB7"/>
    <w:rsid w:val="2EDF2503"/>
    <w:rsid w:val="2EF83609"/>
    <w:rsid w:val="2EFD594B"/>
    <w:rsid w:val="2F072B4D"/>
    <w:rsid w:val="2F171649"/>
    <w:rsid w:val="2F354C39"/>
    <w:rsid w:val="2F7D766A"/>
    <w:rsid w:val="2FAE5DCC"/>
    <w:rsid w:val="2FCD10CA"/>
    <w:rsid w:val="30033981"/>
    <w:rsid w:val="304765B2"/>
    <w:rsid w:val="30562EBB"/>
    <w:rsid w:val="30586A11"/>
    <w:rsid w:val="30874C00"/>
    <w:rsid w:val="30901D07"/>
    <w:rsid w:val="30A12843"/>
    <w:rsid w:val="30CD3326"/>
    <w:rsid w:val="30D72AF4"/>
    <w:rsid w:val="30E5101D"/>
    <w:rsid w:val="31046613"/>
    <w:rsid w:val="310763AA"/>
    <w:rsid w:val="31076E1B"/>
    <w:rsid w:val="312D6749"/>
    <w:rsid w:val="31521731"/>
    <w:rsid w:val="316340CC"/>
    <w:rsid w:val="31837ABD"/>
    <w:rsid w:val="318A49A8"/>
    <w:rsid w:val="319F5976"/>
    <w:rsid w:val="31A57A34"/>
    <w:rsid w:val="31C53C32"/>
    <w:rsid w:val="31C679AA"/>
    <w:rsid w:val="31CD4D31"/>
    <w:rsid w:val="31D9148B"/>
    <w:rsid w:val="31F0564D"/>
    <w:rsid w:val="31FD03A1"/>
    <w:rsid w:val="321D3B47"/>
    <w:rsid w:val="32244DFC"/>
    <w:rsid w:val="3227750B"/>
    <w:rsid w:val="323B123D"/>
    <w:rsid w:val="32591D6E"/>
    <w:rsid w:val="327A4D1B"/>
    <w:rsid w:val="32E0555F"/>
    <w:rsid w:val="33134E71"/>
    <w:rsid w:val="333252F7"/>
    <w:rsid w:val="33337B5A"/>
    <w:rsid w:val="333D3CFE"/>
    <w:rsid w:val="33775400"/>
    <w:rsid w:val="338D2911"/>
    <w:rsid w:val="33A17CF2"/>
    <w:rsid w:val="33B645C1"/>
    <w:rsid w:val="33E12CF7"/>
    <w:rsid w:val="33F317D2"/>
    <w:rsid w:val="34403D29"/>
    <w:rsid w:val="34545741"/>
    <w:rsid w:val="34670FD0"/>
    <w:rsid w:val="347A478E"/>
    <w:rsid w:val="34820A95"/>
    <w:rsid w:val="34833930"/>
    <w:rsid w:val="34977068"/>
    <w:rsid w:val="34C30B0C"/>
    <w:rsid w:val="351078BA"/>
    <w:rsid w:val="355F76DD"/>
    <w:rsid w:val="35805024"/>
    <w:rsid w:val="35C005BD"/>
    <w:rsid w:val="361024A4"/>
    <w:rsid w:val="36496A6E"/>
    <w:rsid w:val="36502DAD"/>
    <w:rsid w:val="36587FD3"/>
    <w:rsid w:val="365E4AC4"/>
    <w:rsid w:val="366C6D72"/>
    <w:rsid w:val="36745BB6"/>
    <w:rsid w:val="367F794F"/>
    <w:rsid w:val="368D0A96"/>
    <w:rsid w:val="3699743B"/>
    <w:rsid w:val="36AC19A8"/>
    <w:rsid w:val="36D612EC"/>
    <w:rsid w:val="36FD0D16"/>
    <w:rsid w:val="37216804"/>
    <w:rsid w:val="37C15D06"/>
    <w:rsid w:val="37E77A26"/>
    <w:rsid w:val="37EB369C"/>
    <w:rsid w:val="37F72F9F"/>
    <w:rsid w:val="38020022"/>
    <w:rsid w:val="381F07AF"/>
    <w:rsid w:val="38230D10"/>
    <w:rsid w:val="387621BB"/>
    <w:rsid w:val="38891EEF"/>
    <w:rsid w:val="389D6F21"/>
    <w:rsid w:val="38AA5930"/>
    <w:rsid w:val="38EF3C17"/>
    <w:rsid w:val="39000915"/>
    <w:rsid w:val="390A5171"/>
    <w:rsid w:val="391E68F7"/>
    <w:rsid w:val="392751D2"/>
    <w:rsid w:val="39364640"/>
    <w:rsid w:val="39475874"/>
    <w:rsid w:val="395835DE"/>
    <w:rsid w:val="396C2BC9"/>
    <w:rsid w:val="39B90351"/>
    <w:rsid w:val="39C97EC6"/>
    <w:rsid w:val="3A3A430C"/>
    <w:rsid w:val="3A59349E"/>
    <w:rsid w:val="3A60099C"/>
    <w:rsid w:val="3AB41C00"/>
    <w:rsid w:val="3AC54CA3"/>
    <w:rsid w:val="3AD96F06"/>
    <w:rsid w:val="3AE2585A"/>
    <w:rsid w:val="3AF630AE"/>
    <w:rsid w:val="3AFA0DF0"/>
    <w:rsid w:val="3B1F7356"/>
    <w:rsid w:val="3B304812"/>
    <w:rsid w:val="3B4B164C"/>
    <w:rsid w:val="3B6876C4"/>
    <w:rsid w:val="3B787F67"/>
    <w:rsid w:val="3B7A3CDF"/>
    <w:rsid w:val="3B8C34CE"/>
    <w:rsid w:val="3BA408DE"/>
    <w:rsid w:val="3BC1078A"/>
    <w:rsid w:val="3BE97B53"/>
    <w:rsid w:val="3C027831"/>
    <w:rsid w:val="3C291261"/>
    <w:rsid w:val="3C2A3B55"/>
    <w:rsid w:val="3C667DC0"/>
    <w:rsid w:val="3C762821"/>
    <w:rsid w:val="3C8446EA"/>
    <w:rsid w:val="3C917532"/>
    <w:rsid w:val="3C920BB5"/>
    <w:rsid w:val="3CBC4F2B"/>
    <w:rsid w:val="3CDD167D"/>
    <w:rsid w:val="3CEC4769"/>
    <w:rsid w:val="3CFB4ABD"/>
    <w:rsid w:val="3D134DE8"/>
    <w:rsid w:val="3D1B32A0"/>
    <w:rsid w:val="3D29776B"/>
    <w:rsid w:val="3D646D34"/>
    <w:rsid w:val="3D6872EA"/>
    <w:rsid w:val="3D7529B0"/>
    <w:rsid w:val="3D937065"/>
    <w:rsid w:val="3D9479AC"/>
    <w:rsid w:val="3D9F6576"/>
    <w:rsid w:val="3DB0197A"/>
    <w:rsid w:val="3DB10BCE"/>
    <w:rsid w:val="3DBF00CF"/>
    <w:rsid w:val="3DEE4511"/>
    <w:rsid w:val="3DFA136F"/>
    <w:rsid w:val="3E063608"/>
    <w:rsid w:val="3E175A62"/>
    <w:rsid w:val="3E1A70B4"/>
    <w:rsid w:val="3E480F43"/>
    <w:rsid w:val="3EBE448F"/>
    <w:rsid w:val="3ECE0C01"/>
    <w:rsid w:val="3ED43706"/>
    <w:rsid w:val="3F044AA6"/>
    <w:rsid w:val="3F18084F"/>
    <w:rsid w:val="3F191F2E"/>
    <w:rsid w:val="3F702A31"/>
    <w:rsid w:val="3FAE6B02"/>
    <w:rsid w:val="3FF32092"/>
    <w:rsid w:val="3FFE5095"/>
    <w:rsid w:val="401E5985"/>
    <w:rsid w:val="40240EFB"/>
    <w:rsid w:val="40391FBC"/>
    <w:rsid w:val="40422291"/>
    <w:rsid w:val="40D54A32"/>
    <w:rsid w:val="40F005A0"/>
    <w:rsid w:val="40F00603"/>
    <w:rsid w:val="40F56C8A"/>
    <w:rsid w:val="412842BA"/>
    <w:rsid w:val="415840E7"/>
    <w:rsid w:val="41652AB2"/>
    <w:rsid w:val="417E204F"/>
    <w:rsid w:val="418C5828"/>
    <w:rsid w:val="418D6292"/>
    <w:rsid w:val="41911D83"/>
    <w:rsid w:val="419B0764"/>
    <w:rsid w:val="41C56E23"/>
    <w:rsid w:val="41FD4D22"/>
    <w:rsid w:val="420210B7"/>
    <w:rsid w:val="42024A2E"/>
    <w:rsid w:val="420B4E20"/>
    <w:rsid w:val="421A5A8A"/>
    <w:rsid w:val="42664FBD"/>
    <w:rsid w:val="426F3D3E"/>
    <w:rsid w:val="42737DC9"/>
    <w:rsid w:val="42876CE2"/>
    <w:rsid w:val="42CC3387"/>
    <w:rsid w:val="42D53EF1"/>
    <w:rsid w:val="43144A19"/>
    <w:rsid w:val="431A730E"/>
    <w:rsid w:val="432A511E"/>
    <w:rsid w:val="433C3E7A"/>
    <w:rsid w:val="433D0EA5"/>
    <w:rsid w:val="434A5A68"/>
    <w:rsid w:val="4351712A"/>
    <w:rsid w:val="438C5DC2"/>
    <w:rsid w:val="4396542E"/>
    <w:rsid w:val="439873F8"/>
    <w:rsid w:val="43BF3609"/>
    <w:rsid w:val="43C3013B"/>
    <w:rsid w:val="43DF5027"/>
    <w:rsid w:val="43E73EDC"/>
    <w:rsid w:val="43EC32A0"/>
    <w:rsid w:val="444A3517"/>
    <w:rsid w:val="44753296"/>
    <w:rsid w:val="44850EBA"/>
    <w:rsid w:val="44862773"/>
    <w:rsid w:val="44C37E30"/>
    <w:rsid w:val="44D97CC8"/>
    <w:rsid w:val="44E2497F"/>
    <w:rsid w:val="44E64193"/>
    <w:rsid w:val="44F93EC7"/>
    <w:rsid w:val="45280575"/>
    <w:rsid w:val="453D2A10"/>
    <w:rsid w:val="454B3FF6"/>
    <w:rsid w:val="455530C7"/>
    <w:rsid w:val="455636A7"/>
    <w:rsid w:val="45957DF1"/>
    <w:rsid w:val="4597096C"/>
    <w:rsid w:val="45A574ED"/>
    <w:rsid w:val="45FC09D0"/>
    <w:rsid w:val="45FF2FB8"/>
    <w:rsid w:val="4607616F"/>
    <w:rsid w:val="461A28EF"/>
    <w:rsid w:val="462904A8"/>
    <w:rsid w:val="463E2922"/>
    <w:rsid w:val="46454873"/>
    <w:rsid w:val="464F3B9A"/>
    <w:rsid w:val="466C2476"/>
    <w:rsid w:val="468072EF"/>
    <w:rsid w:val="46937B87"/>
    <w:rsid w:val="46F138E0"/>
    <w:rsid w:val="46FA0610"/>
    <w:rsid w:val="46FF778E"/>
    <w:rsid w:val="471C3E9C"/>
    <w:rsid w:val="47226FD9"/>
    <w:rsid w:val="475A6773"/>
    <w:rsid w:val="476B6BD2"/>
    <w:rsid w:val="47835AC3"/>
    <w:rsid w:val="47D25CC7"/>
    <w:rsid w:val="47F34A01"/>
    <w:rsid w:val="48345216"/>
    <w:rsid w:val="48382F58"/>
    <w:rsid w:val="483A011B"/>
    <w:rsid w:val="48727C11"/>
    <w:rsid w:val="487579E8"/>
    <w:rsid w:val="488167F4"/>
    <w:rsid w:val="48861F15"/>
    <w:rsid w:val="48873598"/>
    <w:rsid w:val="48A04659"/>
    <w:rsid w:val="48BD520B"/>
    <w:rsid w:val="48C14AB0"/>
    <w:rsid w:val="48EC789E"/>
    <w:rsid w:val="490540C5"/>
    <w:rsid w:val="491312CF"/>
    <w:rsid w:val="4921212E"/>
    <w:rsid w:val="49214975"/>
    <w:rsid w:val="492509CD"/>
    <w:rsid w:val="4944592C"/>
    <w:rsid w:val="494616A5"/>
    <w:rsid w:val="49724248"/>
    <w:rsid w:val="49A55966"/>
    <w:rsid w:val="49A7475E"/>
    <w:rsid w:val="49C01457"/>
    <w:rsid w:val="49CA7BE0"/>
    <w:rsid w:val="4A355B31"/>
    <w:rsid w:val="4A6022F2"/>
    <w:rsid w:val="4A6A358B"/>
    <w:rsid w:val="4A740B43"/>
    <w:rsid w:val="4A9E2E1A"/>
    <w:rsid w:val="4AA91EEB"/>
    <w:rsid w:val="4AAC4D70"/>
    <w:rsid w:val="4ABE7CF1"/>
    <w:rsid w:val="4AC960E9"/>
    <w:rsid w:val="4AD36F68"/>
    <w:rsid w:val="4AE03433"/>
    <w:rsid w:val="4AED103F"/>
    <w:rsid w:val="4AED6BE2"/>
    <w:rsid w:val="4AF0164E"/>
    <w:rsid w:val="4B143D77"/>
    <w:rsid w:val="4B5A4F93"/>
    <w:rsid w:val="4B5A7222"/>
    <w:rsid w:val="4B63017A"/>
    <w:rsid w:val="4B7122DD"/>
    <w:rsid w:val="4BD25472"/>
    <w:rsid w:val="4BD72A88"/>
    <w:rsid w:val="4BD74836"/>
    <w:rsid w:val="4BEA4569"/>
    <w:rsid w:val="4BED02CC"/>
    <w:rsid w:val="4C3E64A1"/>
    <w:rsid w:val="4C66429D"/>
    <w:rsid w:val="4C6B4F7E"/>
    <w:rsid w:val="4C7D6453"/>
    <w:rsid w:val="4CA816F4"/>
    <w:rsid w:val="4CDD40CE"/>
    <w:rsid w:val="4CE049F9"/>
    <w:rsid w:val="4D027691"/>
    <w:rsid w:val="4D086A27"/>
    <w:rsid w:val="4D2C3D1A"/>
    <w:rsid w:val="4D6C0FAE"/>
    <w:rsid w:val="4D714816"/>
    <w:rsid w:val="4D92686F"/>
    <w:rsid w:val="4DA62712"/>
    <w:rsid w:val="4DC100EF"/>
    <w:rsid w:val="4DCE7B11"/>
    <w:rsid w:val="4DD74D90"/>
    <w:rsid w:val="4DDD3C5A"/>
    <w:rsid w:val="4DDE637D"/>
    <w:rsid w:val="4DE657A0"/>
    <w:rsid w:val="4DE67660"/>
    <w:rsid w:val="4E004A01"/>
    <w:rsid w:val="4E067D6F"/>
    <w:rsid w:val="4E0D305B"/>
    <w:rsid w:val="4E2D698F"/>
    <w:rsid w:val="4E41068C"/>
    <w:rsid w:val="4EC015B1"/>
    <w:rsid w:val="4ED80DF5"/>
    <w:rsid w:val="4F111E0D"/>
    <w:rsid w:val="4F400944"/>
    <w:rsid w:val="4F4641AC"/>
    <w:rsid w:val="4F560168"/>
    <w:rsid w:val="4F644633"/>
    <w:rsid w:val="4F700496"/>
    <w:rsid w:val="4F8847C5"/>
    <w:rsid w:val="4F8B6063"/>
    <w:rsid w:val="4F9342CD"/>
    <w:rsid w:val="4FA46853"/>
    <w:rsid w:val="4FE62D9A"/>
    <w:rsid w:val="501B018E"/>
    <w:rsid w:val="501F49FD"/>
    <w:rsid w:val="502326EA"/>
    <w:rsid w:val="503C110B"/>
    <w:rsid w:val="504D18D0"/>
    <w:rsid w:val="508450B4"/>
    <w:rsid w:val="50AF3D16"/>
    <w:rsid w:val="50E954C6"/>
    <w:rsid w:val="50F91A73"/>
    <w:rsid w:val="51092B6B"/>
    <w:rsid w:val="5113318E"/>
    <w:rsid w:val="5122044E"/>
    <w:rsid w:val="514F358A"/>
    <w:rsid w:val="51711289"/>
    <w:rsid w:val="51726F5D"/>
    <w:rsid w:val="51800371"/>
    <w:rsid w:val="51951B6C"/>
    <w:rsid w:val="51B3364F"/>
    <w:rsid w:val="51D70F4B"/>
    <w:rsid w:val="51E80D70"/>
    <w:rsid w:val="51EF3AC2"/>
    <w:rsid w:val="5227710E"/>
    <w:rsid w:val="52376C94"/>
    <w:rsid w:val="524661A9"/>
    <w:rsid w:val="524E4ED7"/>
    <w:rsid w:val="525939A9"/>
    <w:rsid w:val="528374C6"/>
    <w:rsid w:val="52847116"/>
    <w:rsid w:val="52B51631"/>
    <w:rsid w:val="52B61649"/>
    <w:rsid w:val="52CD4FA9"/>
    <w:rsid w:val="52E32275"/>
    <w:rsid w:val="52E635B0"/>
    <w:rsid w:val="52E73287"/>
    <w:rsid w:val="52F263F9"/>
    <w:rsid w:val="52F757BE"/>
    <w:rsid w:val="53130849"/>
    <w:rsid w:val="53206AC2"/>
    <w:rsid w:val="53424C8B"/>
    <w:rsid w:val="53431DFC"/>
    <w:rsid w:val="53562F81"/>
    <w:rsid w:val="537A4C42"/>
    <w:rsid w:val="53877FA0"/>
    <w:rsid w:val="5391176E"/>
    <w:rsid w:val="5391332A"/>
    <w:rsid w:val="53CE0BD8"/>
    <w:rsid w:val="53E915AA"/>
    <w:rsid w:val="53F35F85"/>
    <w:rsid w:val="53FA37B7"/>
    <w:rsid w:val="54085ED4"/>
    <w:rsid w:val="545543ED"/>
    <w:rsid w:val="546450D5"/>
    <w:rsid w:val="54694499"/>
    <w:rsid w:val="546B432F"/>
    <w:rsid w:val="54C9378E"/>
    <w:rsid w:val="54D43162"/>
    <w:rsid w:val="54EA6333"/>
    <w:rsid w:val="54FD438D"/>
    <w:rsid w:val="554761E9"/>
    <w:rsid w:val="555A49C8"/>
    <w:rsid w:val="558F04E9"/>
    <w:rsid w:val="5598080F"/>
    <w:rsid w:val="559A4283"/>
    <w:rsid w:val="55A90FF1"/>
    <w:rsid w:val="55B0152F"/>
    <w:rsid w:val="55FD30EB"/>
    <w:rsid w:val="561F4CA6"/>
    <w:rsid w:val="56472DAD"/>
    <w:rsid w:val="565B44D8"/>
    <w:rsid w:val="566902F6"/>
    <w:rsid w:val="566D103A"/>
    <w:rsid w:val="56890E23"/>
    <w:rsid w:val="569021B1"/>
    <w:rsid w:val="56BD0981"/>
    <w:rsid w:val="56D71B8E"/>
    <w:rsid w:val="56FD199E"/>
    <w:rsid w:val="56FD3EB6"/>
    <w:rsid w:val="57161D4B"/>
    <w:rsid w:val="571701DC"/>
    <w:rsid w:val="572F608A"/>
    <w:rsid w:val="57390153"/>
    <w:rsid w:val="574C7DC1"/>
    <w:rsid w:val="576467FF"/>
    <w:rsid w:val="577C60D2"/>
    <w:rsid w:val="57813A64"/>
    <w:rsid w:val="578B566C"/>
    <w:rsid w:val="57B4280D"/>
    <w:rsid w:val="57BF3F4B"/>
    <w:rsid w:val="57C00874"/>
    <w:rsid w:val="57DD31D4"/>
    <w:rsid w:val="57DD6C86"/>
    <w:rsid w:val="57DE6F4C"/>
    <w:rsid w:val="58003366"/>
    <w:rsid w:val="582B0B07"/>
    <w:rsid w:val="58347E0F"/>
    <w:rsid w:val="585B248D"/>
    <w:rsid w:val="585F70FD"/>
    <w:rsid w:val="58913FBE"/>
    <w:rsid w:val="58C941D4"/>
    <w:rsid w:val="59133986"/>
    <w:rsid w:val="591A2206"/>
    <w:rsid w:val="593D0989"/>
    <w:rsid w:val="596A4F3B"/>
    <w:rsid w:val="599A4FCF"/>
    <w:rsid w:val="59A815C0"/>
    <w:rsid w:val="59AA5B63"/>
    <w:rsid w:val="59C56046"/>
    <w:rsid w:val="59DA4679"/>
    <w:rsid w:val="59E44CEE"/>
    <w:rsid w:val="5A191BE6"/>
    <w:rsid w:val="5A857B5F"/>
    <w:rsid w:val="5A963B0E"/>
    <w:rsid w:val="5AB43B28"/>
    <w:rsid w:val="5B2A52FF"/>
    <w:rsid w:val="5B597015"/>
    <w:rsid w:val="5B701941"/>
    <w:rsid w:val="5B70435F"/>
    <w:rsid w:val="5B726329"/>
    <w:rsid w:val="5B8F2FAC"/>
    <w:rsid w:val="5B917615"/>
    <w:rsid w:val="5BA30447"/>
    <w:rsid w:val="5BB13D97"/>
    <w:rsid w:val="5BF45348"/>
    <w:rsid w:val="5BF46D3E"/>
    <w:rsid w:val="5C046B06"/>
    <w:rsid w:val="5C3657A4"/>
    <w:rsid w:val="5C4952DC"/>
    <w:rsid w:val="5C4E28F2"/>
    <w:rsid w:val="5C563555"/>
    <w:rsid w:val="5C60111C"/>
    <w:rsid w:val="5C773268"/>
    <w:rsid w:val="5C8D3F3B"/>
    <w:rsid w:val="5CA057EC"/>
    <w:rsid w:val="5CA56D1B"/>
    <w:rsid w:val="5CD026B0"/>
    <w:rsid w:val="5CE45005"/>
    <w:rsid w:val="5D0448EB"/>
    <w:rsid w:val="5D086958"/>
    <w:rsid w:val="5D152DB1"/>
    <w:rsid w:val="5D17649E"/>
    <w:rsid w:val="5D2C42B6"/>
    <w:rsid w:val="5D473C27"/>
    <w:rsid w:val="5D557CB0"/>
    <w:rsid w:val="5D78615F"/>
    <w:rsid w:val="5D91555E"/>
    <w:rsid w:val="5DAE79D9"/>
    <w:rsid w:val="5DB42DD0"/>
    <w:rsid w:val="5DBE75E6"/>
    <w:rsid w:val="5DCF7A63"/>
    <w:rsid w:val="5DE375CB"/>
    <w:rsid w:val="5DF70D68"/>
    <w:rsid w:val="5E1C772F"/>
    <w:rsid w:val="5E30357F"/>
    <w:rsid w:val="5E84084D"/>
    <w:rsid w:val="5E900D52"/>
    <w:rsid w:val="5EA507C4"/>
    <w:rsid w:val="5EF4486A"/>
    <w:rsid w:val="5F013C4C"/>
    <w:rsid w:val="5F105EA3"/>
    <w:rsid w:val="5F20100C"/>
    <w:rsid w:val="5F223BC2"/>
    <w:rsid w:val="5F423B33"/>
    <w:rsid w:val="5F45289F"/>
    <w:rsid w:val="5F54531F"/>
    <w:rsid w:val="5F683CCB"/>
    <w:rsid w:val="5F7306DA"/>
    <w:rsid w:val="5F893C41"/>
    <w:rsid w:val="5F90321C"/>
    <w:rsid w:val="5FCC2B50"/>
    <w:rsid w:val="5FEB1967"/>
    <w:rsid w:val="5FED7EEF"/>
    <w:rsid w:val="5FF4730D"/>
    <w:rsid w:val="602057DB"/>
    <w:rsid w:val="602A2D2E"/>
    <w:rsid w:val="602B01AA"/>
    <w:rsid w:val="603834D6"/>
    <w:rsid w:val="60883EF9"/>
    <w:rsid w:val="60A0334E"/>
    <w:rsid w:val="60A460DA"/>
    <w:rsid w:val="60F877AE"/>
    <w:rsid w:val="612754C0"/>
    <w:rsid w:val="612C2AD6"/>
    <w:rsid w:val="615269E1"/>
    <w:rsid w:val="61573869"/>
    <w:rsid w:val="61630BEE"/>
    <w:rsid w:val="617C3A5E"/>
    <w:rsid w:val="61842912"/>
    <w:rsid w:val="619C5EAE"/>
    <w:rsid w:val="61BC20AC"/>
    <w:rsid w:val="61CA2D55"/>
    <w:rsid w:val="61DB2735"/>
    <w:rsid w:val="61ED6709"/>
    <w:rsid w:val="6205092E"/>
    <w:rsid w:val="6241391E"/>
    <w:rsid w:val="6280132C"/>
    <w:rsid w:val="62856942"/>
    <w:rsid w:val="6291178B"/>
    <w:rsid w:val="62A96AD4"/>
    <w:rsid w:val="62AE5E99"/>
    <w:rsid w:val="62D1007E"/>
    <w:rsid w:val="62D41677"/>
    <w:rsid w:val="62DE1002"/>
    <w:rsid w:val="62E775FD"/>
    <w:rsid w:val="62EF64B1"/>
    <w:rsid w:val="630F673B"/>
    <w:rsid w:val="6350728C"/>
    <w:rsid w:val="63520F1A"/>
    <w:rsid w:val="6357167D"/>
    <w:rsid w:val="636F5FCA"/>
    <w:rsid w:val="63746D5E"/>
    <w:rsid w:val="63800B46"/>
    <w:rsid w:val="638C3026"/>
    <w:rsid w:val="63A82C36"/>
    <w:rsid w:val="63B84AF5"/>
    <w:rsid w:val="63C811DC"/>
    <w:rsid w:val="63E8059F"/>
    <w:rsid w:val="63F0428F"/>
    <w:rsid w:val="640A1CDD"/>
    <w:rsid w:val="64225AE7"/>
    <w:rsid w:val="64236413"/>
    <w:rsid w:val="642503DD"/>
    <w:rsid w:val="64266A15"/>
    <w:rsid w:val="644249C0"/>
    <w:rsid w:val="646D1D84"/>
    <w:rsid w:val="64867ECD"/>
    <w:rsid w:val="648D7D30"/>
    <w:rsid w:val="64A77475"/>
    <w:rsid w:val="64BE438D"/>
    <w:rsid w:val="64ED43F7"/>
    <w:rsid w:val="64EE0BEB"/>
    <w:rsid w:val="64F14763"/>
    <w:rsid w:val="65063EA9"/>
    <w:rsid w:val="65164148"/>
    <w:rsid w:val="652D7983"/>
    <w:rsid w:val="65347C56"/>
    <w:rsid w:val="65400B43"/>
    <w:rsid w:val="6548624C"/>
    <w:rsid w:val="655C6F69"/>
    <w:rsid w:val="65801643"/>
    <w:rsid w:val="659E4A80"/>
    <w:rsid w:val="65DC2D1D"/>
    <w:rsid w:val="65EE4615"/>
    <w:rsid w:val="66100C18"/>
    <w:rsid w:val="662F5543"/>
    <w:rsid w:val="66302303"/>
    <w:rsid w:val="66406A8E"/>
    <w:rsid w:val="664A36FF"/>
    <w:rsid w:val="66585FFB"/>
    <w:rsid w:val="668E18A0"/>
    <w:rsid w:val="669202C1"/>
    <w:rsid w:val="66AF0431"/>
    <w:rsid w:val="66AF7797"/>
    <w:rsid w:val="66BE76B4"/>
    <w:rsid w:val="66C043ED"/>
    <w:rsid w:val="66CD08B8"/>
    <w:rsid w:val="66E75E1D"/>
    <w:rsid w:val="66FE6CC3"/>
    <w:rsid w:val="67014E52"/>
    <w:rsid w:val="670446F3"/>
    <w:rsid w:val="670F5B0C"/>
    <w:rsid w:val="67136C12"/>
    <w:rsid w:val="67367361"/>
    <w:rsid w:val="6741593A"/>
    <w:rsid w:val="676905E0"/>
    <w:rsid w:val="676E03EA"/>
    <w:rsid w:val="677B59CC"/>
    <w:rsid w:val="6795447E"/>
    <w:rsid w:val="67AE06E9"/>
    <w:rsid w:val="67C9107F"/>
    <w:rsid w:val="67DB7FB2"/>
    <w:rsid w:val="68024591"/>
    <w:rsid w:val="6837241B"/>
    <w:rsid w:val="68462B6F"/>
    <w:rsid w:val="68715EEF"/>
    <w:rsid w:val="68A57C30"/>
    <w:rsid w:val="68D31505"/>
    <w:rsid w:val="68F23B46"/>
    <w:rsid w:val="691722BE"/>
    <w:rsid w:val="69216EEB"/>
    <w:rsid w:val="69236EB5"/>
    <w:rsid w:val="692C3459"/>
    <w:rsid w:val="693E5A9D"/>
    <w:rsid w:val="69696CCF"/>
    <w:rsid w:val="696A5A32"/>
    <w:rsid w:val="69951B60"/>
    <w:rsid w:val="69956D17"/>
    <w:rsid w:val="69CC7F5A"/>
    <w:rsid w:val="69D275DF"/>
    <w:rsid w:val="69E71C90"/>
    <w:rsid w:val="69FD7706"/>
    <w:rsid w:val="6A0B2662"/>
    <w:rsid w:val="6A3368E3"/>
    <w:rsid w:val="6A4F2B77"/>
    <w:rsid w:val="6A555CE7"/>
    <w:rsid w:val="6A614DEA"/>
    <w:rsid w:val="6A6236B1"/>
    <w:rsid w:val="6A7B0F65"/>
    <w:rsid w:val="6A89268E"/>
    <w:rsid w:val="6A9F256B"/>
    <w:rsid w:val="6AA1466A"/>
    <w:rsid w:val="6AD54E94"/>
    <w:rsid w:val="6AD762E5"/>
    <w:rsid w:val="6AE33FC1"/>
    <w:rsid w:val="6AE5088F"/>
    <w:rsid w:val="6AEF4B26"/>
    <w:rsid w:val="6B044733"/>
    <w:rsid w:val="6B157539"/>
    <w:rsid w:val="6B3B37DD"/>
    <w:rsid w:val="6B8C5BDD"/>
    <w:rsid w:val="6B8D3CBB"/>
    <w:rsid w:val="6BB65DBE"/>
    <w:rsid w:val="6BC77FCB"/>
    <w:rsid w:val="6BD050D2"/>
    <w:rsid w:val="6BEA5A68"/>
    <w:rsid w:val="6C042FCD"/>
    <w:rsid w:val="6C0F70BE"/>
    <w:rsid w:val="6C3B6401"/>
    <w:rsid w:val="6C7B51C4"/>
    <w:rsid w:val="6CB34986"/>
    <w:rsid w:val="6CCE6ADC"/>
    <w:rsid w:val="6CE150BD"/>
    <w:rsid w:val="6CFA617E"/>
    <w:rsid w:val="6D06067F"/>
    <w:rsid w:val="6D090170"/>
    <w:rsid w:val="6D205BE5"/>
    <w:rsid w:val="6D345BCA"/>
    <w:rsid w:val="6D600595"/>
    <w:rsid w:val="6D6A1C76"/>
    <w:rsid w:val="6D885976"/>
    <w:rsid w:val="6D8A4A17"/>
    <w:rsid w:val="6D8A5754"/>
    <w:rsid w:val="6DC86264"/>
    <w:rsid w:val="6DE55EE7"/>
    <w:rsid w:val="6E28085A"/>
    <w:rsid w:val="6E297AEF"/>
    <w:rsid w:val="6E2B50ED"/>
    <w:rsid w:val="6E3556C0"/>
    <w:rsid w:val="6E3655A3"/>
    <w:rsid w:val="6E597F17"/>
    <w:rsid w:val="6E6A5135"/>
    <w:rsid w:val="6E6E3AF3"/>
    <w:rsid w:val="6E6F7531"/>
    <w:rsid w:val="6E7915A9"/>
    <w:rsid w:val="6E82642B"/>
    <w:rsid w:val="6E9D3265"/>
    <w:rsid w:val="6EEA56E5"/>
    <w:rsid w:val="6EF25D56"/>
    <w:rsid w:val="6EFE104D"/>
    <w:rsid w:val="6F074197"/>
    <w:rsid w:val="6F286FD3"/>
    <w:rsid w:val="6F6255CC"/>
    <w:rsid w:val="6F916E39"/>
    <w:rsid w:val="6F9251A5"/>
    <w:rsid w:val="6F9E1043"/>
    <w:rsid w:val="6FA67F66"/>
    <w:rsid w:val="6FB72334"/>
    <w:rsid w:val="6FCC2B6A"/>
    <w:rsid w:val="6FCF1C6C"/>
    <w:rsid w:val="6FF13869"/>
    <w:rsid w:val="70057314"/>
    <w:rsid w:val="7007308C"/>
    <w:rsid w:val="7014094F"/>
    <w:rsid w:val="70397522"/>
    <w:rsid w:val="70524B54"/>
    <w:rsid w:val="706A53C9"/>
    <w:rsid w:val="706F478E"/>
    <w:rsid w:val="707B0493"/>
    <w:rsid w:val="70883400"/>
    <w:rsid w:val="70A24324"/>
    <w:rsid w:val="70C26FB3"/>
    <w:rsid w:val="70EC5754"/>
    <w:rsid w:val="70ED2282"/>
    <w:rsid w:val="70F21ED4"/>
    <w:rsid w:val="71294A8A"/>
    <w:rsid w:val="71342843"/>
    <w:rsid w:val="71542301"/>
    <w:rsid w:val="71821D1F"/>
    <w:rsid w:val="71D15700"/>
    <w:rsid w:val="71D264B3"/>
    <w:rsid w:val="71D70014"/>
    <w:rsid w:val="71E05943"/>
    <w:rsid w:val="71EF3DD8"/>
    <w:rsid w:val="71F66F14"/>
    <w:rsid w:val="72323CC5"/>
    <w:rsid w:val="7242215A"/>
    <w:rsid w:val="72495AF0"/>
    <w:rsid w:val="72535D5F"/>
    <w:rsid w:val="72537C80"/>
    <w:rsid w:val="72597B56"/>
    <w:rsid w:val="7260367C"/>
    <w:rsid w:val="72684173"/>
    <w:rsid w:val="72710C91"/>
    <w:rsid w:val="727367B7"/>
    <w:rsid w:val="727E0D99"/>
    <w:rsid w:val="72910240"/>
    <w:rsid w:val="72A11576"/>
    <w:rsid w:val="72AE3C93"/>
    <w:rsid w:val="72B458E5"/>
    <w:rsid w:val="72C74D55"/>
    <w:rsid w:val="72C92B3E"/>
    <w:rsid w:val="72EF70D4"/>
    <w:rsid w:val="730B743B"/>
    <w:rsid w:val="73470F60"/>
    <w:rsid w:val="73483CAB"/>
    <w:rsid w:val="73585082"/>
    <w:rsid w:val="73772BD7"/>
    <w:rsid w:val="737A3B75"/>
    <w:rsid w:val="739B046F"/>
    <w:rsid w:val="73CF2113"/>
    <w:rsid w:val="73D414D7"/>
    <w:rsid w:val="73D9089C"/>
    <w:rsid w:val="73D96C5F"/>
    <w:rsid w:val="73DF5446"/>
    <w:rsid w:val="73F97190"/>
    <w:rsid w:val="73FE17CF"/>
    <w:rsid w:val="74026044"/>
    <w:rsid w:val="743B3304"/>
    <w:rsid w:val="743C3ACC"/>
    <w:rsid w:val="7445385F"/>
    <w:rsid w:val="74582108"/>
    <w:rsid w:val="749F1AE5"/>
    <w:rsid w:val="74B07614"/>
    <w:rsid w:val="74B30EAB"/>
    <w:rsid w:val="74C37D0D"/>
    <w:rsid w:val="74E40C77"/>
    <w:rsid w:val="750B77B9"/>
    <w:rsid w:val="752F11A6"/>
    <w:rsid w:val="753B6D32"/>
    <w:rsid w:val="753C2EB5"/>
    <w:rsid w:val="75475CD9"/>
    <w:rsid w:val="75560C1E"/>
    <w:rsid w:val="755A3C5E"/>
    <w:rsid w:val="7561323F"/>
    <w:rsid w:val="75EB2B08"/>
    <w:rsid w:val="75F23E97"/>
    <w:rsid w:val="75F54575"/>
    <w:rsid w:val="75FC7056"/>
    <w:rsid w:val="762E3D17"/>
    <w:rsid w:val="76320737"/>
    <w:rsid w:val="766703E1"/>
    <w:rsid w:val="767728CB"/>
    <w:rsid w:val="76A54AF2"/>
    <w:rsid w:val="76F0222B"/>
    <w:rsid w:val="77170059"/>
    <w:rsid w:val="77495A80"/>
    <w:rsid w:val="77910979"/>
    <w:rsid w:val="77A15B74"/>
    <w:rsid w:val="77AD62C7"/>
    <w:rsid w:val="77C516F7"/>
    <w:rsid w:val="77C84D90"/>
    <w:rsid w:val="77CF26E1"/>
    <w:rsid w:val="77E45A61"/>
    <w:rsid w:val="77E92462"/>
    <w:rsid w:val="77F0264D"/>
    <w:rsid w:val="78191561"/>
    <w:rsid w:val="78455C30"/>
    <w:rsid w:val="78540E39"/>
    <w:rsid w:val="78583A9C"/>
    <w:rsid w:val="78710459"/>
    <w:rsid w:val="787D038F"/>
    <w:rsid w:val="789F24FF"/>
    <w:rsid w:val="78D712C5"/>
    <w:rsid w:val="78F30652"/>
    <w:rsid w:val="78FF0DA4"/>
    <w:rsid w:val="79022643"/>
    <w:rsid w:val="79085E0B"/>
    <w:rsid w:val="790E04E5"/>
    <w:rsid w:val="79183C14"/>
    <w:rsid w:val="79312F28"/>
    <w:rsid w:val="79374E25"/>
    <w:rsid w:val="79464C25"/>
    <w:rsid w:val="79541ABA"/>
    <w:rsid w:val="79634BF2"/>
    <w:rsid w:val="79AB7D57"/>
    <w:rsid w:val="79BF6786"/>
    <w:rsid w:val="79CF0867"/>
    <w:rsid w:val="79D51B05"/>
    <w:rsid w:val="79D81758"/>
    <w:rsid w:val="79E34189"/>
    <w:rsid w:val="79F226B7"/>
    <w:rsid w:val="7A066E7C"/>
    <w:rsid w:val="7A0D2001"/>
    <w:rsid w:val="7A386978"/>
    <w:rsid w:val="7A505630"/>
    <w:rsid w:val="7AD20455"/>
    <w:rsid w:val="7AED3C11"/>
    <w:rsid w:val="7B0D6D4F"/>
    <w:rsid w:val="7B0F7299"/>
    <w:rsid w:val="7B2A40D3"/>
    <w:rsid w:val="7B2C7E4B"/>
    <w:rsid w:val="7B58479C"/>
    <w:rsid w:val="7B6060F1"/>
    <w:rsid w:val="7B60716D"/>
    <w:rsid w:val="7B6657F8"/>
    <w:rsid w:val="7B88435A"/>
    <w:rsid w:val="7B9A1E16"/>
    <w:rsid w:val="7B9F23CB"/>
    <w:rsid w:val="7BB11276"/>
    <w:rsid w:val="7BDD6258"/>
    <w:rsid w:val="7BFD5343"/>
    <w:rsid w:val="7C0F3C2D"/>
    <w:rsid w:val="7C38637B"/>
    <w:rsid w:val="7C4E5B9F"/>
    <w:rsid w:val="7C8507D8"/>
    <w:rsid w:val="7C8E4D52"/>
    <w:rsid w:val="7C931C19"/>
    <w:rsid w:val="7CB34FFD"/>
    <w:rsid w:val="7CC85951"/>
    <w:rsid w:val="7CDA69DB"/>
    <w:rsid w:val="7CF229CE"/>
    <w:rsid w:val="7D0A7D18"/>
    <w:rsid w:val="7D0E5A5A"/>
    <w:rsid w:val="7D0F40B0"/>
    <w:rsid w:val="7D7942E8"/>
    <w:rsid w:val="7D840179"/>
    <w:rsid w:val="7D887712"/>
    <w:rsid w:val="7D9505BC"/>
    <w:rsid w:val="7DA904F4"/>
    <w:rsid w:val="7DAC7021"/>
    <w:rsid w:val="7DB97161"/>
    <w:rsid w:val="7DE62533"/>
    <w:rsid w:val="7DF95B9A"/>
    <w:rsid w:val="7E02533C"/>
    <w:rsid w:val="7E1A042F"/>
    <w:rsid w:val="7E24336F"/>
    <w:rsid w:val="7E2C29ED"/>
    <w:rsid w:val="7E5751DF"/>
    <w:rsid w:val="7E682F48"/>
    <w:rsid w:val="7E790EB7"/>
    <w:rsid w:val="7EA330B1"/>
    <w:rsid w:val="7EA54072"/>
    <w:rsid w:val="7EC94E01"/>
    <w:rsid w:val="7ECA1E93"/>
    <w:rsid w:val="7ECF1219"/>
    <w:rsid w:val="7ED14F91"/>
    <w:rsid w:val="7EDD3F84"/>
    <w:rsid w:val="7EEF64CE"/>
    <w:rsid w:val="7EFB3DBC"/>
    <w:rsid w:val="7F3675EA"/>
    <w:rsid w:val="7F870884"/>
    <w:rsid w:val="7F8A15E4"/>
    <w:rsid w:val="7FA236C6"/>
    <w:rsid w:val="7FAE52D2"/>
    <w:rsid w:val="7FDB3BE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uiPriority="99" w:name="envelope address" w:locked="1"/>
    <w:lsdException w:uiPriority="99" w:name="envelope return" w:locked="1"/>
    <w:lsdException w:qFormat="1" w:unhideWhenUsed="0" w:uiPriority="0" w:semiHidden="0" w:name="footnote reference"/>
    <w:lsdException w:qFormat="1" w:unhideWhenUsed="0" w:uiPriority="0" w:semiHidden="0" w:name="annotation reference"/>
    <w:lsdException w:uiPriority="99" w:name="line number" w:locked="1"/>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ocked="1"/>
    <w:lsdException w:uiPriority="99" w:name="macro" w:locked="1"/>
    <w:lsdException w:qFormat="1" w:unhideWhenUsed="0" w:uiPriority="0" w:semiHidden="0" w:name="toa heading" w:locked="1"/>
    <w:lsdException w:qFormat="1" w:unhideWhenUsed="0" w:uiPriority="0" w:semiHidden="0" w:name="List"/>
    <w:lsdException w:qFormat="1" w:unhideWhenUsed="0" w:uiPriority="0" w:semiHidden="0" w:name="List Bullet"/>
    <w:lsdException w:uiPriority="99" w:name="List Number" w:locked="1"/>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ocked="1"/>
    <w:lsdException w:uiPriority="99" w:name="List Number 2" w:locked="1"/>
    <w:lsdException w:qFormat="1" w:unhideWhenUsed="0" w:uiPriority="0" w:semiHidden="0" w:name="List Number 3"/>
    <w:lsdException w:uiPriority="99" w:name="List Number 4" w:locked="1"/>
    <w:lsdException w:uiPriority="99" w:name="List Number 5" w:locked="1"/>
    <w:lsdException w:qFormat="1" w:unhideWhenUsed="0" w:uiPriority="10" w:semiHidden="0" w:name="Title"/>
    <w:lsdException w:uiPriority="99" w:name="Closing" w:locked="1"/>
    <w:lsdException w:uiPriority="99"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ocked="1"/>
    <w:lsdException w:qFormat="1" w:unhideWhenUsed="0" w:uiPriority="0" w:semiHidden="0" w:name="Message Header" w:locked="1"/>
    <w:lsdException w:qFormat="1" w:unhideWhenUsed="0" w:uiPriority="0" w:semiHidden="0" w:name="Subtitle"/>
    <w:lsdException w:qFormat="1" w:unhideWhenUsed="0" w:uiPriority="0" w:semiHidden="0" w:name="Salutation" w:locked="1"/>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ocked="1"/>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0" w:semiHidden="0" w:name="annotation subject"/>
    <w:lsdException w:qFormat="1" w:unhideWhenUsed="0" w:uiPriority="0" w:semiHidden="0"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qFormat="1" w:unhideWhenUsed="0" w:uiPriority="0" w:semiHidden="0"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720" w:firstLineChars="200"/>
      <w:jc w:val="both"/>
    </w:pPr>
    <w:rPr>
      <w:rFonts w:ascii="仿宋" w:hAnsi="仿宋" w:eastAsia="宋体" w:cs="仿宋"/>
      <w:kern w:val="2"/>
      <w:sz w:val="24"/>
      <w:szCs w:val="24"/>
      <w:lang w:val="en-US" w:eastAsia="zh-CN" w:bidi="ar-SA"/>
    </w:rPr>
  </w:style>
  <w:style w:type="paragraph" w:styleId="3">
    <w:name w:val="heading 1"/>
    <w:next w:val="4"/>
    <w:link w:val="87"/>
    <w:qFormat/>
    <w:uiPriority w:val="9"/>
    <w:pPr>
      <w:keepNext/>
      <w:keepLines/>
      <w:numPr>
        <w:ilvl w:val="0"/>
        <w:numId w:val="0"/>
      </w:numPr>
      <w:tabs>
        <w:tab w:val="left" w:pos="0"/>
      </w:tabs>
      <w:adjustRightInd w:val="0"/>
      <w:spacing w:line="360" w:lineRule="auto"/>
      <w:jc w:val="center"/>
      <w:outlineLvl w:val="0"/>
    </w:pPr>
    <w:rPr>
      <w:rFonts w:ascii="仿宋" w:hAnsi="仿宋" w:eastAsia="宋体" w:cs="仿宋"/>
      <w:b/>
      <w:bCs/>
      <w:kern w:val="44"/>
      <w:sz w:val="40"/>
      <w:szCs w:val="72"/>
      <w:lang w:val="en-US" w:eastAsia="zh-CN" w:bidi="ar-SA"/>
    </w:rPr>
  </w:style>
  <w:style w:type="paragraph" w:styleId="5">
    <w:name w:val="heading 2"/>
    <w:next w:val="4"/>
    <w:link w:val="88"/>
    <w:unhideWhenUsed/>
    <w:qFormat/>
    <w:uiPriority w:val="9"/>
    <w:pPr>
      <w:numPr>
        <w:ilvl w:val="1"/>
        <w:numId w:val="0"/>
      </w:numPr>
      <w:tabs>
        <w:tab w:val="left" w:pos="0"/>
      </w:tabs>
      <w:spacing w:line="360" w:lineRule="auto"/>
      <w:ind w:left="0" w:firstLine="0"/>
      <w:jc w:val="center"/>
      <w:outlineLvl w:val="1"/>
    </w:pPr>
    <w:rPr>
      <w:rFonts w:ascii="仿宋" w:hAnsi="仿宋" w:eastAsia="宋体" w:cs="仿宋"/>
      <w:b/>
      <w:kern w:val="2"/>
      <w:sz w:val="32"/>
      <w:lang w:val="en-US" w:eastAsia="zh-CN" w:bidi="ar-SA"/>
    </w:rPr>
  </w:style>
  <w:style w:type="paragraph" w:styleId="6">
    <w:name w:val="heading 3"/>
    <w:next w:val="4"/>
    <w:link w:val="89"/>
    <w:unhideWhenUsed/>
    <w:qFormat/>
    <w:uiPriority w:val="9"/>
    <w:pPr>
      <w:numPr>
        <w:ilvl w:val="2"/>
        <w:numId w:val="1"/>
      </w:numPr>
      <w:tabs>
        <w:tab w:val="left" w:pos="312"/>
      </w:tabs>
      <w:spacing w:line="360" w:lineRule="auto"/>
      <w:ind w:left="0" w:firstLine="400" w:firstLineChars="0"/>
      <w:outlineLvl w:val="2"/>
    </w:pPr>
    <w:rPr>
      <w:rFonts w:ascii="仿宋" w:hAnsi="仿宋" w:eastAsia="宋体" w:cs="仿宋"/>
      <w:b/>
      <w:kern w:val="2"/>
      <w:sz w:val="30"/>
      <w:szCs w:val="30"/>
      <w:lang w:val="en-US" w:eastAsia="zh-CN" w:bidi="ar-SA"/>
    </w:rPr>
  </w:style>
  <w:style w:type="paragraph" w:styleId="7">
    <w:name w:val="heading 4"/>
    <w:next w:val="4"/>
    <w:link w:val="90"/>
    <w:unhideWhenUsed/>
    <w:qFormat/>
    <w:uiPriority w:val="9"/>
    <w:pPr>
      <w:numPr>
        <w:ilvl w:val="3"/>
        <w:numId w:val="1"/>
      </w:numPr>
      <w:ind w:left="0" w:firstLine="402"/>
      <w:outlineLvl w:val="3"/>
    </w:pPr>
    <w:rPr>
      <w:rFonts w:ascii="Arial" w:hAnsi="Arial" w:eastAsia="宋体" w:cstheme="minorBidi"/>
      <w:b/>
      <w:sz w:val="28"/>
      <w:lang w:val="en-US" w:eastAsia="zh-CN" w:bidi="ar-SA"/>
    </w:rPr>
  </w:style>
  <w:style w:type="paragraph" w:styleId="8">
    <w:name w:val="heading 5"/>
    <w:next w:val="4"/>
    <w:link w:val="91"/>
    <w:unhideWhenUsed/>
    <w:qFormat/>
    <w:uiPriority w:val="9"/>
    <w:pPr>
      <w:numPr>
        <w:ilvl w:val="4"/>
        <w:numId w:val="1"/>
      </w:numPr>
      <w:tabs>
        <w:tab w:val="left" w:pos="312"/>
        <w:tab w:val="clear" w:pos="0"/>
      </w:tabs>
      <w:spacing w:before="30" w:beforeLines="30" w:after="30" w:afterLines="30"/>
      <w:ind w:left="0" w:firstLine="402"/>
      <w:outlineLvl w:val="4"/>
    </w:pPr>
    <w:rPr>
      <w:rFonts w:ascii="Arial" w:hAnsi="Arial" w:eastAsia="宋体" w:cstheme="minorBidi"/>
      <w:b/>
      <w:sz w:val="24"/>
      <w:szCs w:val="22"/>
      <w:lang w:val="en-US" w:eastAsia="zh-CN" w:bidi="ar-SA"/>
    </w:rPr>
  </w:style>
  <w:style w:type="paragraph" w:styleId="9">
    <w:name w:val="heading 6"/>
    <w:next w:val="4"/>
    <w:link w:val="92"/>
    <w:unhideWhenUsed/>
    <w:qFormat/>
    <w:uiPriority w:val="0"/>
    <w:pPr>
      <w:numPr>
        <w:ilvl w:val="5"/>
        <w:numId w:val="1"/>
      </w:numPr>
      <w:spacing w:before="30" w:beforeLines="30" w:after="30" w:afterLines="30" w:line="312" w:lineRule="auto"/>
      <w:ind w:left="0" w:firstLine="402"/>
      <w:outlineLvl w:val="5"/>
    </w:pPr>
    <w:rPr>
      <w:rFonts w:ascii="Arial" w:hAnsi="Arial" w:eastAsia="宋体" w:cstheme="minorBidi"/>
      <w:b/>
      <w:sz w:val="24"/>
      <w:lang w:val="en-US" w:eastAsia="zh-CN" w:bidi="ar-SA"/>
    </w:rPr>
  </w:style>
  <w:style w:type="paragraph" w:styleId="10">
    <w:name w:val="heading 7"/>
    <w:next w:val="1"/>
    <w:link w:val="93"/>
    <w:unhideWhenUsed/>
    <w:qFormat/>
    <w:uiPriority w:val="0"/>
    <w:pPr>
      <w:numPr>
        <w:ilvl w:val="6"/>
        <w:numId w:val="1"/>
      </w:numPr>
      <w:spacing w:before="30" w:beforeLines="30" w:after="30" w:afterLines="30" w:line="312" w:lineRule="auto"/>
      <w:ind w:left="0" w:firstLine="402"/>
      <w:outlineLvl w:val="6"/>
    </w:pPr>
    <w:rPr>
      <w:rFonts w:ascii="Arial" w:hAnsi="Arial" w:eastAsia="宋体" w:cstheme="minorBidi"/>
      <w:b/>
      <w:sz w:val="24"/>
      <w:lang w:val="en-US" w:eastAsia="zh-CN" w:bidi="ar-SA"/>
    </w:rPr>
  </w:style>
  <w:style w:type="paragraph" w:styleId="11">
    <w:name w:val="heading 8"/>
    <w:next w:val="4"/>
    <w:link w:val="94"/>
    <w:unhideWhenUsed/>
    <w:qFormat/>
    <w:uiPriority w:val="0"/>
    <w:pPr>
      <w:numPr>
        <w:ilvl w:val="7"/>
        <w:numId w:val="1"/>
      </w:numPr>
      <w:spacing w:before="30" w:beforeLines="30" w:after="30" w:afterLines="30" w:line="312" w:lineRule="auto"/>
      <w:ind w:left="0" w:firstLine="402"/>
      <w:outlineLvl w:val="7"/>
    </w:pPr>
    <w:rPr>
      <w:rFonts w:eastAsia="宋体" w:asciiTheme="majorAscii" w:hAnsiTheme="majorAscii" w:cstheme="majorBidi"/>
      <w:b/>
      <w:sz w:val="24"/>
      <w:lang w:val="en-US" w:eastAsia="zh-CN" w:bidi="ar-SA"/>
    </w:rPr>
  </w:style>
  <w:style w:type="paragraph" w:styleId="12">
    <w:name w:val="heading 9"/>
    <w:next w:val="4"/>
    <w:link w:val="95"/>
    <w:unhideWhenUsed/>
    <w:qFormat/>
    <w:uiPriority w:val="0"/>
    <w:pPr>
      <w:numPr>
        <w:ilvl w:val="8"/>
        <w:numId w:val="1"/>
      </w:numPr>
      <w:spacing w:before="30" w:beforeLines="30" w:after="30" w:afterLines="30" w:line="312" w:lineRule="auto"/>
      <w:ind w:left="0" w:firstLine="402"/>
      <w:outlineLvl w:val="8"/>
    </w:pPr>
    <w:rPr>
      <w:rFonts w:eastAsia="宋体" w:asciiTheme="majorAscii" w:hAnsiTheme="majorAscii" w:cstheme="majorBidi"/>
      <w:b/>
      <w:sz w:val="24"/>
      <w:szCs w:val="21"/>
      <w:lang w:val="en-US" w:eastAsia="zh-CN" w:bidi="ar-SA"/>
    </w:rPr>
  </w:style>
  <w:style w:type="character" w:default="1" w:styleId="71">
    <w:name w:val="Default Paragraph Font"/>
    <w:semiHidden/>
    <w:qFormat/>
    <w:uiPriority w:val="0"/>
  </w:style>
  <w:style w:type="table" w:default="1" w:styleId="6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4">
    <w:name w:val="Body Text"/>
    <w:basedOn w:val="1"/>
    <w:next w:val="1"/>
    <w:link w:val="99"/>
    <w:qFormat/>
    <w:uiPriority w:val="0"/>
    <w:pPr>
      <w:spacing w:before="100" w:after="100" w:afterLines="0" w:afterAutospacing="0" w:line="300" w:lineRule="auto"/>
      <w:ind w:firstLine="1124" w:firstLineChars="200"/>
    </w:pPr>
    <w:rPr>
      <w:rFonts w:ascii="Times New Roman" w:hAnsi="Times New Roman"/>
    </w:rPr>
  </w:style>
  <w:style w:type="paragraph" w:styleId="13">
    <w:name w:val="List 3"/>
    <w:basedOn w:val="1"/>
    <w:qFormat/>
    <w:uiPriority w:val="0"/>
    <w:pPr>
      <w:spacing w:line="500" w:lineRule="exact"/>
      <w:ind w:left="0" w:leftChars="0" w:firstLine="0" w:firstLineChars="0"/>
    </w:pPr>
  </w:style>
  <w:style w:type="paragraph" w:styleId="14">
    <w:name w:val="toc 7"/>
    <w:basedOn w:val="1"/>
    <w:next w:val="1"/>
    <w:qFormat/>
    <w:uiPriority w:val="0"/>
    <w:pPr>
      <w:ind w:left="2520" w:leftChars="1200"/>
    </w:pPr>
  </w:style>
  <w:style w:type="paragraph" w:styleId="15">
    <w:name w:val="table of authorities"/>
    <w:basedOn w:val="1"/>
    <w:next w:val="1"/>
    <w:qFormat/>
    <w:locked/>
    <w:uiPriority w:val="0"/>
    <w:pPr>
      <w:ind w:left="420" w:leftChars="200"/>
    </w:pPr>
  </w:style>
  <w:style w:type="paragraph" w:styleId="16">
    <w:name w:val="Note Heading"/>
    <w:basedOn w:val="1"/>
    <w:next w:val="1"/>
    <w:link w:val="101"/>
    <w:qFormat/>
    <w:uiPriority w:val="0"/>
    <w:pPr>
      <w:jc w:val="center"/>
    </w:pPr>
  </w:style>
  <w:style w:type="paragraph" w:styleId="17">
    <w:name w:val="List Bullet 4"/>
    <w:basedOn w:val="1"/>
    <w:qFormat/>
    <w:uiPriority w:val="0"/>
    <w:pPr>
      <w:numPr>
        <w:ilvl w:val="0"/>
        <w:numId w:val="2"/>
      </w:numPr>
    </w:pPr>
  </w:style>
  <w:style w:type="paragraph" w:styleId="18">
    <w:name w:val="Normal Indent"/>
    <w:basedOn w:val="1"/>
    <w:link w:val="210"/>
    <w:qFormat/>
    <w:uiPriority w:val="0"/>
    <w:pPr>
      <w:ind w:firstLine="420" w:firstLineChars="200"/>
    </w:pPr>
  </w:style>
  <w:style w:type="paragraph" w:styleId="19">
    <w:name w:val="caption"/>
    <w:basedOn w:val="1"/>
    <w:next w:val="1"/>
    <w:link w:val="895"/>
    <w:semiHidden/>
    <w:unhideWhenUsed/>
    <w:qFormat/>
    <w:uiPriority w:val="0"/>
    <w:rPr>
      <w:rFonts w:ascii="Arial" w:hAnsi="Arial" w:eastAsia="宋体"/>
      <w:sz w:val="20"/>
    </w:rPr>
  </w:style>
  <w:style w:type="paragraph" w:styleId="20">
    <w:name w:val="List Bullet"/>
    <w:basedOn w:val="1"/>
    <w:qFormat/>
    <w:uiPriority w:val="0"/>
    <w:pPr>
      <w:numPr>
        <w:ilvl w:val="0"/>
        <w:numId w:val="3"/>
      </w:numPr>
    </w:pPr>
  </w:style>
  <w:style w:type="paragraph" w:styleId="21">
    <w:name w:val="Document Map"/>
    <w:basedOn w:val="1"/>
    <w:link w:val="187"/>
    <w:qFormat/>
    <w:uiPriority w:val="0"/>
    <w:pPr>
      <w:shd w:val="clear" w:color="auto" w:fill="000080"/>
    </w:pPr>
  </w:style>
  <w:style w:type="paragraph" w:styleId="22">
    <w:name w:val="toa heading"/>
    <w:basedOn w:val="1"/>
    <w:next w:val="1"/>
    <w:qFormat/>
    <w:locked/>
    <w:uiPriority w:val="0"/>
    <w:pPr>
      <w:spacing w:before="120" w:beforeLines="0" w:beforeAutospacing="0"/>
    </w:pPr>
    <w:rPr>
      <w:rFonts w:ascii="Arial" w:hAnsi="Arial"/>
      <w:sz w:val="24"/>
    </w:rPr>
  </w:style>
  <w:style w:type="paragraph" w:styleId="23">
    <w:name w:val="annotation text"/>
    <w:basedOn w:val="1"/>
    <w:link w:val="97"/>
    <w:qFormat/>
    <w:uiPriority w:val="0"/>
    <w:pPr>
      <w:jc w:val="left"/>
    </w:pPr>
  </w:style>
  <w:style w:type="paragraph" w:styleId="24">
    <w:name w:val="Salutation"/>
    <w:basedOn w:val="1"/>
    <w:next w:val="1"/>
    <w:link w:val="669"/>
    <w:qFormat/>
    <w:locked/>
    <w:uiPriority w:val="0"/>
  </w:style>
  <w:style w:type="paragraph" w:styleId="25">
    <w:name w:val="Body Text 3"/>
    <w:basedOn w:val="1"/>
    <w:link w:val="103"/>
    <w:qFormat/>
    <w:uiPriority w:val="0"/>
    <w:pPr>
      <w:spacing w:after="120" w:afterLines="0" w:afterAutospacing="0"/>
    </w:pPr>
    <w:rPr>
      <w:sz w:val="16"/>
    </w:rPr>
  </w:style>
  <w:style w:type="paragraph" w:styleId="26">
    <w:name w:val="List Bullet 3"/>
    <w:basedOn w:val="1"/>
    <w:qFormat/>
    <w:uiPriority w:val="0"/>
    <w:pPr>
      <w:numPr>
        <w:ilvl w:val="0"/>
        <w:numId w:val="4"/>
      </w:numPr>
    </w:pPr>
  </w:style>
  <w:style w:type="paragraph" w:styleId="27">
    <w:name w:val="Body Text Indent"/>
    <w:basedOn w:val="1"/>
    <w:link w:val="104"/>
    <w:qFormat/>
    <w:uiPriority w:val="0"/>
    <w:pPr>
      <w:spacing w:after="120" w:afterLines="0" w:afterAutospacing="0"/>
      <w:ind w:left="420" w:leftChars="200"/>
    </w:pPr>
  </w:style>
  <w:style w:type="paragraph" w:styleId="28">
    <w:name w:val="List Number 3"/>
    <w:basedOn w:val="1"/>
    <w:qFormat/>
    <w:uiPriority w:val="0"/>
    <w:pPr>
      <w:numPr>
        <w:ilvl w:val="0"/>
        <w:numId w:val="5"/>
      </w:numPr>
    </w:pPr>
  </w:style>
  <w:style w:type="paragraph" w:styleId="29">
    <w:name w:val="List 2"/>
    <w:basedOn w:val="1"/>
    <w:qFormat/>
    <w:uiPriority w:val="0"/>
    <w:pPr>
      <w:ind w:left="100" w:leftChars="200" w:hanging="200" w:hangingChars="200"/>
    </w:pPr>
  </w:style>
  <w:style w:type="paragraph" w:styleId="30">
    <w:name w:val="List Continue"/>
    <w:basedOn w:val="1"/>
    <w:qFormat/>
    <w:uiPriority w:val="0"/>
    <w:pPr>
      <w:spacing w:after="120" w:afterLines="0" w:afterAutospacing="0"/>
      <w:ind w:left="420" w:leftChars="200"/>
    </w:pPr>
  </w:style>
  <w:style w:type="paragraph" w:styleId="31">
    <w:name w:val="Block Text"/>
    <w:basedOn w:val="1"/>
    <w:qFormat/>
    <w:locked/>
    <w:uiPriority w:val="0"/>
    <w:pPr>
      <w:spacing w:after="120" w:afterLines="0" w:afterAutospacing="0"/>
      <w:ind w:left="1440" w:leftChars="700" w:rightChars="700"/>
    </w:pPr>
  </w:style>
  <w:style w:type="paragraph" w:styleId="32">
    <w:name w:val="List Bullet 2"/>
    <w:basedOn w:val="1"/>
    <w:qFormat/>
    <w:uiPriority w:val="0"/>
    <w:pPr>
      <w:numPr>
        <w:ilvl w:val="0"/>
        <w:numId w:val="6"/>
      </w:numPr>
    </w:pPr>
  </w:style>
  <w:style w:type="paragraph" w:styleId="33">
    <w:name w:val="toc 5"/>
    <w:basedOn w:val="1"/>
    <w:next w:val="1"/>
    <w:qFormat/>
    <w:uiPriority w:val="0"/>
    <w:pPr>
      <w:ind w:left="1680" w:leftChars="800"/>
    </w:pPr>
  </w:style>
  <w:style w:type="paragraph" w:styleId="34">
    <w:name w:val="toc 3"/>
    <w:basedOn w:val="1"/>
    <w:next w:val="1"/>
    <w:qFormat/>
    <w:uiPriority w:val="0"/>
    <w:pPr>
      <w:ind w:left="840" w:leftChars="400"/>
    </w:pPr>
  </w:style>
  <w:style w:type="paragraph" w:styleId="35">
    <w:name w:val="Plain Text"/>
    <w:basedOn w:val="1"/>
    <w:link w:val="96"/>
    <w:qFormat/>
    <w:uiPriority w:val="0"/>
    <w:rPr>
      <w:rFonts w:ascii="宋体" w:hAnsi="Courier New"/>
    </w:rPr>
  </w:style>
  <w:style w:type="paragraph" w:styleId="36">
    <w:name w:val="toc 8"/>
    <w:basedOn w:val="1"/>
    <w:next w:val="1"/>
    <w:qFormat/>
    <w:uiPriority w:val="0"/>
    <w:pPr>
      <w:ind w:left="2940" w:leftChars="1400"/>
    </w:pPr>
  </w:style>
  <w:style w:type="paragraph" w:styleId="37">
    <w:name w:val="Date"/>
    <w:basedOn w:val="1"/>
    <w:next w:val="1"/>
    <w:link w:val="105"/>
    <w:qFormat/>
    <w:uiPriority w:val="0"/>
    <w:pPr>
      <w:ind w:left="100" w:leftChars="2500"/>
    </w:pPr>
  </w:style>
  <w:style w:type="paragraph" w:styleId="38">
    <w:name w:val="Body Text Indent 2"/>
    <w:basedOn w:val="1"/>
    <w:link w:val="106"/>
    <w:qFormat/>
    <w:uiPriority w:val="0"/>
    <w:pPr>
      <w:spacing w:after="120" w:afterLines="0" w:afterAutospacing="0" w:line="480" w:lineRule="auto"/>
      <w:ind w:left="420" w:leftChars="200"/>
    </w:pPr>
  </w:style>
  <w:style w:type="paragraph" w:styleId="39">
    <w:name w:val="endnote text"/>
    <w:basedOn w:val="1"/>
    <w:link w:val="107"/>
    <w:qFormat/>
    <w:uiPriority w:val="0"/>
    <w:pPr>
      <w:snapToGrid w:val="0"/>
      <w:jc w:val="left"/>
    </w:pPr>
  </w:style>
  <w:style w:type="paragraph" w:styleId="40">
    <w:name w:val="Balloon Text"/>
    <w:basedOn w:val="1"/>
    <w:link w:val="108"/>
    <w:qFormat/>
    <w:uiPriority w:val="0"/>
    <w:rPr>
      <w:sz w:val="18"/>
    </w:rPr>
  </w:style>
  <w:style w:type="paragraph" w:styleId="41">
    <w:name w:val="footer"/>
    <w:basedOn w:val="1"/>
    <w:link w:val="132"/>
    <w:qFormat/>
    <w:uiPriority w:val="0"/>
    <w:pPr>
      <w:tabs>
        <w:tab w:val="center" w:pos="4153"/>
        <w:tab w:val="right" w:pos="8306"/>
      </w:tabs>
      <w:snapToGrid w:val="0"/>
      <w:jc w:val="left"/>
    </w:pPr>
    <w:rPr>
      <w:sz w:val="18"/>
    </w:rPr>
  </w:style>
  <w:style w:type="paragraph" w:styleId="42">
    <w:name w:val="header"/>
    <w:basedOn w:val="1"/>
    <w:link w:val="13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ind w:firstLine="0" w:firstLineChars="0"/>
      <w:jc w:val="both"/>
      <w:outlineLvl w:val="9"/>
    </w:pPr>
    <w:rPr>
      <w:sz w:val="21"/>
      <w:szCs w:val="21"/>
    </w:rPr>
  </w:style>
  <w:style w:type="paragraph" w:styleId="43">
    <w:name w:val="List Continue 4"/>
    <w:basedOn w:val="1"/>
    <w:qFormat/>
    <w:uiPriority w:val="0"/>
    <w:pPr>
      <w:spacing w:after="120" w:afterLines="0" w:afterAutospacing="0"/>
      <w:ind w:left="1680" w:leftChars="800"/>
    </w:pPr>
  </w:style>
  <w:style w:type="paragraph" w:styleId="44">
    <w:name w:val="toc 4"/>
    <w:basedOn w:val="1"/>
    <w:next w:val="1"/>
    <w:qFormat/>
    <w:uiPriority w:val="0"/>
    <w:pPr>
      <w:ind w:left="1260" w:leftChars="600"/>
    </w:pPr>
  </w:style>
  <w:style w:type="paragraph" w:styleId="45">
    <w:name w:val="index heading"/>
    <w:basedOn w:val="1"/>
    <w:next w:val="46"/>
    <w:qFormat/>
    <w:uiPriority w:val="0"/>
    <w:rPr>
      <w:rFonts w:ascii="Arial" w:hAnsi="Arial"/>
      <w:b/>
    </w:rPr>
  </w:style>
  <w:style w:type="paragraph" w:styleId="46">
    <w:name w:val="index 1"/>
    <w:basedOn w:val="1"/>
    <w:next w:val="1"/>
    <w:qFormat/>
    <w:uiPriority w:val="0"/>
  </w:style>
  <w:style w:type="paragraph" w:styleId="47">
    <w:name w:val="Subtitle"/>
    <w:basedOn w:val="1"/>
    <w:link w:val="112"/>
    <w:qFormat/>
    <w:uiPriority w:val="0"/>
    <w:pPr>
      <w:spacing w:before="120" w:beforeLines="0" w:beforeAutospacing="0" w:after="60" w:afterLines="0" w:afterAutospacing="0" w:line="312" w:lineRule="auto"/>
      <w:jc w:val="center"/>
      <w:outlineLvl w:val="9"/>
    </w:pPr>
    <w:rPr>
      <w:rFonts w:ascii="Arial" w:hAnsi="Arial"/>
      <w:b/>
      <w:kern w:val="28"/>
      <w:sz w:val="32"/>
    </w:rPr>
  </w:style>
  <w:style w:type="paragraph" w:styleId="48">
    <w:name w:val="List"/>
    <w:basedOn w:val="1"/>
    <w:qFormat/>
    <w:uiPriority w:val="0"/>
    <w:pPr>
      <w:ind w:left="200" w:hanging="200" w:hangingChars="200"/>
    </w:pPr>
  </w:style>
  <w:style w:type="paragraph" w:styleId="49">
    <w:name w:val="footnote text"/>
    <w:basedOn w:val="1"/>
    <w:link w:val="113"/>
    <w:qFormat/>
    <w:uiPriority w:val="0"/>
    <w:pPr>
      <w:snapToGrid w:val="0"/>
      <w:jc w:val="left"/>
    </w:pPr>
    <w:rPr>
      <w:sz w:val="18"/>
    </w:rPr>
  </w:style>
  <w:style w:type="paragraph" w:styleId="50">
    <w:name w:val="toc 6"/>
    <w:basedOn w:val="1"/>
    <w:next w:val="1"/>
    <w:qFormat/>
    <w:uiPriority w:val="0"/>
    <w:pPr>
      <w:ind w:left="2100" w:leftChars="1000"/>
    </w:pPr>
  </w:style>
  <w:style w:type="paragraph" w:styleId="51">
    <w:name w:val="List 5"/>
    <w:basedOn w:val="1"/>
    <w:qFormat/>
    <w:uiPriority w:val="0"/>
    <w:pPr>
      <w:ind w:left="100" w:leftChars="800" w:hanging="200" w:hangingChars="200"/>
    </w:pPr>
  </w:style>
  <w:style w:type="paragraph" w:styleId="52">
    <w:name w:val="Body Text Indent 3"/>
    <w:basedOn w:val="1"/>
    <w:link w:val="114"/>
    <w:qFormat/>
    <w:uiPriority w:val="0"/>
    <w:pPr>
      <w:spacing w:after="120" w:afterLines="0" w:afterAutospacing="0"/>
      <w:ind w:left="420" w:leftChars="200"/>
    </w:pPr>
    <w:rPr>
      <w:sz w:val="16"/>
    </w:rPr>
  </w:style>
  <w:style w:type="paragraph" w:styleId="53">
    <w:name w:val="table of figures"/>
    <w:basedOn w:val="1"/>
    <w:next w:val="1"/>
    <w:qFormat/>
    <w:uiPriority w:val="0"/>
    <w:pPr>
      <w:ind w:leftChars="200" w:hanging="200" w:hangingChars="200"/>
    </w:p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115"/>
    <w:qFormat/>
    <w:uiPriority w:val="0"/>
    <w:pPr>
      <w:spacing w:after="120" w:afterLines="0" w:afterAutospacing="0" w:line="480" w:lineRule="auto"/>
    </w:pPr>
  </w:style>
  <w:style w:type="paragraph" w:styleId="57">
    <w:name w:val="List 4"/>
    <w:basedOn w:val="1"/>
    <w:qFormat/>
    <w:uiPriority w:val="0"/>
    <w:pPr>
      <w:ind w:left="100" w:leftChars="600" w:hanging="200" w:hangingChars="200"/>
    </w:pPr>
  </w:style>
  <w:style w:type="paragraph" w:styleId="58">
    <w:name w:val="List Continue 2"/>
    <w:basedOn w:val="1"/>
    <w:qFormat/>
    <w:uiPriority w:val="0"/>
    <w:pPr>
      <w:spacing w:after="120" w:afterLines="0" w:afterAutospacing="0"/>
      <w:ind w:left="840" w:leftChars="400"/>
    </w:pPr>
  </w:style>
  <w:style w:type="paragraph" w:styleId="59">
    <w:name w:val="Message Header"/>
    <w:basedOn w:val="1"/>
    <w:link w:val="670"/>
    <w:qFormat/>
    <w:locked/>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60">
    <w:name w:val="HTML Preformatted"/>
    <w:basedOn w:val="1"/>
    <w:link w:val="116"/>
    <w:qFormat/>
    <w:uiPriority w:val="0"/>
    <w:rPr>
      <w:rFonts w:ascii="Courier New" w:hAnsi="Courier New"/>
      <w:sz w:val="20"/>
    </w:rPr>
  </w:style>
  <w:style w:type="paragraph" w:styleId="61">
    <w:name w:val="Normal (Web)"/>
    <w:basedOn w:val="1"/>
    <w:qFormat/>
    <w:uiPriority w:val="0"/>
    <w:rPr>
      <w:sz w:val="24"/>
    </w:rPr>
  </w:style>
  <w:style w:type="paragraph" w:styleId="62">
    <w:name w:val="List Continue 3"/>
    <w:basedOn w:val="1"/>
    <w:qFormat/>
    <w:uiPriority w:val="0"/>
    <w:pPr>
      <w:spacing w:after="120" w:afterLines="0" w:afterAutospacing="0"/>
      <w:ind w:left="1260" w:leftChars="600"/>
    </w:pPr>
  </w:style>
  <w:style w:type="paragraph" w:styleId="63">
    <w:name w:val="Title"/>
    <w:basedOn w:val="1"/>
    <w:next w:val="1"/>
    <w:link w:val="117"/>
    <w:qFormat/>
    <w:uiPriority w:val="10"/>
    <w:pPr>
      <w:spacing w:line="240" w:lineRule="auto"/>
      <w:ind w:firstLine="0" w:firstLineChars="0"/>
      <w:jc w:val="center"/>
      <w:outlineLvl w:val="9"/>
    </w:pPr>
    <w:rPr>
      <w:rFonts w:asciiTheme="majorEastAsia" w:hAnsiTheme="majorEastAsia"/>
      <w:b/>
      <w:sz w:val="52"/>
      <w:szCs w:val="44"/>
    </w:rPr>
  </w:style>
  <w:style w:type="paragraph" w:styleId="64">
    <w:name w:val="annotation subject"/>
    <w:basedOn w:val="23"/>
    <w:next w:val="23"/>
    <w:link w:val="98"/>
    <w:qFormat/>
    <w:uiPriority w:val="0"/>
    <w:rPr>
      <w:b/>
    </w:rPr>
  </w:style>
  <w:style w:type="paragraph" w:styleId="65">
    <w:name w:val="Body Text First Indent"/>
    <w:basedOn w:val="4"/>
    <w:link w:val="100"/>
    <w:qFormat/>
    <w:uiPriority w:val="0"/>
    <w:pPr>
      <w:ind w:firstLine="420" w:firstLineChars="100"/>
    </w:pPr>
  </w:style>
  <w:style w:type="paragraph" w:styleId="66">
    <w:name w:val="Body Text First Indent 2"/>
    <w:basedOn w:val="27"/>
    <w:next w:val="1"/>
    <w:link w:val="110"/>
    <w:qFormat/>
    <w:uiPriority w:val="0"/>
    <w:pPr>
      <w:ind w:firstLine="420" w:firstLineChars="200"/>
    </w:pPr>
  </w:style>
  <w:style w:type="table" w:styleId="68">
    <w:name w:val="Table Grid"/>
    <w:basedOn w:val="6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9">
    <w:name w:val="Table Simple 1"/>
    <w:basedOn w:val="67"/>
    <w:autoRedefine/>
    <w:qFormat/>
    <w:locked/>
    <w:uiPriority w:val="0"/>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70">
    <w:name w:val="Table Grid 8"/>
    <w:basedOn w:val="67"/>
    <w:autoRedefine/>
    <w:qFormat/>
    <w:locked/>
    <w:uiPriority w:val="0"/>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72">
    <w:name w:val="Strong"/>
    <w:basedOn w:val="71"/>
    <w:qFormat/>
    <w:uiPriority w:val="22"/>
    <w:rPr>
      <w:rFonts w:ascii="Arial" w:hAnsi="Arial" w:eastAsia="黑体"/>
      <w:b/>
      <w:color w:val="4F81BD" w:themeColor="accent1"/>
      <w:u w:val="single"/>
      <w14:textFill>
        <w14:solidFill>
          <w14:schemeClr w14:val="accent1"/>
        </w14:solidFill>
      </w14:textFill>
    </w:rPr>
  </w:style>
  <w:style w:type="character" w:styleId="73">
    <w:name w:val="endnote reference"/>
    <w:basedOn w:val="71"/>
    <w:qFormat/>
    <w:uiPriority w:val="0"/>
    <w:rPr>
      <w:vertAlign w:val="superscript"/>
    </w:rPr>
  </w:style>
  <w:style w:type="character" w:styleId="74">
    <w:name w:val="page number"/>
    <w:basedOn w:val="71"/>
    <w:qFormat/>
    <w:uiPriority w:val="0"/>
  </w:style>
  <w:style w:type="character" w:styleId="75">
    <w:name w:val="FollowedHyperlink"/>
    <w:basedOn w:val="71"/>
    <w:qFormat/>
    <w:uiPriority w:val="0"/>
    <w:rPr>
      <w:color w:val="800080"/>
      <w:u w:val="single"/>
    </w:rPr>
  </w:style>
  <w:style w:type="character" w:styleId="76">
    <w:name w:val="Emphasis"/>
    <w:basedOn w:val="71"/>
    <w:qFormat/>
    <w:uiPriority w:val="20"/>
    <w:rPr>
      <w:rFonts w:ascii="Arial" w:hAnsi="Arial" w:eastAsia="黑体"/>
      <w:b/>
      <w:bCs/>
      <w:i/>
      <w:color w:val="C00000"/>
      <w:sz w:val="24"/>
      <w:szCs w:val="22"/>
    </w:rPr>
  </w:style>
  <w:style w:type="character" w:styleId="77">
    <w:name w:val="Hyperlink"/>
    <w:basedOn w:val="71"/>
    <w:qFormat/>
    <w:uiPriority w:val="0"/>
    <w:rPr>
      <w:color w:val="0000FF"/>
      <w:u w:val="single"/>
    </w:rPr>
  </w:style>
  <w:style w:type="character" w:styleId="78">
    <w:name w:val="annotation reference"/>
    <w:basedOn w:val="71"/>
    <w:qFormat/>
    <w:uiPriority w:val="0"/>
    <w:rPr>
      <w:sz w:val="21"/>
    </w:rPr>
  </w:style>
  <w:style w:type="character" w:styleId="79">
    <w:name w:val="footnote reference"/>
    <w:basedOn w:val="71"/>
    <w:qFormat/>
    <w:uiPriority w:val="0"/>
    <w:rPr>
      <w:vertAlign w:val="superscript"/>
    </w:rPr>
  </w:style>
  <w:style w:type="paragraph" w:customStyle="1" w:styleId="80">
    <w:name w:val="样式 10 磅"/>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正文样式"/>
    <w:autoRedefine/>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82">
    <w:name w:val="图表样式"/>
    <w:autoRedefine/>
    <w:qFormat/>
    <w:uiPriority w:val="0"/>
    <w:pPr>
      <w:jc w:val="center"/>
    </w:pPr>
    <w:rPr>
      <w:rFonts w:ascii="Times New Roman" w:hAnsi="Times New Roman" w:eastAsia="宋体" w:cstheme="majorBidi"/>
      <w:kern w:val="2"/>
      <w:sz w:val="21"/>
      <w:lang w:val="en-US" w:eastAsia="zh-CN" w:bidi="ar-SA"/>
    </w:rPr>
  </w:style>
  <w:style w:type="paragraph" w:customStyle="1" w:styleId="83">
    <w:name w:val="标题2，章节第二层"/>
    <w:basedOn w:val="1"/>
    <w:next w:val="1"/>
    <w:autoRedefine/>
    <w:qFormat/>
    <w:uiPriority w:val="99"/>
    <w:pPr>
      <w:adjustRightInd w:val="0"/>
      <w:snapToGrid w:val="0"/>
      <w:spacing w:beforeLines="100" w:afterLines="100" w:line="300" w:lineRule="auto"/>
      <w:ind w:left="141" w:hanging="141"/>
      <w:outlineLvl w:val="1"/>
    </w:pPr>
    <w:rPr>
      <w:rFonts w:ascii="Arial" w:hAnsi="Arial" w:eastAsia="黑体"/>
    </w:rPr>
  </w:style>
  <w:style w:type="paragraph" w:customStyle="1" w:styleId="84">
    <w:name w:val="一级条标题"/>
    <w:basedOn w:val="85"/>
    <w:next w:val="86"/>
    <w:autoRedefine/>
    <w:qFormat/>
    <w:uiPriority w:val="0"/>
    <w:pPr>
      <w:spacing w:line="240" w:lineRule="auto"/>
      <w:ind w:left="420"/>
      <w:outlineLvl w:val="2"/>
    </w:pPr>
  </w:style>
  <w:style w:type="paragraph" w:customStyle="1" w:styleId="85">
    <w:name w:val="章标题"/>
    <w:basedOn w:val="1"/>
    <w:next w:val="4"/>
    <w:qFormat/>
    <w:uiPriority w:val="0"/>
    <w:pPr>
      <w:spacing w:before="120" w:beforeLines="0" w:after="60" w:line="300" w:lineRule="auto"/>
      <w:jc w:val="center"/>
      <w:outlineLvl w:val="0"/>
    </w:pPr>
    <w:rPr>
      <w:rFonts w:hint="eastAsia" w:ascii="Arial" w:hAnsi="Arial"/>
      <w:b/>
      <w:kern w:val="28"/>
      <w:sz w:val="40"/>
    </w:rPr>
  </w:style>
  <w:style w:type="paragraph" w:customStyle="1" w:styleId="86">
    <w:name w:val="段"/>
    <w:next w:val="1"/>
    <w:autoRedefine/>
    <w:qFormat/>
    <w:uiPriority w:val="0"/>
    <w:pPr>
      <w:autoSpaceDE w:val="0"/>
      <w:autoSpaceDN w:val="0"/>
      <w:ind w:firstLine="200" w:firstLineChars="200"/>
      <w:jc w:val="both"/>
    </w:pPr>
    <w:rPr>
      <w:rFonts w:ascii="宋体" w:hAnsi="Calibri" w:eastAsia="宋体" w:cs="Times New Roman"/>
      <w:kern w:val="2"/>
      <w:sz w:val="22"/>
      <w:lang w:val="en-US" w:eastAsia="zh-CN" w:bidi="ar-SA"/>
    </w:rPr>
  </w:style>
  <w:style w:type="character" w:customStyle="1" w:styleId="87">
    <w:name w:val="标题 1 Char"/>
    <w:link w:val="3"/>
    <w:autoRedefine/>
    <w:qFormat/>
    <w:locked/>
    <w:uiPriority w:val="0"/>
    <w:rPr>
      <w:rFonts w:ascii="仿宋" w:hAnsi="仿宋" w:eastAsia="宋体" w:cs="仿宋"/>
      <w:b/>
      <w:bCs/>
      <w:kern w:val="44"/>
      <w:sz w:val="40"/>
      <w:szCs w:val="72"/>
      <w:lang w:val="en-US" w:eastAsia="zh-CN" w:bidi="ar-SA"/>
    </w:rPr>
  </w:style>
  <w:style w:type="character" w:customStyle="1" w:styleId="88">
    <w:name w:val="标题 2 Char"/>
    <w:link w:val="5"/>
    <w:autoRedefine/>
    <w:qFormat/>
    <w:locked/>
    <w:uiPriority w:val="0"/>
    <w:rPr>
      <w:rFonts w:ascii="仿宋" w:hAnsi="仿宋" w:eastAsia="宋体" w:cs="仿宋"/>
      <w:b/>
      <w:kern w:val="2"/>
      <w:sz w:val="32"/>
      <w:lang w:val="en-US" w:eastAsia="zh-CN" w:bidi="ar-SA"/>
    </w:rPr>
  </w:style>
  <w:style w:type="character" w:customStyle="1" w:styleId="89">
    <w:name w:val="标题 3 Char"/>
    <w:link w:val="6"/>
    <w:autoRedefine/>
    <w:qFormat/>
    <w:locked/>
    <w:uiPriority w:val="9"/>
    <w:rPr>
      <w:rFonts w:ascii="仿宋" w:hAnsi="仿宋" w:eastAsia="宋体" w:cs="仿宋"/>
      <w:b/>
      <w:kern w:val="2"/>
      <w:sz w:val="30"/>
      <w:szCs w:val="30"/>
      <w:lang w:val="en-US" w:eastAsia="zh-CN" w:bidi="ar-SA"/>
    </w:rPr>
  </w:style>
  <w:style w:type="character" w:customStyle="1" w:styleId="90">
    <w:name w:val="标题 4 Char"/>
    <w:link w:val="7"/>
    <w:autoRedefine/>
    <w:qFormat/>
    <w:locked/>
    <w:uiPriority w:val="9"/>
    <w:rPr>
      <w:rFonts w:ascii="Arial" w:hAnsi="Arial" w:eastAsia="宋体" w:cstheme="minorBidi"/>
      <w:b/>
      <w:sz w:val="28"/>
      <w:lang w:val="en-US" w:eastAsia="zh-CN" w:bidi="ar-SA"/>
    </w:rPr>
  </w:style>
  <w:style w:type="character" w:customStyle="1" w:styleId="91">
    <w:name w:val="标题 5 Char"/>
    <w:link w:val="8"/>
    <w:autoRedefine/>
    <w:qFormat/>
    <w:locked/>
    <w:uiPriority w:val="0"/>
    <w:rPr>
      <w:rFonts w:ascii="Arial" w:hAnsi="Arial" w:eastAsia="宋体" w:cstheme="minorBidi"/>
      <w:b/>
      <w:sz w:val="24"/>
      <w:szCs w:val="22"/>
      <w:lang w:val="en-US" w:eastAsia="zh-CN" w:bidi="ar-SA"/>
    </w:rPr>
  </w:style>
  <w:style w:type="character" w:customStyle="1" w:styleId="92">
    <w:name w:val="标题 6 Char"/>
    <w:link w:val="9"/>
    <w:autoRedefine/>
    <w:qFormat/>
    <w:locked/>
    <w:uiPriority w:val="9"/>
    <w:rPr>
      <w:rFonts w:ascii="Arial" w:hAnsi="Arial" w:eastAsia="宋体" w:cstheme="minorBidi"/>
      <w:b/>
      <w:sz w:val="24"/>
      <w:lang w:val="en-US" w:eastAsia="zh-CN" w:bidi="ar-SA"/>
    </w:rPr>
  </w:style>
  <w:style w:type="character" w:customStyle="1" w:styleId="93">
    <w:name w:val="标题 7 Char"/>
    <w:link w:val="10"/>
    <w:autoRedefine/>
    <w:qFormat/>
    <w:locked/>
    <w:uiPriority w:val="9"/>
    <w:rPr>
      <w:rFonts w:ascii="Arial" w:hAnsi="Arial" w:eastAsia="宋体" w:cstheme="minorBidi"/>
      <w:b/>
      <w:sz w:val="24"/>
      <w:lang w:val="en-US" w:eastAsia="zh-CN" w:bidi="ar-SA"/>
    </w:rPr>
  </w:style>
  <w:style w:type="character" w:customStyle="1" w:styleId="94">
    <w:name w:val="标题 8 Char"/>
    <w:link w:val="11"/>
    <w:autoRedefine/>
    <w:qFormat/>
    <w:locked/>
    <w:uiPriority w:val="9"/>
    <w:rPr>
      <w:rFonts w:eastAsia="宋体" w:asciiTheme="majorAscii" w:hAnsiTheme="majorAscii" w:cstheme="majorBidi"/>
      <w:b/>
      <w:sz w:val="24"/>
      <w:lang w:val="en-US" w:eastAsia="zh-CN" w:bidi="ar-SA"/>
    </w:rPr>
  </w:style>
  <w:style w:type="character" w:customStyle="1" w:styleId="95">
    <w:name w:val="标题 9 Char"/>
    <w:link w:val="12"/>
    <w:autoRedefine/>
    <w:qFormat/>
    <w:locked/>
    <w:uiPriority w:val="99"/>
    <w:rPr>
      <w:rFonts w:eastAsia="宋体" w:asciiTheme="majorAscii" w:hAnsiTheme="majorAscii" w:cstheme="majorBidi"/>
      <w:b/>
      <w:sz w:val="24"/>
      <w:szCs w:val="21"/>
      <w:lang w:val="en-US" w:eastAsia="zh-CN" w:bidi="ar-SA"/>
    </w:rPr>
  </w:style>
  <w:style w:type="character" w:customStyle="1" w:styleId="96">
    <w:name w:val="纯文本 Char2"/>
    <w:link w:val="35"/>
    <w:autoRedefine/>
    <w:qFormat/>
    <w:locked/>
    <w:uiPriority w:val="99"/>
    <w:rPr>
      <w:rFonts w:ascii="宋体" w:hAnsi="Courier New"/>
    </w:rPr>
  </w:style>
  <w:style w:type="character" w:customStyle="1" w:styleId="97">
    <w:name w:val="批注文字 Char1"/>
    <w:link w:val="23"/>
    <w:autoRedefine/>
    <w:qFormat/>
    <w:locked/>
    <w:uiPriority w:val="0"/>
  </w:style>
  <w:style w:type="character" w:customStyle="1" w:styleId="98">
    <w:name w:val="批注主题 Char1"/>
    <w:link w:val="64"/>
    <w:autoRedefine/>
    <w:qFormat/>
    <w:locked/>
    <w:uiPriority w:val="99"/>
    <w:rPr>
      <w:b/>
    </w:rPr>
  </w:style>
  <w:style w:type="character" w:customStyle="1" w:styleId="99">
    <w:name w:val="正文文本 Char"/>
    <w:link w:val="4"/>
    <w:autoRedefine/>
    <w:qFormat/>
    <w:locked/>
    <w:uiPriority w:val="0"/>
    <w:rPr>
      <w:rFonts w:ascii="Times New Roman" w:hAnsi="Times New Roman"/>
    </w:rPr>
  </w:style>
  <w:style w:type="character" w:customStyle="1" w:styleId="100">
    <w:name w:val="正文首行缩进 Char2"/>
    <w:link w:val="65"/>
    <w:autoRedefine/>
    <w:qFormat/>
    <w:locked/>
    <w:uiPriority w:val="99"/>
  </w:style>
  <w:style w:type="character" w:customStyle="1" w:styleId="101">
    <w:name w:val="注释标题 Char1"/>
    <w:link w:val="16"/>
    <w:autoRedefine/>
    <w:semiHidden/>
    <w:qFormat/>
    <w:locked/>
    <w:uiPriority w:val="99"/>
  </w:style>
  <w:style w:type="character" w:customStyle="1" w:styleId="102">
    <w:name w:val="Document Map Char"/>
    <w:basedOn w:val="71"/>
    <w:autoRedefine/>
    <w:qFormat/>
    <w:locked/>
    <w:uiPriority w:val="99"/>
    <w:rPr>
      <w:rFonts w:ascii="宋体" w:hAnsi="Calibri" w:eastAsia="宋体" w:cs="Times New Roman"/>
      <w:kern w:val="2"/>
      <w:sz w:val="18"/>
      <w:lang w:val="en-US" w:eastAsia="zh-CN"/>
    </w:rPr>
  </w:style>
  <w:style w:type="character" w:customStyle="1" w:styleId="103">
    <w:name w:val="正文文本 3 Char1"/>
    <w:link w:val="25"/>
    <w:autoRedefine/>
    <w:qFormat/>
    <w:locked/>
    <w:uiPriority w:val="99"/>
    <w:rPr>
      <w:sz w:val="16"/>
    </w:rPr>
  </w:style>
  <w:style w:type="character" w:customStyle="1" w:styleId="104">
    <w:name w:val="正文文本缩进 Char"/>
    <w:link w:val="27"/>
    <w:autoRedefine/>
    <w:qFormat/>
    <w:locked/>
    <w:uiPriority w:val="0"/>
  </w:style>
  <w:style w:type="character" w:customStyle="1" w:styleId="105">
    <w:name w:val="日期 Char2"/>
    <w:link w:val="37"/>
    <w:autoRedefine/>
    <w:qFormat/>
    <w:locked/>
    <w:uiPriority w:val="99"/>
  </w:style>
  <w:style w:type="character" w:customStyle="1" w:styleId="106">
    <w:name w:val="正文文本缩进 2 Char1"/>
    <w:link w:val="38"/>
    <w:autoRedefine/>
    <w:qFormat/>
    <w:locked/>
    <w:uiPriority w:val="99"/>
  </w:style>
  <w:style w:type="character" w:customStyle="1" w:styleId="107">
    <w:name w:val="尾注文本 Char"/>
    <w:link w:val="39"/>
    <w:autoRedefine/>
    <w:qFormat/>
    <w:locked/>
    <w:uiPriority w:val="99"/>
  </w:style>
  <w:style w:type="character" w:customStyle="1" w:styleId="108">
    <w:name w:val="批注框文本 Char1"/>
    <w:link w:val="40"/>
    <w:autoRedefine/>
    <w:qFormat/>
    <w:locked/>
    <w:uiPriority w:val="99"/>
    <w:rPr>
      <w:sz w:val="18"/>
    </w:rPr>
  </w:style>
  <w:style w:type="character" w:customStyle="1" w:styleId="109">
    <w:name w:val="Footer Char"/>
    <w:basedOn w:val="71"/>
    <w:autoRedefine/>
    <w:qFormat/>
    <w:locked/>
    <w:uiPriority w:val="99"/>
    <w:rPr>
      <w:rFonts w:ascii="Calibri" w:hAnsi="Calibri" w:eastAsia="宋体" w:cs="Times New Roman"/>
      <w:sz w:val="18"/>
      <w:lang w:val="en-US" w:eastAsia="zh-CN"/>
    </w:rPr>
  </w:style>
  <w:style w:type="character" w:customStyle="1" w:styleId="110">
    <w:name w:val="正文首行缩进 2 Char1"/>
    <w:link w:val="66"/>
    <w:autoRedefine/>
    <w:qFormat/>
    <w:locked/>
    <w:uiPriority w:val="99"/>
  </w:style>
  <w:style w:type="character" w:customStyle="1" w:styleId="111">
    <w:name w:val="Header Char"/>
    <w:basedOn w:val="71"/>
    <w:autoRedefine/>
    <w:qFormat/>
    <w:locked/>
    <w:uiPriority w:val="99"/>
    <w:rPr>
      <w:rFonts w:ascii="Calibri" w:hAnsi="Calibri" w:eastAsia="宋体" w:cs="Times New Roman"/>
      <w:sz w:val="18"/>
      <w:lang w:val="en-US" w:eastAsia="zh-CN"/>
    </w:rPr>
  </w:style>
  <w:style w:type="character" w:customStyle="1" w:styleId="112">
    <w:name w:val="副标题 Char"/>
    <w:link w:val="47"/>
    <w:autoRedefine/>
    <w:qFormat/>
    <w:locked/>
    <w:uiPriority w:val="0"/>
    <w:rPr>
      <w:rFonts w:ascii="Arial" w:hAnsi="Arial"/>
      <w:b/>
      <w:kern w:val="28"/>
      <w:sz w:val="32"/>
    </w:rPr>
  </w:style>
  <w:style w:type="character" w:customStyle="1" w:styleId="113">
    <w:name w:val="脚注文本 Char1"/>
    <w:link w:val="49"/>
    <w:autoRedefine/>
    <w:semiHidden/>
    <w:qFormat/>
    <w:locked/>
    <w:uiPriority w:val="99"/>
    <w:rPr>
      <w:sz w:val="18"/>
    </w:rPr>
  </w:style>
  <w:style w:type="character" w:customStyle="1" w:styleId="114">
    <w:name w:val="正文文本缩进 3 Char1"/>
    <w:link w:val="52"/>
    <w:autoRedefine/>
    <w:qFormat/>
    <w:locked/>
    <w:uiPriority w:val="99"/>
    <w:rPr>
      <w:sz w:val="16"/>
    </w:rPr>
  </w:style>
  <w:style w:type="character" w:customStyle="1" w:styleId="115">
    <w:name w:val="正文文本 2 Char1"/>
    <w:link w:val="56"/>
    <w:autoRedefine/>
    <w:qFormat/>
    <w:locked/>
    <w:uiPriority w:val="99"/>
  </w:style>
  <w:style w:type="character" w:customStyle="1" w:styleId="116">
    <w:name w:val="HTML 预设格式 Char1"/>
    <w:link w:val="60"/>
    <w:autoRedefine/>
    <w:qFormat/>
    <w:locked/>
    <w:uiPriority w:val="99"/>
    <w:rPr>
      <w:rFonts w:ascii="Courier New" w:hAnsi="Courier New"/>
      <w:sz w:val="20"/>
    </w:rPr>
  </w:style>
  <w:style w:type="character" w:customStyle="1" w:styleId="117">
    <w:name w:val="标题 Char"/>
    <w:link w:val="63"/>
    <w:autoRedefine/>
    <w:qFormat/>
    <w:locked/>
    <w:uiPriority w:val="0"/>
    <w:rPr>
      <w:rFonts w:asciiTheme="majorEastAsia" w:hAnsiTheme="majorEastAsia"/>
      <w:b/>
      <w:sz w:val="52"/>
      <w:szCs w:val="44"/>
    </w:rPr>
  </w:style>
  <w:style w:type="paragraph" w:customStyle="1" w:styleId="118">
    <w:name w:val="无间隔1"/>
    <w:basedOn w:val="1"/>
    <w:link w:val="119"/>
    <w:autoRedefine/>
    <w:qFormat/>
    <w:uiPriority w:val="99"/>
    <w:pPr>
      <w:widowControl w:val="0"/>
      <w:ind w:firstLine="200" w:firstLineChars="200"/>
      <w:jc w:val="both"/>
    </w:pPr>
    <w:rPr>
      <w:kern w:val="2"/>
    </w:rPr>
  </w:style>
  <w:style w:type="character" w:customStyle="1" w:styleId="119">
    <w:name w:val="无间隔 Char"/>
    <w:basedOn w:val="71"/>
    <w:link w:val="118"/>
    <w:autoRedefine/>
    <w:qFormat/>
    <w:locked/>
    <w:uiPriority w:val="99"/>
    <w:rPr>
      <w:rFonts w:cs="Times New Roman"/>
      <w:color w:val="5A5A5A"/>
    </w:rPr>
  </w:style>
  <w:style w:type="paragraph" w:customStyle="1" w:styleId="120">
    <w:name w:val="列出段落1"/>
    <w:basedOn w:val="1"/>
    <w:link w:val="640"/>
    <w:autoRedefine/>
    <w:qFormat/>
    <w:uiPriority w:val="99"/>
    <w:pPr>
      <w:widowControl w:val="0"/>
      <w:spacing w:line="400" w:lineRule="exact"/>
      <w:ind w:left="720" w:firstLine="200" w:firstLineChars="200"/>
      <w:contextualSpacing/>
      <w:jc w:val="both"/>
    </w:pPr>
    <w:rPr>
      <w:rFonts w:ascii="Calibri" w:hAnsi="Calibri"/>
      <w:color w:val="5A5A5A"/>
      <w:sz w:val="20"/>
      <w:szCs w:val="20"/>
    </w:rPr>
  </w:style>
  <w:style w:type="paragraph" w:customStyle="1" w:styleId="121">
    <w:name w:val="引用1"/>
    <w:basedOn w:val="1"/>
    <w:next w:val="1"/>
    <w:link w:val="122"/>
    <w:autoRedefine/>
    <w:qFormat/>
    <w:uiPriority w:val="99"/>
    <w:pPr>
      <w:widowControl w:val="0"/>
      <w:spacing w:line="400" w:lineRule="exact"/>
      <w:ind w:firstLine="200" w:firstLineChars="200"/>
      <w:jc w:val="both"/>
    </w:pPr>
    <w:rPr>
      <w:i/>
      <w:iCs/>
      <w:kern w:val="2"/>
    </w:rPr>
  </w:style>
  <w:style w:type="character" w:customStyle="1" w:styleId="122">
    <w:name w:val="引用 Char"/>
    <w:basedOn w:val="71"/>
    <w:link w:val="121"/>
    <w:autoRedefine/>
    <w:qFormat/>
    <w:locked/>
    <w:uiPriority w:val="99"/>
    <w:rPr>
      <w:rFonts w:cs="Times New Roman"/>
      <w:i/>
      <w:iCs/>
      <w:color w:val="5A5A5A"/>
      <w:sz w:val="20"/>
      <w:szCs w:val="20"/>
    </w:rPr>
  </w:style>
  <w:style w:type="paragraph" w:customStyle="1" w:styleId="123">
    <w:name w:val="明显引用1"/>
    <w:basedOn w:val="1"/>
    <w:next w:val="1"/>
    <w:link w:val="124"/>
    <w:autoRedefine/>
    <w:qFormat/>
    <w:uiPriority w:val="99"/>
    <w:pPr>
      <w:widowControl w:val="0"/>
      <w:pBdr>
        <w:top w:val="single" w:color="7BA0CD" w:sz="4" w:space="12"/>
        <w:left w:val="single" w:color="7BA0CD" w:sz="4" w:space="15"/>
        <w:bottom w:val="single" w:color="365F91" w:sz="12" w:space="10"/>
        <w:right w:val="single" w:color="365F91" w:sz="12" w:space="15"/>
        <w:between w:val="single" w:color="7BA0CD" w:sz="4" w:space="12"/>
      </w:pBdr>
      <w:spacing w:line="300" w:lineRule="auto"/>
      <w:ind w:left="2506" w:right="432" w:firstLine="200" w:firstLineChars="200"/>
      <w:jc w:val="both"/>
    </w:pPr>
    <w:rPr>
      <w:rFonts w:ascii="Cambria" w:hAnsi="Cambria"/>
      <w:smallCaps/>
      <w:color w:val="365F91"/>
      <w:kern w:val="2"/>
    </w:rPr>
  </w:style>
  <w:style w:type="character" w:customStyle="1" w:styleId="124">
    <w:name w:val="明显引用 Char"/>
    <w:basedOn w:val="71"/>
    <w:link w:val="123"/>
    <w:autoRedefine/>
    <w:qFormat/>
    <w:locked/>
    <w:uiPriority w:val="99"/>
    <w:rPr>
      <w:rFonts w:ascii="Cambria" w:hAnsi="Cambria" w:eastAsia="宋体" w:cs="Times New Roman"/>
      <w:smallCaps/>
      <w:color w:val="365F91"/>
      <w:sz w:val="20"/>
      <w:szCs w:val="20"/>
    </w:rPr>
  </w:style>
  <w:style w:type="character" w:customStyle="1" w:styleId="125">
    <w:name w:val="不明显强调1"/>
    <w:autoRedefine/>
    <w:qFormat/>
    <w:uiPriority w:val="99"/>
    <w:rPr>
      <w:smallCaps/>
      <w:color w:val="5A5A5A"/>
      <w:vertAlign w:val="baseline"/>
    </w:rPr>
  </w:style>
  <w:style w:type="character" w:customStyle="1" w:styleId="126">
    <w:name w:val="明显强调1"/>
    <w:autoRedefine/>
    <w:qFormat/>
    <w:uiPriority w:val="99"/>
    <w:rPr>
      <w:b/>
      <w:smallCaps/>
      <w:color w:val="4F81BD"/>
      <w:spacing w:val="40"/>
    </w:rPr>
  </w:style>
  <w:style w:type="character" w:customStyle="1" w:styleId="127">
    <w:name w:val="不明显参考1"/>
    <w:autoRedefine/>
    <w:qFormat/>
    <w:uiPriority w:val="99"/>
    <w:rPr>
      <w:rFonts w:ascii="Cambria" w:hAnsi="Cambria" w:eastAsia="宋体"/>
      <w:i/>
      <w:smallCaps/>
      <w:color w:val="5A5A5A"/>
      <w:spacing w:val="20"/>
    </w:rPr>
  </w:style>
  <w:style w:type="character" w:customStyle="1" w:styleId="128">
    <w:name w:val="明显参考1"/>
    <w:autoRedefine/>
    <w:qFormat/>
    <w:uiPriority w:val="99"/>
    <w:rPr>
      <w:rFonts w:ascii="Cambria" w:hAnsi="Cambria" w:eastAsia="宋体"/>
      <w:b/>
      <w:i/>
      <w:smallCaps/>
      <w:color w:val="17365D"/>
      <w:spacing w:val="20"/>
    </w:rPr>
  </w:style>
  <w:style w:type="character" w:customStyle="1" w:styleId="129">
    <w:name w:val="书籍标题1"/>
    <w:autoRedefine/>
    <w:qFormat/>
    <w:uiPriority w:val="99"/>
    <w:rPr>
      <w:rFonts w:ascii="Cambria" w:hAnsi="Cambria" w:eastAsia="宋体"/>
      <w:b/>
      <w:smallCaps/>
      <w:color w:val="17365D"/>
      <w:spacing w:val="10"/>
      <w:u w:val="single"/>
    </w:rPr>
  </w:style>
  <w:style w:type="paragraph" w:customStyle="1" w:styleId="130">
    <w:name w:val="TOC 标题1"/>
    <w:basedOn w:val="3"/>
    <w:next w:val="1"/>
    <w:autoRedefine/>
    <w:qFormat/>
    <w:uiPriority w:val="39"/>
    <w:pPr>
      <w:outlineLvl w:val="9"/>
    </w:pPr>
  </w:style>
  <w:style w:type="character" w:customStyle="1" w:styleId="131">
    <w:name w:val="页眉 Char"/>
    <w:link w:val="42"/>
    <w:autoRedefine/>
    <w:qFormat/>
    <w:locked/>
    <w:uiPriority w:val="0"/>
    <w:rPr>
      <w:rFonts w:eastAsia="宋体"/>
      <w:sz w:val="21"/>
      <w:szCs w:val="21"/>
    </w:rPr>
  </w:style>
  <w:style w:type="character" w:customStyle="1" w:styleId="132">
    <w:name w:val="页脚 Char"/>
    <w:link w:val="41"/>
    <w:autoRedefine/>
    <w:qFormat/>
    <w:locked/>
    <w:uiPriority w:val="99"/>
    <w:rPr>
      <w:sz w:val="18"/>
    </w:rPr>
  </w:style>
  <w:style w:type="character" w:customStyle="1" w:styleId="133">
    <w:name w:val="纯文本 Char"/>
    <w:basedOn w:val="71"/>
    <w:autoRedefine/>
    <w:qFormat/>
    <w:uiPriority w:val="0"/>
    <w:rPr>
      <w:rFonts w:ascii="宋体" w:hAnsi="Courier New" w:eastAsia="宋体" w:cs="Courier New"/>
      <w:kern w:val="2"/>
      <w:sz w:val="21"/>
      <w:szCs w:val="21"/>
      <w:lang w:eastAsia="zh-CN" w:bidi="ar-SA"/>
    </w:rPr>
  </w:style>
  <w:style w:type="paragraph" w:customStyle="1" w:styleId="134">
    <w:name w:val="Char"/>
    <w:basedOn w:val="21"/>
    <w:autoRedefine/>
    <w:qFormat/>
    <w:uiPriority w:val="0"/>
    <w:rPr>
      <w:rFonts w:ascii="Tahoma" w:hAnsi="Tahoma"/>
    </w:rPr>
  </w:style>
  <w:style w:type="character" w:customStyle="1" w:styleId="135">
    <w:name w:val="文档结构图 Char"/>
    <w:basedOn w:val="71"/>
    <w:autoRedefine/>
    <w:qFormat/>
    <w:uiPriority w:val="0"/>
    <w:rPr>
      <w:rFonts w:ascii="宋体" w:hAnsi="Times New Roman" w:eastAsia="宋体" w:cs="Times New Roman"/>
      <w:kern w:val="2"/>
      <w:sz w:val="18"/>
      <w:szCs w:val="18"/>
      <w:lang w:eastAsia="zh-CN" w:bidi="ar-SA"/>
    </w:rPr>
  </w:style>
  <w:style w:type="paragraph" w:customStyle="1" w:styleId="136">
    <w:name w:val="xl54"/>
    <w:basedOn w:val="1"/>
    <w:autoRedefine/>
    <w:qFormat/>
    <w:uiPriority w:val="99"/>
    <w:pPr>
      <w:pBdr>
        <w:left w:val="single" w:color="auto" w:sz="4" w:space="0"/>
        <w:right w:val="single" w:color="auto" w:sz="4" w:space="0"/>
      </w:pBdr>
      <w:spacing w:before="100" w:beforeAutospacing="1" w:after="100" w:afterAutospacing="1" w:line="400" w:lineRule="exact"/>
      <w:ind w:firstLine="200" w:firstLineChars="200"/>
      <w:jc w:val="center"/>
      <w:textAlignment w:val="center"/>
    </w:pPr>
    <w:rPr>
      <w:rFonts w:ascii="Arial" w:hAnsi="Arial" w:cs="Arial"/>
      <w:b/>
      <w:bCs/>
      <w:sz w:val="20"/>
      <w:szCs w:val="20"/>
    </w:rPr>
  </w:style>
  <w:style w:type="paragraph" w:customStyle="1" w:styleId="137">
    <w:name w:val="Table Text Char Char"/>
    <w:autoRedefine/>
    <w:qFormat/>
    <w:uiPriority w:val="99"/>
    <w:pPr>
      <w:snapToGrid w:val="0"/>
      <w:spacing w:before="80" w:after="80"/>
    </w:pPr>
    <w:rPr>
      <w:rFonts w:ascii="Arial" w:hAnsi="Arial" w:eastAsia="宋体" w:cs="Arial"/>
      <w:sz w:val="18"/>
      <w:szCs w:val="18"/>
      <w:lang w:val="en-US" w:eastAsia="zh-CN" w:bidi="ar-SA"/>
    </w:rPr>
  </w:style>
  <w:style w:type="character" w:customStyle="1" w:styleId="138">
    <w:name w:val="Table Text Char Char Char"/>
    <w:autoRedefine/>
    <w:qFormat/>
    <w:uiPriority w:val="99"/>
    <w:rPr>
      <w:rFonts w:ascii="Arial" w:hAnsi="Arial" w:eastAsia="宋体"/>
      <w:sz w:val="18"/>
      <w:lang w:val="en-US" w:eastAsia="zh-CN"/>
    </w:rPr>
  </w:style>
  <w:style w:type="character" w:customStyle="1" w:styleId="139">
    <w:name w:val="批注框文本 Char"/>
    <w:basedOn w:val="71"/>
    <w:autoRedefine/>
    <w:qFormat/>
    <w:uiPriority w:val="0"/>
    <w:rPr>
      <w:rFonts w:ascii="Times New Roman" w:hAnsi="Times New Roman" w:eastAsia="宋体" w:cs="Times New Roman"/>
      <w:kern w:val="2"/>
      <w:sz w:val="18"/>
      <w:szCs w:val="18"/>
      <w:lang w:eastAsia="zh-CN" w:bidi="ar-SA"/>
    </w:rPr>
  </w:style>
  <w:style w:type="paragraph" w:customStyle="1" w:styleId="140">
    <w:name w:val="xl52"/>
    <w:basedOn w:val="1"/>
    <w:autoRedefine/>
    <w:qFormat/>
    <w:uiPriority w:val="99"/>
    <w:pPr>
      <w:spacing w:before="100" w:beforeAutospacing="1" w:after="100" w:afterAutospacing="1" w:line="400" w:lineRule="exact"/>
      <w:ind w:firstLine="200" w:firstLineChars="200"/>
      <w:jc w:val="center"/>
      <w:textAlignment w:val="top"/>
    </w:pPr>
    <w:rPr>
      <w:sz w:val="20"/>
      <w:szCs w:val="20"/>
    </w:rPr>
  </w:style>
  <w:style w:type="paragraph" w:customStyle="1" w:styleId="141">
    <w:name w:val="Table Text"/>
    <w:basedOn w:val="1"/>
    <w:autoRedefine/>
    <w:qFormat/>
    <w:uiPriority w:val="0"/>
    <w:pPr>
      <w:tabs>
        <w:tab w:val="decimal" w:pos="0"/>
      </w:tabs>
      <w:autoSpaceDE w:val="0"/>
      <w:autoSpaceDN w:val="0"/>
      <w:adjustRightInd w:val="0"/>
      <w:spacing w:before="80" w:after="80" w:line="400" w:lineRule="exact"/>
      <w:ind w:firstLine="200" w:firstLineChars="200"/>
      <w:jc w:val="both"/>
    </w:pPr>
    <w:rPr>
      <w:rFonts w:ascii="Arial" w:hAnsi="Arial"/>
      <w:sz w:val="18"/>
      <w:szCs w:val="20"/>
    </w:rPr>
  </w:style>
  <w:style w:type="character" w:customStyle="1" w:styleId="142">
    <w:name w:val="Table Text Char"/>
    <w:autoRedefine/>
    <w:qFormat/>
    <w:uiPriority w:val="99"/>
    <w:rPr>
      <w:rFonts w:ascii="Arial" w:hAnsi="Arial" w:eastAsia="宋体"/>
      <w:sz w:val="18"/>
      <w:lang w:val="en-US" w:eastAsia="zh-CN"/>
    </w:rPr>
  </w:style>
  <w:style w:type="character" w:customStyle="1" w:styleId="143">
    <w:name w:val="正文首行缩进 Char"/>
    <w:basedOn w:val="99"/>
    <w:autoRedefine/>
    <w:qFormat/>
    <w:uiPriority w:val="0"/>
    <w:rPr>
      <w:rFonts w:ascii="Times New Roman" w:hAnsi="Times New Roman" w:eastAsia="宋体" w:cs="Times New Roman"/>
      <w:kern w:val="2"/>
      <w:sz w:val="24"/>
      <w:szCs w:val="24"/>
      <w:lang w:eastAsia="zh-CN" w:bidi="ar-SA"/>
    </w:rPr>
  </w:style>
  <w:style w:type="paragraph" w:customStyle="1" w:styleId="144">
    <w:name w:val="Text"/>
    <w:autoRedefine/>
    <w:qFormat/>
    <w:uiPriority w:val="99"/>
    <w:pPr>
      <w:widowControl w:val="0"/>
      <w:tabs>
        <w:tab w:val="left" w:pos="420"/>
        <w:tab w:val="left" w:pos="840"/>
        <w:tab w:val="left" w:pos="1260"/>
      </w:tabs>
      <w:adjustRightInd w:val="0"/>
      <w:snapToGrid w:val="0"/>
      <w:spacing w:beforeLines="75" w:afterLines="50" w:line="360" w:lineRule="auto"/>
      <w:ind w:firstLine="422" w:firstLineChars="200"/>
      <w:jc w:val="both"/>
    </w:pPr>
    <w:rPr>
      <w:rFonts w:ascii="宋体" w:hAnsi="宋体" w:eastAsia="宋体" w:cs="Times New Roman"/>
      <w:b/>
      <w:sz w:val="21"/>
      <w:szCs w:val="21"/>
      <w:lang w:val="en-US" w:eastAsia="zh-CN" w:bidi="ar-SA"/>
    </w:rPr>
  </w:style>
  <w:style w:type="paragraph" w:customStyle="1" w:styleId="145">
    <w:name w:val="表格正文"/>
    <w:basedOn w:val="1"/>
    <w:autoRedefine/>
    <w:qFormat/>
    <w:uiPriority w:val="99"/>
    <w:pPr>
      <w:widowControl w:val="0"/>
      <w:tabs>
        <w:tab w:val="left" w:pos="425"/>
        <w:tab w:val="left" w:pos="851"/>
        <w:tab w:val="left" w:pos="1276"/>
        <w:tab w:val="left" w:pos="1701"/>
        <w:tab w:val="left" w:pos="2126"/>
        <w:tab w:val="left" w:pos="2552"/>
        <w:tab w:val="left" w:pos="2977"/>
      </w:tabs>
      <w:spacing w:before="60" w:after="60" w:line="400" w:lineRule="exact"/>
      <w:ind w:firstLine="200" w:firstLineChars="200"/>
      <w:jc w:val="both"/>
    </w:pPr>
    <w:rPr>
      <w:rFonts w:ascii="Tahoma" w:hAnsi="Tahoma" w:eastAsia="PMingLiUfalt"/>
      <w:sz w:val="22"/>
      <w:szCs w:val="22"/>
    </w:rPr>
  </w:style>
  <w:style w:type="paragraph" w:customStyle="1" w:styleId="146">
    <w:name w:val="表格标题"/>
    <w:basedOn w:val="145"/>
    <w:autoRedefine/>
    <w:qFormat/>
    <w:uiPriority w:val="99"/>
    <w:pPr>
      <w:spacing w:before="20"/>
      <w:jc w:val="center"/>
    </w:pPr>
    <w:rPr>
      <w:rFonts w:eastAsia="楷体_GB2312"/>
      <w:b/>
    </w:rPr>
  </w:style>
  <w:style w:type="paragraph" w:customStyle="1" w:styleId="147">
    <w:name w:val="DOT Text"/>
    <w:basedOn w:val="144"/>
    <w:autoRedefine/>
    <w:qFormat/>
    <w:uiPriority w:val="99"/>
    <w:pPr>
      <w:numPr>
        <w:ilvl w:val="0"/>
        <w:numId w:val="7"/>
      </w:numPr>
      <w:tabs>
        <w:tab w:val="left" w:pos="1680"/>
        <w:tab w:val="clear" w:pos="420"/>
      </w:tabs>
      <w:spacing w:beforeLines="25" w:afterLines="25"/>
      <w:ind w:firstLine="0" w:firstLineChars="0"/>
    </w:pPr>
  </w:style>
  <w:style w:type="character" w:customStyle="1" w:styleId="148">
    <w:name w:val="mode1"/>
    <w:autoRedefine/>
    <w:qFormat/>
    <w:uiPriority w:val="99"/>
    <w:rPr>
      <w:color w:val="444444"/>
      <w:sz w:val="18"/>
    </w:rPr>
  </w:style>
  <w:style w:type="paragraph" w:customStyle="1" w:styleId="149">
    <w:name w:val="Char4"/>
    <w:basedOn w:val="1"/>
    <w:autoRedefine/>
    <w:qFormat/>
    <w:uiPriority w:val="99"/>
    <w:pPr>
      <w:spacing w:after="160" w:line="240" w:lineRule="exact"/>
      <w:ind w:firstLine="200" w:firstLineChars="200"/>
    </w:pPr>
    <w:rPr>
      <w:rFonts w:ascii="Verdana" w:hAnsi="Verdana"/>
      <w:szCs w:val="20"/>
      <w:lang w:eastAsia="en-US"/>
    </w:rPr>
  </w:style>
  <w:style w:type="character" w:customStyle="1" w:styleId="150">
    <w:name w:val="批注文字 Char"/>
    <w:basedOn w:val="71"/>
    <w:autoRedefine/>
    <w:qFormat/>
    <w:uiPriority w:val="99"/>
    <w:rPr>
      <w:rFonts w:ascii="Times New Roman" w:hAnsi="Times New Roman" w:eastAsia="宋体" w:cs="Times New Roman"/>
      <w:kern w:val="2"/>
      <w:sz w:val="24"/>
      <w:szCs w:val="24"/>
      <w:lang w:eastAsia="zh-CN" w:bidi="ar-SA"/>
    </w:rPr>
  </w:style>
  <w:style w:type="character" w:customStyle="1" w:styleId="151">
    <w:name w:val="批注主题 Char"/>
    <w:basedOn w:val="150"/>
    <w:autoRedefine/>
    <w:qFormat/>
    <w:uiPriority w:val="0"/>
    <w:rPr>
      <w:rFonts w:ascii="Times New Roman" w:hAnsi="Times New Roman" w:eastAsia="宋体" w:cs="Times New Roman"/>
      <w:b/>
      <w:bCs/>
      <w:kern w:val="2"/>
      <w:sz w:val="24"/>
      <w:szCs w:val="24"/>
      <w:lang w:eastAsia="zh-CN" w:bidi="ar-SA"/>
    </w:rPr>
  </w:style>
  <w:style w:type="character" w:customStyle="1" w:styleId="152">
    <w:name w:val="HTML 预设格式 Char"/>
    <w:basedOn w:val="71"/>
    <w:autoRedefine/>
    <w:qFormat/>
    <w:uiPriority w:val="99"/>
    <w:rPr>
      <w:rFonts w:ascii="Courier New" w:hAnsi="Courier New" w:eastAsia="宋体" w:cs="Courier New"/>
      <w:kern w:val="2"/>
      <w:lang w:eastAsia="zh-CN" w:bidi="ar-SA"/>
    </w:rPr>
  </w:style>
  <w:style w:type="paragraph" w:customStyle="1" w:styleId="153">
    <w:name w:val="Char Char Char"/>
    <w:basedOn w:val="1"/>
    <w:autoRedefine/>
    <w:qFormat/>
    <w:uiPriority w:val="0"/>
    <w:pPr>
      <w:widowControl w:val="0"/>
      <w:spacing w:line="400" w:lineRule="exact"/>
      <w:ind w:firstLine="200" w:firstLineChars="200"/>
      <w:jc w:val="both"/>
    </w:pPr>
    <w:rPr>
      <w:rFonts w:ascii="Tahoma" w:hAnsi="Tahoma"/>
      <w:kern w:val="2"/>
      <w:szCs w:val="20"/>
    </w:rPr>
  </w:style>
  <w:style w:type="paragraph" w:customStyle="1" w:styleId="154">
    <w:name w:val="样式1"/>
    <w:basedOn w:val="35"/>
    <w:next w:val="27"/>
    <w:autoRedefine/>
    <w:qFormat/>
    <w:uiPriority w:val="99"/>
    <w:pPr>
      <w:ind w:firstLine="1958" w:firstLineChars="650"/>
    </w:pPr>
    <w:rPr>
      <w:rFonts w:ascii="仿宋_GB2312" w:hAnsi="仿宋_GB2312" w:eastAsia="仿宋_GB2312"/>
      <w:sz w:val="32"/>
    </w:rPr>
  </w:style>
  <w:style w:type="paragraph" w:customStyle="1" w:styleId="155">
    <w:name w:val="默认段落字体 Para Char Char Char Char Char Char Char"/>
    <w:basedOn w:val="1"/>
    <w:autoRedefine/>
    <w:qFormat/>
    <w:uiPriority w:val="99"/>
    <w:pPr>
      <w:widowControl w:val="0"/>
      <w:spacing w:line="400" w:lineRule="exact"/>
      <w:ind w:firstLine="200" w:firstLineChars="200"/>
      <w:jc w:val="both"/>
    </w:pPr>
    <w:rPr>
      <w:rFonts w:ascii="Tahoma" w:hAnsi="Tahoma"/>
      <w:b/>
      <w:kern w:val="2"/>
      <w:szCs w:val="20"/>
    </w:rPr>
  </w:style>
  <w:style w:type="character" w:customStyle="1" w:styleId="156">
    <w:name w:val="141"/>
    <w:qFormat/>
    <w:uiPriority w:val="99"/>
    <w:rPr>
      <w:color w:val="333333"/>
      <w:sz w:val="21"/>
      <w:u w:val="none"/>
    </w:rPr>
  </w:style>
  <w:style w:type="paragraph" w:customStyle="1" w:styleId="157">
    <w:name w:val="Char Char Char Char Char Char Char Char Char Char Char Char Char Char Char Char Char Char Char Char Char Char Char Char Char"/>
    <w:basedOn w:val="1"/>
    <w:autoRedefine/>
    <w:qFormat/>
    <w:uiPriority w:val="99"/>
    <w:pPr>
      <w:widowControl w:val="0"/>
      <w:spacing w:line="400" w:lineRule="exact"/>
      <w:ind w:firstLine="200" w:firstLineChars="200"/>
      <w:jc w:val="both"/>
    </w:pPr>
    <w:rPr>
      <w:rFonts w:ascii="Tahoma" w:hAnsi="Tahoma"/>
      <w:kern w:val="2"/>
      <w:szCs w:val="20"/>
    </w:rPr>
  </w:style>
  <w:style w:type="paragraph" w:customStyle="1" w:styleId="158">
    <w:name w:val="tableheading"/>
    <w:basedOn w:val="1"/>
    <w:autoRedefine/>
    <w:qFormat/>
    <w:uiPriority w:val="99"/>
    <w:pPr>
      <w:spacing w:before="100" w:beforeAutospacing="1" w:after="100" w:afterAutospacing="1" w:line="200" w:lineRule="atLeast"/>
      <w:ind w:firstLine="200" w:firstLineChars="200"/>
    </w:pPr>
    <w:rPr>
      <w:rFonts w:ascii="Arial Unicode MS" w:hAnsi="Arial Unicode MS"/>
      <w:sz w:val="15"/>
      <w:szCs w:val="15"/>
    </w:rPr>
  </w:style>
  <w:style w:type="character" w:customStyle="1" w:styleId="159">
    <w:name w:val="orange_blod1"/>
    <w:autoRedefine/>
    <w:qFormat/>
    <w:uiPriority w:val="99"/>
    <w:rPr>
      <w:rFonts w:ascii="Verdana" w:hAnsi="Verdana"/>
      <w:b/>
      <w:color w:val="FF6600"/>
      <w:sz w:val="17"/>
      <w:u w:val="none"/>
    </w:rPr>
  </w:style>
  <w:style w:type="paragraph" w:customStyle="1" w:styleId="160">
    <w:name w:val="Char Char1"/>
    <w:basedOn w:val="1"/>
    <w:autoRedefine/>
    <w:qFormat/>
    <w:uiPriority w:val="99"/>
    <w:pPr>
      <w:spacing w:after="160" w:line="240" w:lineRule="exact"/>
      <w:ind w:firstLine="200" w:firstLineChars="200"/>
    </w:pPr>
    <w:rPr>
      <w:rFonts w:ascii="Verdana" w:hAnsi="Verdana"/>
      <w:sz w:val="20"/>
      <w:szCs w:val="20"/>
      <w:lang w:eastAsia="en-US"/>
    </w:rPr>
  </w:style>
  <w:style w:type="paragraph" w:customStyle="1" w:styleId="161">
    <w:name w:val="Char1"/>
    <w:basedOn w:val="1"/>
    <w:autoRedefine/>
    <w:qFormat/>
    <w:uiPriority w:val="0"/>
    <w:pPr>
      <w:widowControl w:val="0"/>
      <w:adjustRightInd w:val="0"/>
      <w:spacing w:line="360" w:lineRule="auto"/>
      <w:ind w:firstLine="200" w:firstLineChars="200"/>
      <w:jc w:val="both"/>
    </w:pPr>
    <w:rPr>
      <w:szCs w:val="20"/>
    </w:rPr>
  </w:style>
  <w:style w:type="paragraph" w:customStyle="1" w:styleId="162">
    <w:name w:val="列表内容"/>
    <w:basedOn w:val="1"/>
    <w:next w:val="1"/>
    <w:autoRedefine/>
    <w:qFormat/>
    <w:uiPriority w:val="99"/>
    <w:pPr>
      <w:numPr>
        <w:ilvl w:val="0"/>
        <w:numId w:val="8"/>
      </w:numPr>
      <w:spacing w:line="400" w:lineRule="exact"/>
      <w:ind w:firstLine="200" w:firstLineChars="200"/>
    </w:pPr>
    <w:rPr>
      <w:sz w:val="18"/>
    </w:rPr>
  </w:style>
  <w:style w:type="paragraph" w:customStyle="1" w:styleId="163">
    <w:name w:val="Char Char Char Char"/>
    <w:basedOn w:val="21"/>
    <w:autoRedefine/>
    <w:qFormat/>
    <w:uiPriority w:val="99"/>
  </w:style>
  <w:style w:type="character" w:customStyle="1" w:styleId="164">
    <w:name w:val="页脚 Char3"/>
    <w:autoRedefine/>
    <w:qFormat/>
    <w:uiPriority w:val="99"/>
    <w:rPr>
      <w:rFonts w:eastAsia="宋体"/>
      <w:kern w:val="2"/>
      <w:sz w:val="18"/>
      <w:lang w:val="en-US" w:eastAsia="zh-CN"/>
    </w:rPr>
  </w:style>
  <w:style w:type="paragraph" w:customStyle="1" w:styleId="165">
    <w:name w:val="Default"/>
    <w:autoRedefine/>
    <w:qFormat/>
    <w:uiPriority w:val="0"/>
    <w:pPr>
      <w:widowControl w:val="0"/>
      <w:autoSpaceDE w:val="0"/>
      <w:autoSpaceDN w:val="0"/>
      <w:adjustRightInd w:val="0"/>
    </w:pPr>
    <w:rPr>
      <w:rFonts w:ascii="Arial Black" w:hAnsi="Arial Black" w:eastAsia="宋体" w:cs="Times New Roman"/>
      <w:color w:val="000000"/>
      <w:sz w:val="24"/>
      <w:lang w:val="en-US" w:eastAsia="zh-CN" w:bidi="ar-SA"/>
    </w:rPr>
  </w:style>
  <w:style w:type="paragraph" w:customStyle="1" w:styleId="166">
    <w:name w:val="样式2"/>
    <w:basedOn w:val="1"/>
    <w:next w:val="1"/>
    <w:link w:val="680"/>
    <w:autoRedefine/>
    <w:qFormat/>
    <w:uiPriority w:val="0"/>
    <w:pPr>
      <w:widowControl w:val="0"/>
      <w:spacing w:line="400" w:lineRule="exact"/>
      <w:ind w:firstLine="200" w:firstLineChars="200"/>
      <w:jc w:val="both"/>
    </w:pPr>
    <w:rPr>
      <w:kern w:val="2"/>
      <w:sz w:val="28"/>
    </w:rPr>
  </w:style>
  <w:style w:type="paragraph" w:customStyle="1" w:styleId="167">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168">
    <w:name w:val="Char Char Char Char Char Char Char"/>
    <w:basedOn w:val="1"/>
    <w:qFormat/>
    <w:uiPriority w:val="99"/>
    <w:pPr>
      <w:widowControl w:val="0"/>
      <w:spacing w:line="400" w:lineRule="exact"/>
      <w:ind w:firstLine="200" w:firstLineChars="200"/>
      <w:jc w:val="both"/>
    </w:pPr>
    <w:rPr>
      <w:kern w:val="2"/>
      <w:szCs w:val="20"/>
    </w:rPr>
  </w:style>
  <w:style w:type="character" w:customStyle="1" w:styleId="169">
    <w:name w:val="Char Char2"/>
    <w:autoRedefine/>
    <w:qFormat/>
    <w:uiPriority w:val="99"/>
    <w:rPr>
      <w:rFonts w:eastAsia="宋体"/>
      <w:kern w:val="2"/>
      <w:sz w:val="18"/>
      <w:lang w:val="en-US" w:eastAsia="zh-CN"/>
    </w:rPr>
  </w:style>
  <w:style w:type="character" w:customStyle="1" w:styleId="170">
    <w:name w:val="textcontents"/>
    <w:basedOn w:val="71"/>
    <w:autoRedefine/>
    <w:qFormat/>
    <w:uiPriority w:val="99"/>
    <w:rPr>
      <w:rFonts w:cs="Times New Roman"/>
    </w:rPr>
  </w:style>
  <w:style w:type="character" w:customStyle="1" w:styleId="171">
    <w:name w:val="标题 1 Char1"/>
    <w:qFormat/>
    <w:uiPriority w:val="99"/>
    <w:rPr>
      <w:rFonts w:ascii="宋体"/>
      <w:b/>
      <w:kern w:val="28"/>
      <w:sz w:val="36"/>
      <w:lang w:val="en-US" w:eastAsia="zh-CN"/>
    </w:rPr>
  </w:style>
  <w:style w:type="paragraph" w:customStyle="1" w:styleId="172">
    <w:name w:val="目录标题1"/>
    <w:basedOn w:val="1"/>
    <w:autoRedefine/>
    <w:qFormat/>
    <w:uiPriority w:val="99"/>
    <w:pPr>
      <w:widowControl w:val="0"/>
      <w:spacing w:before="120" w:after="120" w:line="320" w:lineRule="atLeast"/>
      <w:ind w:firstLine="200" w:firstLineChars="200"/>
      <w:jc w:val="center"/>
    </w:pPr>
    <w:rPr>
      <w:b/>
      <w:kern w:val="2"/>
      <w:sz w:val="32"/>
    </w:rPr>
  </w:style>
  <w:style w:type="character" w:customStyle="1" w:styleId="173">
    <w:name w:val="newsbg"/>
    <w:basedOn w:val="71"/>
    <w:autoRedefine/>
    <w:qFormat/>
    <w:uiPriority w:val="99"/>
    <w:rPr>
      <w:rFonts w:cs="Times New Roman"/>
    </w:rPr>
  </w:style>
  <w:style w:type="paragraph" w:customStyle="1" w:styleId="174">
    <w:name w:val="样式4"/>
    <w:basedOn w:val="1"/>
    <w:qFormat/>
    <w:uiPriority w:val="99"/>
    <w:pPr>
      <w:keepNext/>
      <w:keepLines/>
      <w:widowControl w:val="0"/>
      <w:numPr>
        <w:ilvl w:val="0"/>
        <w:numId w:val="9"/>
      </w:numPr>
      <w:tabs>
        <w:tab w:val="clear" w:pos="360"/>
      </w:tabs>
      <w:spacing w:line="360" w:lineRule="auto"/>
      <w:ind w:left="0" w:firstLine="601" w:firstLineChars="200"/>
      <w:jc w:val="both"/>
      <w:outlineLvl w:val="1"/>
    </w:pPr>
    <w:rPr>
      <w:rFonts w:ascii="宋体" w:hAnsi="宋体"/>
      <w:b/>
      <w:bCs/>
      <w:kern w:val="2"/>
      <w:sz w:val="30"/>
      <w:szCs w:val="30"/>
    </w:rPr>
  </w:style>
  <w:style w:type="character" w:customStyle="1" w:styleId="175">
    <w:name w:val="apple-style-span"/>
    <w:basedOn w:val="71"/>
    <w:autoRedefine/>
    <w:qFormat/>
    <w:uiPriority w:val="99"/>
    <w:rPr>
      <w:rFonts w:cs="Times New Roman"/>
    </w:rPr>
  </w:style>
  <w:style w:type="character" w:customStyle="1" w:styleId="176">
    <w:name w:val="gray121"/>
    <w:autoRedefine/>
    <w:qFormat/>
    <w:uiPriority w:val="99"/>
    <w:rPr>
      <w:color w:val="666666"/>
      <w:sz w:val="18"/>
    </w:rPr>
  </w:style>
  <w:style w:type="paragraph" w:customStyle="1" w:styleId="177">
    <w:name w:val="样式3"/>
    <w:basedOn w:val="154"/>
    <w:link w:val="679"/>
    <w:qFormat/>
    <w:uiPriority w:val="0"/>
    <w:pPr>
      <w:ind w:firstLine="2080"/>
    </w:pPr>
    <w:rPr>
      <w:szCs w:val="72"/>
    </w:rPr>
  </w:style>
  <w:style w:type="paragraph" w:customStyle="1" w:styleId="178">
    <w:name w:val="about_main1"/>
    <w:basedOn w:val="1"/>
    <w:autoRedefine/>
    <w:qFormat/>
    <w:uiPriority w:val="99"/>
    <w:pPr>
      <w:spacing w:before="30" w:after="100" w:afterAutospacing="1" w:line="400" w:lineRule="exact"/>
      <w:ind w:firstLine="200" w:firstLineChars="200"/>
    </w:pPr>
    <w:rPr>
      <w:rFonts w:ascii="宋体" w:hAnsi="宋体" w:cs="宋体"/>
    </w:rPr>
  </w:style>
  <w:style w:type="character" w:customStyle="1" w:styleId="179">
    <w:name w:val="页眉 Char1"/>
    <w:qFormat/>
    <w:uiPriority w:val="99"/>
    <w:rPr>
      <w:kern w:val="2"/>
      <w:sz w:val="18"/>
    </w:rPr>
  </w:style>
  <w:style w:type="character" w:customStyle="1" w:styleId="180">
    <w:name w:val="标题 6 Char1"/>
    <w:autoRedefine/>
    <w:qFormat/>
    <w:uiPriority w:val="99"/>
    <w:rPr>
      <w:rFonts w:ascii="Arial" w:hAnsi="Arial" w:eastAsia="黑体"/>
      <w:b/>
      <w:kern w:val="2"/>
      <w:sz w:val="24"/>
    </w:rPr>
  </w:style>
  <w:style w:type="character" w:customStyle="1" w:styleId="181">
    <w:name w:val="标题 7 Char1"/>
    <w:autoRedefine/>
    <w:qFormat/>
    <w:uiPriority w:val="99"/>
    <w:rPr>
      <w:b/>
      <w:kern w:val="2"/>
      <w:sz w:val="24"/>
    </w:rPr>
  </w:style>
  <w:style w:type="character" w:customStyle="1" w:styleId="182">
    <w:name w:val="标题 8 Char1"/>
    <w:autoRedefine/>
    <w:qFormat/>
    <w:uiPriority w:val="99"/>
    <w:rPr>
      <w:rFonts w:ascii="Arial" w:hAnsi="Arial" w:eastAsia="黑体"/>
      <w:kern w:val="2"/>
      <w:sz w:val="24"/>
    </w:rPr>
  </w:style>
  <w:style w:type="character" w:customStyle="1" w:styleId="183">
    <w:name w:val="标题 9 Char1"/>
    <w:autoRedefine/>
    <w:qFormat/>
    <w:uiPriority w:val="99"/>
    <w:rPr>
      <w:rFonts w:ascii="Arial" w:hAnsi="Arial" w:eastAsia="黑体"/>
      <w:kern w:val="2"/>
      <w:sz w:val="24"/>
    </w:rPr>
  </w:style>
  <w:style w:type="character" w:customStyle="1" w:styleId="184">
    <w:name w:val="标题 3 Char1"/>
    <w:autoRedefine/>
    <w:qFormat/>
    <w:uiPriority w:val="99"/>
    <w:rPr>
      <w:rFonts w:ascii="宋体"/>
      <w:b/>
      <w:kern w:val="2"/>
      <w:sz w:val="24"/>
      <w:lang w:val="en-US" w:eastAsia="zh-CN"/>
    </w:rPr>
  </w:style>
  <w:style w:type="character" w:customStyle="1" w:styleId="185">
    <w:name w:val="Char Char6"/>
    <w:autoRedefine/>
    <w:qFormat/>
    <w:uiPriority w:val="99"/>
    <w:rPr>
      <w:rFonts w:ascii="Arial" w:hAnsi="Arial" w:eastAsia="黑体"/>
      <w:b/>
      <w:kern w:val="2"/>
      <w:sz w:val="32"/>
      <w:lang w:val="en-US" w:eastAsia="zh-CN"/>
    </w:rPr>
  </w:style>
  <w:style w:type="paragraph" w:customStyle="1" w:styleId="186">
    <w:name w:val="标四"/>
    <w:next w:val="1"/>
    <w:qFormat/>
    <w:uiPriority w:val="99"/>
    <w:pPr>
      <w:numPr>
        <w:ilvl w:val="3"/>
        <w:numId w:val="7"/>
      </w:numPr>
      <w:tabs>
        <w:tab w:val="left" w:pos="864"/>
        <w:tab w:val="clear" w:pos="1680"/>
      </w:tabs>
      <w:spacing w:line="360" w:lineRule="auto"/>
      <w:outlineLvl w:val="3"/>
    </w:pPr>
    <w:rPr>
      <w:rFonts w:ascii="宋体" w:hAnsi="宋体" w:eastAsia="宋体" w:cs="Times New Roman"/>
      <w:b/>
      <w:color w:val="FF0000"/>
      <w:kern w:val="2"/>
      <w:sz w:val="24"/>
      <w:lang w:val="en-US" w:eastAsia="zh-CN" w:bidi="ar-SA"/>
    </w:rPr>
  </w:style>
  <w:style w:type="character" w:customStyle="1" w:styleId="187">
    <w:name w:val="文档结构图 Char1"/>
    <w:link w:val="21"/>
    <w:qFormat/>
    <w:locked/>
    <w:uiPriority w:val="99"/>
  </w:style>
  <w:style w:type="character" w:customStyle="1" w:styleId="188">
    <w:name w:val="日期 Char"/>
    <w:basedOn w:val="71"/>
    <w:autoRedefine/>
    <w:qFormat/>
    <w:uiPriority w:val="0"/>
    <w:rPr>
      <w:rFonts w:ascii="Times New Roman" w:hAnsi="Times New Roman" w:eastAsia="宋体" w:cs="Times New Roman"/>
      <w:kern w:val="2"/>
      <w:sz w:val="24"/>
      <w:szCs w:val="24"/>
      <w:lang w:eastAsia="zh-CN" w:bidi="ar-SA"/>
    </w:rPr>
  </w:style>
  <w:style w:type="paragraph" w:customStyle="1" w:styleId="189">
    <w:name w:val="文档正文"/>
    <w:basedOn w:val="1"/>
    <w:autoRedefine/>
    <w:qFormat/>
    <w:uiPriority w:val="0"/>
    <w:pPr>
      <w:widowControl w:val="0"/>
      <w:adjustRightInd w:val="0"/>
      <w:spacing w:line="312" w:lineRule="atLeast"/>
      <w:ind w:firstLine="567" w:firstLineChars="200"/>
      <w:jc w:val="both"/>
      <w:textAlignment w:val="baseline"/>
    </w:pPr>
    <w:rPr>
      <w:rFonts w:ascii="长城仿宋" w:eastAsia="长城仿宋"/>
      <w:sz w:val="28"/>
      <w:szCs w:val="20"/>
    </w:rPr>
  </w:style>
  <w:style w:type="paragraph" w:customStyle="1" w:styleId="190">
    <w:name w:val="正文1"/>
    <w:autoRedefine/>
    <w:qFormat/>
    <w:uiPriority w:val="0"/>
    <w:pPr>
      <w:widowControl w:val="0"/>
      <w:adjustRightInd w:val="0"/>
      <w:spacing w:line="240" w:lineRule="atLeast"/>
      <w:textAlignment w:val="baseline"/>
    </w:pPr>
    <w:rPr>
      <w:rFonts w:ascii="Times New Roman" w:hAnsi="Times New Roman" w:eastAsia="宋体" w:cs="Times New Roman"/>
      <w:lang w:val="en-US" w:eastAsia="zh-CN" w:bidi="ar-SA"/>
    </w:rPr>
  </w:style>
  <w:style w:type="character" w:customStyle="1" w:styleId="191">
    <w:name w:val="正文文本 Char1"/>
    <w:autoRedefine/>
    <w:qFormat/>
    <w:uiPriority w:val="99"/>
    <w:rPr>
      <w:kern w:val="2"/>
      <w:sz w:val="24"/>
    </w:rPr>
  </w:style>
  <w:style w:type="character" w:customStyle="1" w:styleId="192">
    <w:name w:val="正文首行缩进 Char1"/>
    <w:basedOn w:val="191"/>
    <w:autoRedefine/>
    <w:semiHidden/>
    <w:qFormat/>
    <w:uiPriority w:val="99"/>
    <w:rPr>
      <w:rFonts w:cs="Times New Roman"/>
      <w:kern w:val="2"/>
      <w:sz w:val="24"/>
      <w:szCs w:val="24"/>
    </w:rPr>
  </w:style>
  <w:style w:type="character" w:customStyle="1" w:styleId="193">
    <w:name w:val="页脚 Char1"/>
    <w:autoRedefine/>
    <w:qFormat/>
    <w:uiPriority w:val="99"/>
    <w:rPr>
      <w:kern w:val="2"/>
      <w:sz w:val="18"/>
    </w:rPr>
  </w:style>
  <w:style w:type="character" w:customStyle="1" w:styleId="194">
    <w:name w:val="正文文本 3 Char"/>
    <w:basedOn w:val="71"/>
    <w:qFormat/>
    <w:uiPriority w:val="0"/>
    <w:rPr>
      <w:rFonts w:ascii="Times New Roman" w:hAnsi="Times New Roman" w:eastAsia="宋体" w:cs="Times New Roman"/>
      <w:kern w:val="2"/>
      <w:sz w:val="16"/>
      <w:szCs w:val="16"/>
      <w:lang w:eastAsia="zh-CN" w:bidi="ar-SA"/>
    </w:rPr>
  </w:style>
  <w:style w:type="character" w:customStyle="1" w:styleId="195">
    <w:name w:val="正文文本 2 Char"/>
    <w:basedOn w:val="71"/>
    <w:autoRedefine/>
    <w:qFormat/>
    <w:uiPriority w:val="0"/>
    <w:rPr>
      <w:rFonts w:ascii="Times New Roman" w:hAnsi="Times New Roman" w:eastAsia="宋体" w:cs="Times New Roman"/>
      <w:kern w:val="2"/>
      <w:sz w:val="24"/>
      <w:szCs w:val="24"/>
      <w:lang w:eastAsia="zh-CN" w:bidi="ar-SA"/>
    </w:rPr>
  </w:style>
  <w:style w:type="paragraph" w:customStyle="1" w:styleId="196">
    <w:name w:val="font11"/>
    <w:basedOn w:val="1"/>
    <w:autoRedefine/>
    <w:qFormat/>
    <w:uiPriority w:val="99"/>
    <w:pPr>
      <w:numPr>
        <w:ilvl w:val="3"/>
        <w:numId w:val="10"/>
      </w:numPr>
      <w:tabs>
        <w:tab w:val="left" w:pos="1680"/>
      </w:tabs>
      <w:spacing w:before="100" w:beforeAutospacing="1" w:after="100" w:afterAutospacing="1" w:line="400" w:lineRule="exact"/>
      <w:ind w:left="0" w:firstLine="0" w:firstLineChars="200"/>
    </w:pPr>
    <w:rPr>
      <w:b/>
      <w:sz w:val="22"/>
      <w:szCs w:val="20"/>
    </w:rPr>
  </w:style>
  <w:style w:type="paragraph" w:customStyle="1" w:styleId="197">
    <w:name w:val="Char Char Char Char Char Char Char Char Char Char Char Char Char Char Char Char"/>
    <w:basedOn w:val="1"/>
    <w:autoRedefine/>
    <w:qFormat/>
    <w:uiPriority w:val="99"/>
    <w:pPr>
      <w:spacing w:before="100" w:beforeAutospacing="1" w:after="100" w:afterAutospacing="1" w:line="330" w:lineRule="atLeast"/>
      <w:ind w:left="360" w:firstLine="200" w:firstLineChars="200"/>
    </w:pPr>
    <w:rPr>
      <w:rFonts w:ascii="??" w:hAnsi="??"/>
      <w:color w:val="51585D"/>
      <w:szCs w:val="20"/>
    </w:rPr>
  </w:style>
  <w:style w:type="paragraph" w:customStyle="1" w:styleId="198">
    <w:name w:val="p0"/>
    <w:basedOn w:val="1"/>
    <w:autoRedefine/>
    <w:qFormat/>
    <w:uiPriority w:val="0"/>
    <w:pPr>
      <w:spacing w:line="400" w:lineRule="exact"/>
      <w:ind w:firstLine="200" w:firstLineChars="200"/>
      <w:jc w:val="both"/>
    </w:pPr>
    <w:rPr>
      <w:szCs w:val="21"/>
    </w:rPr>
  </w:style>
  <w:style w:type="character" w:customStyle="1" w:styleId="199">
    <w:name w:val="正文文本缩进 2 Char"/>
    <w:basedOn w:val="71"/>
    <w:autoRedefine/>
    <w:qFormat/>
    <w:uiPriority w:val="0"/>
    <w:rPr>
      <w:rFonts w:ascii="Times New Roman" w:hAnsi="Times New Roman" w:eastAsia="宋体" w:cs="Times New Roman"/>
      <w:kern w:val="2"/>
      <w:sz w:val="24"/>
      <w:szCs w:val="24"/>
      <w:lang w:eastAsia="zh-CN" w:bidi="ar-SA"/>
    </w:rPr>
  </w:style>
  <w:style w:type="character" w:customStyle="1" w:styleId="200">
    <w:name w:val="正文文本缩进 3 Char"/>
    <w:basedOn w:val="71"/>
    <w:autoRedefine/>
    <w:qFormat/>
    <w:uiPriority w:val="0"/>
    <w:rPr>
      <w:rFonts w:ascii="Times New Roman" w:hAnsi="Times New Roman" w:eastAsia="宋体" w:cs="Times New Roman"/>
      <w:kern w:val="2"/>
      <w:sz w:val="16"/>
      <w:szCs w:val="16"/>
      <w:lang w:eastAsia="zh-CN" w:bidi="ar-SA"/>
    </w:rPr>
  </w:style>
  <w:style w:type="character" w:customStyle="1" w:styleId="201">
    <w:name w:val="标题 Char1"/>
    <w:autoRedefine/>
    <w:qFormat/>
    <w:uiPriority w:val="10"/>
    <w:rPr>
      <w:rFonts w:ascii="Arial" w:hAnsi="Arial"/>
      <w:b/>
      <w:smallCaps/>
      <w:kern w:val="28"/>
      <w:sz w:val="36"/>
      <w:lang w:eastAsia="en-US"/>
    </w:rPr>
  </w:style>
  <w:style w:type="character" w:customStyle="1" w:styleId="202">
    <w:name w:val="副标题 Char1"/>
    <w:autoRedefine/>
    <w:qFormat/>
    <w:uiPriority w:val="99"/>
    <w:rPr>
      <w:rFonts w:ascii="Cambria" w:hAnsi="Cambria"/>
      <w:b/>
      <w:kern w:val="28"/>
      <w:sz w:val="32"/>
    </w:rPr>
  </w:style>
  <w:style w:type="paragraph" w:customStyle="1" w:styleId="203">
    <w:name w:val="首行缩进2小四1"/>
    <w:basedOn w:val="1"/>
    <w:next w:val="1"/>
    <w:qFormat/>
    <w:uiPriority w:val="99"/>
    <w:pPr>
      <w:widowControl w:val="0"/>
      <w:spacing w:line="400" w:lineRule="exact"/>
      <w:ind w:firstLine="480" w:firstLineChars="200"/>
      <w:jc w:val="both"/>
    </w:pPr>
    <w:rPr>
      <w:rFonts w:ascii="Verdana" w:hAnsi="Verdana" w:eastAsia="华文细黑" w:cs="宋体"/>
      <w:kern w:val="2"/>
      <w:szCs w:val="20"/>
    </w:rPr>
  </w:style>
  <w:style w:type="paragraph" w:customStyle="1" w:styleId="204">
    <w:name w:val="Char Char Char Char Char Char Char Char Char Char Char Char Char Char"/>
    <w:basedOn w:val="1"/>
    <w:autoRedefine/>
    <w:qFormat/>
    <w:uiPriority w:val="99"/>
    <w:pPr>
      <w:widowControl w:val="0"/>
      <w:spacing w:line="400" w:lineRule="exact"/>
      <w:ind w:firstLine="200" w:firstLineChars="200"/>
      <w:jc w:val="both"/>
    </w:pPr>
    <w:rPr>
      <w:rFonts w:ascii="Tahoma" w:hAnsi="Tahoma"/>
      <w:kern w:val="2"/>
      <w:szCs w:val="20"/>
    </w:rPr>
  </w:style>
  <w:style w:type="character" w:customStyle="1" w:styleId="205">
    <w:name w:val="正文首行缩进 2 Char"/>
    <w:basedOn w:val="104"/>
    <w:qFormat/>
    <w:uiPriority w:val="99"/>
    <w:rPr>
      <w:rFonts w:ascii="宋体" w:hAnsi="宋体" w:eastAsia="宋体" w:cs="Times New Roman"/>
      <w:kern w:val="2"/>
      <w:sz w:val="21"/>
      <w:szCs w:val="21"/>
      <w:lang w:bidi="ar-SA"/>
    </w:rPr>
  </w:style>
  <w:style w:type="paragraph" w:customStyle="1" w:styleId="206">
    <w:name w:val="样式 正文文本缩进 + 段前: 2 字符"/>
    <w:basedOn w:val="1"/>
    <w:qFormat/>
    <w:uiPriority w:val="99"/>
    <w:pPr>
      <w:widowControl w:val="0"/>
      <w:spacing w:line="400" w:lineRule="exact"/>
      <w:ind w:left="420" w:leftChars="200" w:firstLine="200" w:firstLineChars="200"/>
    </w:pPr>
    <w:rPr>
      <w:kern w:val="2"/>
      <w:sz w:val="28"/>
      <w:lang w:eastAsia="zh-TW"/>
    </w:rPr>
  </w:style>
  <w:style w:type="paragraph" w:customStyle="1" w:styleId="207">
    <w:name w:val="删除"/>
    <w:basedOn w:val="141"/>
    <w:qFormat/>
    <w:uiPriority w:val="99"/>
    <w:pPr>
      <w:widowControl w:val="0"/>
      <w:tabs>
        <w:tab w:val="clear" w:pos="0"/>
      </w:tabs>
      <w:autoSpaceDE/>
      <w:autoSpaceDN/>
      <w:adjustRightInd/>
      <w:snapToGrid w:val="0"/>
      <w:jc w:val="left"/>
    </w:pPr>
    <w:rPr>
      <w:rFonts w:cs="Arial"/>
      <w:strike/>
      <w:color w:val="0000FF"/>
      <w:szCs w:val="18"/>
    </w:rPr>
  </w:style>
  <w:style w:type="paragraph" w:customStyle="1" w:styleId="208">
    <w:name w:val="tabletext"/>
    <w:basedOn w:val="1"/>
    <w:qFormat/>
    <w:uiPriority w:val="99"/>
    <w:pPr>
      <w:spacing w:before="100" w:beforeAutospacing="1" w:after="100" w:afterAutospacing="1" w:line="400" w:lineRule="exact"/>
      <w:ind w:firstLine="200" w:firstLineChars="200"/>
    </w:pPr>
    <w:rPr>
      <w:rFonts w:ascii="宋体" w:hAnsi="宋体" w:cs="宋体"/>
    </w:rPr>
  </w:style>
  <w:style w:type="paragraph" w:customStyle="1" w:styleId="209">
    <w:name w:val="tabletextchar"/>
    <w:basedOn w:val="1"/>
    <w:autoRedefine/>
    <w:qFormat/>
    <w:uiPriority w:val="99"/>
    <w:pPr>
      <w:spacing w:before="100" w:beforeAutospacing="1" w:after="100" w:afterAutospacing="1" w:line="400" w:lineRule="exact"/>
      <w:ind w:firstLine="200" w:firstLineChars="200"/>
    </w:pPr>
    <w:rPr>
      <w:rFonts w:ascii="宋体" w:hAnsi="宋体" w:cs="宋体"/>
    </w:rPr>
  </w:style>
  <w:style w:type="character" w:customStyle="1" w:styleId="210">
    <w:name w:val="正文缩进 Char"/>
    <w:link w:val="18"/>
    <w:autoRedefine/>
    <w:qFormat/>
    <w:locked/>
    <w:uiPriority w:val="99"/>
  </w:style>
  <w:style w:type="character" w:customStyle="1" w:styleId="211">
    <w:name w:val="标题 4 Char1"/>
    <w:autoRedefine/>
    <w:qFormat/>
    <w:uiPriority w:val="99"/>
    <w:rPr>
      <w:rFonts w:ascii="Arial" w:hAnsi="Arial" w:eastAsia="黑体"/>
      <w:b/>
      <w:kern w:val="2"/>
      <w:sz w:val="28"/>
    </w:rPr>
  </w:style>
  <w:style w:type="paragraph" w:customStyle="1" w:styleId="212">
    <w:name w:val="Char Char Char2"/>
    <w:basedOn w:val="1"/>
    <w:qFormat/>
    <w:uiPriority w:val="99"/>
    <w:pPr>
      <w:widowControl w:val="0"/>
      <w:spacing w:line="400" w:lineRule="exact"/>
      <w:ind w:firstLine="200" w:firstLineChars="200"/>
      <w:jc w:val="both"/>
    </w:pPr>
    <w:rPr>
      <w:rFonts w:ascii="Tahoma" w:hAnsi="Tahoma"/>
      <w:kern w:val="2"/>
      <w:szCs w:val="20"/>
    </w:rPr>
  </w:style>
  <w:style w:type="paragraph" w:customStyle="1" w:styleId="213">
    <w:name w:val="Char Char Char Char Char Char Char Char Char Char Char Char Char Char Char Char Char Char Char Char Char Char Char Char Char2"/>
    <w:basedOn w:val="1"/>
    <w:autoRedefine/>
    <w:qFormat/>
    <w:uiPriority w:val="99"/>
    <w:pPr>
      <w:widowControl w:val="0"/>
      <w:spacing w:line="400" w:lineRule="exact"/>
      <w:ind w:firstLine="200" w:firstLineChars="200"/>
      <w:jc w:val="both"/>
    </w:pPr>
    <w:rPr>
      <w:rFonts w:ascii="Tahoma" w:hAnsi="Tahoma"/>
      <w:kern w:val="2"/>
      <w:szCs w:val="20"/>
    </w:rPr>
  </w:style>
  <w:style w:type="paragraph" w:customStyle="1" w:styleId="214">
    <w:name w:val="Char Char12"/>
    <w:basedOn w:val="1"/>
    <w:autoRedefine/>
    <w:qFormat/>
    <w:uiPriority w:val="99"/>
    <w:pPr>
      <w:spacing w:after="160" w:line="240" w:lineRule="exact"/>
      <w:ind w:firstLine="200" w:firstLineChars="200"/>
    </w:pPr>
    <w:rPr>
      <w:rFonts w:ascii="Verdana" w:hAnsi="Verdana"/>
      <w:sz w:val="20"/>
      <w:szCs w:val="20"/>
      <w:lang w:eastAsia="en-US"/>
    </w:rPr>
  </w:style>
  <w:style w:type="paragraph" w:customStyle="1" w:styleId="215">
    <w:name w:val="Char12"/>
    <w:basedOn w:val="1"/>
    <w:qFormat/>
    <w:uiPriority w:val="99"/>
    <w:pPr>
      <w:widowControl w:val="0"/>
      <w:adjustRightInd w:val="0"/>
      <w:spacing w:line="360" w:lineRule="auto"/>
      <w:ind w:firstLine="200" w:firstLineChars="200"/>
      <w:jc w:val="both"/>
    </w:pPr>
    <w:rPr>
      <w:szCs w:val="20"/>
    </w:rPr>
  </w:style>
  <w:style w:type="paragraph" w:customStyle="1" w:styleId="216">
    <w:name w:val="Char Char Char Char2"/>
    <w:basedOn w:val="21"/>
    <w:autoRedefine/>
    <w:qFormat/>
    <w:uiPriority w:val="99"/>
  </w:style>
  <w:style w:type="character" w:customStyle="1" w:styleId="217">
    <w:name w:val="Char Char23"/>
    <w:autoRedefine/>
    <w:qFormat/>
    <w:uiPriority w:val="99"/>
    <w:rPr>
      <w:rFonts w:eastAsia="宋体"/>
      <w:kern w:val="2"/>
      <w:sz w:val="18"/>
      <w:lang w:val="en-US" w:eastAsia="zh-CN"/>
    </w:rPr>
  </w:style>
  <w:style w:type="character" w:customStyle="1" w:styleId="218">
    <w:name w:val="Char Char62"/>
    <w:autoRedefine/>
    <w:qFormat/>
    <w:uiPriority w:val="99"/>
    <w:rPr>
      <w:rFonts w:ascii="Arial" w:hAnsi="Arial" w:eastAsia="黑体"/>
      <w:b/>
      <w:kern w:val="2"/>
      <w:sz w:val="32"/>
      <w:lang w:val="en-US" w:eastAsia="zh-CN"/>
    </w:rPr>
  </w:style>
  <w:style w:type="paragraph" w:customStyle="1" w:styleId="219">
    <w:name w:val="正文12"/>
    <w:autoRedefine/>
    <w:qFormat/>
    <w:uiPriority w:val="99"/>
    <w:pPr>
      <w:widowControl w:val="0"/>
      <w:adjustRightInd w:val="0"/>
      <w:spacing w:line="240" w:lineRule="atLeast"/>
      <w:textAlignment w:val="baseline"/>
    </w:pPr>
    <w:rPr>
      <w:rFonts w:ascii="Times New Roman" w:hAnsi="Times New Roman" w:eastAsia="宋体" w:cs="Times New Roman"/>
      <w:lang w:val="en-US" w:eastAsia="zh-CN" w:bidi="ar-SA"/>
    </w:rPr>
  </w:style>
  <w:style w:type="paragraph" w:customStyle="1" w:styleId="220">
    <w:name w:val="自由格式"/>
    <w:autoRedefine/>
    <w:qFormat/>
    <w:uiPriority w:val="99"/>
    <w:pPr>
      <w:spacing w:line="312" w:lineRule="auto"/>
      <w:outlineLvl w:val="0"/>
    </w:pPr>
    <w:rPr>
      <w:rFonts w:ascii="Baskerville" w:hAnsi="Baskerville" w:eastAsia="ヒラギノ角ゴ Pro W3" w:cs="Times New Roman"/>
      <w:color w:val="000000"/>
      <w:sz w:val="18"/>
      <w:lang w:val="en-US" w:eastAsia="zh-CN" w:bidi="ar-SA"/>
    </w:rPr>
  </w:style>
  <w:style w:type="paragraph" w:customStyle="1" w:styleId="221">
    <w:name w:val="xl32"/>
    <w:basedOn w:val="1"/>
    <w:autoRedefine/>
    <w:qFormat/>
    <w:uiPriority w:val="99"/>
    <w:pPr>
      <w:spacing w:before="100" w:beforeAutospacing="1" w:after="100" w:afterAutospacing="1" w:line="400" w:lineRule="exact"/>
      <w:ind w:firstLine="200" w:firstLineChars="200"/>
      <w:jc w:val="center"/>
      <w:textAlignment w:val="center"/>
    </w:pPr>
    <w:rPr>
      <w:rFonts w:ascii="宋体" w:hAnsi="宋体"/>
      <w:color w:val="000000"/>
      <w:sz w:val="40"/>
      <w:szCs w:val="40"/>
    </w:rPr>
  </w:style>
  <w:style w:type="paragraph" w:customStyle="1" w:styleId="222">
    <w:name w:val="È΅ΐÊ¡ÎÄ΅ΐ¾"/>
    <w:basedOn w:val="1"/>
    <w:qFormat/>
    <w:uiPriority w:val="99"/>
    <w:pPr>
      <w:overflowPunct w:val="0"/>
      <w:autoSpaceDE w:val="0"/>
      <w:autoSpaceDN w:val="0"/>
      <w:adjustRightInd w:val="0"/>
      <w:spacing w:line="400" w:lineRule="exact"/>
      <w:ind w:firstLine="200" w:firstLineChars="200"/>
    </w:pPr>
    <w:rPr>
      <w:szCs w:val="20"/>
    </w:rPr>
  </w:style>
  <w:style w:type="character" w:customStyle="1" w:styleId="223">
    <w:name w:val="marklong"/>
    <w:qFormat/>
    <w:uiPriority w:val="99"/>
    <w:rPr>
      <w:rFonts w:ascii="宋体" w:hAnsi="宋体" w:eastAsia="宋体"/>
      <w:kern w:val="2"/>
      <w:sz w:val="28"/>
      <w:lang w:val="en-US" w:eastAsia="zh-CN"/>
    </w:rPr>
  </w:style>
  <w:style w:type="paragraph" w:customStyle="1" w:styleId="224">
    <w:name w:val="text1"/>
    <w:basedOn w:val="1"/>
    <w:autoRedefine/>
    <w:qFormat/>
    <w:uiPriority w:val="99"/>
    <w:pPr>
      <w:spacing w:before="100" w:beforeAutospacing="1" w:after="100" w:afterAutospacing="1" w:line="400" w:lineRule="exact"/>
      <w:ind w:firstLine="200" w:firstLineChars="200"/>
    </w:pPr>
    <w:rPr>
      <w:rFonts w:ascii="宋体" w:hAnsi="宋体"/>
    </w:rPr>
  </w:style>
  <w:style w:type="paragraph" w:customStyle="1" w:styleId="225">
    <w:name w:val="默认段落字体 Para Char Char Char Char Char Char Char Char Char1 Char"/>
    <w:basedOn w:val="1"/>
    <w:qFormat/>
    <w:uiPriority w:val="99"/>
    <w:pPr>
      <w:widowControl w:val="0"/>
      <w:spacing w:line="400" w:lineRule="exact"/>
      <w:ind w:firstLine="200" w:firstLineChars="200"/>
      <w:jc w:val="both"/>
    </w:pPr>
    <w:rPr>
      <w:rFonts w:ascii="Tahoma" w:hAnsi="Tahoma"/>
      <w:kern w:val="2"/>
      <w:szCs w:val="20"/>
    </w:rPr>
  </w:style>
  <w:style w:type="character" w:customStyle="1" w:styleId="226">
    <w:name w:val="Table Text Char1"/>
    <w:qFormat/>
    <w:uiPriority w:val="99"/>
    <w:rPr>
      <w:rFonts w:ascii="Arial" w:hAnsi="Arial" w:eastAsia="宋体"/>
      <w:sz w:val="18"/>
      <w:lang w:val="en-US" w:eastAsia="zh-CN"/>
    </w:rPr>
  </w:style>
  <w:style w:type="paragraph" w:customStyle="1" w:styleId="227">
    <w:name w:val="Char Char Char Char Char1"/>
    <w:basedOn w:val="1"/>
    <w:qFormat/>
    <w:uiPriority w:val="99"/>
    <w:pPr>
      <w:widowControl w:val="0"/>
      <w:spacing w:line="400" w:lineRule="exact"/>
      <w:ind w:firstLine="200" w:firstLineChars="200"/>
      <w:jc w:val="both"/>
    </w:pPr>
    <w:rPr>
      <w:kern w:val="2"/>
    </w:rPr>
  </w:style>
  <w:style w:type="character" w:customStyle="1" w:styleId="228">
    <w:name w:val="biaolan_12"/>
    <w:qFormat/>
    <w:uiPriority w:val="99"/>
  </w:style>
  <w:style w:type="paragraph" w:customStyle="1" w:styleId="229">
    <w:name w:val="Item List in Table"/>
    <w:qFormat/>
    <w:uiPriority w:val="99"/>
    <w:pPr>
      <w:tabs>
        <w:tab w:val="left" w:pos="360"/>
      </w:tabs>
      <w:spacing w:before="40" w:after="40"/>
      <w:ind w:left="360" w:hanging="360"/>
      <w:jc w:val="both"/>
    </w:pPr>
    <w:rPr>
      <w:rFonts w:ascii="Arial" w:hAnsi="Arial" w:eastAsia="宋体" w:cs="Arial"/>
      <w:sz w:val="18"/>
      <w:szCs w:val="18"/>
      <w:lang w:val="en-US" w:eastAsia="zh-CN" w:bidi="ar-SA"/>
    </w:rPr>
  </w:style>
  <w:style w:type="character" w:customStyle="1" w:styleId="230">
    <w:name w:val="Char Char20"/>
    <w:qFormat/>
    <w:locked/>
    <w:uiPriority w:val="99"/>
    <w:rPr>
      <w:rFonts w:ascii="宋体" w:hAnsi="Courier New" w:eastAsia="宋体"/>
      <w:kern w:val="2"/>
      <w:sz w:val="28"/>
      <w:lang w:val="en-US" w:eastAsia="zh-CN"/>
    </w:rPr>
  </w:style>
  <w:style w:type="character" w:customStyle="1" w:styleId="231">
    <w:name w:val="Char Char21"/>
    <w:autoRedefine/>
    <w:qFormat/>
    <w:locked/>
    <w:uiPriority w:val="99"/>
    <w:rPr>
      <w:rFonts w:ascii="宋体" w:hAnsi="Courier New" w:eastAsia="宋体"/>
      <w:kern w:val="2"/>
      <w:sz w:val="24"/>
      <w:lang w:val="en-US" w:eastAsia="zh-CN"/>
    </w:rPr>
  </w:style>
  <w:style w:type="paragraph" w:customStyle="1" w:styleId="232">
    <w:name w:val="Char2"/>
    <w:basedOn w:val="1"/>
    <w:autoRedefine/>
    <w:qFormat/>
    <w:uiPriority w:val="99"/>
    <w:pPr>
      <w:widowControl w:val="0"/>
      <w:adjustRightInd w:val="0"/>
      <w:spacing w:line="360" w:lineRule="auto"/>
      <w:ind w:firstLine="200" w:firstLineChars="200"/>
      <w:jc w:val="both"/>
    </w:pPr>
    <w:rPr>
      <w:szCs w:val="20"/>
    </w:rPr>
  </w:style>
  <w:style w:type="character" w:customStyle="1" w:styleId="233">
    <w:name w:val="protextfont"/>
    <w:basedOn w:val="71"/>
    <w:autoRedefine/>
    <w:qFormat/>
    <w:uiPriority w:val="99"/>
    <w:rPr>
      <w:rFonts w:cs="Times New Roman"/>
    </w:rPr>
  </w:style>
  <w:style w:type="character" w:customStyle="1" w:styleId="234">
    <w:name w:val="apple-converted-space"/>
    <w:basedOn w:val="71"/>
    <w:autoRedefine/>
    <w:qFormat/>
    <w:uiPriority w:val="0"/>
    <w:rPr>
      <w:rFonts w:cs="Times New Roman"/>
    </w:rPr>
  </w:style>
  <w:style w:type="character" w:customStyle="1" w:styleId="235">
    <w:name w:val="卷标题 Char1"/>
    <w:autoRedefine/>
    <w:qFormat/>
    <w:uiPriority w:val="99"/>
    <w:rPr>
      <w:rFonts w:eastAsia="宋体"/>
      <w:b/>
      <w:kern w:val="44"/>
      <w:sz w:val="44"/>
      <w:lang w:val="en-US" w:eastAsia="zh-CN"/>
    </w:rPr>
  </w:style>
  <w:style w:type="character" w:customStyle="1" w:styleId="236">
    <w:name w:val="正文-1 Char"/>
    <w:link w:val="237"/>
    <w:autoRedefine/>
    <w:qFormat/>
    <w:locked/>
    <w:uiPriority w:val="99"/>
    <w:rPr>
      <w:rFonts w:eastAsia="仿宋_GB2312"/>
      <w:kern w:val="2"/>
      <w:sz w:val="28"/>
    </w:rPr>
  </w:style>
  <w:style w:type="paragraph" w:customStyle="1" w:styleId="237">
    <w:name w:val="正文-1"/>
    <w:basedOn w:val="1"/>
    <w:link w:val="236"/>
    <w:qFormat/>
    <w:uiPriority w:val="99"/>
    <w:pPr>
      <w:widowControl w:val="0"/>
      <w:spacing w:line="360" w:lineRule="auto"/>
      <w:ind w:firstLine="560" w:firstLineChars="200"/>
      <w:jc w:val="both"/>
    </w:pPr>
    <w:rPr>
      <w:rFonts w:ascii="Calibri" w:hAnsi="Calibri" w:eastAsia="仿宋_GB2312"/>
      <w:kern w:val="2"/>
      <w:sz w:val="28"/>
      <w:szCs w:val="20"/>
    </w:rPr>
  </w:style>
  <w:style w:type="character" w:customStyle="1" w:styleId="238">
    <w:name w:val="脚注文本 Char"/>
    <w:qFormat/>
    <w:uiPriority w:val="99"/>
    <w:rPr>
      <w:kern w:val="2"/>
      <w:sz w:val="24"/>
    </w:rPr>
  </w:style>
  <w:style w:type="character" w:customStyle="1" w:styleId="239">
    <w:name w:val="标题 2 Char Char Char Char"/>
    <w:autoRedefine/>
    <w:qFormat/>
    <w:uiPriority w:val="99"/>
    <w:rPr>
      <w:rFonts w:ascii="黑体" w:hAnsi="Arial" w:eastAsia="黑体"/>
      <w:b/>
      <w:sz w:val="30"/>
      <w:lang w:val="en-US" w:eastAsia="zh-CN"/>
    </w:rPr>
  </w:style>
  <w:style w:type="character" w:customStyle="1" w:styleId="240">
    <w:name w:val="style81"/>
    <w:autoRedefine/>
    <w:qFormat/>
    <w:uiPriority w:val="99"/>
    <w:rPr>
      <w:sz w:val="21"/>
    </w:rPr>
  </w:style>
  <w:style w:type="character" w:customStyle="1" w:styleId="241">
    <w:name w:val="正文内容 Char"/>
    <w:link w:val="242"/>
    <w:qFormat/>
    <w:locked/>
    <w:uiPriority w:val="99"/>
    <w:rPr>
      <w:kern w:val="2"/>
      <w:sz w:val="24"/>
    </w:rPr>
  </w:style>
  <w:style w:type="paragraph" w:customStyle="1" w:styleId="242">
    <w:name w:val="正文内容"/>
    <w:basedOn w:val="1"/>
    <w:link w:val="241"/>
    <w:qFormat/>
    <w:uiPriority w:val="99"/>
    <w:pPr>
      <w:widowControl w:val="0"/>
      <w:spacing w:beforeLines="50" w:afterLines="50" w:line="360" w:lineRule="auto"/>
      <w:ind w:firstLine="480" w:firstLineChars="200"/>
      <w:jc w:val="both"/>
    </w:pPr>
    <w:rPr>
      <w:rFonts w:ascii="Calibri" w:hAnsi="Calibri"/>
      <w:kern w:val="2"/>
      <w:szCs w:val="20"/>
    </w:rPr>
  </w:style>
  <w:style w:type="character" w:customStyle="1" w:styleId="243">
    <w:name w:val="content-white1"/>
    <w:autoRedefine/>
    <w:qFormat/>
    <w:uiPriority w:val="99"/>
    <w:rPr>
      <w:color w:val="auto"/>
      <w:sz w:val="18"/>
      <w:u w:val="none"/>
    </w:rPr>
  </w:style>
  <w:style w:type="character" w:customStyle="1" w:styleId="244">
    <w:name w:val="Body Char"/>
    <w:link w:val="245"/>
    <w:autoRedefine/>
    <w:qFormat/>
    <w:locked/>
    <w:uiPriority w:val="99"/>
    <w:rPr>
      <w:rFonts w:ascii="宋体" w:hAnsi="宋体"/>
      <w:szCs w:val="21"/>
    </w:rPr>
  </w:style>
  <w:style w:type="paragraph" w:customStyle="1" w:styleId="245">
    <w:name w:val="Body"/>
    <w:basedOn w:val="1"/>
    <w:link w:val="244"/>
    <w:autoRedefine/>
    <w:qFormat/>
    <w:uiPriority w:val="99"/>
    <w:pPr>
      <w:numPr>
        <w:ilvl w:val="0"/>
        <w:numId w:val="10"/>
      </w:numPr>
      <w:tabs>
        <w:tab w:val="left" w:pos="420"/>
        <w:tab w:val="left" w:pos="9356"/>
        <w:tab w:val="clear" w:pos="425"/>
      </w:tabs>
      <w:spacing w:before="80" w:after="80" w:line="360" w:lineRule="auto"/>
      <w:ind w:left="420" w:hanging="420"/>
      <w:jc w:val="both"/>
    </w:pPr>
    <w:rPr>
      <w:rFonts w:ascii="宋体" w:hAnsi="宋体"/>
      <w:sz w:val="20"/>
      <w:szCs w:val="21"/>
    </w:rPr>
  </w:style>
  <w:style w:type="character" w:customStyle="1" w:styleId="246">
    <w:name w:val="注释标题 Char"/>
    <w:qFormat/>
    <w:uiPriority w:val="99"/>
    <w:rPr>
      <w:kern w:val="2"/>
      <w:sz w:val="24"/>
    </w:rPr>
  </w:style>
  <w:style w:type="character" w:customStyle="1" w:styleId="247">
    <w:name w:val="style21"/>
    <w:autoRedefine/>
    <w:qFormat/>
    <w:uiPriority w:val="99"/>
    <w:rPr>
      <w:sz w:val="21"/>
    </w:rPr>
  </w:style>
  <w:style w:type="character" w:customStyle="1" w:styleId="248">
    <w:name w:val="标题1"/>
    <w:basedOn w:val="71"/>
    <w:qFormat/>
    <w:uiPriority w:val="99"/>
    <w:rPr>
      <w:rFonts w:cs="Times New Roman"/>
    </w:rPr>
  </w:style>
  <w:style w:type="character" w:customStyle="1" w:styleId="249">
    <w:name w:val="crowed11"/>
    <w:qFormat/>
    <w:uiPriority w:val="99"/>
    <w:rPr>
      <w:sz w:val="24"/>
    </w:rPr>
  </w:style>
  <w:style w:type="character" w:customStyle="1" w:styleId="250">
    <w:name w:val="line"/>
    <w:basedOn w:val="71"/>
    <w:autoRedefine/>
    <w:qFormat/>
    <w:uiPriority w:val="99"/>
    <w:rPr>
      <w:rFonts w:cs="Times New Roman"/>
    </w:rPr>
  </w:style>
  <w:style w:type="character" w:customStyle="1" w:styleId="251">
    <w:name w:val="第三层条 Char"/>
    <w:qFormat/>
    <w:uiPriority w:val="99"/>
    <w:rPr>
      <w:rFonts w:ascii="Arial" w:hAnsi="Arial" w:eastAsia="黑体"/>
      <w:b/>
      <w:kern w:val="2"/>
      <w:sz w:val="28"/>
      <w:lang w:val="en-US" w:eastAsia="zh-CN"/>
    </w:rPr>
  </w:style>
  <w:style w:type="character" w:customStyle="1" w:styleId="252">
    <w:name w:val="fy21"/>
    <w:qFormat/>
    <w:uiPriority w:val="99"/>
    <w:rPr>
      <w:rFonts w:ascii="Verdana" w:hAnsi="Verdana"/>
      <w:color w:val="0063C7"/>
      <w:sz w:val="18"/>
    </w:rPr>
  </w:style>
  <w:style w:type="character" w:customStyle="1" w:styleId="253">
    <w:name w:val="font1"/>
    <w:autoRedefine/>
    <w:qFormat/>
    <w:uiPriority w:val="99"/>
    <w:rPr>
      <w:color w:val="000000"/>
      <w:sz w:val="18"/>
    </w:rPr>
  </w:style>
  <w:style w:type="character" w:customStyle="1" w:styleId="254">
    <w:name w:val="top-det1"/>
    <w:qFormat/>
    <w:uiPriority w:val="99"/>
    <w:rPr>
      <w:b/>
      <w:color w:val="000000"/>
    </w:rPr>
  </w:style>
  <w:style w:type="character" w:customStyle="1" w:styleId="255">
    <w:name w:val="blacklink_text1"/>
    <w:autoRedefine/>
    <w:qFormat/>
    <w:uiPriority w:val="99"/>
    <w:rPr>
      <w:color w:val="0E0E0E"/>
      <w:sz w:val="18"/>
    </w:rPr>
  </w:style>
  <w:style w:type="character" w:customStyle="1" w:styleId="256">
    <w:name w:val="正文 + 三号 Char"/>
    <w:link w:val="257"/>
    <w:autoRedefine/>
    <w:qFormat/>
    <w:locked/>
    <w:uiPriority w:val="99"/>
    <w:rPr>
      <w:kern w:val="2"/>
      <w:sz w:val="24"/>
    </w:rPr>
  </w:style>
  <w:style w:type="paragraph" w:customStyle="1" w:styleId="257">
    <w:name w:val="正文 + 三号"/>
    <w:basedOn w:val="1"/>
    <w:link w:val="256"/>
    <w:qFormat/>
    <w:uiPriority w:val="99"/>
    <w:pPr>
      <w:widowControl w:val="0"/>
      <w:jc w:val="both"/>
    </w:pPr>
    <w:rPr>
      <w:rFonts w:ascii="Calibri" w:hAnsi="Calibri"/>
      <w:kern w:val="2"/>
      <w:szCs w:val="20"/>
    </w:rPr>
  </w:style>
  <w:style w:type="character" w:customStyle="1" w:styleId="258">
    <w:name w:val="未命名11"/>
    <w:autoRedefine/>
    <w:qFormat/>
    <w:uiPriority w:val="99"/>
    <w:rPr>
      <w:color w:val="77FFFF"/>
      <w:sz w:val="24"/>
    </w:rPr>
  </w:style>
  <w:style w:type="character" w:customStyle="1" w:styleId="259">
    <w:name w:val="纯文本 Char1"/>
    <w:qFormat/>
    <w:uiPriority w:val="99"/>
    <w:rPr>
      <w:rFonts w:ascii="宋体" w:hAnsi="Courier New"/>
      <w:kern w:val="2"/>
      <w:sz w:val="24"/>
    </w:rPr>
  </w:style>
  <w:style w:type="character" w:customStyle="1" w:styleId="260">
    <w:name w:val="font141"/>
    <w:qFormat/>
    <w:uiPriority w:val="99"/>
  </w:style>
  <w:style w:type="character" w:customStyle="1" w:styleId="261">
    <w:name w:val="文字 Char"/>
    <w:link w:val="262"/>
    <w:qFormat/>
    <w:locked/>
    <w:uiPriority w:val="99"/>
    <w:rPr>
      <w:rFonts w:ascii="宋体" w:eastAsia="宋体"/>
      <w:kern w:val="2"/>
      <w:sz w:val="28"/>
    </w:rPr>
  </w:style>
  <w:style w:type="paragraph" w:customStyle="1" w:styleId="262">
    <w:name w:val="文字"/>
    <w:basedOn w:val="1"/>
    <w:link w:val="261"/>
    <w:qFormat/>
    <w:uiPriority w:val="99"/>
    <w:pPr>
      <w:widowControl w:val="0"/>
      <w:tabs>
        <w:tab w:val="left" w:pos="8520"/>
      </w:tabs>
      <w:spacing w:line="312" w:lineRule="auto"/>
      <w:ind w:right="-210" w:firstLine="556"/>
      <w:jc w:val="both"/>
    </w:pPr>
    <w:rPr>
      <w:rFonts w:ascii="宋体" w:hAnsi="Calibri"/>
      <w:kern w:val="2"/>
      <w:sz w:val="28"/>
      <w:szCs w:val="20"/>
    </w:rPr>
  </w:style>
  <w:style w:type="character" w:customStyle="1" w:styleId="263">
    <w:name w:val="v151"/>
    <w:qFormat/>
    <w:uiPriority w:val="99"/>
    <w:rPr>
      <w:sz w:val="18"/>
    </w:rPr>
  </w:style>
  <w:style w:type="character" w:customStyle="1" w:styleId="264">
    <w:name w:val="样式 标题 6第五层条 + 三号 段前: 0.5 行 Char"/>
    <w:link w:val="265"/>
    <w:autoRedefine/>
    <w:qFormat/>
    <w:locked/>
    <w:uiPriority w:val="99"/>
    <w:rPr>
      <w:rFonts w:ascii="Arial" w:hAnsi="Arial" w:eastAsia="黑体"/>
      <w:b/>
      <w:snapToGrid w:val="0"/>
      <w:kern w:val="24"/>
      <w:sz w:val="24"/>
      <w:lang w:eastAsia="zh-CN"/>
    </w:rPr>
  </w:style>
  <w:style w:type="paragraph" w:customStyle="1" w:styleId="265">
    <w:name w:val="样式 标题 6第五层条 + 三号 段前: 0.5 行"/>
    <w:basedOn w:val="9"/>
    <w:link w:val="264"/>
    <w:autoRedefine/>
    <w:qFormat/>
    <w:uiPriority w:val="99"/>
    <w:pPr>
      <w:keepNext/>
      <w:keepLines/>
      <w:pBdr>
        <w:bottom w:val="none" w:color="auto" w:sz="0" w:space="0"/>
      </w:pBdr>
      <w:spacing w:beforeLines="50" w:after="64" w:line="319" w:lineRule="auto"/>
      <w:ind w:left="1152" w:hanging="1152"/>
      <w:contextualSpacing w:val="0"/>
    </w:pPr>
    <w:rPr>
      <w:rFonts w:ascii="Arial" w:hAnsi="Arial" w:eastAsia="黑体"/>
      <w:snapToGrid w:val="0"/>
      <w:color w:val="auto"/>
      <w:spacing w:val="0"/>
      <w:kern w:val="24"/>
      <w:szCs w:val="20"/>
    </w:rPr>
  </w:style>
  <w:style w:type="character" w:customStyle="1" w:styleId="266">
    <w:name w:val="DAS正文 Char"/>
    <w:link w:val="267"/>
    <w:autoRedefine/>
    <w:qFormat/>
    <w:locked/>
    <w:uiPriority w:val="99"/>
    <w:rPr>
      <w:rFonts w:ascii="Verdana" w:hAnsi="Verdana"/>
      <w:kern w:val="2"/>
      <w:sz w:val="21"/>
    </w:rPr>
  </w:style>
  <w:style w:type="paragraph" w:customStyle="1" w:styleId="267">
    <w:name w:val="DAS正文"/>
    <w:basedOn w:val="1"/>
    <w:link w:val="266"/>
    <w:qFormat/>
    <w:uiPriority w:val="99"/>
    <w:pPr>
      <w:widowControl w:val="0"/>
      <w:ind w:right="-2" w:firstLine="360" w:firstLineChars="200"/>
      <w:jc w:val="both"/>
    </w:pPr>
    <w:rPr>
      <w:rFonts w:ascii="Verdana" w:hAnsi="Verdana"/>
      <w:kern w:val="2"/>
      <w:sz w:val="21"/>
      <w:szCs w:val="20"/>
    </w:rPr>
  </w:style>
  <w:style w:type="character" w:customStyle="1" w:styleId="268">
    <w:name w:val="日期 Char1"/>
    <w:qFormat/>
    <w:uiPriority w:val="99"/>
    <w:rPr>
      <w:rFonts w:ascii="宋体"/>
      <w:kern w:val="2"/>
      <w:sz w:val="24"/>
    </w:rPr>
  </w:style>
  <w:style w:type="character" w:customStyle="1" w:styleId="269">
    <w:name w:val="H3 Char1"/>
    <w:autoRedefine/>
    <w:qFormat/>
    <w:uiPriority w:val="99"/>
    <w:rPr>
      <w:rFonts w:eastAsia="宋体"/>
      <w:b/>
      <w:kern w:val="2"/>
      <w:sz w:val="32"/>
      <w:lang w:val="en-US" w:eastAsia="zh-CN"/>
    </w:rPr>
  </w:style>
  <w:style w:type="character" w:customStyle="1" w:styleId="270">
    <w:name w:val="Table Heading Char Char"/>
    <w:link w:val="271"/>
    <w:qFormat/>
    <w:locked/>
    <w:uiPriority w:val="99"/>
    <w:rPr>
      <w:rFonts w:ascii="Arial" w:hAnsi="Arial" w:eastAsia="黑体"/>
      <w:kern w:val="2"/>
      <w:sz w:val="18"/>
      <w:szCs w:val="18"/>
      <w:lang w:val="en-US" w:eastAsia="zh-CN" w:bidi="ar-SA"/>
    </w:rPr>
  </w:style>
  <w:style w:type="paragraph" w:customStyle="1" w:styleId="271">
    <w:name w:val="Table Heading Char"/>
    <w:link w:val="270"/>
    <w:autoRedefine/>
    <w:qFormat/>
    <w:uiPriority w:val="99"/>
    <w:pPr>
      <w:keepNext/>
      <w:snapToGrid w:val="0"/>
      <w:spacing w:before="80" w:after="80"/>
      <w:jc w:val="center"/>
    </w:pPr>
    <w:rPr>
      <w:rFonts w:ascii="Arial" w:hAnsi="Arial" w:eastAsia="黑体" w:cs="Times New Roman"/>
      <w:kern w:val="2"/>
      <w:sz w:val="18"/>
      <w:szCs w:val="18"/>
      <w:lang w:val="en-US" w:eastAsia="zh-CN" w:bidi="ar-SA"/>
    </w:rPr>
  </w:style>
  <w:style w:type="character" w:customStyle="1" w:styleId="272">
    <w:name w:val="标题5 Char"/>
    <w:link w:val="273"/>
    <w:qFormat/>
    <w:locked/>
    <w:uiPriority w:val="99"/>
    <w:rPr>
      <w:rFonts w:ascii="宋体"/>
      <w:sz w:val="21"/>
    </w:rPr>
  </w:style>
  <w:style w:type="paragraph" w:customStyle="1" w:styleId="273">
    <w:name w:val="标题5"/>
    <w:basedOn w:val="1"/>
    <w:link w:val="272"/>
    <w:autoRedefine/>
    <w:qFormat/>
    <w:uiPriority w:val="99"/>
    <w:pPr>
      <w:widowControl w:val="0"/>
      <w:tabs>
        <w:tab w:val="left" w:pos="0"/>
      </w:tabs>
      <w:autoSpaceDE w:val="0"/>
      <w:autoSpaceDN w:val="0"/>
      <w:adjustRightInd w:val="0"/>
      <w:snapToGrid w:val="0"/>
      <w:spacing w:line="320" w:lineRule="atLeast"/>
      <w:jc w:val="both"/>
    </w:pPr>
    <w:rPr>
      <w:rFonts w:ascii="宋体" w:hAnsi="Calibri"/>
      <w:sz w:val="21"/>
      <w:szCs w:val="20"/>
    </w:rPr>
  </w:style>
  <w:style w:type="character" w:customStyle="1" w:styleId="274">
    <w:name w:val="自定义正文 Char"/>
    <w:link w:val="275"/>
    <w:qFormat/>
    <w:locked/>
    <w:uiPriority w:val="99"/>
    <w:rPr>
      <w:rFonts w:ascii="仿宋_GB2312" w:eastAsia="仿宋_GB2312"/>
      <w:kern w:val="2"/>
      <w:sz w:val="24"/>
    </w:rPr>
  </w:style>
  <w:style w:type="paragraph" w:customStyle="1" w:styleId="275">
    <w:name w:val="自定义正文"/>
    <w:basedOn w:val="1"/>
    <w:link w:val="274"/>
    <w:qFormat/>
    <w:uiPriority w:val="99"/>
    <w:pPr>
      <w:widowControl w:val="0"/>
      <w:spacing w:before="120" w:after="60" w:line="400" w:lineRule="exact"/>
      <w:ind w:firstLine="200" w:firstLineChars="200"/>
    </w:pPr>
    <w:rPr>
      <w:rFonts w:ascii="仿宋_GB2312" w:hAnsi="Calibri" w:eastAsia="仿宋_GB2312"/>
      <w:kern w:val="2"/>
      <w:szCs w:val="20"/>
    </w:rPr>
  </w:style>
  <w:style w:type="character" w:customStyle="1" w:styleId="276">
    <w:name w:val="页脚 Char2"/>
    <w:qFormat/>
    <w:uiPriority w:val="99"/>
    <w:rPr>
      <w:rFonts w:eastAsia="宋体"/>
      <w:kern w:val="2"/>
      <w:sz w:val="18"/>
      <w:lang w:val="en-US" w:eastAsia="zh-CN"/>
    </w:rPr>
  </w:style>
  <w:style w:type="character" w:customStyle="1" w:styleId="277">
    <w:name w:val="H2 Char1"/>
    <w:qFormat/>
    <w:uiPriority w:val="99"/>
    <w:rPr>
      <w:rFonts w:ascii="Arial" w:hAnsi="Arial" w:eastAsia="黑体"/>
      <w:b/>
      <w:kern w:val="2"/>
      <w:sz w:val="32"/>
      <w:lang w:val="en-US" w:eastAsia="zh-CN"/>
    </w:rPr>
  </w:style>
  <w:style w:type="character" w:customStyle="1" w:styleId="278">
    <w:name w:val="content1"/>
    <w:qFormat/>
    <w:uiPriority w:val="99"/>
    <w:rPr>
      <w:sz w:val="18"/>
    </w:rPr>
  </w:style>
  <w:style w:type="character" w:customStyle="1" w:styleId="279">
    <w:name w:val="Table Text Char Char Char Char"/>
    <w:qFormat/>
    <w:uiPriority w:val="99"/>
    <w:rPr>
      <w:rFonts w:ascii="Arial" w:hAnsi="Arial"/>
      <w:kern w:val="2"/>
      <w:sz w:val="18"/>
      <w:lang w:val="en-US" w:eastAsia="zh-CN"/>
    </w:rPr>
  </w:style>
  <w:style w:type="character" w:customStyle="1" w:styleId="280">
    <w:name w:val="hei16b"/>
    <w:basedOn w:val="71"/>
    <w:autoRedefine/>
    <w:qFormat/>
    <w:uiPriority w:val="99"/>
    <w:rPr>
      <w:rFonts w:cs="Times New Roman"/>
    </w:rPr>
  </w:style>
  <w:style w:type="paragraph" w:customStyle="1" w:styleId="281">
    <w:name w:val="!BECC正文"/>
    <w:basedOn w:val="1"/>
    <w:qFormat/>
    <w:uiPriority w:val="99"/>
    <w:pPr>
      <w:widowControl w:val="0"/>
      <w:tabs>
        <w:tab w:val="left" w:pos="0"/>
      </w:tabs>
      <w:spacing w:beforeLines="50" w:afterLines="50" w:line="360" w:lineRule="auto"/>
      <w:ind w:firstLine="200" w:firstLineChars="200"/>
      <w:jc w:val="both"/>
    </w:pPr>
    <w:rPr>
      <w:kern w:val="2"/>
    </w:rPr>
  </w:style>
  <w:style w:type="paragraph" w:customStyle="1" w:styleId="282">
    <w:name w:val="a14"/>
    <w:basedOn w:val="1"/>
    <w:qFormat/>
    <w:uiPriority w:val="99"/>
    <w:pPr>
      <w:spacing w:before="100" w:beforeAutospacing="1" w:after="100" w:afterAutospacing="1" w:line="300" w:lineRule="atLeast"/>
      <w:ind w:firstLine="375"/>
    </w:pPr>
    <w:rPr>
      <w:rFonts w:ascii="宋体" w:hAnsi="宋体"/>
      <w:sz w:val="21"/>
      <w:szCs w:val="21"/>
    </w:rPr>
  </w:style>
  <w:style w:type="paragraph" w:customStyle="1" w:styleId="283">
    <w:name w:val="DAS列表一"/>
    <w:basedOn w:val="1"/>
    <w:qFormat/>
    <w:uiPriority w:val="99"/>
    <w:pPr>
      <w:widowControl w:val="0"/>
      <w:tabs>
        <w:tab w:val="left" w:pos="0"/>
        <w:tab w:val="left" w:pos="709"/>
        <w:tab w:val="left" w:pos="840"/>
      </w:tabs>
      <w:ind w:right="-2" w:firstLine="426"/>
      <w:jc w:val="both"/>
    </w:pPr>
    <w:rPr>
      <w:rFonts w:ascii="黑体" w:hAnsi="Verdana" w:eastAsia="黑体"/>
      <w:kern w:val="2"/>
      <w:sz w:val="21"/>
      <w:szCs w:val="21"/>
    </w:rPr>
  </w:style>
  <w:style w:type="paragraph" w:customStyle="1" w:styleId="284">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16"/>
      <w:szCs w:val="16"/>
    </w:rPr>
  </w:style>
  <w:style w:type="paragraph" w:customStyle="1" w:styleId="285">
    <w:name w:val="xl7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16"/>
      <w:szCs w:val="16"/>
    </w:rPr>
  </w:style>
  <w:style w:type="paragraph" w:customStyle="1" w:styleId="286">
    <w:name w:val="目录文字"/>
    <w:basedOn w:val="1"/>
    <w:qFormat/>
    <w:uiPriority w:val="99"/>
    <w:pPr>
      <w:spacing w:line="480" w:lineRule="auto"/>
    </w:pPr>
    <w:rPr>
      <w:rFonts w:ascii="宋体" w:hAnsi="宋体"/>
      <w:szCs w:val="20"/>
    </w:rPr>
  </w:style>
  <w:style w:type="paragraph" w:customStyle="1" w:styleId="287">
    <w:name w:val="正文样式 首行缩进:  0.74 厘米"/>
    <w:basedOn w:val="1"/>
    <w:qFormat/>
    <w:uiPriority w:val="99"/>
    <w:pPr>
      <w:tabs>
        <w:tab w:val="right" w:pos="8640"/>
      </w:tabs>
      <w:spacing w:beforeLines="50" w:line="360" w:lineRule="auto"/>
      <w:ind w:firstLine="420"/>
      <w:jc w:val="both"/>
    </w:pPr>
    <w:rPr>
      <w:szCs w:val="20"/>
      <w:lang w:bidi="he-IL"/>
    </w:rPr>
  </w:style>
  <w:style w:type="paragraph" w:customStyle="1" w:styleId="288">
    <w:name w:val="xl85"/>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289">
    <w:name w:val="xl89"/>
    <w:basedOn w:val="1"/>
    <w:qFormat/>
    <w:uiPriority w:val="0"/>
    <w:pPr>
      <w:pBdr>
        <w:top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290">
    <w:name w:val="xl93"/>
    <w:basedOn w:val="1"/>
    <w:qFormat/>
    <w:uiPriority w:val="0"/>
    <w:pPr>
      <w:pBdr>
        <w:top w:val="single" w:color="auto" w:sz="4" w:space="0"/>
        <w:left w:val="single" w:color="auto" w:sz="4" w:space="0"/>
        <w:bottom w:val="single" w:color="auto" w:sz="4" w:space="0"/>
      </w:pBdr>
      <w:spacing w:before="100" w:beforeAutospacing="1" w:after="100" w:afterAutospacing="1"/>
    </w:pPr>
    <w:rPr>
      <w:rFonts w:ascii="Arial" w:hAnsi="Arial" w:cs="Arial"/>
      <w:sz w:val="20"/>
      <w:szCs w:val="20"/>
    </w:rPr>
  </w:style>
  <w:style w:type="paragraph" w:customStyle="1" w:styleId="291">
    <w:name w:val="xl97"/>
    <w:basedOn w:val="1"/>
    <w:qFormat/>
    <w:uiPriority w:val="99"/>
    <w:pPr>
      <w:pBdr>
        <w:top w:val="single" w:color="auto" w:sz="4" w:space="0"/>
        <w:left w:val="single" w:color="auto" w:sz="4" w:space="0"/>
        <w:bottom w:val="single" w:color="auto" w:sz="4" w:space="0"/>
      </w:pBdr>
      <w:spacing w:before="100" w:beforeAutospacing="1" w:after="100" w:afterAutospacing="1"/>
    </w:pPr>
    <w:rPr>
      <w:rFonts w:ascii="Arial" w:hAnsi="Arial" w:cs="Arial"/>
      <w:sz w:val="20"/>
      <w:szCs w:val="20"/>
    </w:rPr>
  </w:style>
  <w:style w:type="paragraph" w:customStyle="1" w:styleId="292">
    <w:name w:val="xl101"/>
    <w:basedOn w:val="1"/>
    <w:qFormat/>
    <w:uiPriority w:val="99"/>
    <w:pPr>
      <w:pBdr>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293">
    <w:name w:val="xl113"/>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16"/>
      <w:szCs w:val="16"/>
    </w:rPr>
  </w:style>
  <w:style w:type="paragraph" w:customStyle="1" w:styleId="294">
    <w:name w:val="xl117"/>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16"/>
      <w:szCs w:val="16"/>
    </w:rPr>
  </w:style>
  <w:style w:type="paragraph" w:customStyle="1" w:styleId="295">
    <w:name w:val="xl125"/>
    <w:basedOn w:val="1"/>
    <w:qFormat/>
    <w:uiPriority w:val="99"/>
    <w:pPr>
      <w:pBdr>
        <w:bottom w:val="single" w:color="auto" w:sz="4" w:space="0"/>
      </w:pBdr>
      <w:spacing w:before="100" w:beforeAutospacing="1" w:after="100" w:afterAutospacing="1"/>
      <w:jc w:val="right"/>
    </w:pPr>
    <w:rPr>
      <w:rFonts w:ascii="Arial" w:hAnsi="Arial" w:cs="Arial"/>
      <w:sz w:val="20"/>
      <w:szCs w:val="20"/>
    </w:rPr>
  </w:style>
  <w:style w:type="paragraph" w:customStyle="1" w:styleId="296">
    <w:name w:val="xl129"/>
    <w:basedOn w:val="1"/>
    <w:qFormat/>
    <w:uiPriority w:val="99"/>
    <w:pPr>
      <w:pBdr>
        <w:left w:val="single" w:color="auto" w:sz="4" w:space="0"/>
        <w:right w:val="single" w:color="auto" w:sz="4" w:space="0"/>
      </w:pBdr>
      <w:spacing w:before="100" w:beforeAutospacing="1" w:after="100" w:afterAutospacing="1"/>
      <w:jc w:val="center"/>
    </w:pPr>
    <w:rPr>
      <w:rFonts w:ascii="Arial" w:hAnsi="Arial" w:cs="Arial"/>
      <w:sz w:val="16"/>
      <w:szCs w:val="16"/>
    </w:rPr>
  </w:style>
  <w:style w:type="paragraph" w:customStyle="1" w:styleId="297">
    <w:name w:val="标题无"/>
    <w:basedOn w:val="1"/>
    <w:qFormat/>
    <w:uiPriority w:val="99"/>
    <w:pPr>
      <w:widowControl w:val="0"/>
      <w:spacing w:line="360" w:lineRule="auto"/>
      <w:jc w:val="both"/>
    </w:pPr>
    <w:rPr>
      <w:kern w:val="2"/>
    </w:rPr>
  </w:style>
  <w:style w:type="paragraph" w:customStyle="1" w:styleId="298">
    <w:name w:val="缺省文本"/>
    <w:basedOn w:val="1"/>
    <w:qFormat/>
    <w:uiPriority w:val="99"/>
    <w:pPr>
      <w:widowControl w:val="0"/>
      <w:numPr>
        <w:ilvl w:val="2"/>
        <w:numId w:val="7"/>
      </w:numPr>
      <w:tabs>
        <w:tab w:val="left" w:pos="1685"/>
      </w:tabs>
      <w:autoSpaceDE w:val="0"/>
      <w:autoSpaceDN w:val="0"/>
      <w:adjustRightInd w:val="0"/>
      <w:spacing w:line="360" w:lineRule="auto"/>
      <w:ind w:firstLine="0"/>
    </w:pPr>
    <w:rPr>
      <w:szCs w:val="20"/>
    </w:rPr>
  </w:style>
  <w:style w:type="paragraph" w:customStyle="1" w:styleId="299">
    <w:name w:val="附录1"/>
    <w:basedOn w:val="1"/>
    <w:next w:val="1"/>
    <w:autoRedefine/>
    <w:qFormat/>
    <w:uiPriority w:val="99"/>
    <w:pPr>
      <w:widowControl w:val="0"/>
      <w:tabs>
        <w:tab w:val="left" w:pos="1304"/>
      </w:tabs>
      <w:ind w:left="425" w:hanging="425"/>
      <w:jc w:val="both"/>
      <w:outlineLvl w:val="0"/>
    </w:pPr>
    <w:rPr>
      <w:rFonts w:ascii="黑体" w:hAnsi="黑体" w:eastAsia="黑体"/>
      <w:b/>
      <w:bCs/>
      <w:kern w:val="2"/>
      <w:sz w:val="44"/>
    </w:rPr>
  </w:style>
  <w:style w:type="paragraph" w:customStyle="1" w:styleId="300">
    <w:name w:val="文本框样式1"/>
    <w:basedOn w:val="1"/>
    <w:autoRedefine/>
    <w:qFormat/>
    <w:uiPriority w:val="99"/>
    <w:pPr>
      <w:widowControl w:val="0"/>
      <w:adjustRightInd w:val="0"/>
      <w:snapToGrid w:val="0"/>
      <w:spacing w:before="60" w:line="180" w:lineRule="exact"/>
      <w:jc w:val="center"/>
    </w:pPr>
    <w:rPr>
      <w:kern w:val="2"/>
      <w:sz w:val="21"/>
      <w:szCs w:val="21"/>
    </w:rPr>
  </w:style>
  <w:style w:type="paragraph" w:customStyle="1" w:styleId="301">
    <w:name w:val="AA Numbering"/>
    <w:basedOn w:val="1"/>
    <w:qFormat/>
    <w:uiPriority w:val="99"/>
    <w:pPr>
      <w:tabs>
        <w:tab w:val="left" w:pos="425"/>
        <w:tab w:val="left" w:pos="1134"/>
      </w:tabs>
      <w:adjustRightInd w:val="0"/>
      <w:snapToGrid w:val="0"/>
      <w:spacing w:line="280" w:lineRule="atLeast"/>
    </w:pPr>
    <w:rPr>
      <w:rFonts w:eastAsia="PMingLiUfalt"/>
      <w:szCs w:val="20"/>
      <w:lang w:eastAsia="zh-TW"/>
    </w:rPr>
  </w:style>
  <w:style w:type="paragraph" w:customStyle="1" w:styleId="302">
    <w:name w:val="文档正文 Char Char Char Char"/>
    <w:basedOn w:val="1"/>
    <w:qFormat/>
    <w:uiPriority w:val="99"/>
    <w:pPr>
      <w:widowControl w:val="0"/>
      <w:adjustRightInd w:val="0"/>
      <w:spacing w:line="440" w:lineRule="exact"/>
      <w:ind w:firstLine="420"/>
      <w:jc w:val="both"/>
      <w:textAlignment w:val="baseline"/>
    </w:pPr>
    <w:rPr>
      <w:rFonts w:ascii="Arial Narrow" w:hAnsi="Arial Narrow"/>
    </w:rPr>
  </w:style>
  <w:style w:type="paragraph" w:customStyle="1" w:styleId="303">
    <w:name w:val="IN Step"/>
    <w:basedOn w:val="1"/>
    <w:qFormat/>
    <w:uiPriority w:val="99"/>
    <w:pPr>
      <w:keepLines/>
      <w:tabs>
        <w:tab w:val="left" w:pos="1134"/>
      </w:tabs>
      <w:spacing w:before="80" w:after="80" w:line="300" w:lineRule="auto"/>
      <w:ind w:left="1134" w:hanging="907"/>
      <w:jc w:val="both"/>
      <w:outlineLvl w:val="8"/>
    </w:pPr>
    <w:rPr>
      <w:rFonts w:ascii="Arial" w:hAnsi="Arial" w:cs="Arial"/>
      <w:sz w:val="21"/>
      <w:szCs w:val="21"/>
    </w:rPr>
  </w:style>
  <w:style w:type="paragraph" w:customStyle="1" w:styleId="304">
    <w:name w:val="Pull Quote"/>
    <w:basedOn w:val="1"/>
    <w:qFormat/>
    <w:uiPriority w:val="99"/>
    <w:pPr>
      <w:widowControl w:val="0"/>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kern w:val="2"/>
    </w:rPr>
  </w:style>
  <w:style w:type="paragraph" w:customStyle="1" w:styleId="305">
    <w:name w:val="关键词"/>
    <w:basedOn w:val="1"/>
    <w:next w:val="1"/>
    <w:qFormat/>
    <w:uiPriority w:val="99"/>
    <w:pPr>
      <w:widowControl w:val="0"/>
      <w:spacing w:line="360" w:lineRule="auto"/>
      <w:jc w:val="both"/>
    </w:pPr>
    <w:rPr>
      <w:rFonts w:eastAsia="黑体"/>
      <w:kern w:val="2"/>
      <w:sz w:val="20"/>
    </w:rPr>
  </w:style>
  <w:style w:type="paragraph" w:customStyle="1" w:styleId="306">
    <w:name w:val="表格文本"/>
    <w:qFormat/>
    <w:uiPriority w:val="99"/>
    <w:pPr>
      <w:tabs>
        <w:tab w:val="decimal" w:pos="0"/>
      </w:tabs>
    </w:pPr>
    <w:rPr>
      <w:rFonts w:ascii="Arial" w:hAnsi="Arial" w:eastAsia="宋体" w:cs="Times New Roman"/>
      <w:sz w:val="21"/>
      <w:szCs w:val="21"/>
      <w:lang w:val="en-US" w:eastAsia="zh-CN" w:bidi="ar-SA"/>
    </w:rPr>
  </w:style>
  <w:style w:type="paragraph" w:customStyle="1" w:styleId="307">
    <w:name w:val="表头文本"/>
    <w:qFormat/>
    <w:uiPriority w:val="99"/>
    <w:pPr>
      <w:jc w:val="center"/>
    </w:pPr>
    <w:rPr>
      <w:rFonts w:ascii="Arial" w:hAnsi="Arial" w:eastAsia="宋体" w:cs="Times New Roman"/>
      <w:b/>
      <w:sz w:val="21"/>
      <w:szCs w:val="21"/>
      <w:lang w:val="en-US" w:eastAsia="zh-CN" w:bidi="ar-SA"/>
    </w:rPr>
  </w:style>
  <w:style w:type="paragraph" w:customStyle="1" w:styleId="308">
    <w:name w:val="表格内文字"/>
    <w:basedOn w:val="35"/>
    <w:qFormat/>
    <w:uiPriority w:val="99"/>
    <w:pPr>
      <w:adjustRightInd w:val="0"/>
      <w:spacing w:line="240" w:lineRule="auto"/>
      <w:ind w:firstLine="0" w:firstLineChars="0"/>
    </w:pPr>
    <w:rPr>
      <w:rFonts w:eastAsia="Times New Roman" w:cs="Courier New"/>
      <w:color w:val="000000"/>
      <w:sz w:val="21"/>
      <w:szCs w:val="21"/>
      <w:lang w:val="en-GB"/>
    </w:rPr>
  </w:style>
  <w:style w:type="paragraph" w:customStyle="1" w:styleId="309">
    <w:name w:val="_"/>
    <w:basedOn w:val="1"/>
    <w:autoRedefine/>
    <w:qFormat/>
    <w:uiPriority w:val="99"/>
    <w:pPr>
      <w:widowControl w:val="0"/>
      <w:adjustRightInd w:val="0"/>
      <w:spacing w:line="360" w:lineRule="auto"/>
      <w:ind w:left="480" w:firstLine="200" w:firstLineChars="200"/>
      <w:jc w:val="both"/>
      <w:textAlignment w:val="baseline"/>
    </w:pPr>
    <w:rPr>
      <w:szCs w:val="20"/>
    </w:rPr>
  </w:style>
  <w:style w:type="paragraph" w:customStyle="1" w:styleId="310">
    <w:name w:val="Char Char Char Char Char Char1 Char"/>
    <w:basedOn w:val="1"/>
    <w:qFormat/>
    <w:uiPriority w:val="99"/>
    <w:pPr>
      <w:spacing w:after="160" w:line="240" w:lineRule="exact"/>
    </w:pPr>
    <w:rPr>
      <w:rFonts w:ascii="Verdana" w:hAnsi="Verdana"/>
      <w:sz w:val="21"/>
      <w:szCs w:val="20"/>
      <w:lang w:eastAsia="en-US"/>
    </w:rPr>
  </w:style>
  <w:style w:type="paragraph" w:customStyle="1" w:styleId="311">
    <w:name w:val="样式 样式 首行缩进:  2 字符 + 首行缩进:  2 字符"/>
    <w:basedOn w:val="1"/>
    <w:qFormat/>
    <w:uiPriority w:val="99"/>
    <w:pPr>
      <w:widowControl w:val="0"/>
      <w:tabs>
        <w:tab w:val="left" w:pos="840"/>
      </w:tabs>
      <w:spacing w:line="360" w:lineRule="auto"/>
      <w:ind w:left="840" w:firstLine="480" w:firstLineChars="200"/>
      <w:jc w:val="both"/>
    </w:pPr>
    <w:rPr>
      <w:kern w:val="2"/>
      <w:szCs w:val="20"/>
    </w:rPr>
  </w:style>
  <w:style w:type="paragraph" w:customStyle="1" w:styleId="312">
    <w:name w:val="表号"/>
    <w:basedOn w:val="1"/>
    <w:qFormat/>
    <w:uiPriority w:val="99"/>
    <w:pPr>
      <w:widowControl w:val="0"/>
      <w:tabs>
        <w:tab w:val="left" w:pos="648"/>
        <w:tab w:val="left" w:pos="840"/>
      </w:tabs>
      <w:autoSpaceDE w:val="0"/>
      <w:autoSpaceDN w:val="0"/>
      <w:adjustRightInd w:val="0"/>
      <w:spacing w:before="210" w:after="210"/>
      <w:ind w:left="425" w:hanging="137"/>
      <w:jc w:val="center"/>
    </w:pPr>
    <w:rPr>
      <w:sz w:val="21"/>
      <w:szCs w:val="21"/>
      <w:lang w:eastAsia="en-US"/>
    </w:rPr>
  </w:style>
  <w:style w:type="paragraph" w:customStyle="1" w:styleId="313">
    <w:name w:val="xl25"/>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314">
    <w:name w:val="xl29"/>
    <w:basedOn w:val="1"/>
    <w:qFormat/>
    <w:uiPriority w:val="99"/>
    <w:pPr>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pPr>
    <w:rPr>
      <w:rFonts w:ascii="宋体" w:hAnsi="宋体" w:cs="宋体"/>
      <w:sz w:val="20"/>
      <w:szCs w:val="20"/>
    </w:rPr>
  </w:style>
  <w:style w:type="paragraph" w:customStyle="1" w:styleId="315">
    <w:name w:val="xl35"/>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20"/>
      <w:szCs w:val="20"/>
    </w:rPr>
  </w:style>
  <w:style w:type="paragraph" w:customStyle="1" w:styleId="316">
    <w:name w:val="xl39"/>
    <w:basedOn w:val="1"/>
    <w:qFormat/>
    <w:uiPriority w:val="99"/>
    <w:pPr>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pPr>
    <w:rPr>
      <w:rFonts w:ascii="宋体" w:hAnsi="宋体" w:cs="宋体"/>
      <w:b/>
      <w:bCs/>
      <w:sz w:val="20"/>
      <w:szCs w:val="20"/>
    </w:rPr>
  </w:style>
  <w:style w:type="paragraph" w:customStyle="1" w:styleId="317">
    <w:name w:val="xl44"/>
    <w:basedOn w:val="1"/>
    <w:qFormat/>
    <w:uiPriority w:val="99"/>
    <w:pPr>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pPr>
    <w:rPr>
      <w:rFonts w:ascii="宋体" w:hAnsi="宋体" w:cs="宋体"/>
      <w:sz w:val="20"/>
      <w:szCs w:val="20"/>
    </w:rPr>
  </w:style>
  <w:style w:type="paragraph" w:customStyle="1" w:styleId="318">
    <w:name w:val="xl48"/>
    <w:basedOn w:val="1"/>
    <w:qFormat/>
    <w:uiPriority w:val="99"/>
    <w:pPr>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pPr>
    <w:rPr>
      <w:rFonts w:ascii="宋体" w:hAnsi="宋体" w:cs="宋体"/>
      <w:sz w:val="20"/>
      <w:szCs w:val="20"/>
    </w:rPr>
  </w:style>
  <w:style w:type="paragraph" w:customStyle="1" w:styleId="319">
    <w:name w:val="xl56"/>
    <w:basedOn w:val="1"/>
    <w:qFormat/>
    <w:uiPriority w:val="99"/>
    <w:pPr>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jc w:val="center"/>
    </w:pPr>
    <w:rPr>
      <w:rFonts w:ascii="宋体" w:hAnsi="宋体" w:cs="宋体"/>
      <w:b/>
      <w:bCs/>
      <w:sz w:val="20"/>
      <w:szCs w:val="20"/>
    </w:rPr>
  </w:style>
  <w:style w:type="paragraph" w:customStyle="1" w:styleId="320">
    <w:name w:val="xl60"/>
    <w:basedOn w:val="1"/>
    <w:qFormat/>
    <w:uiPriority w:val="99"/>
    <w:pPr>
      <w:pBdr>
        <w:left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321">
    <w:name w:val="xl65"/>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sz w:val="18"/>
      <w:szCs w:val="18"/>
    </w:rPr>
  </w:style>
  <w:style w:type="paragraph" w:customStyle="1" w:styleId="322">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sz w:val="20"/>
      <w:szCs w:val="20"/>
    </w:rPr>
  </w:style>
  <w:style w:type="paragraph" w:customStyle="1" w:styleId="323">
    <w:name w:val="正文编码"/>
    <w:basedOn w:val="65"/>
    <w:qFormat/>
    <w:uiPriority w:val="99"/>
    <w:pPr>
      <w:tabs>
        <w:tab w:val="left" w:pos="360"/>
        <w:tab w:val="left" w:pos="900"/>
        <w:tab w:val="center" w:pos="2185"/>
      </w:tabs>
      <w:spacing w:after="0" w:line="360" w:lineRule="auto"/>
      <w:ind w:left="360" w:hanging="360" w:firstLineChars="0"/>
    </w:pPr>
    <w:rPr>
      <w:rFonts w:ascii="仿宋_GB2312" w:hAnsi="宋体" w:eastAsia="仿宋_GB2312"/>
      <w:kern w:val="0"/>
      <w:szCs w:val="20"/>
    </w:rPr>
  </w:style>
  <w:style w:type="paragraph" w:customStyle="1" w:styleId="324">
    <w:name w:val="标题2"/>
    <w:basedOn w:val="5"/>
    <w:link w:val="862"/>
    <w:qFormat/>
    <w:uiPriority w:val="0"/>
    <w:pPr>
      <w:keepNext/>
      <w:keepLines/>
      <w:tabs>
        <w:tab w:val="left" w:pos="567"/>
        <w:tab w:val="left" w:pos="720"/>
        <w:tab w:val="clear" w:pos="0"/>
      </w:tabs>
      <w:spacing w:beforeLines="100" w:after="120" w:line="300" w:lineRule="auto"/>
      <w:contextualSpacing w:val="0"/>
      <w:outlineLvl w:val="9"/>
    </w:pPr>
    <w:rPr>
      <w:rFonts w:ascii="Times New Roman" w:hAnsi="Times New Roman" w:eastAsia="黑体"/>
      <w:color w:val="auto"/>
      <w:spacing w:val="6"/>
      <w:sz w:val="32"/>
      <w:szCs w:val="24"/>
    </w:rPr>
  </w:style>
  <w:style w:type="paragraph" w:customStyle="1" w:styleId="325">
    <w:name w:val="xl68"/>
    <w:basedOn w:val="1"/>
    <w:qFormat/>
    <w:uiPriority w:val="0"/>
    <w:pPr>
      <w:spacing w:before="100" w:beforeAutospacing="1" w:after="100" w:afterAutospacing="1"/>
      <w:jc w:val="center"/>
    </w:pPr>
    <w:rPr>
      <w:rFonts w:ascii="宋体" w:hAnsi="宋体" w:cs="宋体"/>
    </w:rPr>
  </w:style>
  <w:style w:type="paragraph" w:customStyle="1" w:styleId="326">
    <w:name w:val="xl81"/>
    <w:basedOn w:val="1"/>
    <w:autoRedefine/>
    <w:qFormat/>
    <w:uiPriority w:val="0"/>
    <w:pPr>
      <w:spacing w:before="100" w:beforeAutospacing="1" w:after="100" w:afterAutospacing="1"/>
    </w:pPr>
    <w:rPr>
      <w:rFonts w:ascii="宋体" w:hAnsi="宋体" w:cs="宋体"/>
    </w:rPr>
  </w:style>
  <w:style w:type="paragraph" w:customStyle="1" w:styleId="327">
    <w:name w:val="微软用户"/>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28">
    <w:name w:val="样式 普通正文 + 五号 首行缩进:  2 字符"/>
    <w:basedOn w:val="1"/>
    <w:qFormat/>
    <w:uiPriority w:val="99"/>
    <w:pPr>
      <w:widowControl w:val="0"/>
      <w:spacing w:line="360" w:lineRule="auto"/>
      <w:ind w:firstLine="420" w:firstLineChars="200"/>
      <w:jc w:val="both"/>
    </w:pPr>
    <w:rPr>
      <w:rFonts w:cs="宋体"/>
      <w:kern w:val="2"/>
      <w:sz w:val="21"/>
      <w:szCs w:val="20"/>
    </w:rPr>
  </w:style>
  <w:style w:type="paragraph" w:customStyle="1" w:styleId="329">
    <w:name w:val="font6"/>
    <w:basedOn w:val="1"/>
    <w:qFormat/>
    <w:uiPriority w:val="99"/>
    <w:pPr>
      <w:spacing w:before="100" w:beforeAutospacing="1" w:after="100" w:afterAutospacing="1"/>
    </w:pPr>
    <w:rPr>
      <w:rFonts w:ascii="Arial" w:hAnsi="Arial" w:cs="Arial"/>
      <w:sz w:val="20"/>
      <w:szCs w:val="20"/>
    </w:rPr>
  </w:style>
  <w:style w:type="paragraph" w:customStyle="1" w:styleId="330">
    <w:name w:val="xl104"/>
    <w:basedOn w:val="1"/>
    <w:autoRedefine/>
    <w:qFormat/>
    <w:uiPriority w:val="99"/>
    <w:pPr>
      <w:spacing w:before="100" w:beforeAutospacing="1" w:after="100" w:afterAutospacing="1"/>
    </w:pPr>
    <w:rPr>
      <w:rFonts w:ascii="Arial" w:hAnsi="Arial" w:cs="Arial"/>
    </w:rPr>
  </w:style>
  <w:style w:type="paragraph" w:customStyle="1" w:styleId="331">
    <w:name w:val="xl108"/>
    <w:basedOn w:val="1"/>
    <w:qFormat/>
    <w:uiPriority w:val="99"/>
    <w:pPr>
      <w:spacing w:before="100" w:beforeAutospacing="1" w:after="100" w:afterAutospacing="1"/>
      <w:textAlignment w:val="bottom"/>
    </w:pPr>
    <w:rPr>
      <w:rFonts w:ascii="Arial" w:hAnsi="Arial" w:cs="Arial"/>
      <w:sz w:val="20"/>
      <w:szCs w:val="20"/>
    </w:rPr>
  </w:style>
  <w:style w:type="paragraph" w:customStyle="1" w:styleId="332">
    <w:name w:val="xl124"/>
    <w:basedOn w:val="1"/>
    <w:autoRedefine/>
    <w:qFormat/>
    <w:uiPriority w:val="99"/>
    <w:pPr>
      <w:spacing w:before="100" w:beforeAutospacing="1" w:after="100" w:afterAutospacing="1"/>
      <w:jc w:val="center"/>
    </w:pPr>
    <w:rPr>
      <w:rFonts w:ascii="Arial" w:hAnsi="Arial" w:cs="Arial"/>
      <w:b/>
      <w:bCs/>
      <w:sz w:val="40"/>
      <w:szCs w:val="40"/>
    </w:rPr>
  </w:style>
  <w:style w:type="paragraph" w:customStyle="1" w:styleId="333">
    <w:name w:val="正文字缩2字"/>
    <w:basedOn w:val="1"/>
    <w:qFormat/>
    <w:uiPriority w:val="99"/>
    <w:pPr>
      <w:widowControl w:val="0"/>
      <w:spacing w:before="60" w:after="60" w:line="360" w:lineRule="auto"/>
      <w:ind w:left="200" w:leftChars="200" w:firstLine="200" w:firstLineChars="200"/>
      <w:jc w:val="both"/>
    </w:pPr>
    <w:rPr>
      <w:kern w:val="2"/>
    </w:rPr>
  </w:style>
  <w:style w:type="paragraph" w:customStyle="1" w:styleId="334">
    <w:name w:val="Table Heading"/>
    <w:qFormat/>
    <w:uiPriority w:val="99"/>
    <w:pPr>
      <w:keepNext/>
      <w:snapToGrid w:val="0"/>
      <w:spacing w:before="80" w:after="80"/>
      <w:jc w:val="center"/>
    </w:pPr>
    <w:rPr>
      <w:rFonts w:ascii="Arial" w:hAnsi="Arial" w:eastAsia="黑体" w:cs="Arial"/>
      <w:sz w:val="18"/>
      <w:szCs w:val="18"/>
      <w:lang w:val="en-US" w:eastAsia="zh-CN" w:bidi="ar-SA"/>
    </w:rPr>
  </w:style>
  <w:style w:type="paragraph" w:customStyle="1" w:styleId="335">
    <w:name w:val="简单回函地址"/>
    <w:basedOn w:val="1"/>
    <w:qFormat/>
    <w:uiPriority w:val="99"/>
    <w:pPr>
      <w:widowControl w:val="0"/>
      <w:adjustRightInd w:val="0"/>
      <w:snapToGrid w:val="0"/>
      <w:spacing w:line="360" w:lineRule="auto"/>
      <w:jc w:val="both"/>
    </w:pPr>
    <w:rPr>
      <w:kern w:val="2"/>
      <w:szCs w:val="20"/>
    </w:rPr>
  </w:style>
  <w:style w:type="paragraph" w:customStyle="1" w:styleId="336">
    <w:name w:val="表项"/>
    <w:next w:val="337"/>
    <w:qFormat/>
    <w:uiPriority w:val="99"/>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337">
    <w:name w:val="表身（左）"/>
    <w:qFormat/>
    <w:uiPriority w:val="99"/>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38">
    <w:name w:val="正文格式"/>
    <w:basedOn w:val="1"/>
    <w:autoRedefine/>
    <w:qFormat/>
    <w:uiPriority w:val="99"/>
    <w:pPr>
      <w:adjustRightInd w:val="0"/>
      <w:snapToGrid w:val="0"/>
      <w:spacing w:line="360" w:lineRule="atLeast"/>
      <w:ind w:firstLine="482" w:firstLineChars="200"/>
      <w:jc w:val="both"/>
      <w:textAlignment w:val="baseline"/>
    </w:pPr>
    <w:rPr>
      <w:szCs w:val="20"/>
    </w:rPr>
  </w:style>
  <w:style w:type="paragraph" w:customStyle="1" w:styleId="339">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16"/>
      <w:szCs w:val="16"/>
    </w:rPr>
  </w:style>
  <w:style w:type="paragraph" w:customStyle="1" w:styleId="340">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6"/>
      <w:szCs w:val="16"/>
    </w:rPr>
  </w:style>
  <w:style w:type="paragraph" w:customStyle="1" w:styleId="341">
    <w:name w:val="Char Char1 Char Char Char Char"/>
    <w:basedOn w:val="1"/>
    <w:next w:val="1"/>
    <w:qFormat/>
    <w:uiPriority w:val="99"/>
    <w:pPr>
      <w:spacing w:after="160" w:line="240" w:lineRule="exact"/>
    </w:pPr>
    <w:rPr>
      <w:rFonts w:ascii="Verdana" w:hAnsi="Verdana" w:eastAsia="仿宋_GB2312"/>
      <w:szCs w:val="20"/>
      <w:lang w:eastAsia="en-US"/>
    </w:rPr>
  </w:style>
  <w:style w:type="paragraph" w:customStyle="1" w:styleId="342">
    <w:name w:val="xl84"/>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343">
    <w:name w:val="xl88"/>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Arial" w:hAnsi="Arial" w:cs="Arial"/>
      <w:sz w:val="20"/>
      <w:szCs w:val="20"/>
    </w:rPr>
  </w:style>
  <w:style w:type="paragraph" w:customStyle="1" w:styleId="344">
    <w:name w:val="xl92"/>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Arial" w:hAnsi="Arial" w:cs="Arial"/>
      <w:sz w:val="20"/>
      <w:szCs w:val="20"/>
    </w:rPr>
  </w:style>
  <w:style w:type="paragraph" w:customStyle="1" w:styleId="345">
    <w:name w:val="xl96"/>
    <w:basedOn w:val="1"/>
    <w:qFormat/>
    <w:uiPriority w:val="99"/>
    <w:pPr>
      <w:pBdr>
        <w:left w:val="single" w:color="auto" w:sz="4" w:space="0"/>
        <w:bottom w:val="single" w:color="auto" w:sz="4" w:space="0"/>
      </w:pBdr>
      <w:spacing w:before="100" w:beforeAutospacing="1" w:after="100" w:afterAutospacing="1"/>
    </w:pPr>
    <w:rPr>
      <w:rFonts w:ascii="Arial" w:hAnsi="Arial" w:cs="Arial"/>
      <w:sz w:val="20"/>
      <w:szCs w:val="20"/>
    </w:rPr>
  </w:style>
  <w:style w:type="paragraph" w:customStyle="1" w:styleId="346">
    <w:name w:val="xl100"/>
    <w:basedOn w:val="1"/>
    <w:autoRedefine/>
    <w:qFormat/>
    <w:uiPriority w:val="99"/>
    <w:pPr>
      <w:pBdr>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szCs w:val="20"/>
    </w:rPr>
  </w:style>
  <w:style w:type="paragraph" w:customStyle="1" w:styleId="347">
    <w:name w:val="xl116"/>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16"/>
      <w:szCs w:val="16"/>
    </w:rPr>
  </w:style>
  <w:style w:type="paragraph" w:customStyle="1" w:styleId="348">
    <w:name w:val="xl120"/>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20"/>
      <w:szCs w:val="20"/>
    </w:rPr>
  </w:style>
  <w:style w:type="paragraph" w:customStyle="1" w:styleId="349">
    <w:name w:val="xl128"/>
    <w:basedOn w:val="1"/>
    <w:qFormat/>
    <w:uiPriority w:val="99"/>
    <w:pPr>
      <w:pBdr>
        <w:top w:val="single" w:color="auto" w:sz="4" w:space="0"/>
        <w:left w:val="single" w:color="auto" w:sz="4" w:space="0"/>
        <w:right w:val="single" w:color="auto" w:sz="4" w:space="0"/>
      </w:pBdr>
      <w:spacing w:before="100" w:beforeAutospacing="1" w:after="100" w:afterAutospacing="1"/>
      <w:jc w:val="center"/>
    </w:pPr>
    <w:rPr>
      <w:rFonts w:ascii="Arial" w:hAnsi="Arial" w:cs="Arial"/>
      <w:sz w:val="16"/>
      <w:szCs w:val="16"/>
    </w:rPr>
  </w:style>
  <w:style w:type="paragraph" w:customStyle="1" w:styleId="350">
    <w:name w:val="附录4"/>
    <w:basedOn w:val="1"/>
    <w:next w:val="1"/>
    <w:qFormat/>
    <w:uiPriority w:val="99"/>
    <w:pPr>
      <w:tabs>
        <w:tab w:val="left" w:pos="1134"/>
      </w:tabs>
      <w:spacing w:line="300" w:lineRule="auto"/>
      <w:ind w:left="1361" w:hanging="1361"/>
      <w:jc w:val="both"/>
      <w:outlineLvl w:val="3"/>
    </w:pPr>
    <w:rPr>
      <w:rFonts w:ascii="Arial" w:hAnsi="Arial" w:eastAsia="黑体"/>
      <w:sz w:val="28"/>
      <w:szCs w:val="20"/>
    </w:rPr>
  </w:style>
  <w:style w:type="paragraph" w:customStyle="1" w:styleId="351">
    <w:name w:val="样式 正文缩进正文（首行缩进两字）表正文正文非缩进特点标题4段1 + 首行缩进:  2 字符"/>
    <w:basedOn w:val="18"/>
    <w:qFormat/>
    <w:uiPriority w:val="99"/>
    <w:pPr>
      <w:adjustRightInd w:val="0"/>
      <w:snapToGrid w:val="0"/>
      <w:spacing w:line="360" w:lineRule="auto"/>
      <w:ind w:firstLine="480"/>
    </w:pPr>
  </w:style>
  <w:style w:type="paragraph" w:customStyle="1" w:styleId="352">
    <w:name w:val="样式 标题 1 + 居中 段前: 6 磅 段后: 6 磅 行距: 1.5 倍行距"/>
    <w:basedOn w:val="3"/>
    <w:qFormat/>
    <w:uiPriority w:val="99"/>
    <w:pPr>
      <w:keepNext/>
      <w:keepLines/>
      <w:tabs>
        <w:tab w:val="left" w:pos="425"/>
        <w:tab w:val="clear" w:pos="0"/>
      </w:tabs>
      <w:adjustRightInd w:val="0"/>
      <w:snapToGrid w:val="0"/>
      <w:spacing w:before="120" w:after="120" w:line="360" w:lineRule="auto"/>
      <w:contextualSpacing w:val="0"/>
      <w:jc w:val="center"/>
    </w:pPr>
    <w:rPr>
      <w:rFonts w:ascii="Times New Roman" w:hAnsi="Times New Roman"/>
      <w:color w:val="auto"/>
      <w:spacing w:val="0"/>
      <w:kern w:val="44"/>
      <w:szCs w:val="24"/>
    </w:rPr>
  </w:style>
  <w:style w:type="paragraph" w:customStyle="1" w:styleId="353">
    <w:name w:val="文档正文 Char Char Char Char Char"/>
    <w:basedOn w:val="1"/>
    <w:qFormat/>
    <w:uiPriority w:val="99"/>
    <w:pPr>
      <w:widowControl w:val="0"/>
      <w:adjustRightInd w:val="0"/>
      <w:spacing w:line="440" w:lineRule="exact"/>
      <w:ind w:firstLine="420"/>
      <w:jc w:val="both"/>
      <w:textAlignment w:val="baseline"/>
    </w:pPr>
    <w:rPr>
      <w:rFonts w:ascii="Arial Narrow" w:hAnsi="Arial Narrow"/>
    </w:rPr>
  </w:style>
  <w:style w:type="paragraph" w:customStyle="1" w:styleId="354">
    <w:name w:val="样式 正文首行缩进 2 + 首行缩进:  2 字符"/>
    <w:basedOn w:val="1"/>
    <w:qFormat/>
    <w:uiPriority w:val="99"/>
    <w:pPr>
      <w:widowControl w:val="0"/>
      <w:numPr>
        <w:ilvl w:val="0"/>
        <w:numId w:val="11"/>
      </w:numPr>
      <w:tabs>
        <w:tab w:val="left" w:pos="987"/>
      </w:tabs>
      <w:adjustRightInd w:val="0"/>
      <w:snapToGrid w:val="0"/>
      <w:spacing w:line="360" w:lineRule="auto"/>
      <w:ind w:firstLine="0"/>
      <w:jc w:val="both"/>
    </w:pPr>
    <w:rPr>
      <w:rFonts w:ascii="Arial" w:hAnsi="Arial"/>
      <w:b/>
      <w:bCs/>
      <w:kern w:val="2"/>
    </w:rPr>
  </w:style>
  <w:style w:type="paragraph" w:customStyle="1" w:styleId="355">
    <w:name w:val="Title - Revision"/>
    <w:basedOn w:val="63"/>
    <w:qFormat/>
    <w:uiPriority w:val="99"/>
    <w:pPr>
      <w:spacing w:before="720" w:after="240" w:line="360" w:lineRule="auto"/>
      <w:contextualSpacing w:val="0"/>
      <w:jc w:val="center"/>
    </w:pPr>
    <w:rPr>
      <w:rFonts w:ascii="Arial" w:hAnsi="Arial"/>
      <w:color w:val="auto"/>
      <w:spacing w:val="0"/>
      <w:kern w:val="28"/>
      <w:sz w:val="36"/>
      <w:szCs w:val="20"/>
    </w:rPr>
  </w:style>
  <w:style w:type="paragraph" w:customStyle="1" w:styleId="356">
    <w:name w:val="图标"/>
    <w:basedOn w:val="1"/>
    <w:next w:val="1"/>
    <w:qFormat/>
    <w:uiPriority w:val="99"/>
    <w:pPr>
      <w:widowControl w:val="0"/>
      <w:numPr>
        <w:ilvl w:val="0"/>
        <w:numId w:val="12"/>
      </w:numPr>
      <w:tabs>
        <w:tab w:val="left" w:pos="420"/>
        <w:tab w:val="left" w:pos="567"/>
      </w:tabs>
      <w:autoSpaceDE w:val="0"/>
      <w:autoSpaceDN w:val="0"/>
      <w:adjustRightInd w:val="0"/>
      <w:snapToGrid w:val="0"/>
      <w:spacing w:before="120" w:after="120" w:line="320" w:lineRule="atLeast"/>
      <w:ind w:firstLine="0"/>
      <w:jc w:val="center"/>
      <w:textAlignment w:val="baseline"/>
    </w:pPr>
    <w:rPr>
      <w:rFonts w:eastAsia="仿宋_GB2312"/>
      <w:szCs w:val="20"/>
    </w:rPr>
  </w:style>
  <w:style w:type="paragraph" w:customStyle="1" w:styleId="357">
    <w:name w:val="正文文本 21"/>
    <w:basedOn w:val="1"/>
    <w:qFormat/>
    <w:uiPriority w:val="99"/>
    <w:pPr>
      <w:widowControl w:val="0"/>
      <w:adjustRightInd w:val="0"/>
      <w:spacing w:before="120" w:line="360" w:lineRule="auto"/>
      <w:ind w:firstLine="480"/>
      <w:jc w:val="both"/>
      <w:textAlignment w:val="baseline"/>
    </w:pPr>
    <w:rPr>
      <w:kern w:val="2"/>
      <w:szCs w:val="20"/>
    </w:rPr>
  </w:style>
  <w:style w:type="paragraph" w:customStyle="1" w:styleId="358">
    <w:name w:val="项目"/>
    <w:basedOn w:val="1"/>
    <w:autoRedefine/>
    <w:qFormat/>
    <w:uiPriority w:val="99"/>
    <w:pPr>
      <w:widowControl w:val="0"/>
      <w:numPr>
        <w:ilvl w:val="0"/>
        <w:numId w:val="13"/>
      </w:numPr>
      <w:tabs>
        <w:tab w:val="left" w:pos="840"/>
      </w:tabs>
      <w:spacing w:before="120" w:after="120" w:line="360" w:lineRule="auto"/>
      <w:ind w:firstLine="0"/>
      <w:textAlignment w:val="baseline"/>
    </w:pPr>
    <w:rPr>
      <w:rFonts w:ascii="宋体"/>
      <w:szCs w:val="20"/>
    </w:rPr>
  </w:style>
  <w:style w:type="paragraph" w:customStyle="1" w:styleId="359">
    <w:name w:val="没有缩进（为图形使用）"/>
    <w:basedOn w:val="1"/>
    <w:autoRedefine/>
    <w:qFormat/>
    <w:uiPriority w:val="99"/>
    <w:pPr>
      <w:widowControl w:val="0"/>
      <w:spacing w:before="120" w:after="120" w:line="360" w:lineRule="auto"/>
      <w:jc w:val="both"/>
    </w:pPr>
    <w:rPr>
      <w:kern w:val="2"/>
      <w:szCs w:val="20"/>
    </w:rPr>
  </w:style>
  <w:style w:type="paragraph" w:customStyle="1" w:styleId="360">
    <w:name w:val="xl40"/>
    <w:basedOn w:val="1"/>
    <w:qFormat/>
    <w:uiPriority w:val="99"/>
    <w:pPr>
      <w:pBdr>
        <w:left w:val="single" w:color="auto" w:sz="4" w:space="0"/>
        <w:right w:val="single" w:color="auto" w:sz="4" w:space="0"/>
      </w:pBdr>
      <w:spacing w:before="100" w:beforeAutospacing="1" w:after="100" w:afterAutospacing="1"/>
      <w:jc w:val="center"/>
    </w:pPr>
    <w:rPr>
      <w:rFonts w:ascii="宋体" w:hAnsi="宋体"/>
    </w:rPr>
  </w:style>
  <w:style w:type="paragraph" w:customStyle="1" w:styleId="361">
    <w:name w:val="Char Char Char Char Char Char Char Char Char Char Char Char Char"/>
    <w:basedOn w:val="1"/>
    <w:qFormat/>
    <w:uiPriority w:val="0"/>
    <w:pPr>
      <w:spacing w:after="160" w:line="240" w:lineRule="exact"/>
    </w:pPr>
    <w:rPr>
      <w:rFonts w:ascii="Verdana" w:hAnsi="Verdana" w:eastAsia="仿宋_GB2312"/>
      <w:szCs w:val="20"/>
      <w:lang w:eastAsia="en-US"/>
    </w:rPr>
  </w:style>
  <w:style w:type="paragraph" w:customStyle="1" w:styleId="362">
    <w:name w:val="正文00"/>
    <w:basedOn w:val="18"/>
    <w:qFormat/>
    <w:uiPriority w:val="99"/>
    <w:pPr>
      <w:tabs>
        <w:tab w:val="left" w:pos="0"/>
      </w:tabs>
      <w:spacing w:line="360" w:lineRule="auto"/>
      <w:ind w:firstLine="480"/>
    </w:pPr>
    <w:rPr>
      <w:rFonts w:ascii="宋体"/>
      <w:kern w:val="28"/>
    </w:rPr>
  </w:style>
  <w:style w:type="paragraph" w:customStyle="1" w:styleId="363">
    <w:name w:val="xl28"/>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20"/>
      <w:szCs w:val="20"/>
    </w:rPr>
  </w:style>
  <w:style w:type="paragraph" w:customStyle="1" w:styleId="364">
    <w:name w:val="xl34"/>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365">
    <w:name w:val="xl38"/>
    <w:basedOn w:val="1"/>
    <w:qFormat/>
    <w:uiPriority w:val="99"/>
    <w:pPr>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pPr>
    <w:rPr>
      <w:rFonts w:ascii="宋体" w:hAnsi="宋体" w:cs="宋体"/>
      <w:b/>
      <w:bCs/>
      <w:sz w:val="20"/>
      <w:szCs w:val="20"/>
    </w:rPr>
  </w:style>
  <w:style w:type="paragraph" w:customStyle="1" w:styleId="366">
    <w:name w:val="xl43"/>
    <w:basedOn w:val="1"/>
    <w:autoRedefine/>
    <w:qFormat/>
    <w:uiPriority w:val="99"/>
    <w:pPr>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pPr>
    <w:rPr>
      <w:rFonts w:ascii="宋体" w:hAnsi="宋体" w:cs="宋体"/>
      <w:b/>
      <w:bCs/>
      <w:sz w:val="20"/>
      <w:szCs w:val="20"/>
    </w:rPr>
  </w:style>
  <w:style w:type="paragraph" w:customStyle="1" w:styleId="367">
    <w:name w:val="xl47"/>
    <w:basedOn w:val="1"/>
    <w:qFormat/>
    <w:uiPriority w:val="99"/>
    <w:pPr>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pPr>
    <w:rPr>
      <w:rFonts w:ascii="宋体" w:hAnsi="宋体" w:cs="宋体"/>
      <w:sz w:val="20"/>
      <w:szCs w:val="20"/>
    </w:rPr>
  </w:style>
  <w:style w:type="paragraph" w:customStyle="1" w:styleId="368">
    <w:name w:val="xl55"/>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20"/>
      <w:szCs w:val="20"/>
    </w:rPr>
  </w:style>
  <w:style w:type="paragraph" w:customStyle="1" w:styleId="369">
    <w:name w:val="xl59"/>
    <w:basedOn w:val="1"/>
    <w:qFormat/>
    <w:uiPriority w:val="99"/>
    <w:pPr>
      <w:pBdr>
        <w:top w:val="single" w:color="auto" w:sz="4" w:space="0"/>
        <w:left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370">
    <w:name w:val="xl63"/>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18"/>
      <w:szCs w:val="18"/>
    </w:rPr>
  </w:style>
  <w:style w:type="paragraph" w:customStyle="1" w:styleId="371">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sz w:val="21"/>
      <w:szCs w:val="21"/>
    </w:rPr>
  </w:style>
  <w:style w:type="paragraph" w:customStyle="1" w:styleId="372">
    <w:name w:val="正文编号2"/>
    <w:basedOn w:val="1"/>
    <w:qFormat/>
    <w:uiPriority w:val="99"/>
    <w:pPr>
      <w:widowControl w:val="0"/>
      <w:jc w:val="both"/>
    </w:pPr>
    <w:rPr>
      <w:rFonts w:eastAsia="楷体_GB2312"/>
      <w:sz w:val="28"/>
    </w:rPr>
  </w:style>
  <w:style w:type="paragraph" w:customStyle="1" w:styleId="373">
    <w:name w:val="style14"/>
    <w:basedOn w:val="1"/>
    <w:qFormat/>
    <w:uiPriority w:val="99"/>
    <w:rPr>
      <w:rFonts w:ascii="宋体" w:hAnsi="宋体" w:cs="宋体"/>
      <w:b/>
      <w:bCs/>
      <w:sz w:val="21"/>
      <w:szCs w:val="21"/>
    </w:rPr>
  </w:style>
  <w:style w:type="paragraph" w:customStyle="1" w:styleId="374">
    <w:name w:val="font5"/>
    <w:basedOn w:val="1"/>
    <w:qFormat/>
    <w:uiPriority w:val="0"/>
    <w:pPr>
      <w:spacing w:before="100" w:beforeAutospacing="1" w:after="100" w:afterAutospacing="1"/>
    </w:pPr>
    <w:rPr>
      <w:rFonts w:ascii="宋体" w:hAnsi="宋体" w:cs="宋体"/>
      <w:sz w:val="18"/>
      <w:szCs w:val="18"/>
    </w:rPr>
  </w:style>
  <w:style w:type="paragraph" w:customStyle="1" w:styleId="375">
    <w:name w:val="xl80"/>
    <w:basedOn w:val="1"/>
    <w:qFormat/>
    <w:uiPriority w:val="0"/>
    <w:pPr>
      <w:spacing w:before="100" w:beforeAutospacing="1" w:after="100" w:afterAutospacing="1"/>
    </w:pPr>
    <w:rPr>
      <w:rFonts w:ascii="宋体" w:hAnsi="宋体" w:cs="宋体"/>
      <w:sz w:val="16"/>
      <w:szCs w:val="16"/>
    </w:rPr>
  </w:style>
  <w:style w:type="paragraph" w:customStyle="1" w:styleId="376">
    <w:name w:val="xl31"/>
    <w:basedOn w:val="1"/>
    <w:qFormat/>
    <w:uiPriority w:val="99"/>
    <w:pPr>
      <w:spacing w:before="100" w:beforeAutospacing="1" w:after="100" w:afterAutospacing="1"/>
      <w:jc w:val="both"/>
    </w:pPr>
    <w:rPr>
      <w:sz w:val="20"/>
      <w:szCs w:val="20"/>
    </w:rPr>
  </w:style>
  <w:style w:type="paragraph" w:customStyle="1" w:styleId="377">
    <w:name w:val="自动更正"/>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78">
    <w:name w:val="font9"/>
    <w:basedOn w:val="1"/>
    <w:autoRedefine/>
    <w:qFormat/>
    <w:uiPriority w:val="99"/>
    <w:pPr>
      <w:spacing w:before="100" w:beforeAutospacing="1" w:after="100" w:afterAutospacing="1"/>
    </w:pPr>
    <w:rPr>
      <w:rFonts w:ascii="宋体" w:hAnsi="宋体" w:cs="宋体"/>
      <w:sz w:val="18"/>
      <w:szCs w:val="18"/>
    </w:rPr>
  </w:style>
  <w:style w:type="paragraph" w:customStyle="1" w:styleId="379">
    <w:name w:val="xl103"/>
    <w:basedOn w:val="1"/>
    <w:qFormat/>
    <w:uiPriority w:val="99"/>
    <w:pPr>
      <w:spacing w:before="100" w:beforeAutospacing="1" w:after="100" w:afterAutospacing="1"/>
    </w:pPr>
    <w:rPr>
      <w:rFonts w:ascii="Arial" w:hAnsi="Arial" w:cs="Arial"/>
      <w:sz w:val="20"/>
      <w:szCs w:val="20"/>
    </w:rPr>
  </w:style>
  <w:style w:type="paragraph" w:customStyle="1" w:styleId="380">
    <w:name w:val="xl107"/>
    <w:basedOn w:val="1"/>
    <w:qFormat/>
    <w:uiPriority w:val="99"/>
    <w:pPr>
      <w:spacing w:before="100" w:beforeAutospacing="1" w:after="100" w:afterAutospacing="1"/>
      <w:jc w:val="center"/>
    </w:pPr>
    <w:rPr>
      <w:rFonts w:ascii="Arial" w:hAnsi="Arial" w:cs="Arial"/>
      <w:b/>
      <w:bCs/>
    </w:rPr>
  </w:style>
  <w:style w:type="paragraph" w:customStyle="1" w:styleId="381">
    <w:name w:val="xl111"/>
    <w:basedOn w:val="1"/>
    <w:autoRedefine/>
    <w:qFormat/>
    <w:uiPriority w:val="99"/>
    <w:pPr>
      <w:spacing w:before="100" w:beforeAutospacing="1" w:after="100" w:afterAutospacing="1"/>
    </w:pPr>
    <w:rPr>
      <w:rFonts w:ascii="Arial" w:hAnsi="Arial" w:cs="Arial"/>
      <w:sz w:val="20"/>
      <w:szCs w:val="20"/>
    </w:rPr>
  </w:style>
  <w:style w:type="paragraph" w:customStyle="1" w:styleId="382">
    <w:name w:val="xl123"/>
    <w:basedOn w:val="1"/>
    <w:autoRedefine/>
    <w:qFormat/>
    <w:uiPriority w:val="99"/>
    <w:pPr>
      <w:spacing w:before="100" w:beforeAutospacing="1" w:after="100" w:afterAutospacing="1"/>
      <w:jc w:val="center"/>
    </w:pPr>
    <w:rPr>
      <w:rFonts w:ascii="小标宋" w:hAnsi="宋体" w:eastAsia="小标宋" w:cs="宋体"/>
      <w:b/>
      <w:bCs/>
      <w:sz w:val="40"/>
      <w:szCs w:val="40"/>
    </w:rPr>
  </w:style>
  <w:style w:type="paragraph" w:customStyle="1" w:styleId="383">
    <w:name w:val="style1"/>
    <w:basedOn w:val="1"/>
    <w:autoRedefine/>
    <w:qFormat/>
    <w:uiPriority w:val="99"/>
    <w:pPr>
      <w:spacing w:before="100" w:beforeAutospacing="1" w:after="100" w:afterAutospacing="1"/>
    </w:pPr>
    <w:rPr>
      <w:rFonts w:ascii="宋体" w:hAnsi="宋体" w:cs="宋体"/>
      <w:sz w:val="21"/>
      <w:szCs w:val="21"/>
    </w:rPr>
  </w:style>
  <w:style w:type="paragraph" w:customStyle="1" w:styleId="384">
    <w:name w:val="文本1"/>
    <w:basedOn w:val="1"/>
    <w:autoRedefine/>
    <w:qFormat/>
    <w:uiPriority w:val="99"/>
    <w:pPr>
      <w:widowControl w:val="0"/>
      <w:adjustRightInd w:val="0"/>
      <w:spacing w:line="312" w:lineRule="atLeast"/>
      <w:jc w:val="center"/>
      <w:textAlignment w:val="baseline"/>
    </w:pPr>
    <w:rPr>
      <w:sz w:val="18"/>
      <w:szCs w:val="20"/>
    </w:rPr>
  </w:style>
  <w:style w:type="paragraph" w:customStyle="1" w:styleId="385">
    <w:name w:val="Table Description"/>
    <w:next w:val="1"/>
    <w:autoRedefine/>
    <w:qFormat/>
    <w:uiPriority w:val="99"/>
    <w:pPr>
      <w:keepNext/>
      <w:snapToGrid w:val="0"/>
      <w:spacing w:before="160" w:after="80"/>
      <w:ind w:left="1134"/>
      <w:jc w:val="center"/>
    </w:pPr>
    <w:rPr>
      <w:rFonts w:ascii="Arial" w:hAnsi="Arial" w:eastAsia="黑体" w:cs="Arial"/>
      <w:sz w:val="18"/>
      <w:szCs w:val="18"/>
      <w:lang w:val="en-US" w:eastAsia="zh-CN" w:bidi="ar-SA"/>
    </w:rPr>
  </w:style>
  <w:style w:type="paragraph" w:customStyle="1" w:styleId="386">
    <w:name w:val="Item List"/>
    <w:autoRedefine/>
    <w:qFormat/>
    <w:uiPriority w:val="99"/>
    <w:pPr>
      <w:numPr>
        <w:ilvl w:val="0"/>
        <w:numId w:val="14"/>
      </w:numPr>
      <w:tabs>
        <w:tab w:val="left" w:pos="1644"/>
        <w:tab w:val="clear" w:pos="360"/>
      </w:tabs>
      <w:spacing w:line="300" w:lineRule="auto"/>
      <w:jc w:val="both"/>
    </w:pPr>
    <w:rPr>
      <w:rFonts w:ascii="Arial" w:hAnsi="Arial" w:eastAsia="宋体" w:cs="Arial"/>
      <w:sz w:val="21"/>
      <w:szCs w:val="21"/>
      <w:lang w:val="en-US" w:eastAsia="zh-CN" w:bidi="ar-SA"/>
    </w:rPr>
  </w:style>
  <w:style w:type="paragraph" w:customStyle="1" w:styleId="387">
    <w:name w:val="首行缩进 1"/>
    <w:basedOn w:val="1"/>
    <w:autoRedefine/>
    <w:qFormat/>
    <w:uiPriority w:val="99"/>
    <w:pPr>
      <w:widowControl w:val="0"/>
      <w:spacing w:after="120" w:line="360" w:lineRule="auto"/>
      <w:ind w:firstLine="200" w:firstLineChars="200"/>
      <w:jc w:val="both"/>
    </w:pPr>
    <w:rPr>
      <w:kern w:val="2"/>
    </w:rPr>
  </w:style>
  <w:style w:type="paragraph" w:customStyle="1" w:styleId="388">
    <w:name w:val="font10"/>
    <w:basedOn w:val="1"/>
    <w:autoRedefine/>
    <w:qFormat/>
    <w:uiPriority w:val="99"/>
    <w:pPr>
      <w:spacing w:before="100" w:beforeAutospacing="1" w:after="100" w:afterAutospacing="1"/>
    </w:pPr>
    <w:rPr>
      <w:rFonts w:ascii="宋体" w:hAnsi="宋体" w:cs="宋体"/>
      <w:color w:val="000000"/>
      <w:sz w:val="20"/>
      <w:szCs w:val="20"/>
    </w:rPr>
  </w:style>
  <w:style w:type="paragraph" w:customStyle="1" w:styleId="389">
    <w:name w:val="样式 正文文本缩进正文文字首行缩进HD正文1特点标题上海中望标准PI正文普通文字正文小标题正文文字缩进 + 首行..."/>
    <w:basedOn w:val="27"/>
    <w:autoRedefine/>
    <w:qFormat/>
    <w:uiPriority w:val="99"/>
    <w:pPr>
      <w:spacing w:line="360" w:lineRule="auto"/>
      <w:ind w:left="0" w:leftChars="0" w:firstLine="480"/>
    </w:pPr>
    <w:rPr>
      <w:rFonts w:hAnsi="Times New Roman" w:cs="宋体"/>
      <w:color w:val="008000"/>
      <w:szCs w:val="20"/>
    </w:rPr>
  </w:style>
  <w:style w:type="paragraph" w:customStyle="1" w:styleId="390">
    <w:name w:val="正文2"/>
    <w:basedOn w:val="1"/>
    <w:autoRedefine/>
    <w:qFormat/>
    <w:uiPriority w:val="99"/>
    <w:pPr>
      <w:widowControl w:val="0"/>
      <w:spacing w:before="156" w:line="360" w:lineRule="auto"/>
      <w:ind w:firstLine="510" w:firstLineChars="200"/>
      <w:jc w:val="both"/>
    </w:pPr>
    <w:rPr>
      <w:kern w:val="2"/>
      <w:szCs w:val="20"/>
    </w:rPr>
  </w:style>
  <w:style w:type="paragraph" w:customStyle="1" w:styleId="391">
    <w:name w:val="样式 左侧:  6 字符 段前: 0.5 行 段后: 0.5 行"/>
    <w:basedOn w:val="1"/>
    <w:autoRedefine/>
    <w:qFormat/>
    <w:uiPriority w:val="99"/>
    <w:pPr>
      <w:widowControl w:val="0"/>
      <w:snapToGrid w:val="0"/>
      <w:spacing w:beforeLines="50" w:afterLines="50" w:line="360" w:lineRule="auto"/>
      <w:ind w:left="1260" w:leftChars="600"/>
      <w:jc w:val="both"/>
    </w:pPr>
    <w:rPr>
      <w:rFonts w:cs="宋体"/>
      <w:kern w:val="2"/>
      <w:sz w:val="21"/>
      <w:szCs w:val="20"/>
    </w:rPr>
  </w:style>
  <w:style w:type="paragraph" w:customStyle="1" w:styleId="392">
    <w:name w:val="Char Char Char Char Char"/>
    <w:basedOn w:val="1"/>
    <w:autoRedefine/>
    <w:qFormat/>
    <w:uiPriority w:val="99"/>
    <w:pPr>
      <w:widowControl w:val="0"/>
      <w:autoSpaceDE w:val="0"/>
      <w:autoSpaceDN w:val="0"/>
      <w:adjustRightInd w:val="0"/>
    </w:pPr>
    <w:rPr>
      <w:rFonts w:ascii="Tahoma" w:hAnsi="Tahoma"/>
      <w:szCs w:val="20"/>
    </w:rPr>
  </w:style>
  <w:style w:type="paragraph" w:customStyle="1" w:styleId="393">
    <w:name w:val="xl7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6"/>
      <w:szCs w:val="16"/>
    </w:rPr>
  </w:style>
  <w:style w:type="paragraph" w:customStyle="1" w:styleId="394">
    <w:name w:val="xl72"/>
    <w:basedOn w:val="1"/>
    <w:autoRedefine/>
    <w:qFormat/>
    <w:uiPriority w:val="0"/>
    <w:pPr>
      <w:pBdr>
        <w:top w:val="single" w:color="auto" w:sz="4" w:space="0"/>
        <w:left w:val="single" w:color="auto" w:sz="4" w:space="0"/>
        <w:bottom w:val="single" w:color="auto" w:sz="4" w:space="0"/>
      </w:pBdr>
      <w:spacing w:before="100" w:beforeAutospacing="1" w:after="100" w:afterAutospacing="1"/>
      <w:jc w:val="center"/>
    </w:pPr>
    <w:rPr>
      <w:rFonts w:ascii="宋体" w:hAnsi="宋体" w:cs="宋体"/>
      <w:sz w:val="16"/>
      <w:szCs w:val="16"/>
    </w:rPr>
  </w:style>
  <w:style w:type="paragraph" w:customStyle="1" w:styleId="395">
    <w:name w:val="xl7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16"/>
      <w:szCs w:val="16"/>
    </w:rPr>
  </w:style>
  <w:style w:type="paragraph" w:customStyle="1" w:styleId="396">
    <w:name w:val="xl8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16"/>
      <w:szCs w:val="16"/>
    </w:rPr>
  </w:style>
  <w:style w:type="paragraph" w:customStyle="1" w:styleId="397">
    <w:name w:val="xl51"/>
    <w:basedOn w:val="1"/>
    <w:autoRedefine/>
    <w:qFormat/>
    <w:uiPriority w:val="99"/>
    <w:pPr>
      <w:pBdr>
        <w:bottom w:val="single" w:color="auto" w:sz="4" w:space="0"/>
        <w:right w:val="single" w:color="auto" w:sz="4" w:space="0"/>
      </w:pBdr>
      <w:spacing w:before="100" w:beforeAutospacing="1" w:after="100" w:afterAutospacing="1"/>
      <w:jc w:val="both"/>
      <w:textAlignment w:val="center"/>
    </w:pPr>
    <w:rPr>
      <w:rFonts w:ascii="Arial" w:hAnsi="Arial" w:cs="Arial"/>
      <w:sz w:val="21"/>
      <w:szCs w:val="21"/>
    </w:rPr>
  </w:style>
  <w:style w:type="paragraph" w:customStyle="1" w:styleId="398">
    <w:name w:val="列出段落111"/>
    <w:basedOn w:val="1"/>
    <w:autoRedefine/>
    <w:qFormat/>
    <w:uiPriority w:val="99"/>
    <w:pPr>
      <w:widowControl w:val="0"/>
      <w:ind w:firstLine="420" w:firstLineChars="200"/>
      <w:jc w:val="both"/>
    </w:pPr>
    <w:rPr>
      <w:rFonts w:ascii="Calibri" w:hAnsi="Calibri"/>
      <w:kern w:val="2"/>
      <w:sz w:val="21"/>
      <w:szCs w:val="22"/>
    </w:rPr>
  </w:style>
  <w:style w:type="paragraph" w:customStyle="1" w:styleId="399">
    <w:name w:val="样式 标题 2 + 首行缩进:  2 字符"/>
    <w:basedOn w:val="5"/>
    <w:autoRedefine/>
    <w:qFormat/>
    <w:uiPriority w:val="99"/>
    <w:pPr>
      <w:keepNext/>
      <w:keepLines/>
      <w:tabs>
        <w:tab w:val="left" w:pos="720"/>
        <w:tab w:val="clear" w:pos="0"/>
      </w:tabs>
      <w:spacing w:before="240" w:after="140"/>
      <w:ind w:firstLine="790" w:firstLineChars="246"/>
      <w:contextualSpacing w:val="0"/>
    </w:pPr>
    <w:rPr>
      <w:rFonts w:ascii="Arial" w:hAnsi="Arial" w:eastAsia="仿宋_GB2312" w:cs="宋体"/>
      <w:bCs/>
      <w:color w:val="auto"/>
      <w:spacing w:val="0"/>
      <w:sz w:val="32"/>
      <w:szCs w:val="24"/>
    </w:rPr>
  </w:style>
  <w:style w:type="paragraph" w:customStyle="1" w:styleId="400">
    <w:name w:val="xl87"/>
    <w:basedOn w:val="1"/>
    <w:autoRedefine/>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401">
    <w:name w:val="xl91"/>
    <w:basedOn w:val="1"/>
    <w:autoRedefine/>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402">
    <w:name w:val="xl95"/>
    <w:basedOn w:val="1"/>
    <w:autoRedefine/>
    <w:qFormat/>
    <w:uiPriority w:val="0"/>
    <w:pPr>
      <w:pBdr>
        <w:top w:val="single" w:color="auto" w:sz="4" w:space="0"/>
        <w:left w:val="single" w:color="auto" w:sz="4" w:space="0"/>
      </w:pBdr>
      <w:spacing w:before="100" w:beforeAutospacing="1" w:after="100" w:afterAutospacing="1"/>
    </w:pPr>
    <w:rPr>
      <w:rFonts w:ascii="宋体" w:hAnsi="宋体" w:cs="宋体"/>
      <w:sz w:val="20"/>
      <w:szCs w:val="20"/>
    </w:rPr>
  </w:style>
  <w:style w:type="paragraph" w:customStyle="1" w:styleId="403">
    <w:name w:val="xl99"/>
    <w:basedOn w:val="1"/>
    <w:autoRedefine/>
    <w:qFormat/>
    <w:uiPriority w:val="99"/>
    <w:pPr>
      <w:pBdr>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404">
    <w:name w:val="xl105"/>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sz w:val="20"/>
      <w:szCs w:val="20"/>
    </w:rPr>
  </w:style>
  <w:style w:type="paragraph" w:customStyle="1" w:styleId="405">
    <w:name w:val="xl112"/>
    <w:basedOn w:val="1"/>
    <w:autoRedefine/>
    <w:qFormat/>
    <w:uiPriority w:val="99"/>
    <w:pPr>
      <w:pBdr>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406">
    <w:name w:val="xl115"/>
    <w:basedOn w:val="1"/>
    <w:autoRedefine/>
    <w:qFormat/>
    <w:uiPriority w:val="99"/>
    <w:pPr>
      <w:pBdr>
        <w:top w:val="single" w:color="auto" w:sz="4" w:space="0"/>
        <w:left w:val="single" w:color="auto" w:sz="4" w:space="0"/>
        <w:bottom w:val="single" w:color="auto" w:sz="4" w:space="0"/>
      </w:pBdr>
      <w:spacing w:before="100" w:beforeAutospacing="1" w:after="100" w:afterAutospacing="1"/>
      <w:jc w:val="center"/>
    </w:pPr>
    <w:rPr>
      <w:rFonts w:ascii="Arial" w:hAnsi="Arial" w:cs="Arial"/>
      <w:b/>
      <w:bCs/>
      <w:sz w:val="20"/>
      <w:szCs w:val="20"/>
    </w:rPr>
  </w:style>
  <w:style w:type="paragraph" w:customStyle="1" w:styleId="407">
    <w:name w:val="xl127"/>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rPr>
  </w:style>
  <w:style w:type="paragraph" w:customStyle="1" w:styleId="408">
    <w:name w:val="_Style 198"/>
    <w:next w:val="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09">
    <w:name w:val="Char Char1 Char Char Char Char Char Char Char Char Char Char Char Char Char Char"/>
    <w:basedOn w:val="1"/>
    <w:autoRedefine/>
    <w:qFormat/>
    <w:uiPriority w:val="99"/>
    <w:pPr>
      <w:spacing w:after="160" w:line="240" w:lineRule="exact"/>
    </w:pPr>
    <w:rPr>
      <w:rFonts w:ascii="Verdana" w:hAnsi="Verdana"/>
      <w:sz w:val="20"/>
      <w:szCs w:val="20"/>
      <w:lang w:eastAsia="en-US"/>
    </w:rPr>
  </w:style>
  <w:style w:type="paragraph" w:customStyle="1" w:styleId="410">
    <w:name w:val="附录3"/>
    <w:basedOn w:val="1"/>
    <w:next w:val="1"/>
    <w:autoRedefine/>
    <w:qFormat/>
    <w:uiPriority w:val="99"/>
    <w:pPr>
      <w:widowControl w:val="0"/>
      <w:tabs>
        <w:tab w:val="left" w:pos="851"/>
      </w:tabs>
      <w:ind w:left="425" w:hanging="425"/>
      <w:jc w:val="both"/>
      <w:outlineLvl w:val="2"/>
    </w:pPr>
    <w:rPr>
      <w:rFonts w:eastAsia="黑体"/>
      <w:b/>
      <w:bCs/>
      <w:kern w:val="2"/>
      <w:sz w:val="32"/>
    </w:rPr>
  </w:style>
  <w:style w:type="paragraph" w:customStyle="1" w:styleId="411">
    <w:name w:val="可研正文"/>
    <w:basedOn w:val="4"/>
    <w:autoRedefine/>
    <w:qFormat/>
    <w:uiPriority w:val="99"/>
    <w:pPr>
      <w:adjustRightInd w:val="0"/>
      <w:snapToGrid w:val="0"/>
      <w:spacing w:after="0" w:line="440" w:lineRule="exact"/>
      <w:ind w:firstLine="567" w:firstLineChars="0"/>
    </w:pPr>
    <w:rPr>
      <w:rFonts w:ascii="仿宋_GB2312" w:eastAsia="仿宋_GB2312"/>
      <w:sz w:val="28"/>
      <w:szCs w:val="20"/>
    </w:rPr>
  </w:style>
  <w:style w:type="paragraph" w:customStyle="1" w:styleId="412">
    <w:name w:val="样式 标题 1章标题Heading 0Section HeadPIM 1H1h11st levell11H1..."/>
    <w:basedOn w:val="3"/>
    <w:autoRedefine/>
    <w:qFormat/>
    <w:uiPriority w:val="99"/>
    <w:pPr>
      <w:keepNext/>
      <w:keepLines/>
      <w:pageBreakBefore/>
      <w:tabs>
        <w:tab w:val="left" w:pos="432"/>
        <w:tab w:val="clear" w:pos="0"/>
      </w:tabs>
      <w:autoSpaceDE w:val="0"/>
      <w:autoSpaceDN w:val="0"/>
      <w:adjustRightInd w:val="0"/>
      <w:snapToGrid w:val="0"/>
      <w:spacing w:before="340" w:after="330" w:line="578" w:lineRule="atLeast"/>
      <w:contextualSpacing w:val="0"/>
      <w:textAlignment w:val="bottom"/>
    </w:pPr>
    <w:rPr>
      <w:rFonts w:ascii="宋体" w:hAnsi="宋体" w:eastAsia="黑体"/>
      <w:color w:val="auto"/>
      <w:spacing w:val="0"/>
      <w:kern w:val="44"/>
      <w:sz w:val="36"/>
      <w:szCs w:val="24"/>
    </w:rPr>
  </w:style>
  <w:style w:type="paragraph" w:customStyle="1" w:styleId="413">
    <w:name w:val="正文4"/>
    <w:basedOn w:val="1"/>
    <w:autoRedefine/>
    <w:qFormat/>
    <w:uiPriority w:val="99"/>
    <w:pPr>
      <w:widowControl w:val="0"/>
      <w:numPr>
        <w:ilvl w:val="0"/>
        <w:numId w:val="15"/>
      </w:numPr>
      <w:tabs>
        <w:tab w:val="left" w:pos="425"/>
      </w:tabs>
      <w:spacing w:before="60" w:after="60" w:line="360" w:lineRule="auto"/>
      <w:ind w:left="820" w:leftChars="400" w:firstLine="0"/>
      <w:jc w:val="both"/>
    </w:pPr>
    <w:rPr>
      <w:kern w:val="2"/>
    </w:rPr>
  </w:style>
  <w:style w:type="paragraph" w:customStyle="1" w:styleId="414">
    <w:name w:val="正文表格"/>
    <w:basedOn w:val="1"/>
    <w:autoRedefine/>
    <w:qFormat/>
    <w:uiPriority w:val="99"/>
    <w:pPr>
      <w:widowControl w:val="0"/>
      <w:adjustRightInd w:val="0"/>
      <w:spacing w:before="40" w:after="40"/>
      <w:jc w:val="both"/>
    </w:pPr>
    <w:rPr>
      <w:kern w:val="2"/>
      <w:szCs w:val="20"/>
    </w:rPr>
  </w:style>
  <w:style w:type="paragraph" w:customStyle="1" w:styleId="415">
    <w:name w:val="xl53"/>
    <w:basedOn w:val="1"/>
    <w:autoRedefine/>
    <w:qFormat/>
    <w:uiPriority w:val="99"/>
    <w:pPr>
      <w:pBdr>
        <w:left w:val="single" w:color="auto" w:sz="4" w:space="0"/>
        <w:bottom w:val="single" w:color="auto" w:sz="4" w:space="0"/>
      </w:pBdr>
      <w:spacing w:before="100" w:beforeAutospacing="1" w:after="100" w:afterAutospacing="1"/>
      <w:jc w:val="center"/>
      <w:textAlignment w:val="center"/>
    </w:pPr>
    <w:rPr>
      <w:rFonts w:ascii="宋体" w:hAnsi="宋体"/>
    </w:rPr>
  </w:style>
  <w:style w:type="paragraph" w:customStyle="1" w:styleId="416">
    <w:name w:val="Title - Date"/>
    <w:basedOn w:val="63"/>
    <w:next w:val="1"/>
    <w:qFormat/>
    <w:uiPriority w:val="99"/>
    <w:pPr>
      <w:spacing w:before="240" w:after="720" w:line="360" w:lineRule="auto"/>
      <w:contextualSpacing w:val="0"/>
      <w:jc w:val="center"/>
    </w:pPr>
    <w:rPr>
      <w:rFonts w:ascii="Arial" w:hAnsi="Arial"/>
      <w:color w:val="auto"/>
      <w:spacing w:val="0"/>
      <w:kern w:val="28"/>
      <w:sz w:val="28"/>
      <w:szCs w:val="20"/>
    </w:rPr>
  </w:style>
  <w:style w:type="paragraph" w:customStyle="1" w:styleId="417">
    <w:name w:val="普通正文"/>
    <w:basedOn w:val="1"/>
    <w:autoRedefine/>
    <w:qFormat/>
    <w:uiPriority w:val="99"/>
    <w:pPr>
      <w:widowControl w:val="0"/>
      <w:adjustRightInd w:val="0"/>
      <w:spacing w:before="120" w:after="120" w:line="360" w:lineRule="auto"/>
      <w:ind w:firstLine="480"/>
      <w:textAlignment w:val="baseline"/>
    </w:pPr>
    <w:rPr>
      <w:rFonts w:ascii="Arial" w:hAnsi="Arial"/>
    </w:rPr>
  </w:style>
  <w:style w:type="paragraph" w:customStyle="1" w:styleId="418">
    <w:name w:val="content"/>
    <w:basedOn w:val="1"/>
    <w:qFormat/>
    <w:uiPriority w:val="99"/>
    <w:pPr>
      <w:spacing w:before="100" w:beforeAutospacing="1" w:after="100" w:afterAutospacing="1" w:line="280" w:lineRule="atLeast"/>
      <w:ind w:firstLine="375"/>
    </w:pPr>
    <w:rPr>
      <w:rFonts w:ascii="宋体" w:hAnsi="宋体" w:cs="宋体"/>
      <w:color w:val="000000"/>
      <w:sz w:val="18"/>
      <w:szCs w:val="18"/>
    </w:rPr>
  </w:style>
  <w:style w:type="paragraph" w:customStyle="1" w:styleId="419">
    <w:name w:val="CSS1级正文 Char"/>
    <w:basedOn w:val="4"/>
    <w:autoRedefine/>
    <w:qFormat/>
    <w:uiPriority w:val="99"/>
    <w:pPr>
      <w:adjustRightInd w:val="0"/>
      <w:snapToGrid w:val="0"/>
      <w:spacing w:after="0" w:line="360" w:lineRule="auto"/>
      <w:ind w:firstLine="480" w:firstLineChars="0"/>
    </w:pPr>
    <w:rPr>
      <w:sz w:val="21"/>
    </w:rPr>
  </w:style>
  <w:style w:type="paragraph" w:customStyle="1" w:styleId="420">
    <w:name w:val="样式 行距: 1.5 倍行距1"/>
    <w:basedOn w:val="1"/>
    <w:autoRedefine/>
    <w:qFormat/>
    <w:uiPriority w:val="99"/>
    <w:pPr>
      <w:widowControl w:val="0"/>
      <w:snapToGrid w:val="0"/>
      <w:jc w:val="both"/>
    </w:pPr>
    <w:rPr>
      <w:rFonts w:cs="宋体"/>
      <w:kern w:val="2"/>
      <w:sz w:val="21"/>
      <w:szCs w:val="21"/>
    </w:rPr>
  </w:style>
  <w:style w:type="paragraph" w:customStyle="1" w:styleId="421">
    <w:name w:val="Char1 Char Char Char Char Char Char Char Char Char"/>
    <w:basedOn w:val="1"/>
    <w:autoRedefine/>
    <w:qFormat/>
    <w:uiPriority w:val="99"/>
    <w:pPr>
      <w:widowControl w:val="0"/>
      <w:jc w:val="both"/>
    </w:pPr>
    <w:rPr>
      <w:rFonts w:ascii="Tahoma" w:hAnsi="Tahoma"/>
      <w:kern w:val="2"/>
      <w:szCs w:val="20"/>
    </w:rPr>
  </w:style>
  <w:style w:type="paragraph" w:customStyle="1" w:styleId="422">
    <w:name w:val="xl24"/>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szCs w:val="20"/>
    </w:rPr>
  </w:style>
  <w:style w:type="paragraph" w:customStyle="1" w:styleId="423">
    <w:name w:val="xl27"/>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424">
    <w:name w:val="xl33"/>
    <w:basedOn w:val="1"/>
    <w:autoRedefine/>
    <w:qFormat/>
    <w:uiPriority w:val="99"/>
    <w:pPr>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pPr>
    <w:rPr>
      <w:rFonts w:ascii="宋体" w:hAnsi="宋体" w:cs="宋体"/>
      <w:b/>
      <w:bCs/>
      <w:sz w:val="20"/>
      <w:szCs w:val="20"/>
    </w:rPr>
  </w:style>
  <w:style w:type="paragraph" w:customStyle="1" w:styleId="425">
    <w:name w:val="xl37"/>
    <w:basedOn w:val="1"/>
    <w:autoRedefine/>
    <w:qFormat/>
    <w:uiPriority w:val="99"/>
    <w:pPr>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pPr>
    <w:rPr>
      <w:rFonts w:ascii="宋体" w:hAnsi="宋体" w:cs="宋体"/>
      <w:sz w:val="20"/>
      <w:szCs w:val="20"/>
    </w:rPr>
  </w:style>
  <w:style w:type="paragraph" w:customStyle="1" w:styleId="426">
    <w:name w:val="xl42"/>
    <w:basedOn w:val="1"/>
    <w:autoRedefine/>
    <w:qFormat/>
    <w:uiPriority w:val="99"/>
    <w:pPr>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pPr>
    <w:rPr>
      <w:rFonts w:ascii="宋体" w:hAnsi="宋体" w:cs="宋体"/>
      <w:sz w:val="20"/>
      <w:szCs w:val="20"/>
    </w:rPr>
  </w:style>
  <w:style w:type="paragraph" w:customStyle="1" w:styleId="427">
    <w:name w:val="xl46"/>
    <w:basedOn w:val="1"/>
    <w:autoRedefine/>
    <w:qFormat/>
    <w:uiPriority w:val="99"/>
    <w:pPr>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jc w:val="center"/>
    </w:pPr>
    <w:rPr>
      <w:rFonts w:ascii="宋体" w:hAnsi="宋体" w:cs="宋体"/>
      <w:b/>
      <w:bCs/>
      <w:sz w:val="20"/>
      <w:szCs w:val="20"/>
    </w:rPr>
  </w:style>
  <w:style w:type="paragraph" w:customStyle="1" w:styleId="428">
    <w:name w:val="xl50"/>
    <w:basedOn w:val="1"/>
    <w:autoRedefine/>
    <w:qFormat/>
    <w:uiPriority w:val="99"/>
    <w:pPr>
      <w:pBdr>
        <w:left w:val="single" w:color="auto" w:sz="4" w:space="0"/>
        <w:right w:val="single" w:color="auto" w:sz="4" w:space="0"/>
      </w:pBdr>
      <w:spacing w:before="100" w:beforeAutospacing="1" w:after="100" w:afterAutospacing="1"/>
      <w:jc w:val="center"/>
    </w:pPr>
    <w:rPr>
      <w:rFonts w:ascii="宋体" w:hAnsi="宋体" w:cs="宋体"/>
      <w:b/>
      <w:bCs/>
      <w:sz w:val="20"/>
      <w:szCs w:val="20"/>
    </w:rPr>
  </w:style>
  <w:style w:type="paragraph" w:customStyle="1" w:styleId="429">
    <w:name w:val="xl58"/>
    <w:basedOn w:val="1"/>
    <w:autoRedefine/>
    <w:qFormat/>
    <w:uiPriority w:val="99"/>
    <w:pPr>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sz w:val="20"/>
      <w:szCs w:val="20"/>
    </w:rPr>
  </w:style>
  <w:style w:type="paragraph" w:customStyle="1" w:styleId="430">
    <w:name w:val="xl62"/>
    <w:basedOn w:val="1"/>
    <w:autoRedefine/>
    <w:qFormat/>
    <w:uiPriority w:val="99"/>
    <w:pPr>
      <w:pBdr>
        <w:top w:val="single" w:color="auto" w:sz="4" w:space="0"/>
        <w:left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431">
    <w:name w:val="xl6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sz w:val="21"/>
      <w:szCs w:val="21"/>
    </w:rPr>
  </w:style>
  <w:style w:type="paragraph" w:customStyle="1" w:styleId="432">
    <w:name w:val="样式 标题 4 + 宋体 五号 行距: 多倍行距 1.25 字行"/>
    <w:basedOn w:val="7"/>
    <w:autoRedefine/>
    <w:qFormat/>
    <w:uiPriority w:val="99"/>
    <w:pPr>
      <w:keepNext/>
      <w:keepLines/>
      <w:pBdr>
        <w:bottom w:val="none" w:color="auto" w:sz="0" w:space="0"/>
      </w:pBdr>
      <w:spacing w:before="280" w:after="290" w:line="300" w:lineRule="auto"/>
      <w:contextualSpacing w:val="0"/>
    </w:pPr>
    <w:rPr>
      <w:rFonts w:ascii="宋体" w:hAnsi="宋体"/>
      <w:color w:val="auto"/>
      <w:spacing w:val="0"/>
    </w:rPr>
  </w:style>
  <w:style w:type="paragraph" w:customStyle="1" w:styleId="433">
    <w:name w:val="标题11"/>
    <w:basedOn w:val="3"/>
    <w:autoRedefine/>
    <w:qFormat/>
    <w:uiPriority w:val="99"/>
    <w:pPr>
      <w:keepNext/>
      <w:keepLines/>
      <w:tabs>
        <w:tab w:val="left" w:pos="360"/>
        <w:tab w:val="clear" w:pos="0"/>
      </w:tabs>
      <w:spacing w:beforeLines="50" w:after="120" w:line="300" w:lineRule="auto"/>
      <w:contextualSpacing w:val="0"/>
      <w:jc w:val="center"/>
    </w:pPr>
    <w:rPr>
      <w:rFonts w:ascii="Times New Roman" w:hAnsi="Times New Roman" w:eastAsia="黑体"/>
      <w:color w:val="auto"/>
      <w:spacing w:val="6"/>
      <w:kern w:val="44"/>
      <w:sz w:val="36"/>
      <w:szCs w:val="24"/>
    </w:rPr>
  </w:style>
  <w:style w:type="paragraph" w:customStyle="1" w:styleId="434">
    <w:name w:val="样式5"/>
    <w:basedOn w:val="265"/>
    <w:autoRedefine/>
    <w:qFormat/>
    <w:uiPriority w:val="99"/>
  </w:style>
  <w:style w:type="paragraph" w:customStyle="1" w:styleId="435">
    <w:name w:val="样式 小四 行距: 1.5 倍行距 首行缩进:  2 字符"/>
    <w:basedOn w:val="1"/>
    <w:autoRedefine/>
    <w:qFormat/>
    <w:uiPriority w:val="99"/>
    <w:pPr>
      <w:widowControl w:val="0"/>
      <w:spacing w:line="360" w:lineRule="auto"/>
      <w:ind w:firstLine="480" w:firstLineChars="200"/>
      <w:jc w:val="both"/>
    </w:pPr>
    <w:rPr>
      <w:rFonts w:cs="宋体"/>
      <w:kern w:val="2"/>
      <w:szCs w:val="20"/>
    </w:rPr>
  </w:style>
  <w:style w:type="paragraph" w:customStyle="1" w:styleId="436">
    <w:name w:val="Microsoft"/>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37">
    <w:name w:val="my正文"/>
    <w:autoRedefine/>
    <w:qFormat/>
    <w:uiPriority w:val="99"/>
    <w:pPr>
      <w:snapToGrid w:val="0"/>
      <w:spacing w:beforeLines="50" w:afterLines="50" w:line="300" w:lineRule="auto"/>
      <w:ind w:firstLine="480" w:firstLineChars="200"/>
    </w:pPr>
    <w:rPr>
      <w:rFonts w:ascii="宋体" w:hAnsi="宋体" w:eastAsia="宋体" w:cs="Times New Roman"/>
      <w:sz w:val="24"/>
      <w:szCs w:val="24"/>
      <w:lang w:val="en-US" w:eastAsia="zh-CN" w:bidi="ar-SA"/>
    </w:rPr>
  </w:style>
  <w:style w:type="paragraph" w:customStyle="1" w:styleId="438">
    <w:name w:val="font8"/>
    <w:basedOn w:val="1"/>
    <w:autoRedefine/>
    <w:qFormat/>
    <w:uiPriority w:val="99"/>
    <w:pPr>
      <w:spacing w:before="100" w:beforeAutospacing="1" w:after="100" w:afterAutospacing="1"/>
    </w:pPr>
    <w:rPr>
      <w:rFonts w:ascii="宋体" w:hAnsi="宋体" w:cs="宋体"/>
      <w:sz w:val="16"/>
      <w:szCs w:val="16"/>
    </w:rPr>
  </w:style>
  <w:style w:type="paragraph" w:customStyle="1" w:styleId="439">
    <w:name w:val="xl110"/>
    <w:basedOn w:val="1"/>
    <w:autoRedefine/>
    <w:qFormat/>
    <w:uiPriority w:val="99"/>
    <w:pPr>
      <w:spacing w:before="100" w:beforeAutospacing="1" w:after="100" w:afterAutospacing="1"/>
      <w:jc w:val="center"/>
      <w:textAlignment w:val="bottom"/>
    </w:pPr>
    <w:rPr>
      <w:rFonts w:ascii="Arial" w:hAnsi="Arial" w:cs="Arial"/>
      <w:sz w:val="20"/>
      <w:szCs w:val="20"/>
    </w:rPr>
  </w:style>
  <w:style w:type="paragraph" w:customStyle="1" w:styleId="440">
    <w:name w:val="xl118"/>
    <w:basedOn w:val="1"/>
    <w:autoRedefine/>
    <w:qFormat/>
    <w:uiPriority w:val="99"/>
    <w:pPr>
      <w:spacing w:before="100" w:beforeAutospacing="1" w:after="100" w:afterAutospacing="1"/>
    </w:pPr>
    <w:rPr>
      <w:rFonts w:ascii="Arial" w:hAnsi="Arial" w:cs="Arial"/>
      <w:sz w:val="20"/>
      <w:szCs w:val="20"/>
    </w:rPr>
  </w:style>
  <w:style w:type="paragraph" w:customStyle="1" w:styleId="441">
    <w:name w:val="xl122"/>
    <w:basedOn w:val="1"/>
    <w:autoRedefine/>
    <w:qFormat/>
    <w:uiPriority w:val="99"/>
    <w:pPr>
      <w:spacing w:before="100" w:beforeAutospacing="1" w:after="100" w:afterAutospacing="1"/>
    </w:pPr>
    <w:rPr>
      <w:rFonts w:ascii="Arial" w:hAnsi="Arial" w:cs="Arial"/>
      <w:sz w:val="32"/>
      <w:szCs w:val="32"/>
    </w:rPr>
  </w:style>
  <w:style w:type="paragraph" w:customStyle="1" w:styleId="442">
    <w:name w:val="Item Step"/>
    <w:qFormat/>
    <w:uiPriority w:val="99"/>
    <w:pPr>
      <w:tabs>
        <w:tab w:val="left" w:pos="1644"/>
      </w:tabs>
      <w:ind w:left="1644" w:hanging="510"/>
      <w:outlineLvl w:val="4"/>
    </w:pPr>
    <w:rPr>
      <w:rFonts w:ascii="Arial" w:hAnsi="Arial" w:eastAsia="宋体" w:cs="Arial"/>
      <w:sz w:val="21"/>
      <w:szCs w:val="21"/>
      <w:lang w:val="en-US" w:eastAsia="zh-CN" w:bidi="ar-SA"/>
    </w:rPr>
  </w:style>
  <w:style w:type="paragraph" w:customStyle="1" w:styleId="443">
    <w:name w:val="正文文本缩进 21"/>
    <w:basedOn w:val="1"/>
    <w:autoRedefine/>
    <w:qFormat/>
    <w:uiPriority w:val="99"/>
    <w:pPr>
      <w:widowControl w:val="0"/>
      <w:adjustRightInd w:val="0"/>
      <w:spacing w:before="120"/>
      <w:ind w:firstLine="420"/>
      <w:jc w:val="both"/>
      <w:textAlignment w:val="baseline"/>
    </w:pPr>
    <w:rPr>
      <w:kern w:val="2"/>
      <w:szCs w:val="20"/>
    </w:rPr>
  </w:style>
  <w:style w:type="paragraph" w:customStyle="1" w:styleId="444">
    <w:name w:val="段落正文"/>
    <w:basedOn w:val="1"/>
    <w:autoRedefine/>
    <w:qFormat/>
    <w:uiPriority w:val="99"/>
    <w:pPr>
      <w:widowControl w:val="0"/>
      <w:spacing w:beforeLines="50" w:line="360" w:lineRule="auto"/>
      <w:ind w:firstLine="200" w:firstLineChars="200"/>
      <w:jc w:val="both"/>
    </w:pPr>
    <w:rPr>
      <w:spacing w:val="2"/>
      <w:kern w:val="2"/>
    </w:rPr>
  </w:style>
  <w:style w:type="paragraph" w:customStyle="1" w:styleId="445">
    <w:name w:val="编号正文"/>
    <w:basedOn w:val="189"/>
    <w:autoRedefine/>
    <w:qFormat/>
    <w:uiPriority w:val="99"/>
    <w:pPr>
      <w:spacing w:line="360" w:lineRule="auto"/>
      <w:ind w:left="1407" w:hanging="1047" w:firstLineChars="0"/>
      <w:jc w:val="left"/>
    </w:pPr>
    <w:rPr>
      <w:rFonts w:ascii="Arial Narrow" w:hAnsi="Arial Narrow" w:eastAsia="仿宋_GB2312"/>
      <w:sz w:val="24"/>
      <w:szCs w:val="24"/>
    </w:rPr>
  </w:style>
  <w:style w:type="paragraph" w:customStyle="1" w:styleId="446">
    <w:name w:val="a0"/>
    <w:basedOn w:val="1"/>
    <w:autoRedefine/>
    <w:qFormat/>
    <w:uiPriority w:val="99"/>
    <w:pPr>
      <w:spacing w:before="100" w:beforeAutospacing="1" w:after="100" w:afterAutospacing="1"/>
    </w:pPr>
    <w:rPr>
      <w:rFonts w:ascii="宋体" w:hAnsi="宋体" w:cs="宋体"/>
    </w:rPr>
  </w:style>
  <w:style w:type="paragraph" w:customStyle="1" w:styleId="447">
    <w:name w:val="DAS列表二"/>
    <w:basedOn w:val="267"/>
    <w:next w:val="267"/>
    <w:autoRedefine/>
    <w:qFormat/>
    <w:uiPriority w:val="99"/>
    <w:pPr>
      <w:numPr>
        <w:ilvl w:val="0"/>
        <w:numId w:val="16"/>
      </w:numPr>
      <w:ind w:left="0" w:firstLine="360" w:firstLineChars="0"/>
    </w:pPr>
  </w:style>
  <w:style w:type="paragraph" w:customStyle="1" w:styleId="448">
    <w:name w:val="xl7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16"/>
      <w:szCs w:val="16"/>
    </w:rPr>
  </w:style>
  <w:style w:type="paragraph" w:customStyle="1" w:styleId="449">
    <w:name w:val="xl7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FF0000"/>
      <w:sz w:val="16"/>
      <w:szCs w:val="16"/>
    </w:rPr>
  </w:style>
  <w:style w:type="paragraph" w:customStyle="1" w:styleId="450">
    <w:name w:val="xl7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FF0000"/>
      <w:sz w:val="16"/>
      <w:szCs w:val="16"/>
    </w:rPr>
  </w:style>
  <w:style w:type="paragraph" w:customStyle="1" w:styleId="451">
    <w:name w:val="xl83"/>
    <w:basedOn w:val="1"/>
    <w:autoRedefine/>
    <w:qFormat/>
    <w:uiPriority w:val="0"/>
    <w:pPr>
      <w:pBdr>
        <w:top w:val="single" w:color="auto" w:sz="4" w:space="0"/>
      </w:pBdr>
      <w:spacing w:before="100" w:beforeAutospacing="1" w:after="100" w:afterAutospacing="1"/>
    </w:pPr>
    <w:rPr>
      <w:rFonts w:ascii="宋体" w:hAnsi="宋体" w:cs="宋体"/>
      <w:sz w:val="16"/>
      <w:szCs w:val="16"/>
    </w:rPr>
  </w:style>
  <w:style w:type="paragraph" w:customStyle="1" w:styleId="452">
    <w:name w:val="Char Char Char Char Char Char Char Char Char Char Char Char Char2"/>
    <w:basedOn w:val="1"/>
    <w:autoRedefine/>
    <w:qFormat/>
    <w:uiPriority w:val="99"/>
    <w:pPr>
      <w:widowControl w:val="0"/>
      <w:jc w:val="both"/>
    </w:pPr>
    <w:rPr>
      <w:sz w:val="20"/>
      <w:szCs w:val="20"/>
    </w:rPr>
  </w:style>
  <w:style w:type="paragraph" w:customStyle="1" w:styleId="453">
    <w:name w:val="样式 标题 2h2sect 1.2H2UNDERRUBRIK 1-2hhHeading TwoProphead 2..."/>
    <w:basedOn w:val="5"/>
    <w:autoRedefine/>
    <w:qFormat/>
    <w:uiPriority w:val="99"/>
    <w:pPr>
      <w:keepLines/>
      <w:numPr>
        <w:ilvl w:val="1"/>
        <w:numId w:val="17"/>
      </w:numPr>
      <w:tabs>
        <w:tab w:val="clear" w:pos="0"/>
      </w:tabs>
      <w:spacing w:before="312" w:after="312" w:line="360" w:lineRule="auto"/>
      <w:contextualSpacing w:val="0"/>
    </w:pPr>
    <w:rPr>
      <w:rFonts w:ascii="黑体" w:hAnsi="宋体" w:eastAsia="黑体"/>
      <w:bCs/>
      <w:color w:val="auto"/>
      <w:spacing w:val="0"/>
      <w:sz w:val="30"/>
      <w:szCs w:val="30"/>
    </w:rPr>
  </w:style>
  <w:style w:type="paragraph" w:customStyle="1" w:styleId="454">
    <w:name w:val="xl86"/>
    <w:basedOn w:val="1"/>
    <w:autoRedefine/>
    <w:qFormat/>
    <w:uiPriority w:val="0"/>
    <w:pPr>
      <w:pBdr>
        <w:top w:val="single" w:color="auto" w:sz="4" w:space="0"/>
        <w:bottom w:val="single" w:color="auto" w:sz="4" w:space="0"/>
        <w:right w:val="single" w:color="auto" w:sz="4" w:space="0"/>
      </w:pBdr>
      <w:spacing w:before="100" w:beforeAutospacing="1" w:after="100" w:afterAutospacing="1"/>
      <w:jc w:val="center"/>
    </w:pPr>
    <w:rPr>
      <w:rFonts w:ascii="Arial" w:hAnsi="Arial" w:cs="Arial"/>
      <w:sz w:val="20"/>
      <w:szCs w:val="20"/>
    </w:rPr>
  </w:style>
  <w:style w:type="paragraph" w:customStyle="1" w:styleId="455">
    <w:name w:val="xl90"/>
    <w:basedOn w:val="1"/>
    <w:autoRedefine/>
    <w:qFormat/>
    <w:uiPriority w:val="0"/>
    <w:pPr>
      <w:pBdr>
        <w:top w:val="single" w:color="auto" w:sz="4" w:space="0"/>
        <w:left w:val="single" w:color="auto" w:sz="4" w:space="0"/>
        <w:right w:val="single" w:color="auto" w:sz="4" w:space="0"/>
      </w:pBdr>
      <w:spacing w:before="100" w:beforeAutospacing="1" w:after="100" w:afterAutospacing="1"/>
    </w:pPr>
    <w:rPr>
      <w:rFonts w:ascii="宋体" w:hAnsi="宋体" w:cs="宋体"/>
      <w:sz w:val="20"/>
      <w:szCs w:val="20"/>
    </w:rPr>
  </w:style>
  <w:style w:type="paragraph" w:customStyle="1" w:styleId="456">
    <w:name w:val="xl94"/>
    <w:basedOn w:val="1"/>
    <w:autoRedefine/>
    <w:qFormat/>
    <w:uiPriority w:val="0"/>
    <w:pPr>
      <w:pBdr>
        <w:top w:val="single" w:color="auto" w:sz="4" w:space="0"/>
        <w:left w:val="single" w:color="auto" w:sz="4" w:space="0"/>
        <w:bottom w:val="single" w:color="auto" w:sz="4" w:space="0"/>
      </w:pBdr>
      <w:spacing w:before="100" w:beforeAutospacing="1" w:after="100" w:afterAutospacing="1"/>
    </w:pPr>
    <w:rPr>
      <w:rFonts w:ascii="宋体" w:hAnsi="宋体" w:cs="宋体"/>
      <w:sz w:val="20"/>
      <w:szCs w:val="20"/>
    </w:rPr>
  </w:style>
  <w:style w:type="paragraph" w:customStyle="1" w:styleId="457">
    <w:name w:val="xl98"/>
    <w:basedOn w:val="1"/>
    <w:autoRedefine/>
    <w:qFormat/>
    <w:uiPriority w:val="99"/>
    <w:pPr>
      <w:pBdr>
        <w:top w:val="single" w:color="auto" w:sz="4" w:space="0"/>
        <w:left w:val="single" w:color="auto" w:sz="4" w:space="0"/>
        <w:bottom w:val="single" w:color="auto" w:sz="4" w:space="0"/>
      </w:pBdr>
      <w:spacing w:before="100" w:beforeAutospacing="1" w:after="100" w:afterAutospacing="1"/>
    </w:pPr>
    <w:rPr>
      <w:rFonts w:ascii="宋体" w:hAnsi="宋体" w:cs="宋体"/>
      <w:sz w:val="20"/>
      <w:szCs w:val="20"/>
    </w:rPr>
  </w:style>
  <w:style w:type="paragraph" w:customStyle="1" w:styleId="458">
    <w:name w:val="xl102"/>
    <w:basedOn w:val="1"/>
    <w:autoRedefine/>
    <w:qFormat/>
    <w:uiPriority w:val="99"/>
    <w:pPr>
      <w:pBdr>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szCs w:val="20"/>
    </w:rPr>
  </w:style>
  <w:style w:type="paragraph" w:customStyle="1" w:styleId="459">
    <w:name w:val="xl106"/>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sz w:val="20"/>
      <w:szCs w:val="20"/>
    </w:rPr>
  </w:style>
  <w:style w:type="paragraph" w:customStyle="1" w:styleId="460">
    <w:name w:val="xl114"/>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b/>
      <w:bCs/>
      <w:sz w:val="20"/>
      <w:szCs w:val="20"/>
    </w:rPr>
  </w:style>
  <w:style w:type="paragraph" w:customStyle="1" w:styleId="461">
    <w:name w:val="xl119"/>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sz w:val="20"/>
      <w:szCs w:val="20"/>
    </w:rPr>
  </w:style>
  <w:style w:type="paragraph" w:customStyle="1" w:styleId="462">
    <w:name w:val="xl126"/>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rPr>
  </w:style>
  <w:style w:type="paragraph" w:customStyle="1" w:styleId="463">
    <w:name w:val="xl130"/>
    <w:basedOn w:val="1"/>
    <w:qFormat/>
    <w:uiPriority w:val="99"/>
    <w:pPr>
      <w:pBdr>
        <w:left w:val="single" w:color="auto" w:sz="4" w:space="0"/>
        <w:bottom w:val="single" w:color="auto" w:sz="4" w:space="0"/>
        <w:right w:val="single" w:color="auto" w:sz="4" w:space="0"/>
      </w:pBdr>
      <w:spacing w:before="100" w:beforeAutospacing="1" w:after="100" w:afterAutospacing="1"/>
      <w:jc w:val="center"/>
    </w:pPr>
    <w:rPr>
      <w:rFonts w:ascii="Arial" w:hAnsi="Arial" w:cs="Arial"/>
      <w:sz w:val="16"/>
      <w:szCs w:val="16"/>
    </w:rPr>
  </w:style>
  <w:style w:type="paragraph" w:customStyle="1" w:styleId="464">
    <w:name w:val="附录2"/>
    <w:basedOn w:val="1"/>
    <w:next w:val="1"/>
    <w:autoRedefine/>
    <w:qFormat/>
    <w:uiPriority w:val="99"/>
    <w:pPr>
      <w:widowControl w:val="0"/>
      <w:tabs>
        <w:tab w:val="left" w:pos="425"/>
        <w:tab w:val="left" w:pos="624"/>
        <w:tab w:val="left" w:pos="1500"/>
      </w:tabs>
      <w:ind w:left="425" w:hanging="425"/>
      <w:jc w:val="both"/>
      <w:outlineLvl w:val="1"/>
    </w:pPr>
    <w:rPr>
      <w:rFonts w:ascii="黑体" w:hAnsi="黑体" w:eastAsia="黑体"/>
      <w:b/>
      <w:bCs/>
      <w:kern w:val="2"/>
      <w:sz w:val="32"/>
    </w:rPr>
  </w:style>
  <w:style w:type="paragraph" w:customStyle="1" w:styleId="465">
    <w:name w:val="操作步骤"/>
    <w:basedOn w:val="1"/>
    <w:autoRedefine/>
    <w:qFormat/>
    <w:uiPriority w:val="99"/>
    <w:pPr>
      <w:widowControl w:val="0"/>
      <w:numPr>
        <w:ilvl w:val="0"/>
        <w:numId w:val="18"/>
      </w:numPr>
      <w:tabs>
        <w:tab w:val="left" w:pos="425"/>
      </w:tabs>
      <w:autoSpaceDE w:val="0"/>
      <w:autoSpaceDN w:val="0"/>
      <w:adjustRightInd w:val="0"/>
      <w:snapToGrid w:val="0"/>
      <w:spacing w:line="40" w:lineRule="atLeast"/>
      <w:ind w:firstLine="0"/>
      <w:jc w:val="both"/>
      <w:textAlignment w:val="bottom"/>
    </w:pPr>
    <w:rPr>
      <w:rFonts w:ascii="昆仑楷体" w:eastAsia="楷体_GB2312"/>
      <w:sz w:val="21"/>
      <w:szCs w:val="20"/>
    </w:rPr>
  </w:style>
  <w:style w:type="paragraph" w:customStyle="1" w:styleId="466">
    <w:name w:val="表格1"/>
    <w:basedOn w:val="1"/>
    <w:next w:val="1"/>
    <w:autoRedefine/>
    <w:qFormat/>
    <w:uiPriority w:val="99"/>
    <w:pPr>
      <w:widowControl w:val="0"/>
      <w:kinsoku w:val="0"/>
      <w:wordWrap w:val="0"/>
      <w:overflowPunct w:val="0"/>
      <w:autoSpaceDE w:val="0"/>
      <w:autoSpaceDN w:val="0"/>
      <w:adjustRightInd w:val="0"/>
      <w:spacing w:line="288" w:lineRule="auto"/>
      <w:jc w:val="center"/>
      <w:textAlignment w:val="baseline"/>
    </w:pPr>
    <w:rPr>
      <w:rFonts w:ascii="宋体"/>
      <w:sz w:val="18"/>
      <w:szCs w:val="20"/>
    </w:rPr>
  </w:style>
  <w:style w:type="paragraph" w:customStyle="1" w:styleId="467">
    <w:name w:val="摘要"/>
    <w:basedOn w:val="1"/>
    <w:next w:val="5"/>
    <w:autoRedefine/>
    <w:qFormat/>
    <w:uiPriority w:val="99"/>
    <w:pPr>
      <w:widowControl w:val="0"/>
      <w:spacing w:line="360" w:lineRule="auto"/>
      <w:jc w:val="both"/>
    </w:pPr>
    <w:rPr>
      <w:rFonts w:eastAsia="黑体"/>
      <w:kern w:val="2"/>
      <w:sz w:val="20"/>
    </w:rPr>
  </w:style>
  <w:style w:type="paragraph" w:customStyle="1" w:styleId="468">
    <w:name w:val="表头样式"/>
    <w:basedOn w:val="1"/>
    <w:qFormat/>
    <w:uiPriority w:val="99"/>
    <w:pPr>
      <w:widowControl w:val="0"/>
      <w:autoSpaceDE w:val="0"/>
      <w:autoSpaceDN w:val="0"/>
      <w:adjustRightInd w:val="0"/>
      <w:spacing w:line="360" w:lineRule="auto"/>
    </w:pPr>
    <w:rPr>
      <w:b/>
      <w:bCs/>
      <w:sz w:val="21"/>
      <w:szCs w:val="21"/>
    </w:rPr>
  </w:style>
  <w:style w:type="paragraph" w:customStyle="1" w:styleId="469">
    <w:name w:val="标题3——2"/>
    <w:basedOn w:val="6"/>
    <w:next w:val="65"/>
    <w:autoRedefine/>
    <w:qFormat/>
    <w:uiPriority w:val="99"/>
    <w:pPr>
      <w:keepNext/>
      <w:keepLines/>
      <w:tabs>
        <w:tab w:val="left" w:pos="425"/>
        <w:tab w:val="right" w:leader="dot" w:pos="8777"/>
        <w:tab w:val="clear" w:pos="312"/>
      </w:tabs>
      <w:spacing w:beforeLines="100" w:after="0"/>
      <w:ind w:left="851" w:hanging="851"/>
      <w:contextualSpacing w:val="0"/>
      <w:outlineLvl w:val="9"/>
    </w:pPr>
    <w:rPr>
      <w:rFonts w:ascii="黑体" w:hAnsi="宋体" w:eastAsia="黑体"/>
      <w:bCs/>
      <w:color w:val="auto"/>
      <w:spacing w:val="0"/>
      <w:sz w:val="30"/>
      <w:szCs w:val="30"/>
    </w:rPr>
  </w:style>
  <w:style w:type="paragraph" w:customStyle="1" w:styleId="470">
    <w:name w:val="小标题 1"/>
    <w:basedOn w:val="1"/>
    <w:autoRedefine/>
    <w:qFormat/>
    <w:uiPriority w:val="99"/>
    <w:pPr>
      <w:widowControl w:val="0"/>
      <w:autoSpaceDE w:val="0"/>
      <w:autoSpaceDN w:val="0"/>
      <w:adjustRightInd w:val="0"/>
      <w:spacing w:line="360" w:lineRule="atLeast"/>
      <w:jc w:val="both"/>
    </w:pPr>
    <w:rPr>
      <w:rFonts w:ascii="文鼎粗黑" w:eastAsia="文鼎粗黑"/>
      <w:sz w:val="22"/>
      <w:szCs w:val="20"/>
    </w:rPr>
  </w:style>
  <w:style w:type="paragraph" w:customStyle="1" w:styleId="471">
    <w:name w:val="xl23"/>
    <w:basedOn w:val="1"/>
    <w:autoRedefine/>
    <w:qFormat/>
    <w:uiPriority w:val="99"/>
    <w:pPr>
      <w:spacing w:before="100" w:beforeAutospacing="1" w:after="100" w:afterAutospacing="1" w:line="360" w:lineRule="auto"/>
      <w:jc w:val="both"/>
      <w:textAlignment w:val="top"/>
    </w:pPr>
  </w:style>
  <w:style w:type="paragraph" w:customStyle="1" w:styleId="472">
    <w:name w:val="正文（首行不缩进）"/>
    <w:basedOn w:val="1"/>
    <w:autoRedefine/>
    <w:qFormat/>
    <w:uiPriority w:val="99"/>
    <w:pPr>
      <w:widowControl w:val="0"/>
      <w:autoSpaceDE w:val="0"/>
      <w:autoSpaceDN w:val="0"/>
      <w:adjustRightInd w:val="0"/>
      <w:spacing w:line="360" w:lineRule="auto"/>
    </w:pPr>
    <w:rPr>
      <w:sz w:val="21"/>
      <w:szCs w:val="20"/>
    </w:rPr>
  </w:style>
  <w:style w:type="paragraph" w:customStyle="1" w:styleId="473">
    <w:name w:val="文章正文"/>
    <w:basedOn w:val="1"/>
    <w:autoRedefine/>
    <w:qFormat/>
    <w:uiPriority w:val="99"/>
    <w:pPr>
      <w:widowControl w:val="0"/>
      <w:ind w:firstLine="560" w:firstLineChars="200"/>
      <w:jc w:val="both"/>
    </w:pPr>
    <w:rPr>
      <w:rFonts w:ascii="仿宋_GB2312" w:hAnsi="宋体" w:eastAsia="仿宋_GB2312" w:cs="宋体"/>
      <w:color w:val="000000"/>
      <w:kern w:val="2"/>
      <w:sz w:val="28"/>
      <w:szCs w:val="20"/>
    </w:rPr>
  </w:style>
  <w:style w:type="paragraph" w:customStyle="1" w:styleId="474">
    <w:name w:val="xl26"/>
    <w:basedOn w:val="1"/>
    <w:autoRedefine/>
    <w:qFormat/>
    <w:uiPriority w:val="99"/>
    <w:pPr>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sz w:val="20"/>
      <w:szCs w:val="20"/>
    </w:rPr>
  </w:style>
  <w:style w:type="paragraph" w:customStyle="1" w:styleId="475">
    <w:name w:val="xl30"/>
    <w:basedOn w:val="1"/>
    <w:autoRedefine/>
    <w:qFormat/>
    <w:uiPriority w:val="99"/>
    <w:pPr>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pPr>
    <w:rPr>
      <w:rFonts w:ascii="宋体" w:hAnsi="宋体" w:cs="宋体"/>
      <w:b/>
      <w:bCs/>
      <w:sz w:val="20"/>
      <w:szCs w:val="20"/>
    </w:rPr>
  </w:style>
  <w:style w:type="paragraph" w:customStyle="1" w:styleId="476">
    <w:name w:val="xl36"/>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477">
    <w:name w:val="xl41"/>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478">
    <w:name w:val="xl45"/>
    <w:basedOn w:val="1"/>
    <w:qFormat/>
    <w:uiPriority w:val="99"/>
    <w:pPr>
      <w:pBdr>
        <w:top w:val="single" w:color="auto" w:sz="4" w:space="0"/>
        <w:left w:val="single" w:color="auto" w:sz="4" w:space="0"/>
        <w:bottom w:val="single" w:color="auto" w:sz="4" w:space="0"/>
        <w:right w:val="single" w:color="auto" w:sz="4" w:space="0"/>
      </w:pBdr>
      <w:shd w:val="clear" w:color="auto" w:fill="CC99FF"/>
      <w:spacing w:before="100" w:beforeAutospacing="1" w:after="100" w:afterAutospacing="1"/>
      <w:jc w:val="center"/>
    </w:pPr>
    <w:rPr>
      <w:rFonts w:ascii="宋体" w:hAnsi="宋体" w:cs="宋体"/>
      <w:b/>
      <w:bCs/>
      <w:sz w:val="20"/>
      <w:szCs w:val="20"/>
    </w:rPr>
  </w:style>
  <w:style w:type="paragraph" w:customStyle="1" w:styleId="479">
    <w:name w:val="xl49"/>
    <w:basedOn w:val="1"/>
    <w:qFormat/>
    <w:uiPriority w:val="99"/>
    <w:pPr>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pPr>
    <w:rPr>
      <w:rFonts w:ascii="宋体" w:hAnsi="宋体" w:cs="宋体"/>
      <w:sz w:val="20"/>
      <w:szCs w:val="20"/>
    </w:rPr>
  </w:style>
  <w:style w:type="paragraph" w:customStyle="1" w:styleId="480">
    <w:name w:val="xl57"/>
    <w:basedOn w:val="1"/>
    <w:autoRedefine/>
    <w:qFormat/>
    <w:uiPriority w:val="99"/>
    <w:pPr>
      <w:pBdr>
        <w:top w:val="single" w:color="auto" w:sz="4" w:space="0"/>
        <w:left w:val="single" w:color="auto" w:sz="4" w:space="0"/>
        <w:bottom w:val="single" w:color="auto" w:sz="4" w:space="0"/>
      </w:pBdr>
      <w:spacing w:before="100" w:beforeAutospacing="1" w:after="100" w:afterAutospacing="1"/>
      <w:jc w:val="center"/>
    </w:pPr>
    <w:rPr>
      <w:rFonts w:ascii="宋体" w:hAnsi="宋体" w:cs="宋体"/>
      <w:sz w:val="20"/>
      <w:szCs w:val="20"/>
    </w:rPr>
  </w:style>
  <w:style w:type="paragraph" w:customStyle="1" w:styleId="481">
    <w:name w:val="xl61"/>
    <w:basedOn w:val="1"/>
    <w:qFormat/>
    <w:uiPriority w:val="99"/>
    <w:pPr>
      <w:pBdr>
        <w:top w:val="single" w:color="auto" w:sz="4" w:space="0"/>
        <w:left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482">
    <w:name w:val="1 Char Char Char Char"/>
    <w:basedOn w:val="1"/>
    <w:qFormat/>
    <w:uiPriority w:val="99"/>
    <w:pPr>
      <w:spacing w:after="160" w:line="240" w:lineRule="exact"/>
    </w:pPr>
    <w:rPr>
      <w:rFonts w:ascii="Tahoma" w:hAnsi="Tahoma"/>
      <w:sz w:val="28"/>
      <w:lang w:eastAsia="en-US"/>
    </w:rPr>
  </w:style>
  <w:style w:type="paragraph" w:customStyle="1" w:styleId="483">
    <w:name w:val="标题3"/>
    <w:basedOn w:val="6"/>
    <w:link w:val="863"/>
    <w:autoRedefine/>
    <w:qFormat/>
    <w:uiPriority w:val="0"/>
    <w:pPr>
      <w:keepNext/>
      <w:keepLines/>
      <w:tabs>
        <w:tab w:val="left" w:pos="113"/>
        <w:tab w:val="left" w:pos="1230"/>
        <w:tab w:val="clear" w:pos="312"/>
      </w:tabs>
      <w:spacing w:beforeLines="100" w:afterLines="50" w:line="300" w:lineRule="auto"/>
      <w:ind w:firstLine="510"/>
      <w:contextualSpacing w:val="0"/>
      <w:outlineLvl w:val="9"/>
    </w:pPr>
    <w:rPr>
      <w:rFonts w:ascii="Arial" w:hAnsi="Times New Roman" w:eastAsia="黑体"/>
      <w:color w:val="auto"/>
      <w:spacing w:val="6"/>
      <w:lang w:val="ru-RU"/>
    </w:rPr>
  </w:style>
  <w:style w:type="paragraph" w:customStyle="1" w:styleId="484">
    <w:name w:val="Administrator"/>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85">
    <w:name w:val="font7"/>
    <w:basedOn w:val="1"/>
    <w:qFormat/>
    <w:uiPriority w:val="99"/>
    <w:pPr>
      <w:spacing w:before="100" w:beforeAutospacing="1" w:after="100" w:afterAutospacing="1"/>
    </w:pPr>
    <w:rPr>
      <w:rFonts w:ascii="Arial" w:hAnsi="Arial" w:cs="Arial"/>
      <w:sz w:val="16"/>
      <w:szCs w:val="16"/>
    </w:rPr>
  </w:style>
  <w:style w:type="paragraph" w:customStyle="1" w:styleId="486">
    <w:name w:val="xl109"/>
    <w:basedOn w:val="1"/>
    <w:autoRedefine/>
    <w:qFormat/>
    <w:uiPriority w:val="99"/>
    <w:pPr>
      <w:spacing w:before="100" w:beforeAutospacing="1" w:after="100" w:afterAutospacing="1"/>
      <w:jc w:val="center"/>
    </w:pPr>
    <w:rPr>
      <w:rFonts w:ascii="Arial" w:hAnsi="Arial" w:cs="Arial"/>
      <w:sz w:val="20"/>
      <w:szCs w:val="20"/>
    </w:rPr>
  </w:style>
  <w:style w:type="paragraph" w:customStyle="1" w:styleId="487">
    <w:name w:val="xl121"/>
    <w:basedOn w:val="1"/>
    <w:autoRedefine/>
    <w:qFormat/>
    <w:uiPriority w:val="99"/>
    <w:pPr>
      <w:spacing w:before="100" w:beforeAutospacing="1" w:after="100" w:afterAutospacing="1"/>
    </w:pPr>
    <w:rPr>
      <w:rFonts w:ascii="仿宋_GB2312" w:hAnsi="宋体" w:eastAsia="仿宋_GB2312" w:cs="宋体"/>
      <w:b/>
      <w:bCs/>
      <w:sz w:val="32"/>
      <w:szCs w:val="32"/>
    </w:rPr>
  </w:style>
  <w:style w:type="paragraph" w:customStyle="1" w:styleId="488">
    <w:name w:val="@"/>
    <w:basedOn w:val="1"/>
    <w:autoRedefine/>
    <w:qFormat/>
    <w:uiPriority w:val="99"/>
    <w:pPr>
      <w:widowControl w:val="0"/>
      <w:tabs>
        <w:tab w:val="left" w:pos="360"/>
      </w:tabs>
      <w:spacing w:afterLines="50" w:line="360" w:lineRule="auto"/>
      <w:ind w:left="360" w:hanging="360"/>
      <w:jc w:val="both"/>
    </w:pPr>
    <w:rPr>
      <w:kern w:val="2"/>
    </w:rPr>
  </w:style>
  <w:style w:type="paragraph" w:customStyle="1" w:styleId="489">
    <w:name w:val="样式 样式 正文首行缩进 2 + 左  0 字符 + 首行缩进:  2.57 字符"/>
    <w:basedOn w:val="1"/>
    <w:next w:val="1"/>
    <w:autoRedefine/>
    <w:qFormat/>
    <w:uiPriority w:val="99"/>
    <w:pPr>
      <w:widowControl w:val="0"/>
      <w:adjustRightInd w:val="0"/>
      <w:snapToGrid w:val="0"/>
      <w:spacing w:after="120"/>
      <w:ind w:firstLine="540" w:firstLineChars="257"/>
      <w:jc w:val="both"/>
    </w:pPr>
    <w:rPr>
      <w:kern w:val="2"/>
      <w:sz w:val="21"/>
      <w:szCs w:val="20"/>
    </w:rPr>
  </w:style>
  <w:style w:type="paragraph" w:customStyle="1" w:styleId="490">
    <w:name w:val="样式 首行缩进:  0.74 厘米"/>
    <w:basedOn w:val="1"/>
    <w:autoRedefine/>
    <w:qFormat/>
    <w:uiPriority w:val="99"/>
    <w:pPr>
      <w:widowControl w:val="0"/>
      <w:spacing w:line="360" w:lineRule="auto"/>
      <w:ind w:firstLine="420"/>
      <w:jc w:val="both"/>
    </w:pPr>
    <w:rPr>
      <w:kern w:val="2"/>
      <w:szCs w:val="20"/>
    </w:rPr>
  </w:style>
  <w:style w:type="paragraph" w:customStyle="1" w:styleId="491">
    <w:name w:val="IN Feature"/>
    <w:next w:val="303"/>
    <w:autoRedefine/>
    <w:qFormat/>
    <w:uiPriority w:val="99"/>
    <w:pPr>
      <w:keepNext/>
      <w:keepLines/>
      <w:spacing w:before="240" w:after="240"/>
      <w:outlineLvl w:val="7"/>
    </w:pPr>
    <w:rPr>
      <w:rFonts w:ascii="Arial" w:hAnsi="Arial" w:eastAsia="黑体" w:cs="Arial"/>
      <w:sz w:val="21"/>
      <w:szCs w:val="21"/>
      <w:lang w:val="en-US" w:eastAsia="zh-CN" w:bidi="ar-SA"/>
    </w:rPr>
  </w:style>
  <w:style w:type="paragraph" w:customStyle="1" w:styleId="492">
    <w:name w:val="Figure Description"/>
    <w:next w:val="1"/>
    <w:autoRedefine/>
    <w:qFormat/>
    <w:uiPriority w:val="99"/>
    <w:pPr>
      <w:snapToGrid w:val="0"/>
      <w:spacing w:before="80" w:after="320"/>
      <w:ind w:left="1134"/>
      <w:jc w:val="center"/>
    </w:pPr>
    <w:rPr>
      <w:rFonts w:ascii="Arial" w:hAnsi="Arial" w:eastAsia="黑体" w:cs="Arial"/>
      <w:sz w:val="18"/>
      <w:szCs w:val="18"/>
      <w:lang w:val="en-US" w:eastAsia="zh-CN" w:bidi="ar-SA"/>
    </w:rPr>
  </w:style>
  <w:style w:type="paragraph" w:customStyle="1" w:styleId="493">
    <w:name w:val="Note"/>
    <w:basedOn w:val="1"/>
    <w:autoRedefine/>
    <w:qFormat/>
    <w:uiPriority w:val="99"/>
    <w:pPr>
      <w:widowControl w:val="0"/>
      <w:pBdr>
        <w:top w:val="single" w:color="auto" w:sz="12" w:space="3"/>
        <w:bottom w:val="single" w:color="auto" w:sz="12" w:space="3"/>
      </w:pBdr>
      <w:spacing w:line="360" w:lineRule="auto"/>
      <w:jc w:val="both"/>
    </w:pPr>
    <w:rPr>
      <w:kern w:val="2"/>
      <w:szCs w:val="22"/>
    </w:rPr>
  </w:style>
  <w:style w:type="paragraph" w:customStyle="1" w:styleId="494">
    <w:name w:val="图片文字"/>
    <w:basedOn w:val="1"/>
    <w:autoRedefine/>
    <w:qFormat/>
    <w:uiPriority w:val="99"/>
    <w:pPr>
      <w:widowControl w:val="0"/>
      <w:spacing w:line="240" w:lineRule="atLeast"/>
      <w:jc w:val="center"/>
    </w:pPr>
    <w:rPr>
      <w:kern w:val="2"/>
      <w:sz w:val="21"/>
      <w:szCs w:val="21"/>
    </w:rPr>
  </w:style>
  <w:style w:type="paragraph" w:customStyle="1" w:styleId="495">
    <w:name w:val="二级列表"/>
    <w:basedOn w:val="444"/>
    <w:next w:val="444"/>
    <w:qFormat/>
    <w:uiPriority w:val="99"/>
    <w:pPr>
      <w:tabs>
        <w:tab w:val="left" w:pos="360"/>
        <w:tab w:val="left" w:pos="840"/>
      </w:tabs>
      <w:ind w:firstLine="0" w:firstLineChars="0"/>
    </w:pPr>
    <w:rPr>
      <w:b/>
    </w:rPr>
  </w:style>
  <w:style w:type="paragraph" w:customStyle="1" w:styleId="496">
    <w:name w:val="正文段"/>
    <w:basedOn w:val="1"/>
    <w:qFormat/>
    <w:uiPriority w:val="99"/>
    <w:pPr>
      <w:widowControl w:val="0"/>
      <w:spacing w:line="312" w:lineRule="auto"/>
      <w:ind w:firstLine="560"/>
      <w:jc w:val="both"/>
    </w:pPr>
    <w:rPr>
      <w:kern w:val="2"/>
      <w:sz w:val="28"/>
      <w:szCs w:val="28"/>
    </w:rPr>
  </w:style>
  <w:style w:type="paragraph" w:customStyle="1" w:styleId="497">
    <w:name w:val="xl64"/>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both"/>
    </w:pPr>
    <w:rPr>
      <w:rFonts w:ascii="宋体" w:hAnsi="宋体" w:cs="宋体"/>
      <w:sz w:val="18"/>
      <w:szCs w:val="18"/>
    </w:rPr>
  </w:style>
  <w:style w:type="paragraph" w:customStyle="1" w:styleId="498">
    <w:name w:val="内容正文"/>
    <w:basedOn w:val="1"/>
    <w:qFormat/>
    <w:uiPriority w:val="99"/>
    <w:pPr>
      <w:widowControl w:val="0"/>
      <w:spacing w:line="300" w:lineRule="auto"/>
      <w:ind w:firstLine="482"/>
      <w:jc w:val="both"/>
    </w:pPr>
    <w:rPr>
      <w:rFonts w:ascii="Georgia" w:hAnsi="Georgia"/>
      <w:kern w:val="2"/>
      <w:szCs w:val="20"/>
    </w:rPr>
  </w:style>
  <w:style w:type="table" w:customStyle="1" w:styleId="499">
    <w:name w:val="网格型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00">
    <w:name w:val="网格型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01">
    <w:name w:val="网格型3"/>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02">
    <w:name w:val="3"/>
    <w:qFormat/>
    <w:uiPriority w:val="99"/>
    <w:pPr>
      <w:widowControl w:val="0"/>
      <w:spacing w:line="400" w:lineRule="exact"/>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503">
    <w:name w:val="Char Char"/>
    <w:basedOn w:val="1"/>
    <w:next w:val="1"/>
    <w:autoRedefine/>
    <w:semiHidden/>
    <w:qFormat/>
    <w:uiPriority w:val="99"/>
    <w:pPr>
      <w:spacing w:after="160" w:line="240" w:lineRule="exact"/>
    </w:pPr>
    <w:rPr>
      <w:rFonts w:ascii="Verdana" w:hAnsi="Verdana" w:eastAsia="仿宋_GB2312"/>
      <w:szCs w:val="20"/>
      <w:lang w:eastAsia="en-US"/>
    </w:rPr>
  </w:style>
  <w:style w:type="paragraph" w:customStyle="1" w:styleId="504">
    <w:name w:val="Char3"/>
    <w:basedOn w:val="1"/>
    <w:qFormat/>
    <w:uiPriority w:val="99"/>
    <w:pPr>
      <w:spacing w:after="160" w:line="240" w:lineRule="exact"/>
      <w:ind w:firstLine="200" w:firstLineChars="200"/>
    </w:pPr>
    <w:rPr>
      <w:rFonts w:ascii="Verdana" w:hAnsi="Verdana"/>
      <w:szCs w:val="20"/>
      <w:lang w:eastAsia="en-US"/>
    </w:rPr>
  </w:style>
  <w:style w:type="character" w:customStyle="1" w:styleId="505">
    <w:name w:val="Footer-Even Char2"/>
    <w:qFormat/>
    <w:uiPriority w:val="99"/>
    <w:rPr>
      <w:rFonts w:eastAsia="宋体"/>
      <w:kern w:val="2"/>
      <w:sz w:val="18"/>
      <w:lang w:val="en-US" w:eastAsia="zh-CN"/>
    </w:rPr>
  </w:style>
  <w:style w:type="character" w:customStyle="1" w:styleId="506">
    <w:name w:val="章节 Char1"/>
    <w:autoRedefine/>
    <w:qFormat/>
    <w:uiPriority w:val="99"/>
    <w:rPr>
      <w:rFonts w:ascii="宋体"/>
      <w:b/>
      <w:kern w:val="28"/>
      <w:sz w:val="36"/>
      <w:lang w:val="en-US" w:eastAsia="zh-CN"/>
    </w:rPr>
  </w:style>
  <w:style w:type="character" w:customStyle="1" w:styleId="507">
    <w:name w:val="h Char Char2"/>
    <w:qFormat/>
    <w:uiPriority w:val="99"/>
    <w:rPr>
      <w:kern w:val="2"/>
      <w:sz w:val="18"/>
    </w:rPr>
  </w:style>
  <w:style w:type="character" w:customStyle="1" w:styleId="508">
    <w:name w:val="PIM 6 Char2"/>
    <w:autoRedefine/>
    <w:qFormat/>
    <w:uiPriority w:val="99"/>
    <w:rPr>
      <w:rFonts w:ascii="Arial" w:hAnsi="Arial" w:eastAsia="黑体"/>
      <w:b/>
      <w:kern w:val="2"/>
      <w:sz w:val="24"/>
    </w:rPr>
  </w:style>
  <w:style w:type="character" w:customStyle="1" w:styleId="509">
    <w:name w:val="不用 Char2"/>
    <w:autoRedefine/>
    <w:qFormat/>
    <w:uiPriority w:val="99"/>
    <w:rPr>
      <w:b/>
      <w:kern w:val="2"/>
      <w:sz w:val="24"/>
    </w:rPr>
  </w:style>
  <w:style w:type="character" w:customStyle="1" w:styleId="510">
    <w:name w:val="不用8 Char2"/>
    <w:qFormat/>
    <w:uiPriority w:val="99"/>
    <w:rPr>
      <w:rFonts w:ascii="Arial" w:hAnsi="Arial" w:eastAsia="黑体"/>
      <w:kern w:val="2"/>
      <w:sz w:val="24"/>
    </w:rPr>
  </w:style>
  <w:style w:type="character" w:customStyle="1" w:styleId="511">
    <w:name w:val="三级标题 Char2"/>
    <w:qFormat/>
    <w:uiPriority w:val="99"/>
    <w:rPr>
      <w:rFonts w:ascii="Arial" w:hAnsi="Arial" w:eastAsia="黑体"/>
      <w:kern w:val="2"/>
      <w:sz w:val="24"/>
    </w:rPr>
  </w:style>
  <w:style w:type="character" w:customStyle="1" w:styleId="512">
    <w:name w:val="市检方案标题3 Char1"/>
    <w:qFormat/>
    <w:uiPriority w:val="99"/>
    <w:rPr>
      <w:rFonts w:ascii="宋体"/>
      <w:b/>
      <w:kern w:val="2"/>
      <w:sz w:val="24"/>
      <w:lang w:val="en-US" w:eastAsia="zh-CN"/>
    </w:rPr>
  </w:style>
  <w:style w:type="character" w:customStyle="1" w:styleId="513">
    <w:name w:val="正文首行缩进 Char Char Char Char Char3"/>
    <w:qFormat/>
    <w:uiPriority w:val="99"/>
    <w:rPr>
      <w:rFonts w:eastAsia="宋体"/>
      <w:kern w:val="2"/>
      <w:sz w:val="24"/>
      <w:lang w:val="en-US" w:eastAsia="zh-CN"/>
    </w:rPr>
  </w:style>
  <w:style w:type="character" w:customStyle="1" w:styleId="514">
    <w:name w:val="正文文字 Char2"/>
    <w:qFormat/>
    <w:uiPriority w:val="99"/>
    <w:rPr>
      <w:kern w:val="2"/>
      <w:sz w:val="24"/>
    </w:rPr>
  </w:style>
  <w:style w:type="paragraph" w:customStyle="1" w:styleId="515">
    <w:name w:val="Char Char Char1"/>
    <w:basedOn w:val="1"/>
    <w:qFormat/>
    <w:uiPriority w:val="99"/>
    <w:pPr>
      <w:widowControl w:val="0"/>
      <w:spacing w:line="400" w:lineRule="exact"/>
      <w:ind w:firstLine="200" w:firstLineChars="200"/>
      <w:jc w:val="both"/>
    </w:pPr>
    <w:rPr>
      <w:rFonts w:ascii="Tahoma" w:hAnsi="Tahoma"/>
      <w:kern w:val="2"/>
      <w:szCs w:val="20"/>
    </w:rPr>
  </w:style>
  <w:style w:type="paragraph" w:customStyle="1" w:styleId="516">
    <w:name w:val="Char Char Char Char Char Char Char Char Char Char Char Char Char Char Char Char Char Char Char Char Char Char Char Char Char1"/>
    <w:basedOn w:val="1"/>
    <w:qFormat/>
    <w:uiPriority w:val="99"/>
    <w:pPr>
      <w:widowControl w:val="0"/>
      <w:spacing w:line="400" w:lineRule="exact"/>
      <w:ind w:firstLine="200" w:firstLineChars="200"/>
      <w:jc w:val="both"/>
    </w:pPr>
    <w:rPr>
      <w:rFonts w:ascii="Tahoma" w:hAnsi="Tahoma"/>
      <w:kern w:val="2"/>
      <w:szCs w:val="20"/>
    </w:rPr>
  </w:style>
  <w:style w:type="paragraph" w:customStyle="1" w:styleId="517">
    <w:name w:val="Char Char11"/>
    <w:basedOn w:val="1"/>
    <w:qFormat/>
    <w:uiPriority w:val="99"/>
    <w:pPr>
      <w:spacing w:after="160" w:line="240" w:lineRule="exact"/>
      <w:ind w:firstLine="200" w:firstLineChars="200"/>
    </w:pPr>
    <w:rPr>
      <w:rFonts w:ascii="Verdana" w:hAnsi="Verdana"/>
      <w:sz w:val="20"/>
      <w:szCs w:val="20"/>
      <w:lang w:eastAsia="en-US"/>
    </w:rPr>
  </w:style>
  <w:style w:type="paragraph" w:customStyle="1" w:styleId="518">
    <w:name w:val="Char11"/>
    <w:basedOn w:val="1"/>
    <w:autoRedefine/>
    <w:qFormat/>
    <w:uiPriority w:val="99"/>
    <w:pPr>
      <w:widowControl w:val="0"/>
      <w:adjustRightInd w:val="0"/>
      <w:spacing w:line="360" w:lineRule="auto"/>
      <w:ind w:firstLine="200" w:firstLineChars="200"/>
      <w:jc w:val="both"/>
    </w:pPr>
    <w:rPr>
      <w:szCs w:val="20"/>
    </w:rPr>
  </w:style>
  <w:style w:type="paragraph" w:customStyle="1" w:styleId="519">
    <w:name w:val="Char Char Char Char1"/>
    <w:basedOn w:val="21"/>
    <w:autoRedefine/>
    <w:qFormat/>
    <w:uiPriority w:val="99"/>
  </w:style>
  <w:style w:type="character" w:customStyle="1" w:styleId="520">
    <w:name w:val="Char Char22"/>
    <w:autoRedefine/>
    <w:qFormat/>
    <w:uiPriority w:val="99"/>
    <w:rPr>
      <w:rFonts w:eastAsia="宋体"/>
      <w:kern w:val="2"/>
      <w:sz w:val="18"/>
      <w:lang w:val="en-US" w:eastAsia="zh-CN"/>
    </w:rPr>
  </w:style>
  <w:style w:type="character" w:customStyle="1" w:styleId="521">
    <w:name w:val="Char Char61"/>
    <w:qFormat/>
    <w:uiPriority w:val="99"/>
    <w:rPr>
      <w:rFonts w:ascii="Arial" w:hAnsi="Arial" w:eastAsia="黑体"/>
      <w:b/>
      <w:kern w:val="2"/>
      <w:sz w:val="32"/>
      <w:lang w:val="en-US" w:eastAsia="zh-CN"/>
    </w:rPr>
  </w:style>
  <w:style w:type="paragraph" w:customStyle="1" w:styleId="522">
    <w:name w:val="正文11"/>
    <w:autoRedefine/>
    <w:qFormat/>
    <w:uiPriority w:val="99"/>
    <w:pPr>
      <w:widowControl w:val="0"/>
      <w:adjustRightInd w:val="0"/>
      <w:spacing w:line="240" w:lineRule="atLeast"/>
      <w:textAlignment w:val="baseline"/>
    </w:pPr>
    <w:rPr>
      <w:rFonts w:ascii="Times New Roman" w:hAnsi="Times New Roman" w:eastAsia="宋体" w:cs="Times New Roman"/>
      <w:lang w:val="en-US" w:eastAsia="zh-CN" w:bidi="ar-SA"/>
    </w:rPr>
  </w:style>
  <w:style w:type="paragraph" w:customStyle="1" w:styleId="523">
    <w:name w:val="Char Char Char Char Char11"/>
    <w:basedOn w:val="1"/>
    <w:autoRedefine/>
    <w:qFormat/>
    <w:uiPriority w:val="99"/>
    <w:pPr>
      <w:widowControl w:val="0"/>
      <w:spacing w:line="400" w:lineRule="exact"/>
      <w:ind w:firstLine="200" w:firstLineChars="200"/>
      <w:jc w:val="both"/>
    </w:pPr>
    <w:rPr>
      <w:kern w:val="2"/>
    </w:rPr>
  </w:style>
  <w:style w:type="paragraph" w:customStyle="1" w:styleId="524">
    <w:name w:val="Char21"/>
    <w:basedOn w:val="1"/>
    <w:qFormat/>
    <w:uiPriority w:val="99"/>
    <w:pPr>
      <w:widowControl w:val="0"/>
      <w:adjustRightInd w:val="0"/>
      <w:spacing w:line="360" w:lineRule="auto"/>
      <w:ind w:firstLine="200" w:firstLineChars="200"/>
      <w:jc w:val="both"/>
    </w:pPr>
    <w:rPr>
      <w:szCs w:val="20"/>
    </w:rPr>
  </w:style>
  <w:style w:type="paragraph" w:customStyle="1" w:styleId="525">
    <w:name w:val="Char Char Char Char Char Char1 Char1"/>
    <w:basedOn w:val="1"/>
    <w:qFormat/>
    <w:uiPriority w:val="99"/>
    <w:pPr>
      <w:spacing w:after="160" w:line="240" w:lineRule="exact"/>
    </w:pPr>
    <w:rPr>
      <w:rFonts w:ascii="Verdana" w:hAnsi="Verdana"/>
      <w:sz w:val="21"/>
      <w:szCs w:val="20"/>
      <w:lang w:eastAsia="en-US"/>
    </w:rPr>
  </w:style>
  <w:style w:type="paragraph" w:customStyle="1" w:styleId="526">
    <w:name w:val="正文文本 211"/>
    <w:basedOn w:val="1"/>
    <w:qFormat/>
    <w:uiPriority w:val="99"/>
    <w:pPr>
      <w:widowControl w:val="0"/>
      <w:adjustRightInd w:val="0"/>
      <w:spacing w:before="120" w:line="360" w:lineRule="auto"/>
      <w:ind w:firstLine="480"/>
      <w:jc w:val="both"/>
      <w:textAlignment w:val="baseline"/>
    </w:pPr>
    <w:rPr>
      <w:kern w:val="2"/>
      <w:szCs w:val="20"/>
    </w:rPr>
  </w:style>
  <w:style w:type="paragraph" w:customStyle="1" w:styleId="527">
    <w:name w:val="Char Char Char Char Char2"/>
    <w:basedOn w:val="1"/>
    <w:qFormat/>
    <w:uiPriority w:val="99"/>
    <w:pPr>
      <w:widowControl w:val="0"/>
      <w:autoSpaceDE w:val="0"/>
      <w:autoSpaceDN w:val="0"/>
      <w:adjustRightInd w:val="0"/>
    </w:pPr>
    <w:rPr>
      <w:rFonts w:ascii="Tahoma" w:hAnsi="Tahoma"/>
      <w:szCs w:val="20"/>
    </w:rPr>
  </w:style>
  <w:style w:type="paragraph" w:customStyle="1" w:styleId="528">
    <w:name w:val="列出段落11"/>
    <w:basedOn w:val="1"/>
    <w:autoRedefine/>
    <w:qFormat/>
    <w:uiPriority w:val="99"/>
    <w:pPr>
      <w:widowControl w:val="0"/>
      <w:ind w:firstLine="420" w:firstLineChars="200"/>
      <w:jc w:val="both"/>
    </w:pPr>
    <w:rPr>
      <w:rFonts w:ascii="Calibri" w:hAnsi="Calibri"/>
      <w:kern w:val="2"/>
      <w:sz w:val="21"/>
      <w:szCs w:val="22"/>
    </w:rPr>
  </w:style>
  <w:style w:type="paragraph" w:customStyle="1" w:styleId="529">
    <w:name w:val="Char Char1 Char Char Char Char Char Char Char Char Char Char Char Char Char Char1"/>
    <w:basedOn w:val="1"/>
    <w:qFormat/>
    <w:uiPriority w:val="99"/>
    <w:pPr>
      <w:spacing w:after="160" w:line="240" w:lineRule="exact"/>
    </w:pPr>
    <w:rPr>
      <w:rFonts w:ascii="Verdana" w:hAnsi="Verdana"/>
      <w:sz w:val="20"/>
      <w:szCs w:val="20"/>
      <w:lang w:eastAsia="en-US"/>
    </w:rPr>
  </w:style>
  <w:style w:type="paragraph" w:customStyle="1" w:styleId="530">
    <w:name w:val="Char1 Char Char Char Char Char Char Char Char Char1"/>
    <w:basedOn w:val="1"/>
    <w:qFormat/>
    <w:uiPriority w:val="99"/>
    <w:pPr>
      <w:widowControl w:val="0"/>
      <w:jc w:val="both"/>
    </w:pPr>
    <w:rPr>
      <w:rFonts w:ascii="Tahoma" w:hAnsi="Tahoma"/>
      <w:kern w:val="2"/>
      <w:szCs w:val="20"/>
    </w:rPr>
  </w:style>
  <w:style w:type="paragraph" w:customStyle="1" w:styleId="531">
    <w:name w:val="正文文本缩进 211"/>
    <w:basedOn w:val="1"/>
    <w:autoRedefine/>
    <w:qFormat/>
    <w:uiPriority w:val="99"/>
    <w:pPr>
      <w:widowControl w:val="0"/>
      <w:adjustRightInd w:val="0"/>
      <w:spacing w:before="120"/>
      <w:ind w:firstLine="420"/>
      <w:jc w:val="both"/>
      <w:textAlignment w:val="baseline"/>
    </w:pPr>
    <w:rPr>
      <w:kern w:val="2"/>
      <w:szCs w:val="20"/>
    </w:rPr>
  </w:style>
  <w:style w:type="paragraph" w:customStyle="1" w:styleId="532">
    <w:name w:val="Char Char Char Char Char Char Char Char Char Char Char Char Char1"/>
    <w:basedOn w:val="1"/>
    <w:autoRedefine/>
    <w:qFormat/>
    <w:uiPriority w:val="99"/>
    <w:pPr>
      <w:widowControl w:val="0"/>
      <w:jc w:val="both"/>
    </w:pPr>
    <w:rPr>
      <w:sz w:val="20"/>
      <w:szCs w:val="20"/>
    </w:rPr>
  </w:style>
  <w:style w:type="paragraph" w:customStyle="1" w:styleId="533">
    <w:name w:val="默认段落字体 Para Char Char"/>
    <w:basedOn w:val="1"/>
    <w:qFormat/>
    <w:uiPriority w:val="99"/>
    <w:pPr>
      <w:widowControl w:val="0"/>
      <w:spacing w:line="360" w:lineRule="auto"/>
      <w:ind w:firstLine="200" w:firstLineChars="200"/>
      <w:jc w:val="both"/>
    </w:pPr>
    <w:rPr>
      <w:color w:val="000000"/>
      <w:kern w:val="2"/>
      <w:sz w:val="21"/>
      <w:szCs w:val="20"/>
    </w:rPr>
  </w:style>
  <w:style w:type="paragraph" w:customStyle="1" w:styleId="534">
    <w:name w:val="(符号)标书正文"/>
    <w:basedOn w:val="1"/>
    <w:autoRedefine/>
    <w:qFormat/>
    <w:uiPriority w:val="99"/>
    <w:pPr>
      <w:widowControl w:val="0"/>
      <w:spacing w:line="420" w:lineRule="exact"/>
      <w:ind w:firstLine="480" w:firstLineChars="200"/>
    </w:pPr>
    <w:rPr>
      <w:rFonts w:ascii="宋体" w:hAnsi="宋体" w:cs="宋体"/>
      <w:color w:val="000000"/>
      <w:kern w:val="2"/>
    </w:rPr>
  </w:style>
  <w:style w:type="paragraph" w:customStyle="1" w:styleId="535">
    <w:name w:val="（符号）三标题1.1"/>
    <w:basedOn w:val="1"/>
    <w:autoRedefine/>
    <w:qFormat/>
    <w:uiPriority w:val="99"/>
    <w:pPr>
      <w:widowControl w:val="0"/>
      <w:numPr>
        <w:ilvl w:val="1"/>
        <w:numId w:val="19"/>
      </w:numPr>
      <w:spacing w:line="500" w:lineRule="exact"/>
      <w:ind w:firstLine="0"/>
      <w:jc w:val="both"/>
    </w:pPr>
    <w:rPr>
      <w:rFonts w:ascii="宋体" w:hAnsi="宋体"/>
      <w:kern w:val="2"/>
    </w:rPr>
  </w:style>
  <w:style w:type="paragraph" w:customStyle="1" w:styleId="536">
    <w:name w:val="(符号)三标题1.1"/>
    <w:basedOn w:val="1"/>
    <w:qFormat/>
    <w:uiPriority w:val="99"/>
    <w:pPr>
      <w:widowControl w:val="0"/>
      <w:tabs>
        <w:tab w:val="left" w:pos="360"/>
      </w:tabs>
      <w:spacing w:before="140" w:after="140" w:line="500" w:lineRule="exact"/>
      <w:ind w:left="360"/>
      <w:jc w:val="both"/>
      <w:outlineLvl w:val="2"/>
    </w:pPr>
    <w:rPr>
      <w:rFonts w:ascii="楷体_GB2312" w:hAnsi="宋体" w:eastAsia="楷体_GB2312" w:cs="宋体"/>
      <w:b/>
      <w:bCs/>
      <w:kern w:val="2"/>
      <w:sz w:val="28"/>
      <w:szCs w:val="20"/>
    </w:rPr>
  </w:style>
  <w:style w:type="paragraph" w:customStyle="1" w:styleId="537">
    <w:name w:val="(符号)五标题1.1.1"/>
    <w:basedOn w:val="1"/>
    <w:qFormat/>
    <w:uiPriority w:val="99"/>
    <w:pPr>
      <w:widowControl w:val="0"/>
      <w:tabs>
        <w:tab w:val="left" w:pos="1260"/>
      </w:tabs>
      <w:spacing w:line="500" w:lineRule="exact"/>
      <w:ind w:left="1260"/>
      <w:jc w:val="both"/>
    </w:pPr>
    <w:rPr>
      <w:rFonts w:ascii="宋体" w:hAnsi="宋体" w:cs="宋体"/>
      <w:color w:val="000000"/>
      <w:kern w:val="2"/>
      <w:szCs w:val="20"/>
    </w:rPr>
  </w:style>
  <w:style w:type="paragraph" w:customStyle="1" w:styleId="538">
    <w:name w:val="样式 正文首行缩进 2 + 行距: 2 倍行距"/>
    <w:basedOn w:val="66"/>
    <w:qFormat/>
    <w:uiPriority w:val="99"/>
    <w:pPr>
      <w:spacing w:after="0" w:line="360" w:lineRule="auto"/>
      <w:ind w:left="200" w:leftChars="200" w:firstLine="200"/>
    </w:pPr>
    <w:rPr>
      <w:rFonts w:eastAsia="宋体"/>
      <w:sz w:val="21"/>
      <w:szCs w:val="24"/>
    </w:rPr>
  </w:style>
  <w:style w:type="paragraph" w:customStyle="1" w:styleId="539">
    <w:name w:val="正文首行缩进两字符"/>
    <w:basedOn w:val="1"/>
    <w:autoRedefine/>
    <w:qFormat/>
    <w:uiPriority w:val="99"/>
    <w:pPr>
      <w:widowControl w:val="0"/>
      <w:spacing w:line="360" w:lineRule="auto"/>
      <w:ind w:firstLine="200" w:firstLineChars="200"/>
      <w:jc w:val="both"/>
    </w:pPr>
    <w:rPr>
      <w:kern w:val="2"/>
      <w:sz w:val="21"/>
    </w:rPr>
  </w:style>
  <w:style w:type="character" w:customStyle="1" w:styleId="540">
    <w:name w:val="Footer-Even Char1"/>
    <w:qFormat/>
    <w:uiPriority w:val="99"/>
    <w:rPr>
      <w:rFonts w:eastAsia="宋体"/>
      <w:kern w:val="2"/>
      <w:sz w:val="18"/>
      <w:lang w:val="en-US" w:eastAsia="zh-CN"/>
    </w:rPr>
  </w:style>
  <w:style w:type="character" w:customStyle="1" w:styleId="541">
    <w:name w:val="h Char Char1"/>
    <w:qFormat/>
    <w:uiPriority w:val="99"/>
    <w:rPr>
      <w:kern w:val="2"/>
      <w:sz w:val="18"/>
    </w:rPr>
  </w:style>
  <w:style w:type="character" w:customStyle="1" w:styleId="542">
    <w:name w:val="PIM 6 Char1"/>
    <w:qFormat/>
    <w:uiPriority w:val="99"/>
    <w:rPr>
      <w:rFonts w:ascii="Arial" w:hAnsi="Arial" w:eastAsia="黑体"/>
      <w:b/>
      <w:kern w:val="2"/>
      <w:sz w:val="24"/>
    </w:rPr>
  </w:style>
  <w:style w:type="character" w:customStyle="1" w:styleId="543">
    <w:name w:val="不用 Char1"/>
    <w:autoRedefine/>
    <w:qFormat/>
    <w:uiPriority w:val="99"/>
    <w:rPr>
      <w:b/>
      <w:kern w:val="2"/>
      <w:sz w:val="24"/>
    </w:rPr>
  </w:style>
  <w:style w:type="character" w:customStyle="1" w:styleId="544">
    <w:name w:val="不用8 Char1"/>
    <w:qFormat/>
    <w:uiPriority w:val="99"/>
    <w:rPr>
      <w:rFonts w:ascii="Arial" w:hAnsi="Arial" w:eastAsia="黑体"/>
      <w:kern w:val="2"/>
      <w:sz w:val="24"/>
    </w:rPr>
  </w:style>
  <w:style w:type="character" w:customStyle="1" w:styleId="545">
    <w:name w:val="三级标题 Char1"/>
    <w:autoRedefine/>
    <w:qFormat/>
    <w:uiPriority w:val="99"/>
    <w:rPr>
      <w:rFonts w:ascii="Arial" w:hAnsi="Arial" w:eastAsia="黑体"/>
      <w:kern w:val="2"/>
      <w:sz w:val="21"/>
    </w:rPr>
  </w:style>
  <w:style w:type="character" w:customStyle="1" w:styleId="546">
    <w:name w:val="正文首行缩进 Char Char Char Char Char2"/>
    <w:qFormat/>
    <w:uiPriority w:val="99"/>
    <w:rPr>
      <w:rFonts w:eastAsia="宋体"/>
      <w:kern w:val="2"/>
      <w:sz w:val="24"/>
      <w:lang w:val="en-US" w:eastAsia="zh-CN"/>
    </w:rPr>
  </w:style>
  <w:style w:type="character" w:customStyle="1" w:styleId="547">
    <w:name w:val="正文文字 Char1"/>
    <w:qFormat/>
    <w:uiPriority w:val="99"/>
    <w:rPr>
      <w:kern w:val="2"/>
      <w:sz w:val="24"/>
    </w:rPr>
  </w:style>
  <w:style w:type="character" w:customStyle="1" w:styleId="548">
    <w:name w:val="h Char Char"/>
    <w:autoRedefine/>
    <w:qFormat/>
    <w:uiPriority w:val="99"/>
    <w:rPr>
      <w:kern w:val="2"/>
      <w:sz w:val="18"/>
    </w:rPr>
  </w:style>
  <w:style w:type="table" w:customStyle="1" w:styleId="549">
    <w:name w:val="Table"/>
    <w:basedOn w:val="68"/>
    <w:autoRedefine/>
    <w:qFormat/>
    <w:uiPriority w:val="99"/>
    <w:pPr>
      <w:snapToGrid w:val="0"/>
      <w:jc w:val="lef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cantSplit/>
    </w:trPr>
    <w:tblStylePr w:type="firstRow">
      <w:pPr>
        <w:ind w:left="0" w:leftChars="0"/>
      </w:pPr>
      <w:rPr>
        <w:rFonts w:cs="Times New Roman"/>
      </w:r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550">
    <w:name w:val="xl183"/>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sz w:val="20"/>
      <w:szCs w:val="20"/>
    </w:rPr>
  </w:style>
  <w:style w:type="paragraph" w:customStyle="1" w:styleId="551">
    <w:name w:val="xl184"/>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sz w:val="20"/>
      <w:szCs w:val="20"/>
    </w:rPr>
  </w:style>
  <w:style w:type="paragraph" w:customStyle="1" w:styleId="552">
    <w:name w:val="xl185"/>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szCs w:val="20"/>
    </w:rPr>
  </w:style>
  <w:style w:type="paragraph" w:customStyle="1" w:styleId="553">
    <w:name w:val="xl186"/>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554">
    <w:name w:val="xl187"/>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20"/>
      <w:szCs w:val="20"/>
    </w:rPr>
  </w:style>
  <w:style w:type="paragraph" w:customStyle="1" w:styleId="555">
    <w:name w:val="xl188"/>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556">
    <w:name w:val="xl189"/>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szCs w:val="20"/>
    </w:rPr>
  </w:style>
  <w:style w:type="paragraph" w:customStyle="1" w:styleId="557">
    <w:name w:val="xl190"/>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szCs w:val="20"/>
    </w:rPr>
  </w:style>
  <w:style w:type="paragraph" w:customStyle="1" w:styleId="558">
    <w:name w:val="xl191"/>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szCs w:val="20"/>
    </w:rPr>
  </w:style>
  <w:style w:type="paragraph" w:customStyle="1" w:styleId="559">
    <w:name w:val="xl192"/>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560">
    <w:name w:val="xl193"/>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561">
    <w:name w:val="xl194"/>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szCs w:val="20"/>
    </w:rPr>
  </w:style>
  <w:style w:type="paragraph" w:customStyle="1" w:styleId="562">
    <w:name w:val="xl195"/>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20"/>
      <w:szCs w:val="20"/>
    </w:rPr>
  </w:style>
  <w:style w:type="paragraph" w:customStyle="1" w:styleId="563">
    <w:name w:val="xl196"/>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564">
    <w:name w:val="xl197"/>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sz w:val="20"/>
      <w:szCs w:val="20"/>
    </w:rPr>
  </w:style>
  <w:style w:type="paragraph" w:customStyle="1" w:styleId="565">
    <w:name w:val="xl198"/>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szCs w:val="20"/>
    </w:rPr>
  </w:style>
  <w:style w:type="paragraph" w:customStyle="1" w:styleId="566">
    <w:name w:val="xl199"/>
    <w:basedOn w:val="1"/>
    <w:autoRedefine/>
    <w:qFormat/>
    <w:uiPriority w:val="99"/>
    <w:pPr>
      <w:pBdr>
        <w:top w:val="single" w:color="auto" w:sz="4" w:space="0"/>
        <w:left w:val="single" w:color="auto" w:sz="4" w:space="0"/>
        <w:bottom w:val="single" w:color="auto" w:sz="4" w:space="0"/>
      </w:pBdr>
      <w:spacing w:before="100" w:beforeAutospacing="1" w:after="100" w:afterAutospacing="1"/>
      <w:jc w:val="center"/>
    </w:pPr>
    <w:rPr>
      <w:rFonts w:ascii="楷体_GB2312" w:hAnsi="宋体" w:eastAsia="楷体_GB2312" w:cs="宋体"/>
      <w:b/>
      <w:bCs/>
      <w:sz w:val="20"/>
      <w:szCs w:val="20"/>
    </w:rPr>
  </w:style>
  <w:style w:type="paragraph" w:customStyle="1" w:styleId="567">
    <w:name w:val="xl200"/>
    <w:basedOn w:val="1"/>
    <w:qFormat/>
    <w:uiPriority w:val="99"/>
    <w:pPr>
      <w:pBdr>
        <w:top w:val="single" w:color="auto" w:sz="4" w:space="0"/>
        <w:left w:val="single" w:color="auto" w:sz="4" w:space="0"/>
        <w:bottom w:val="single" w:color="auto" w:sz="4" w:space="0"/>
      </w:pBdr>
      <w:spacing w:before="100" w:beforeAutospacing="1" w:after="100" w:afterAutospacing="1"/>
    </w:pPr>
    <w:rPr>
      <w:rFonts w:ascii="仿宋_GB2312" w:hAnsi="宋体" w:eastAsia="仿宋_GB2312" w:cs="宋体"/>
      <w:sz w:val="20"/>
      <w:szCs w:val="20"/>
    </w:rPr>
  </w:style>
  <w:style w:type="paragraph" w:customStyle="1" w:styleId="568">
    <w:name w:val="xl201"/>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小标宋" w:hAnsi="宋体" w:eastAsia="小标宋" w:cs="宋体"/>
      <w:b/>
      <w:bCs/>
      <w:sz w:val="40"/>
      <w:szCs w:val="40"/>
    </w:rPr>
  </w:style>
  <w:style w:type="paragraph" w:customStyle="1" w:styleId="569">
    <w:name w:val="xl202"/>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sz w:val="40"/>
      <w:szCs w:val="40"/>
    </w:rPr>
  </w:style>
  <w:style w:type="paragraph" w:customStyle="1" w:styleId="570">
    <w:name w:val="xl203"/>
    <w:basedOn w:val="1"/>
    <w:autoRedefine/>
    <w:qFormat/>
    <w:uiPriority w:val="99"/>
    <w:pPr>
      <w:pBdr>
        <w:top w:val="single" w:color="auto" w:sz="4" w:space="0"/>
        <w:left w:val="single" w:color="auto" w:sz="4" w:space="0"/>
        <w:bottom w:val="single" w:color="auto" w:sz="4" w:space="0"/>
      </w:pBdr>
      <w:spacing w:before="100" w:beforeAutospacing="1" w:after="100" w:afterAutospacing="1"/>
    </w:pPr>
    <w:rPr>
      <w:rFonts w:ascii="宋体" w:hAnsi="宋体" w:cs="宋体"/>
    </w:rPr>
  </w:style>
  <w:style w:type="paragraph" w:customStyle="1" w:styleId="571">
    <w:name w:val="xl204"/>
    <w:basedOn w:val="1"/>
    <w:qFormat/>
    <w:uiPriority w:val="99"/>
    <w:pPr>
      <w:pBdr>
        <w:top w:val="single" w:color="auto" w:sz="4" w:space="0"/>
        <w:bottom w:val="single" w:color="auto" w:sz="4" w:space="0"/>
      </w:pBdr>
      <w:spacing w:before="100" w:beforeAutospacing="1" w:after="100" w:afterAutospacing="1"/>
    </w:pPr>
    <w:rPr>
      <w:rFonts w:ascii="Arial" w:hAnsi="Arial" w:cs="Arial"/>
    </w:rPr>
  </w:style>
  <w:style w:type="paragraph" w:customStyle="1" w:styleId="572">
    <w:name w:val="xl205"/>
    <w:basedOn w:val="1"/>
    <w:autoRedefine/>
    <w:qFormat/>
    <w:uiPriority w:val="99"/>
    <w:pPr>
      <w:pBdr>
        <w:top w:val="single" w:color="auto" w:sz="4" w:space="0"/>
        <w:bottom w:val="single" w:color="auto" w:sz="4" w:space="0"/>
        <w:right w:val="single" w:color="auto" w:sz="4" w:space="0"/>
      </w:pBdr>
      <w:spacing w:before="100" w:beforeAutospacing="1" w:after="100" w:afterAutospacing="1"/>
    </w:pPr>
    <w:rPr>
      <w:rFonts w:ascii="Arial" w:hAnsi="Arial" w:cs="Arial"/>
    </w:rPr>
  </w:style>
  <w:style w:type="paragraph" w:customStyle="1" w:styleId="573">
    <w:name w:val="xl206"/>
    <w:basedOn w:val="1"/>
    <w:qFormat/>
    <w:uiPriority w:val="99"/>
    <w:pPr>
      <w:pBdr>
        <w:top w:val="single" w:color="auto" w:sz="4" w:space="0"/>
        <w:bottom w:val="single" w:color="auto" w:sz="4" w:space="0"/>
        <w:right w:val="single" w:color="auto" w:sz="4" w:space="0"/>
      </w:pBdr>
      <w:spacing w:before="100" w:beforeAutospacing="1" w:after="100" w:afterAutospacing="1"/>
      <w:jc w:val="center"/>
    </w:pPr>
    <w:rPr>
      <w:rFonts w:ascii="Arial" w:hAnsi="Arial" w:cs="Arial"/>
      <w:b/>
      <w:bCs/>
      <w:sz w:val="20"/>
      <w:szCs w:val="20"/>
    </w:rPr>
  </w:style>
  <w:style w:type="paragraph" w:customStyle="1" w:styleId="574">
    <w:name w:val="xl207"/>
    <w:basedOn w:val="1"/>
    <w:qFormat/>
    <w:uiPriority w:val="99"/>
    <w:pPr>
      <w:pBdr>
        <w:top w:val="single" w:color="auto" w:sz="4" w:space="0"/>
        <w:bottom w:val="single" w:color="auto" w:sz="4" w:space="0"/>
      </w:pBdr>
      <w:spacing w:before="100" w:beforeAutospacing="1" w:after="100" w:afterAutospacing="1"/>
      <w:jc w:val="center"/>
    </w:pPr>
    <w:rPr>
      <w:rFonts w:ascii="Arial" w:hAnsi="Arial" w:cs="Arial"/>
      <w:b/>
      <w:bCs/>
      <w:sz w:val="20"/>
      <w:szCs w:val="20"/>
    </w:rPr>
  </w:style>
  <w:style w:type="paragraph" w:customStyle="1" w:styleId="575">
    <w:name w:val="xl208"/>
    <w:basedOn w:val="1"/>
    <w:qFormat/>
    <w:uiPriority w:val="99"/>
    <w:pPr>
      <w:pBdr>
        <w:top w:val="single" w:color="auto" w:sz="4" w:space="0"/>
        <w:bottom w:val="single" w:color="auto" w:sz="4" w:space="0"/>
      </w:pBdr>
      <w:spacing w:before="100" w:beforeAutospacing="1" w:after="100" w:afterAutospacing="1"/>
    </w:pPr>
    <w:rPr>
      <w:rFonts w:ascii="Arial" w:hAnsi="Arial" w:cs="Arial"/>
      <w:sz w:val="20"/>
      <w:szCs w:val="20"/>
    </w:rPr>
  </w:style>
  <w:style w:type="paragraph" w:customStyle="1" w:styleId="576">
    <w:name w:val="xl209"/>
    <w:basedOn w:val="1"/>
    <w:qFormat/>
    <w:uiPriority w:val="99"/>
    <w:pPr>
      <w:pBdr>
        <w:top w:val="single" w:color="auto" w:sz="4" w:space="0"/>
        <w:bottom w:val="single" w:color="auto" w:sz="4" w:space="0"/>
        <w:right w:val="single" w:color="auto" w:sz="4" w:space="0"/>
      </w:pBdr>
      <w:spacing w:before="100" w:beforeAutospacing="1" w:after="100" w:afterAutospacing="1"/>
    </w:pPr>
    <w:rPr>
      <w:rFonts w:ascii="Arial" w:hAnsi="Arial" w:cs="Arial"/>
      <w:sz w:val="20"/>
      <w:szCs w:val="20"/>
    </w:rPr>
  </w:style>
  <w:style w:type="character" w:customStyle="1" w:styleId="577">
    <w:name w:val="grame"/>
    <w:basedOn w:val="71"/>
    <w:qFormat/>
    <w:uiPriority w:val="99"/>
    <w:rPr>
      <w:rFonts w:cs="Times New Roman"/>
    </w:rPr>
  </w:style>
  <w:style w:type="paragraph" w:customStyle="1" w:styleId="578">
    <w:name w:val="Pa0"/>
    <w:basedOn w:val="1"/>
    <w:next w:val="1"/>
    <w:autoRedefine/>
    <w:qFormat/>
    <w:uiPriority w:val="99"/>
    <w:pPr>
      <w:widowControl w:val="0"/>
      <w:autoSpaceDE w:val="0"/>
      <w:autoSpaceDN w:val="0"/>
      <w:adjustRightInd w:val="0"/>
      <w:spacing w:line="241" w:lineRule="atLeast"/>
    </w:pPr>
    <w:rPr>
      <w:rFonts w:ascii="Adobe 黑体 Std R" w:eastAsia="Adobe 黑体 Std R"/>
    </w:rPr>
  </w:style>
  <w:style w:type="character" w:customStyle="1" w:styleId="579">
    <w:name w:val="ca-21"/>
    <w:qFormat/>
    <w:uiPriority w:val="99"/>
    <w:rPr>
      <w:rFonts w:ascii="宋体" w:hAnsi="宋体" w:eastAsia="宋体"/>
      <w:sz w:val="24"/>
    </w:rPr>
  </w:style>
  <w:style w:type="character" w:customStyle="1" w:styleId="580">
    <w:name w:val="ca-31"/>
    <w:qFormat/>
    <w:uiPriority w:val="99"/>
    <w:rPr>
      <w:rFonts w:ascii="??" w:hAnsi="??"/>
      <w:sz w:val="24"/>
    </w:rPr>
  </w:style>
  <w:style w:type="paragraph" w:customStyle="1" w:styleId="581">
    <w:name w:val="xl131"/>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0"/>
      <w:szCs w:val="20"/>
    </w:rPr>
  </w:style>
  <w:style w:type="paragraph" w:customStyle="1" w:styleId="582">
    <w:name w:val="xl132"/>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sz w:val="20"/>
      <w:szCs w:val="20"/>
    </w:rPr>
  </w:style>
  <w:style w:type="paragraph" w:customStyle="1" w:styleId="583">
    <w:name w:val="xl133"/>
    <w:basedOn w:val="1"/>
    <w:autoRedefine/>
    <w:qFormat/>
    <w:uiPriority w:val="99"/>
    <w:pPr>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center"/>
    </w:pPr>
    <w:rPr>
      <w:rFonts w:ascii="宋体" w:hAnsi="宋体" w:cs="宋体"/>
      <w:b/>
      <w:bCs/>
      <w:sz w:val="20"/>
      <w:szCs w:val="20"/>
    </w:rPr>
  </w:style>
  <w:style w:type="paragraph" w:customStyle="1" w:styleId="584">
    <w:name w:val="xl134"/>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sz w:val="20"/>
      <w:szCs w:val="20"/>
    </w:rPr>
  </w:style>
  <w:style w:type="paragraph" w:customStyle="1" w:styleId="585">
    <w:name w:val="xl135"/>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0"/>
      <w:szCs w:val="20"/>
    </w:rPr>
  </w:style>
  <w:style w:type="paragraph" w:customStyle="1" w:styleId="586">
    <w:name w:val="xl136"/>
    <w:basedOn w:val="1"/>
    <w:qFormat/>
    <w:uiPriority w:val="99"/>
    <w:pPr>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sz w:val="20"/>
      <w:szCs w:val="20"/>
    </w:rPr>
  </w:style>
  <w:style w:type="paragraph" w:customStyle="1" w:styleId="587">
    <w:name w:val="xl137"/>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588">
    <w:name w:val="xl138"/>
    <w:basedOn w:val="1"/>
    <w:autoRedefine/>
    <w:qFormat/>
    <w:uiPriority w:val="99"/>
    <w:pPr>
      <w:pBdr>
        <w:top w:val="single" w:color="auto" w:sz="4" w:space="0"/>
        <w:left w:val="single" w:color="auto" w:sz="4" w:space="0"/>
        <w:bottom w:val="single" w:color="auto" w:sz="4" w:space="0"/>
      </w:pBdr>
      <w:spacing w:before="100" w:beforeAutospacing="1" w:after="100" w:afterAutospacing="1"/>
      <w:textAlignment w:val="center"/>
    </w:pPr>
    <w:rPr>
      <w:rFonts w:ascii="宋体" w:hAnsi="宋体" w:cs="宋体"/>
      <w:sz w:val="20"/>
      <w:szCs w:val="20"/>
    </w:rPr>
  </w:style>
  <w:style w:type="paragraph" w:customStyle="1" w:styleId="589">
    <w:name w:val="xl139"/>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0"/>
      <w:szCs w:val="20"/>
    </w:rPr>
  </w:style>
  <w:style w:type="paragraph" w:customStyle="1" w:styleId="590">
    <w:name w:val="xl140"/>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sz w:val="18"/>
      <w:szCs w:val="18"/>
    </w:rPr>
  </w:style>
  <w:style w:type="paragraph" w:customStyle="1" w:styleId="591">
    <w:name w:val="xl141"/>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18"/>
      <w:szCs w:val="18"/>
    </w:rPr>
  </w:style>
  <w:style w:type="paragraph" w:customStyle="1" w:styleId="592">
    <w:name w:val="xl142"/>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sz w:val="20"/>
      <w:szCs w:val="20"/>
    </w:rPr>
  </w:style>
  <w:style w:type="paragraph" w:customStyle="1" w:styleId="593">
    <w:name w:val="xl143"/>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sz w:val="20"/>
      <w:szCs w:val="20"/>
    </w:rPr>
  </w:style>
  <w:style w:type="paragraph" w:customStyle="1" w:styleId="594">
    <w:name w:val="xl144"/>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0"/>
      <w:szCs w:val="20"/>
    </w:rPr>
  </w:style>
  <w:style w:type="paragraph" w:customStyle="1" w:styleId="595">
    <w:name w:val="xl145"/>
    <w:basedOn w:val="1"/>
    <w:qFormat/>
    <w:uiPriority w:val="99"/>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sz w:val="20"/>
      <w:szCs w:val="20"/>
    </w:rPr>
  </w:style>
  <w:style w:type="paragraph" w:customStyle="1" w:styleId="596">
    <w:name w:val="xl146"/>
    <w:basedOn w:val="1"/>
    <w:qFormat/>
    <w:uiPriority w:val="99"/>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0"/>
      <w:szCs w:val="20"/>
    </w:rPr>
  </w:style>
  <w:style w:type="paragraph" w:customStyle="1" w:styleId="597">
    <w:name w:val="xl147"/>
    <w:basedOn w:val="1"/>
    <w:qFormat/>
    <w:uiPriority w:val="99"/>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sz w:val="20"/>
      <w:szCs w:val="20"/>
    </w:rPr>
  </w:style>
  <w:style w:type="paragraph" w:customStyle="1" w:styleId="598">
    <w:name w:val="xl148"/>
    <w:basedOn w:val="1"/>
    <w:qFormat/>
    <w:uiPriority w:val="99"/>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0"/>
      <w:szCs w:val="20"/>
    </w:rPr>
  </w:style>
  <w:style w:type="paragraph" w:customStyle="1" w:styleId="599">
    <w:name w:val="xl149"/>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szCs w:val="20"/>
    </w:rPr>
  </w:style>
  <w:style w:type="paragraph" w:customStyle="1" w:styleId="600">
    <w:name w:val="xl150"/>
    <w:basedOn w:val="1"/>
    <w:qFormat/>
    <w:uiPriority w:val="99"/>
    <w:pPr>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center"/>
    </w:pPr>
    <w:rPr>
      <w:rFonts w:ascii="宋体" w:hAnsi="宋体" w:cs="宋体"/>
      <w:b/>
      <w:bCs/>
      <w:sz w:val="20"/>
      <w:szCs w:val="20"/>
    </w:rPr>
  </w:style>
  <w:style w:type="paragraph" w:customStyle="1" w:styleId="601">
    <w:name w:val="xl151"/>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sz w:val="20"/>
      <w:szCs w:val="20"/>
    </w:rPr>
  </w:style>
  <w:style w:type="paragraph" w:customStyle="1" w:styleId="602">
    <w:name w:val="xl152"/>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sz w:val="20"/>
      <w:szCs w:val="20"/>
    </w:rPr>
  </w:style>
  <w:style w:type="paragraph" w:customStyle="1" w:styleId="603">
    <w:name w:val="xl153"/>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sz w:val="20"/>
      <w:szCs w:val="20"/>
    </w:rPr>
  </w:style>
  <w:style w:type="paragraph" w:customStyle="1" w:styleId="604">
    <w:name w:val="xl154"/>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20"/>
      <w:szCs w:val="20"/>
    </w:rPr>
  </w:style>
  <w:style w:type="paragraph" w:customStyle="1" w:styleId="605">
    <w:name w:val="xl155"/>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szCs w:val="20"/>
    </w:rPr>
  </w:style>
  <w:style w:type="paragraph" w:customStyle="1" w:styleId="606">
    <w:name w:val="xl156"/>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20"/>
      <w:szCs w:val="20"/>
    </w:rPr>
  </w:style>
  <w:style w:type="paragraph" w:customStyle="1" w:styleId="607">
    <w:name w:val="xl157"/>
    <w:basedOn w:val="1"/>
    <w:qFormat/>
    <w:uiPriority w:val="99"/>
    <w:pPr>
      <w:pBdr>
        <w:top w:val="single" w:color="auto" w:sz="4" w:space="0"/>
        <w:left w:val="single" w:color="auto" w:sz="4" w:space="0"/>
        <w:bottom w:val="single" w:color="auto" w:sz="4" w:space="0"/>
      </w:pBdr>
      <w:spacing w:before="100" w:beforeAutospacing="1" w:after="100" w:afterAutospacing="1"/>
      <w:textAlignment w:val="center"/>
    </w:pPr>
    <w:rPr>
      <w:rFonts w:ascii="宋体" w:hAnsi="宋体" w:cs="宋体"/>
      <w:sz w:val="20"/>
      <w:szCs w:val="20"/>
    </w:rPr>
  </w:style>
  <w:style w:type="paragraph" w:customStyle="1" w:styleId="608">
    <w:name w:val="xl158"/>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szCs w:val="20"/>
    </w:rPr>
  </w:style>
  <w:style w:type="paragraph" w:customStyle="1" w:styleId="609">
    <w:name w:val="xl159"/>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sz w:val="20"/>
      <w:szCs w:val="20"/>
    </w:rPr>
  </w:style>
  <w:style w:type="paragraph" w:customStyle="1" w:styleId="610">
    <w:name w:val="xl160"/>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sz w:val="20"/>
      <w:szCs w:val="20"/>
    </w:rPr>
  </w:style>
  <w:style w:type="paragraph" w:customStyle="1" w:styleId="611">
    <w:name w:val="xl161"/>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sz w:val="20"/>
      <w:szCs w:val="20"/>
    </w:rPr>
  </w:style>
  <w:style w:type="paragraph" w:customStyle="1" w:styleId="612">
    <w:name w:val="xl162"/>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0"/>
      <w:szCs w:val="20"/>
    </w:rPr>
  </w:style>
  <w:style w:type="paragraph" w:customStyle="1" w:styleId="613">
    <w:name w:val="xl163"/>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0"/>
      <w:szCs w:val="20"/>
    </w:rPr>
  </w:style>
  <w:style w:type="paragraph" w:customStyle="1" w:styleId="614">
    <w:name w:val="xl164"/>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sz w:val="18"/>
      <w:szCs w:val="18"/>
    </w:rPr>
  </w:style>
  <w:style w:type="paragraph" w:customStyle="1" w:styleId="615">
    <w:name w:val="xl165"/>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18"/>
      <w:szCs w:val="18"/>
    </w:rPr>
  </w:style>
  <w:style w:type="paragraph" w:customStyle="1" w:styleId="616">
    <w:name w:val="xl166"/>
    <w:basedOn w:val="1"/>
    <w:qFormat/>
    <w:uiPriority w:val="99"/>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sz w:val="20"/>
      <w:szCs w:val="20"/>
    </w:rPr>
  </w:style>
  <w:style w:type="paragraph" w:customStyle="1" w:styleId="617">
    <w:name w:val="xl167"/>
    <w:basedOn w:val="1"/>
    <w:autoRedefine/>
    <w:qFormat/>
    <w:uiPriority w:val="99"/>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0"/>
      <w:szCs w:val="20"/>
    </w:rPr>
  </w:style>
  <w:style w:type="paragraph" w:customStyle="1" w:styleId="618">
    <w:name w:val="xl168"/>
    <w:basedOn w:val="1"/>
    <w:autoRedefine/>
    <w:qFormat/>
    <w:uiPriority w:val="99"/>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sz w:val="20"/>
      <w:szCs w:val="20"/>
    </w:rPr>
  </w:style>
  <w:style w:type="paragraph" w:customStyle="1" w:styleId="619">
    <w:name w:val="xl169"/>
    <w:basedOn w:val="1"/>
    <w:autoRedefine/>
    <w:qFormat/>
    <w:uiPriority w:val="99"/>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0"/>
      <w:szCs w:val="20"/>
    </w:rPr>
  </w:style>
  <w:style w:type="paragraph" w:customStyle="1" w:styleId="620">
    <w:name w:val="xl170"/>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0"/>
      <w:szCs w:val="20"/>
    </w:rPr>
  </w:style>
  <w:style w:type="paragraph" w:customStyle="1" w:styleId="621">
    <w:name w:val="xl171"/>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0"/>
      <w:szCs w:val="20"/>
    </w:rPr>
  </w:style>
  <w:style w:type="paragraph" w:customStyle="1" w:styleId="622">
    <w:name w:val="xl172"/>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sz w:val="18"/>
      <w:szCs w:val="18"/>
    </w:rPr>
  </w:style>
  <w:style w:type="paragraph" w:customStyle="1" w:styleId="623">
    <w:name w:val="xl173"/>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18"/>
      <w:szCs w:val="18"/>
    </w:rPr>
  </w:style>
  <w:style w:type="paragraph" w:customStyle="1" w:styleId="624">
    <w:name w:val="xl174"/>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sz w:val="20"/>
      <w:szCs w:val="20"/>
    </w:rPr>
  </w:style>
  <w:style w:type="paragraph" w:customStyle="1" w:styleId="625">
    <w:name w:val="xl175"/>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sz w:val="20"/>
      <w:szCs w:val="20"/>
    </w:rPr>
  </w:style>
  <w:style w:type="paragraph" w:customStyle="1" w:styleId="626">
    <w:name w:val="xl176"/>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0"/>
      <w:szCs w:val="20"/>
    </w:rPr>
  </w:style>
  <w:style w:type="paragraph" w:customStyle="1" w:styleId="627">
    <w:name w:val="xl177"/>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0"/>
      <w:szCs w:val="20"/>
    </w:rPr>
  </w:style>
  <w:style w:type="paragraph" w:customStyle="1" w:styleId="628">
    <w:name w:val="xl178"/>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0"/>
      <w:szCs w:val="20"/>
    </w:rPr>
  </w:style>
  <w:style w:type="paragraph" w:customStyle="1" w:styleId="629">
    <w:name w:val="xl179"/>
    <w:basedOn w:val="1"/>
    <w:qFormat/>
    <w:uiPriority w:val="99"/>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0"/>
      <w:szCs w:val="20"/>
    </w:rPr>
  </w:style>
  <w:style w:type="paragraph" w:customStyle="1" w:styleId="630">
    <w:name w:val="xl180"/>
    <w:basedOn w:val="1"/>
    <w:autoRedefine/>
    <w:qFormat/>
    <w:uiPriority w:val="99"/>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sz w:val="20"/>
      <w:szCs w:val="20"/>
    </w:rPr>
  </w:style>
  <w:style w:type="paragraph" w:customStyle="1" w:styleId="631">
    <w:name w:val="xl181"/>
    <w:basedOn w:val="1"/>
    <w:qFormat/>
    <w:uiPriority w:val="99"/>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0"/>
      <w:szCs w:val="20"/>
    </w:rPr>
  </w:style>
  <w:style w:type="paragraph" w:customStyle="1" w:styleId="632">
    <w:name w:val="样式 标题 3列表编号3h33rd level + 段前: 1 行"/>
    <w:basedOn w:val="6"/>
    <w:qFormat/>
    <w:uiPriority w:val="99"/>
    <w:pPr>
      <w:adjustRightInd w:val="0"/>
      <w:snapToGrid w:val="0"/>
      <w:spacing w:before="240" w:after="120" w:line="240" w:lineRule="atLeast"/>
      <w:ind w:left="-540" w:leftChars="-257"/>
      <w:contextualSpacing w:val="0"/>
    </w:pPr>
    <w:rPr>
      <w:rFonts w:ascii="宋体" w:hAnsi="Times New Roman"/>
      <w:color w:val="auto"/>
      <w:spacing w:val="0"/>
      <w:sz w:val="28"/>
      <w:szCs w:val="28"/>
    </w:rPr>
  </w:style>
  <w:style w:type="paragraph" w:customStyle="1" w:styleId="633">
    <w:name w:val="WPS Plain"/>
    <w:autoRedefine/>
    <w:qFormat/>
    <w:uiPriority w:val="99"/>
    <w:rPr>
      <w:rFonts w:ascii="Times New Roman" w:hAnsi="Times New Roman" w:eastAsia="宋体" w:cs="Times New Roman"/>
      <w:lang w:val="en-US" w:eastAsia="zh-CN" w:bidi="ar-SA"/>
    </w:rPr>
  </w:style>
  <w:style w:type="paragraph" w:customStyle="1" w:styleId="634">
    <w:name w:val="1 Char Char Char Char Char"/>
    <w:basedOn w:val="1"/>
    <w:autoRedefine/>
    <w:qFormat/>
    <w:uiPriority w:val="99"/>
    <w:pPr>
      <w:widowControl w:val="0"/>
      <w:tabs>
        <w:tab w:val="left" w:pos="360"/>
      </w:tabs>
      <w:ind w:left="360" w:hanging="360" w:hangingChars="200"/>
      <w:jc w:val="both"/>
    </w:pPr>
    <w:rPr>
      <w:kern w:val="2"/>
      <w:sz w:val="21"/>
      <w:szCs w:val="20"/>
    </w:rPr>
  </w:style>
  <w:style w:type="paragraph" w:customStyle="1" w:styleId="635">
    <w:name w:val="标准文本"/>
    <w:basedOn w:val="1"/>
    <w:link w:val="636"/>
    <w:autoRedefine/>
    <w:qFormat/>
    <w:uiPriority w:val="99"/>
    <w:pPr>
      <w:widowControl w:val="0"/>
      <w:spacing w:line="360" w:lineRule="auto"/>
      <w:ind w:firstLine="480" w:firstLineChars="200"/>
      <w:jc w:val="both"/>
    </w:pPr>
    <w:rPr>
      <w:rFonts w:ascii="Calibri" w:hAnsi="Calibri" w:eastAsia="仿宋_GB2312"/>
      <w:kern w:val="2"/>
      <w:szCs w:val="20"/>
    </w:rPr>
  </w:style>
  <w:style w:type="character" w:customStyle="1" w:styleId="636">
    <w:name w:val="标准文本 Char"/>
    <w:link w:val="635"/>
    <w:qFormat/>
    <w:locked/>
    <w:uiPriority w:val="99"/>
    <w:rPr>
      <w:rFonts w:ascii="Calibri" w:hAnsi="Calibri" w:eastAsia="仿宋_GB2312"/>
      <w:kern w:val="2"/>
      <w:sz w:val="24"/>
    </w:rPr>
  </w:style>
  <w:style w:type="paragraph" w:customStyle="1" w:styleId="637">
    <w:name w:val="页眉 New New"/>
    <w:basedOn w:val="638"/>
    <w:qFormat/>
    <w:uiPriority w:val="99"/>
    <w:pPr>
      <w:pBdr>
        <w:bottom w:val="single" w:color="auto" w:sz="6" w:space="1"/>
      </w:pBdr>
      <w:tabs>
        <w:tab w:val="center" w:pos="4153"/>
        <w:tab w:val="right" w:pos="8306"/>
      </w:tabs>
      <w:snapToGrid w:val="0"/>
      <w:jc w:val="center"/>
    </w:pPr>
    <w:rPr>
      <w:sz w:val="18"/>
      <w:szCs w:val="18"/>
    </w:rPr>
  </w:style>
  <w:style w:type="paragraph" w:customStyle="1" w:styleId="638">
    <w:name w:val="正文 New New"/>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39">
    <w:name w:val="段2"/>
    <w:autoRedefine/>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640">
    <w:name w:val="列出段落 Char"/>
    <w:link w:val="120"/>
    <w:qFormat/>
    <w:locked/>
    <w:uiPriority w:val="99"/>
    <w:rPr>
      <w:color w:val="5A5A5A"/>
    </w:rPr>
  </w:style>
  <w:style w:type="paragraph" w:customStyle="1" w:styleId="641">
    <w:name w:val="标准正文1"/>
    <w:basedOn w:val="1"/>
    <w:qFormat/>
    <w:uiPriority w:val="99"/>
    <w:pPr>
      <w:widowControl w:val="0"/>
      <w:spacing w:beforeLines="30" w:afterLines="30" w:line="288" w:lineRule="auto"/>
      <w:ind w:firstLine="420" w:firstLineChars="200"/>
      <w:jc w:val="both"/>
    </w:pPr>
    <w:rPr>
      <w:rFonts w:cs="宋体"/>
      <w:kern w:val="2"/>
      <w:sz w:val="21"/>
      <w:szCs w:val="20"/>
    </w:rPr>
  </w:style>
  <w:style w:type="paragraph" w:customStyle="1" w:styleId="642">
    <w:name w:val="黑方框"/>
    <w:basedOn w:val="1"/>
    <w:autoRedefine/>
    <w:qFormat/>
    <w:uiPriority w:val="99"/>
    <w:pPr>
      <w:widowControl w:val="0"/>
      <w:spacing w:before="60" w:after="60" w:line="288" w:lineRule="auto"/>
      <w:jc w:val="both"/>
    </w:pPr>
    <w:rPr>
      <w:rFonts w:cs="宋体"/>
      <w:kern w:val="2"/>
      <w:sz w:val="21"/>
      <w:szCs w:val="21"/>
    </w:rPr>
  </w:style>
  <w:style w:type="paragraph" w:customStyle="1" w:styleId="643">
    <w:name w:val="正文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44">
    <w:name w:val="Char Char Char Char Char2 Char2"/>
    <w:basedOn w:val="1"/>
    <w:autoRedefine/>
    <w:qFormat/>
    <w:uiPriority w:val="99"/>
    <w:pPr>
      <w:widowControl w:val="0"/>
      <w:jc w:val="both"/>
    </w:pPr>
    <w:rPr>
      <w:kern w:val="2"/>
      <w:sz w:val="21"/>
      <w:szCs w:val="20"/>
    </w:rPr>
  </w:style>
  <w:style w:type="character" w:customStyle="1" w:styleId="645">
    <w:name w:val="ca-82"/>
    <w:basedOn w:val="71"/>
    <w:autoRedefine/>
    <w:qFormat/>
    <w:uiPriority w:val="99"/>
    <w:rPr>
      <w:rFonts w:cs="Times New Roman"/>
    </w:rPr>
  </w:style>
  <w:style w:type="character" w:customStyle="1" w:styleId="646">
    <w:name w:val="ca-22"/>
    <w:basedOn w:val="71"/>
    <w:qFormat/>
    <w:uiPriority w:val="99"/>
    <w:rPr>
      <w:rFonts w:cs="Times New Roman"/>
    </w:rPr>
  </w:style>
  <w:style w:type="paragraph" w:customStyle="1" w:styleId="647">
    <w:name w:val="Char Char Char Char Char Char Char Char Char Char"/>
    <w:basedOn w:val="1"/>
    <w:qFormat/>
    <w:uiPriority w:val="0"/>
    <w:pPr>
      <w:spacing w:after="160" w:line="240" w:lineRule="exact"/>
    </w:pPr>
    <w:rPr>
      <w:rFonts w:ascii="Verdana" w:hAnsi="Verdana" w:cs="Verdana"/>
      <w:sz w:val="20"/>
      <w:szCs w:val="20"/>
      <w:lang w:eastAsia="en-US"/>
    </w:rPr>
  </w:style>
  <w:style w:type="paragraph" w:customStyle="1" w:styleId="648">
    <w:name w:val="font12"/>
    <w:basedOn w:val="1"/>
    <w:autoRedefine/>
    <w:qFormat/>
    <w:uiPriority w:val="99"/>
    <w:pPr>
      <w:spacing w:before="100" w:beforeAutospacing="1" w:after="100" w:afterAutospacing="1"/>
    </w:pPr>
    <w:rPr>
      <w:sz w:val="20"/>
      <w:szCs w:val="20"/>
    </w:rPr>
  </w:style>
  <w:style w:type="paragraph" w:customStyle="1" w:styleId="649">
    <w:name w:val="font13"/>
    <w:basedOn w:val="1"/>
    <w:autoRedefine/>
    <w:qFormat/>
    <w:uiPriority w:val="99"/>
    <w:pPr>
      <w:spacing w:before="100" w:beforeAutospacing="1" w:after="100" w:afterAutospacing="1"/>
    </w:pPr>
    <w:rPr>
      <w:rFonts w:ascii="Tahoma" w:hAnsi="Tahoma" w:cs="Tahoma"/>
      <w:sz w:val="20"/>
      <w:szCs w:val="20"/>
    </w:rPr>
  </w:style>
  <w:style w:type="paragraph" w:customStyle="1" w:styleId="650">
    <w:name w:val="font14"/>
    <w:basedOn w:val="1"/>
    <w:qFormat/>
    <w:uiPriority w:val="99"/>
    <w:pPr>
      <w:spacing w:before="100" w:beforeAutospacing="1" w:after="100" w:afterAutospacing="1"/>
    </w:pPr>
    <w:rPr>
      <w:rFonts w:ascii="Arial" w:hAnsi="Arial" w:cs="Arial"/>
      <w:sz w:val="20"/>
      <w:szCs w:val="20"/>
    </w:rPr>
  </w:style>
  <w:style w:type="paragraph" w:customStyle="1" w:styleId="651">
    <w:name w:val="font15"/>
    <w:basedOn w:val="1"/>
    <w:qFormat/>
    <w:uiPriority w:val="99"/>
    <w:pPr>
      <w:spacing w:before="100" w:beforeAutospacing="1" w:after="100" w:afterAutospacing="1"/>
    </w:pPr>
    <w:rPr>
      <w:sz w:val="18"/>
      <w:szCs w:val="18"/>
    </w:rPr>
  </w:style>
  <w:style w:type="paragraph" w:customStyle="1" w:styleId="652">
    <w:name w:val="font16"/>
    <w:basedOn w:val="1"/>
    <w:autoRedefine/>
    <w:qFormat/>
    <w:uiPriority w:val="99"/>
    <w:pPr>
      <w:spacing w:before="100" w:beforeAutospacing="1" w:after="100" w:afterAutospacing="1"/>
    </w:pPr>
    <w:rPr>
      <w:rFonts w:ascii="宋体" w:hAnsi="宋体" w:cs="宋体"/>
      <w:sz w:val="18"/>
      <w:szCs w:val="18"/>
    </w:rPr>
  </w:style>
  <w:style w:type="table" w:customStyle="1" w:styleId="653">
    <w:name w:val="网格型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54">
    <w:name w:val="消息标题标签"/>
    <w:qFormat/>
    <w:uiPriority w:val="99"/>
    <w:rPr>
      <w:rFonts w:ascii="Arial" w:hAnsi="Arial"/>
      <w:b/>
      <w:spacing w:val="-4"/>
      <w:sz w:val="18"/>
      <w:lang w:eastAsia="zh-CN"/>
    </w:rPr>
  </w:style>
  <w:style w:type="character" w:customStyle="1" w:styleId="655">
    <w:name w:val="占位符文本1"/>
    <w:semiHidden/>
    <w:qFormat/>
    <w:uiPriority w:val="99"/>
    <w:rPr>
      <w:color w:val="808080"/>
    </w:rPr>
  </w:style>
  <w:style w:type="table" w:customStyle="1" w:styleId="656">
    <w:name w:val="网格型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57">
    <w:name w:val="样式 小四 段前: 5 磅 段后: 5 磅 首行缩进:  2 字符"/>
    <w:basedOn w:val="1"/>
    <w:qFormat/>
    <w:uiPriority w:val="99"/>
    <w:pPr>
      <w:widowControl w:val="0"/>
      <w:spacing w:line="360" w:lineRule="auto"/>
      <w:jc w:val="both"/>
    </w:pPr>
    <w:rPr>
      <w:rFonts w:ascii="宋体" w:hAnsi="宋体"/>
      <w:kern w:val="2"/>
      <w:sz w:val="21"/>
      <w:szCs w:val="21"/>
    </w:rPr>
  </w:style>
  <w:style w:type="paragraph" w:styleId="658">
    <w:name w:val="List Paragraph"/>
    <w:basedOn w:val="1"/>
    <w:qFormat/>
    <w:uiPriority w:val="34"/>
    <w:pPr>
      <w:widowControl w:val="0"/>
      <w:spacing w:line="400" w:lineRule="exact"/>
      <w:ind w:firstLine="420" w:firstLineChars="200"/>
      <w:jc w:val="both"/>
    </w:pPr>
    <w:rPr>
      <w:kern w:val="2"/>
    </w:rPr>
  </w:style>
  <w:style w:type="paragraph" w:customStyle="1" w:styleId="659">
    <w:name w:val="需求正文"/>
    <w:basedOn w:val="1"/>
    <w:qFormat/>
    <w:uiPriority w:val="0"/>
    <w:pPr>
      <w:widowControl w:val="0"/>
      <w:topLinePunct/>
      <w:ind w:firstLine="459"/>
      <w:jc w:val="both"/>
    </w:pPr>
    <w:rPr>
      <w:kern w:val="23"/>
      <w:sz w:val="23"/>
      <w:szCs w:val="23"/>
    </w:rPr>
  </w:style>
  <w:style w:type="character" w:customStyle="1" w:styleId="660">
    <w:name w:val="纯文本 Char Char"/>
    <w:autoRedefine/>
    <w:qFormat/>
    <w:uiPriority w:val="0"/>
    <w:rPr>
      <w:rFonts w:ascii="宋体" w:hAnsi="Courier New" w:eastAsia="宋体"/>
      <w:kern w:val="2"/>
      <w:sz w:val="21"/>
      <w:lang w:val="en-US" w:eastAsia="zh-CN" w:bidi="ar-SA"/>
    </w:rPr>
  </w:style>
  <w:style w:type="paragraph" w:customStyle="1" w:styleId="661">
    <w:name w:val="HL正文样式"/>
    <w:basedOn w:val="1"/>
    <w:qFormat/>
    <w:uiPriority w:val="0"/>
    <w:pPr>
      <w:widowControl w:val="0"/>
      <w:spacing w:line="360" w:lineRule="auto"/>
      <w:ind w:firstLine="200" w:firstLineChars="200"/>
      <w:jc w:val="both"/>
    </w:pPr>
    <w:rPr>
      <w:rFonts w:ascii="Arial" w:hAnsi="Arial"/>
      <w:kern w:val="2"/>
      <w:szCs w:val="22"/>
    </w:rPr>
  </w:style>
  <w:style w:type="character" w:customStyle="1" w:styleId="662">
    <w:name w:val="正文文本 (2) + MingLiU1"/>
    <w:qFormat/>
    <w:uiPriority w:val="0"/>
    <w:rPr>
      <w:rFonts w:hint="eastAsia" w:ascii="MingLiU" w:hAnsi="Times New Roman" w:eastAsia="MingLiU" w:cs="MingLiU"/>
      <w:sz w:val="16"/>
      <w:szCs w:val="16"/>
      <w:u w:val="none"/>
    </w:rPr>
  </w:style>
  <w:style w:type="character" w:customStyle="1" w:styleId="663">
    <w:name w:val="正文文本 (2) + Georgia"/>
    <w:qFormat/>
    <w:uiPriority w:val="0"/>
    <w:rPr>
      <w:rFonts w:hint="default" w:ascii="Georgia" w:hAnsi="Georgia" w:eastAsia="MingLiU" w:cs="Georgia"/>
      <w:b/>
      <w:bCs/>
      <w:spacing w:val="0"/>
      <w:sz w:val="14"/>
      <w:szCs w:val="14"/>
      <w:u w:val="none"/>
      <w:lang w:val="en-US" w:eastAsia="en-US"/>
    </w:rPr>
  </w:style>
  <w:style w:type="character" w:customStyle="1" w:styleId="664">
    <w:name w:val="*正文 Char"/>
    <w:link w:val="665"/>
    <w:qFormat/>
    <w:uiPriority w:val="0"/>
    <w:rPr>
      <w:rFonts w:ascii="宋体" w:hAnsi="宋体" w:cs="Times New Roman"/>
      <w:kern w:val="2"/>
      <w:sz w:val="24"/>
      <w:szCs w:val="24"/>
      <w:lang w:val="zh-CN"/>
    </w:rPr>
  </w:style>
  <w:style w:type="paragraph" w:customStyle="1" w:styleId="665">
    <w:name w:val="*正文"/>
    <w:basedOn w:val="1"/>
    <w:link w:val="664"/>
    <w:qFormat/>
    <w:uiPriority w:val="0"/>
    <w:pPr>
      <w:widowControl w:val="0"/>
      <w:spacing w:line="560" w:lineRule="exact"/>
      <w:ind w:firstLine="200" w:firstLineChars="200"/>
      <w:jc w:val="both"/>
    </w:pPr>
    <w:rPr>
      <w:rFonts w:ascii="宋体" w:hAnsi="宋体"/>
      <w:kern w:val="2"/>
      <w:lang w:val="zh-CN"/>
    </w:rPr>
  </w:style>
  <w:style w:type="character" w:customStyle="1" w:styleId="666">
    <w:name w:val="bookmark-item"/>
    <w:basedOn w:val="71"/>
    <w:qFormat/>
    <w:uiPriority w:val="0"/>
  </w:style>
  <w:style w:type="paragraph" w:customStyle="1" w:styleId="667">
    <w:name w:val="封面标准名称"/>
    <w:next w:val="22"/>
    <w:qFormat/>
    <w:uiPriority w:val="0"/>
    <w:pPr>
      <w:widowControl w:val="0"/>
      <w:spacing w:line="680" w:lineRule="exact"/>
      <w:jc w:val="center"/>
      <w:textAlignment w:val="center"/>
    </w:pPr>
    <w:rPr>
      <w:rFonts w:ascii="黑体" w:hAnsi="Calibri" w:eastAsia="黑体" w:cs="Times New Roman"/>
      <w:sz w:val="52"/>
      <w:lang w:val="en-US" w:eastAsia="zh-CN" w:bidi="ar-SA"/>
    </w:rPr>
  </w:style>
  <w:style w:type="paragraph" w:customStyle="1" w:styleId="668">
    <w:name w:val="*Body Text"/>
    <w:qFormat/>
    <w:uiPriority w:val="0"/>
    <w:pPr>
      <w:spacing w:after="220" w:line="220" w:lineRule="atLeast"/>
    </w:pPr>
    <w:rPr>
      <w:rFonts w:ascii="Arial" w:hAnsi="Arial" w:eastAsia="宋体" w:cs="Times New Roman"/>
      <w:color w:val="000000"/>
      <w:lang w:val="en-US" w:eastAsia="en-US" w:bidi="ar-SA"/>
    </w:rPr>
  </w:style>
  <w:style w:type="character" w:customStyle="1" w:styleId="669">
    <w:name w:val="称呼 Char"/>
    <w:link w:val="24"/>
    <w:qFormat/>
    <w:uiPriority w:val="0"/>
  </w:style>
  <w:style w:type="character" w:customStyle="1" w:styleId="670">
    <w:name w:val="信息标题 Char"/>
    <w:link w:val="59"/>
    <w:qFormat/>
    <w:uiPriority w:val="0"/>
    <w:rPr>
      <w:rFonts w:ascii="Arial" w:hAnsi="Arial"/>
      <w:sz w:val="24"/>
    </w:rPr>
  </w:style>
  <w:style w:type="paragraph" w:customStyle="1" w:styleId="671">
    <w:name w:val="样式42"/>
    <w:basedOn w:val="5"/>
    <w:link w:val="672"/>
    <w:qFormat/>
    <w:uiPriority w:val="0"/>
    <w:pPr>
      <w:keepNext/>
      <w:keepLines/>
      <w:numPr>
        <w:ilvl w:val="1"/>
        <w:numId w:val="20"/>
      </w:numPr>
      <w:spacing w:before="60" w:after="64" w:line="319" w:lineRule="auto"/>
      <w:ind w:firstLine="0" w:firstLineChars="0"/>
      <w:contextualSpacing w:val="0"/>
      <w:jc w:val="left"/>
    </w:pPr>
    <w:rPr>
      <w:color w:val="auto"/>
      <w:spacing w:val="0"/>
      <w:sz w:val="32"/>
      <w:szCs w:val="21"/>
    </w:rPr>
  </w:style>
  <w:style w:type="character" w:customStyle="1" w:styleId="672">
    <w:name w:val="样式42 Char"/>
    <w:basedOn w:val="88"/>
    <w:link w:val="671"/>
    <w:autoRedefine/>
    <w:qFormat/>
    <w:uiPriority w:val="0"/>
    <w:rPr>
      <w:rFonts w:ascii="Cambria" w:hAnsi="Cambria" w:eastAsia="宋体" w:cs="Times New Roman"/>
      <w:color w:val="17365D"/>
      <w:spacing w:val="20"/>
      <w:kern w:val="2"/>
      <w:sz w:val="32"/>
      <w:szCs w:val="21"/>
    </w:rPr>
  </w:style>
  <w:style w:type="paragraph" w:customStyle="1" w:styleId="673">
    <w:name w:val="样式41"/>
    <w:basedOn w:val="3"/>
    <w:link w:val="674"/>
    <w:qFormat/>
    <w:uiPriority w:val="0"/>
    <w:pPr>
      <w:keepNext/>
      <w:keepLines/>
      <w:numPr>
        <w:ilvl w:val="0"/>
        <w:numId w:val="20"/>
      </w:numPr>
      <w:spacing w:before="340" w:after="330" w:line="578" w:lineRule="auto"/>
      <w:ind w:firstLine="0" w:firstLineChars="0"/>
      <w:contextualSpacing w:val="0"/>
      <w:jc w:val="left"/>
    </w:pPr>
    <w:rPr>
      <w:rFonts w:ascii="Times New Roman" w:hAnsi="Times New Roman"/>
      <w:color w:val="auto"/>
      <w:spacing w:val="0"/>
      <w:kern w:val="44"/>
      <w:sz w:val="36"/>
      <w:szCs w:val="44"/>
    </w:rPr>
  </w:style>
  <w:style w:type="character" w:customStyle="1" w:styleId="674">
    <w:name w:val="样式41 字符"/>
    <w:basedOn w:val="87"/>
    <w:link w:val="673"/>
    <w:qFormat/>
    <w:uiPriority w:val="0"/>
    <w:rPr>
      <w:rFonts w:ascii="Times New Roman" w:hAnsi="Times New Roman" w:eastAsia="宋体" w:cs="Times New Roman"/>
      <w:color w:val="0F243E"/>
      <w:spacing w:val="20"/>
      <w:kern w:val="44"/>
      <w:sz w:val="36"/>
      <w:szCs w:val="44"/>
    </w:rPr>
  </w:style>
  <w:style w:type="character" w:customStyle="1" w:styleId="675">
    <w:name w:val="current4"/>
    <w:qFormat/>
    <w:uiPriority w:val="0"/>
    <w:rPr>
      <w:b/>
      <w:color w:val="868686"/>
      <w:shd w:val="clear" w:color="auto" w:fill="3E3E3E"/>
    </w:rPr>
  </w:style>
  <w:style w:type="paragraph" w:customStyle="1" w:styleId="676">
    <w:name w:val="标题二"/>
    <w:basedOn w:val="1"/>
    <w:qFormat/>
    <w:uiPriority w:val="0"/>
    <w:pPr>
      <w:widowControl w:val="0"/>
      <w:spacing w:line="360" w:lineRule="auto"/>
      <w:ind w:firstLine="200" w:firstLineChars="200"/>
    </w:pPr>
    <w:rPr>
      <w:kern w:val="2"/>
    </w:rPr>
  </w:style>
  <w:style w:type="paragraph" w:customStyle="1" w:styleId="677">
    <w:name w:val="2"/>
    <w:basedOn w:val="5"/>
    <w:link w:val="678"/>
    <w:qFormat/>
    <w:uiPriority w:val="0"/>
    <w:pPr>
      <w:keepNext/>
      <w:keepLines/>
      <w:spacing w:before="60" w:after="64" w:line="319" w:lineRule="auto"/>
      <w:ind w:firstLine="0" w:firstLineChars="0"/>
      <w:contextualSpacing w:val="0"/>
      <w:jc w:val="left"/>
    </w:pPr>
    <w:rPr>
      <w:color w:val="auto"/>
      <w:spacing w:val="0"/>
      <w:sz w:val="32"/>
      <w:szCs w:val="21"/>
    </w:rPr>
  </w:style>
  <w:style w:type="character" w:customStyle="1" w:styleId="678">
    <w:name w:val="2 Char"/>
    <w:basedOn w:val="95"/>
    <w:link w:val="677"/>
    <w:autoRedefine/>
    <w:qFormat/>
    <w:uiPriority w:val="0"/>
    <w:rPr>
      <w:rFonts w:ascii="Cambria" w:hAnsi="Cambria" w:eastAsia="宋体" w:cs="Times New Roman"/>
      <w:color w:val="938953"/>
      <w:spacing w:val="20"/>
      <w:kern w:val="2"/>
      <w:sz w:val="32"/>
      <w:szCs w:val="21"/>
    </w:rPr>
  </w:style>
  <w:style w:type="character" w:customStyle="1" w:styleId="679">
    <w:name w:val="样式3 Char"/>
    <w:basedOn w:val="89"/>
    <w:link w:val="177"/>
    <w:qFormat/>
    <w:uiPriority w:val="0"/>
    <w:rPr>
      <w:rFonts w:ascii="仿宋_GB2312" w:hAnsi="仿宋_GB2312" w:eastAsia="仿宋_GB2312" w:cs="Times New Roman"/>
      <w:color w:val="1F497D"/>
      <w:spacing w:val="20"/>
      <w:kern w:val="2"/>
      <w:sz w:val="32"/>
      <w:szCs w:val="72"/>
    </w:rPr>
  </w:style>
  <w:style w:type="character" w:customStyle="1" w:styleId="680">
    <w:name w:val="样式2 Char"/>
    <w:basedOn w:val="71"/>
    <w:link w:val="166"/>
    <w:qFormat/>
    <w:uiPriority w:val="0"/>
    <w:rPr>
      <w:rFonts w:ascii="Times New Roman" w:hAnsi="Times New Roman"/>
      <w:kern w:val="2"/>
      <w:sz w:val="28"/>
      <w:szCs w:val="24"/>
    </w:rPr>
  </w:style>
  <w:style w:type="paragraph" w:customStyle="1" w:styleId="681">
    <w:name w:val="样式43"/>
    <w:basedOn w:val="6"/>
    <w:link w:val="682"/>
    <w:qFormat/>
    <w:uiPriority w:val="0"/>
    <w:pPr>
      <w:keepNext/>
      <w:keepLines/>
      <w:numPr>
        <w:ilvl w:val="2"/>
        <w:numId w:val="20"/>
      </w:numPr>
      <w:spacing w:before="260" w:after="260" w:line="415" w:lineRule="auto"/>
      <w:ind w:left="0" w:firstLine="350" w:firstLineChars="350"/>
      <w:contextualSpacing w:val="0"/>
      <w:jc w:val="left"/>
    </w:pPr>
    <w:rPr>
      <w:rFonts w:ascii="Times New Roman" w:hAnsi="Times New Roman"/>
      <w:bCs/>
      <w:color w:val="auto"/>
      <w:spacing w:val="0"/>
      <w:sz w:val="32"/>
      <w:szCs w:val="32"/>
    </w:rPr>
  </w:style>
  <w:style w:type="character" w:customStyle="1" w:styleId="682">
    <w:name w:val="样式43 Char"/>
    <w:basedOn w:val="89"/>
    <w:link w:val="681"/>
    <w:qFormat/>
    <w:uiPriority w:val="0"/>
    <w:rPr>
      <w:rFonts w:ascii="Times New Roman" w:hAnsi="Times New Roman" w:eastAsia="宋体" w:cs="Times New Roman"/>
      <w:bCs/>
      <w:color w:val="1F497D"/>
      <w:spacing w:val="20"/>
      <w:kern w:val="2"/>
      <w:sz w:val="32"/>
      <w:szCs w:val="32"/>
    </w:rPr>
  </w:style>
  <w:style w:type="paragraph" w:customStyle="1" w:styleId="683">
    <w:name w:val="样式44"/>
    <w:basedOn w:val="7"/>
    <w:link w:val="684"/>
    <w:qFormat/>
    <w:uiPriority w:val="0"/>
    <w:pPr>
      <w:keepNext/>
      <w:keepLines/>
      <w:numPr>
        <w:ilvl w:val="3"/>
        <w:numId w:val="20"/>
      </w:numPr>
      <w:pBdr>
        <w:bottom w:val="none" w:color="auto" w:sz="0" w:space="0"/>
      </w:pBdr>
      <w:spacing w:before="280" w:after="290" w:line="377" w:lineRule="auto"/>
      <w:ind w:firstLine="0" w:firstLineChars="0"/>
      <w:contextualSpacing w:val="0"/>
      <w:jc w:val="left"/>
    </w:pPr>
    <w:rPr>
      <w:color w:val="auto"/>
      <w:spacing w:val="0"/>
      <w:sz w:val="28"/>
      <w:szCs w:val="28"/>
    </w:rPr>
  </w:style>
  <w:style w:type="character" w:customStyle="1" w:styleId="684">
    <w:name w:val="样式44 Char"/>
    <w:basedOn w:val="90"/>
    <w:link w:val="683"/>
    <w:autoRedefine/>
    <w:qFormat/>
    <w:uiPriority w:val="0"/>
    <w:rPr>
      <w:rFonts w:ascii="Cambria" w:hAnsi="Cambria" w:eastAsia="宋体" w:cs="Times New Roman"/>
      <w:color w:val="3071C3"/>
      <w:spacing w:val="20"/>
      <w:kern w:val="2"/>
      <w:sz w:val="28"/>
      <w:szCs w:val="28"/>
    </w:rPr>
  </w:style>
  <w:style w:type="paragraph" w:customStyle="1" w:styleId="685">
    <w:name w:val="chart text"/>
    <w:basedOn w:val="1"/>
    <w:qFormat/>
    <w:uiPriority w:val="0"/>
    <w:pPr>
      <w:spacing w:line="180" w:lineRule="exact"/>
      <w:ind w:firstLine="200" w:firstLineChars="200"/>
    </w:pPr>
    <w:rPr>
      <w:rFonts w:ascii="Futura Bk" w:hAnsi="Futura Bk" w:cs="Futura Bk"/>
      <w:sz w:val="14"/>
      <w:szCs w:val="14"/>
    </w:rPr>
  </w:style>
  <w:style w:type="character" w:customStyle="1" w:styleId="686">
    <w:name w:val="tw4winMark"/>
    <w:qFormat/>
    <w:uiPriority w:val="0"/>
    <w:rPr>
      <w:rFonts w:ascii="Courier New" w:hAnsi="Courier New" w:cs="Courier New"/>
      <w:vanish/>
      <w:color w:val="800080"/>
      <w:sz w:val="24"/>
      <w:szCs w:val="24"/>
      <w:vertAlign w:val="subscript"/>
    </w:rPr>
  </w:style>
  <w:style w:type="paragraph" w:customStyle="1" w:styleId="687">
    <w:name w:val="Char1 Char Char Char Char Char Char"/>
    <w:basedOn w:val="1"/>
    <w:qFormat/>
    <w:uiPriority w:val="0"/>
    <w:pPr>
      <w:widowControl w:val="0"/>
      <w:spacing w:line="360" w:lineRule="auto"/>
      <w:ind w:firstLine="200" w:firstLineChars="200"/>
    </w:pPr>
    <w:rPr>
      <w:rFonts w:ascii="Tahoma" w:hAnsi="Tahoma"/>
      <w:kern w:val="2"/>
      <w:szCs w:val="20"/>
    </w:rPr>
  </w:style>
  <w:style w:type="character" w:customStyle="1" w:styleId="688">
    <w:name w:val="Heading 2 Char Char Char"/>
    <w:autoRedefine/>
    <w:qFormat/>
    <w:uiPriority w:val="0"/>
    <w:rPr>
      <w:rFonts w:ascii="Arial" w:hAnsi="Arial" w:cs="Arial"/>
      <w:b/>
      <w:bCs/>
      <w:i/>
      <w:iCs/>
      <w:color w:val="0A357E"/>
      <w:sz w:val="28"/>
      <w:szCs w:val="28"/>
      <w:lang w:val="en-US" w:eastAsia="en-US" w:bidi="ar-SA"/>
    </w:rPr>
  </w:style>
  <w:style w:type="paragraph" w:customStyle="1" w:styleId="689">
    <w:name w:val="~Body Text"/>
    <w:basedOn w:val="668"/>
    <w:qFormat/>
    <w:uiPriority w:val="0"/>
    <w:rPr>
      <w:color w:val="00637A"/>
    </w:rPr>
  </w:style>
  <w:style w:type="paragraph" w:customStyle="1" w:styleId="690">
    <w:name w:val="*Blind Paragraph"/>
    <w:basedOn w:val="42"/>
    <w:autoRedefine/>
    <w:qFormat/>
    <w:uiPriority w:val="0"/>
    <w:pPr>
      <w:widowControl/>
      <w:pBdr>
        <w:bottom w:val="none" w:color="auto" w:sz="0" w:space="0"/>
      </w:pBdr>
      <w:tabs>
        <w:tab w:val="center" w:pos="4320"/>
        <w:tab w:val="right" w:pos="8640"/>
        <w:tab w:val="clear" w:pos="4153"/>
        <w:tab w:val="clear" w:pos="8306"/>
      </w:tabs>
      <w:snapToGrid/>
      <w:spacing w:line="80" w:lineRule="exact"/>
      <w:ind w:firstLine="200" w:firstLineChars="200"/>
      <w:jc w:val="left"/>
    </w:pPr>
    <w:rPr>
      <w:rFonts w:ascii="Times New Roman" w:eastAsia="宋体"/>
      <w:color w:val="auto"/>
      <w:kern w:val="0"/>
      <w:sz w:val="4"/>
      <w:szCs w:val="4"/>
      <w:lang w:eastAsia="en-US"/>
    </w:rPr>
  </w:style>
  <w:style w:type="paragraph" w:customStyle="1" w:styleId="691">
    <w:name w:val="~Body Single"/>
    <w:basedOn w:val="689"/>
    <w:qFormat/>
    <w:uiPriority w:val="0"/>
    <w:pPr>
      <w:spacing w:after="0"/>
    </w:pPr>
  </w:style>
  <w:style w:type="paragraph" w:customStyle="1" w:styleId="692">
    <w:name w:val="~Bullet #1 Single"/>
    <w:basedOn w:val="689"/>
    <w:qFormat/>
    <w:uiPriority w:val="0"/>
    <w:pPr>
      <w:tabs>
        <w:tab w:val="left" w:pos="360"/>
      </w:tabs>
      <w:spacing w:after="0"/>
      <w:ind w:left="360" w:hanging="360"/>
    </w:pPr>
  </w:style>
  <w:style w:type="paragraph" w:customStyle="1" w:styleId="693">
    <w:name w:val="~Heading 1"/>
    <w:next w:val="689"/>
    <w:qFormat/>
    <w:uiPriority w:val="0"/>
    <w:pPr>
      <w:keepNext/>
      <w:keepLines/>
      <w:spacing w:before="240" w:after="120" w:line="220" w:lineRule="atLeast"/>
      <w:outlineLvl w:val="1"/>
    </w:pPr>
    <w:rPr>
      <w:rFonts w:ascii="Arial" w:hAnsi="Arial" w:eastAsia="宋体" w:cs="Times New Roman"/>
      <w:b/>
      <w:color w:val="00637A"/>
      <w:sz w:val="32"/>
      <w:szCs w:val="32"/>
      <w:lang w:val="en-US" w:eastAsia="en-US" w:bidi="ar-SA"/>
    </w:rPr>
  </w:style>
  <w:style w:type="paragraph" w:customStyle="1" w:styleId="694">
    <w:name w:val="*Heading 1"/>
    <w:basedOn w:val="668"/>
    <w:next w:val="668"/>
    <w:qFormat/>
    <w:uiPriority w:val="0"/>
    <w:pPr>
      <w:keepNext/>
      <w:keepLines/>
      <w:spacing w:before="240" w:after="120" w:line="240" w:lineRule="atLeast"/>
      <w:outlineLvl w:val="1"/>
    </w:pPr>
    <w:rPr>
      <w:b/>
      <w:color w:val="auto"/>
      <w:sz w:val="32"/>
      <w:szCs w:val="32"/>
    </w:rPr>
  </w:style>
  <w:style w:type="paragraph" w:customStyle="1" w:styleId="695">
    <w:name w:val="~Heading 2"/>
    <w:next w:val="689"/>
    <w:qFormat/>
    <w:uiPriority w:val="0"/>
    <w:pPr>
      <w:keepNext/>
      <w:keepLines/>
      <w:spacing w:before="240" w:after="120" w:line="240" w:lineRule="atLeast"/>
      <w:outlineLvl w:val="2"/>
    </w:pPr>
    <w:rPr>
      <w:rFonts w:ascii="Arial" w:hAnsi="Arial" w:eastAsia="宋体" w:cs="Times New Roman"/>
      <w:color w:val="00637A"/>
      <w:sz w:val="32"/>
      <w:szCs w:val="32"/>
      <w:lang w:val="en-US" w:eastAsia="en-US" w:bidi="ar-SA"/>
    </w:rPr>
  </w:style>
  <w:style w:type="paragraph" w:customStyle="1" w:styleId="696">
    <w:name w:val="~Heading 3"/>
    <w:next w:val="689"/>
    <w:qFormat/>
    <w:uiPriority w:val="0"/>
    <w:pPr>
      <w:keepNext/>
      <w:keepLines/>
      <w:spacing w:before="240" w:after="120"/>
      <w:outlineLvl w:val="3"/>
    </w:pPr>
    <w:rPr>
      <w:rFonts w:ascii="Arial" w:hAnsi="Arial" w:eastAsia="宋体" w:cs="Times New Roman"/>
      <w:b/>
      <w:color w:val="00637A"/>
      <w:sz w:val="24"/>
      <w:szCs w:val="24"/>
      <w:lang w:val="en-US" w:eastAsia="en-US" w:bidi="ar-SA"/>
    </w:rPr>
  </w:style>
  <w:style w:type="paragraph" w:customStyle="1" w:styleId="697">
    <w:name w:val="~Heading 4"/>
    <w:next w:val="689"/>
    <w:qFormat/>
    <w:uiPriority w:val="0"/>
    <w:pPr>
      <w:keepNext/>
      <w:keepLines/>
      <w:spacing w:before="240" w:after="120"/>
      <w:outlineLvl w:val="4"/>
    </w:pPr>
    <w:rPr>
      <w:rFonts w:ascii="Arial" w:hAnsi="Arial" w:eastAsia="宋体" w:cs="Times New Roman"/>
      <w:color w:val="00637A"/>
      <w:sz w:val="24"/>
      <w:szCs w:val="24"/>
      <w:lang w:val="en-US" w:eastAsia="en-US" w:bidi="ar-SA"/>
    </w:rPr>
  </w:style>
  <w:style w:type="paragraph" w:customStyle="1" w:styleId="698">
    <w:name w:val="~Heading 5"/>
    <w:next w:val="689"/>
    <w:autoRedefine/>
    <w:qFormat/>
    <w:uiPriority w:val="0"/>
    <w:pPr>
      <w:keepNext/>
      <w:keepLines/>
      <w:spacing w:before="240" w:after="120"/>
      <w:outlineLvl w:val="5"/>
    </w:pPr>
    <w:rPr>
      <w:rFonts w:ascii="Arial" w:hAnsi="Arial" w:eastAsia="宋体" w:cs="Times New Roman"/>
      <w:i/>
      <w:color w:val="00637A"/>
      <w:sz w:val="24"/>
      <w:szCs w:val="24"/>
      <w:lang w:val="en-US" w:eastAsia="en-US" w:bidi="ar-SA"/>
    </w:rPr>
  </w:style>
  <w:style w:type="paragraph" w:customStyle="1" w:styleId="699">
    <w:name w:val="~Number"/>
    <w:basedOn w:val="689"/>
    <w:qFormat/>
    <w:uiPriority w:val="0"/>
    <w:pPr>
      <w:tabs>
        <w:tab w:val="left" w:pos="360"/>
      </w:tabs>
      <w:spacing w:after="0"/>
      <w:ind w:left="360" w:hanging="360"/>
    </w:pPr>
  </w:style>
  <w:style w:type="paragraph" w:customStyle="1" w:styleId="700">
    <w:name w:val="*Body Single"/>
    <w:qFormat/>
    <w:uiPriority w:val="0"/>
    <w:pPr>
      <w:spacing w:line="220" w:lineRule="atLeast"/>
    </w:pPr>
    <w:rPr>
      <w:rFonts w:ascii="Arial" w:hAnsi="Arial" w:eastAsia="宋体" w:cs="Times New Roman"/>
      <w:lang w:val="en-US" w:eastAsia="en-US" w:bidi="ar-SA"/>
    </w:rPr>
  </w:style>
  <w:style w:type="paragraph" w:customStyle="1" w:styleId="701">
    <w:name w:val="*Bullet #1 Single"/>
    <w:basedOn w:val="668"/>
    <w:qFormat/>
    <w:uiPriority w:val="0"/>
    <w:pPr>
      <w:numPr>
        <w:ilvl w:val="0"/>
        <w:numId w:val="21"/>
      </w:numPr>
      <w:spacing w:after="0"/>
    </w:pPr>
  </w:style>
  <w:style w:type="paragraph" w:customStyle="1" w:styleId="702">
    <w:name w:val="*Bullet #2 Single"/>
    <w:basedOn w:val="701"/>
    <w:autoRedefine/>
    <w:qFormat/>
    <w:uiPriority w:val="0"/>
    <w:pPr>
      <w:tabs>
        <w:tab w:val="left" w:pos="720"/>
      </w:tabs>
      <w:ind w:left="720"/>
    </w:pPr>
  </w:style>
  <w:style w:type="paragraph" w:customStyle="1" w:styleId="703">
    <w:name w:val="*Bullet #2 Double"/>
    <w:basedOn w:val="702"/>
    <w:autoRedefine/>
    <w:qFormat/>
    <w:uiPriority w:val="0"/>
    <w:pPr>
      <w:spacing w:after="220"/>
    </w:pPr>
  </w:style>
  <w:style w:type="paragraph" w:customStyle="1" w:styleId="704">
    <w:name w:val="*Bullet #1 Double"/>
    <w:basedOn w:val="701"/>
    <w:autoRedefine/>
    <w:qFormat/>
    <w:uiPriority w:val="0"/>
    <w:pPr>
      <w:spacing w:after="220"/>
    </w:pPr>
  </w:style>
  <w:style w:type="paragraph" w:customStyle="1" w:styleId="705">
    <w:name w:val="*Bullet #3 Single"/>
    <w:basedOn w:val="702"/>
    <w:qFormat/>
    <w:uiPriority w:val="0"/>
    <w:pPr>
      <w:tabs>
        <w:tab w:val="left" w:pos="1080"/>
        <w:tab w:val="clear" w:pos="720"/>
      </w:tabs>
      <w:ind w:left="1080"/>
    </w:pPr>
  </w:style>
  <w:style w:type="paragraph" w:customStyle="1" w:styleId="706">
    <w:name w:val="*Bullet #3 Double"/>
    <w:basedOn w:val="705"/>
    <w:qFormat/>
    <w:uiPriority w:val="0"/>
    <w:pPr>
      <w:spacing w:after="220"/>
    </w:pPr>
  </w:style>
  <w:style w:type="paragraph" w:customStyle="1" w:styleId="707">
    <w:name w:val="*Heading 2"/>
    <w:next w:val="668"/>
    <w:qFormat/>
    <w:uiPriority w:val="0"/>
    <w:pPr>
      <w:keepNext/>
      <w:keepLines/>
      <w:spacing w:before="240" w:after="120"/>
      <w:outlineLvl w:val="2"/>
    </w:pPr>
    <w:rPr>
      <w:rFonts w:ascii="Arial" w:hAnsi="Arial" w:eastAsia="宋体" w:cs="Times New Roman"/>
      <w:sz w:val="32"/>
      <w:szCs w:val="32"/>
      <w:lang w:val="en-US" w:eastAsia="en-US" w:bidi="ar-SA"/>
    </w:rPr>
  </w:style>
  <w:style w:type="paragraph" w:customStyle="1" w:styleId="708">
    <w:name w:val="*Heading 3"/>
    <w:next w:val="668"/>
    <w:qFormat/>
    <w:uiPriority w:val="0"/>
    <w:pPr>
      <w:keepNext/>
      <w:keepLines/>
      <w:spacing w:before="240" w:after="120"/>
      <w:outlineLvl w:val="3"/>
    </w:pPr>
    <w:rPr>
      <w:rFonts w:ascii="Arial" w:hAnsi="Arial" w:eastAsia="宋体" w:cs="Times New Roman"/>
      <w:b/>
      <w:sz w:val="24"/>
      <w:szCs w:val="24"/>
      <w:lang w:val="en-US" w:eastAsia="en-US" w:bidi="ar-SA"/>
    </w:rPr>
  </w:style>
  <w:style w:type="paragraph" w:customStyle="1" w:styleId="709">
    <w:name w:val="*Heading 4"/>
    <w:next w:val="668"/>
    <w:qFormat/>
    <w:uiPriority w:val="0"/>
    <w:pPr>
      <w:keepNext/>
      <w:keepLines/>
      <w:spacing w:before="240" w:after="120"/>
      <w:outlineLvl w:val="4"/>
    </w:pPr>
    <w:rPr>
      <w:rFonts w:ascii="Arial" w:hAnsi="Arial" w:eastAsia="宋体" w:cs="Times New Roman"/>
      <w:sz w:val="24"/>
      <w:szCs w:val="24"/>
      <w:lang w:val="en-US" w:eastAsia="en-US" w:bidi="ar-SA"/>
    </w:rPr>
  </w:style>
  <w:style w:type="paragraph" w:customStyle="1" w:styleId="710">
    <w:name w:val="*Heading 5"/>
    <w:next w:val="668"/>
    <w:qFormat/>
    <w:uiPriority w:val="0"/>
    <w:pPr>
      <w:keepNext/>
      <w:keepLines/>
      <w:spacing w:before="240" w:after="120"/>
      <w:outlineLvl w:val="5"/>
    </w:pPr>
    <w:rPr>
      <w:rFonts w:ascii="Arial" w:hAnsi="Arial" w:eastAsia="宋体" w:cs="Times New Roman"/>
      <w:i/>
      <w:sz w:val="24"/>
      <w:szCs w:val="24"/>
      <w:lang w:val="en-US" w:eastAsia="en-US" w:bidi="ar-SA"/>
    </w:rPr>
  </w:style>
  <w:style w:type="paragraph" w:customStyle="1" w:styleId="711">
    <w:name w:val="*List Numbers (Auto)"/>
    <w:basedOn w:val="668"/>
    <w:qFormat/>
    <w:uiPriority w:val="0"/>
    <w:pPr>
      <w:tabs>
        <w:tab w:val="left" w:pos="360"/>
      </w:tabs>
      <w:spacing w:after="0"/>
      <w:ind w:left="360" w:hanging="360"/>
    </w:pPr>
    <w:rPr>
      <w:color w:val="auto"/>
    </w:rPr>
  </w:style>
  <w:style w:type="paragraph" w:customStyle="1" w:styleId="712">
    <w:name w:val="*List Numbers Bold (Auto)"/>
    <w:basedOn w:val="711"/>
    <w:qFormat/>
    <w:uiPriority w:val="0"/>
    <w:rPr>
      <w:b/>
    </w:rPr>
  </w:style>
  <w:style w:type="paragraph" w:customStyle="1" w:styleId="713">
    <w:name w:val="*Numbers"/>
    <w:basedOn w:val="711"/>
    <w:qFormat/>
    <w:uiPriority w:val="0"/>
  </w:style>
  <w:style w:type="paragraph" w:customStyle="1" w:styleId="714">
    <w:name w:val="*Numbers Bold"/>
    <w:basedOn w:val="713"/>
    <w:autoRedefine/>
    <w:qFormat/>
    <w:uiPriority w:val="0"/>
    <w:rPr>
      <w:b/>
    </w:rPr>
  </w:style>
  <w:style w:type="paragraph" w:customStyle="1" w:styleId="715">
    <w:name w:val="*SOW 1"/>
    <w:next w:val="668"/>
    <w:qFormat/>
    <w:uiPriority w:val="0"/>
    <w:pPr>
      <w:keepNext/>
      <w:keepLines/>
      <w:tabs>
        <w:tab w:val="left" w:pos="1440"/>
      </w:tabs>
      <w:spacing w:after="200" w:line="220" w:lineRule="atLeast"/>
      <w:ind w:left="1440" w:hanging="1440"/>
      <w:outlineLvl w:val="1"/>
    </w:pPr>
    <w:rPr>
      <w:rFonts w:ascii="Arial" w:hAnsi="Arial" w:eastAsia="宋体" w:cs="Times New Roman"/>
      <w:color w:val="000000"/>
      <w:szCs w:val="24"/>
      <w:lang w:val="en-US" w:eastAsia="en-US" w:bidi="ar-SA"/>
    </w:rPr>
  </w:style>
  <w:style w:type="paragraph" w:customStyle="1" w:styleId="716">
    <w:name w:val="*SOW 2"/>
    <w:basedOn w:val="715"/>
    <w:next w:val="668"/>
    <w:qFormat/>
    <w:uiPriority w:val="0"/>
    <w:pPr>
      <w:outlineLvl w:val="2"/>
    </w:pPr>
  </w:style>
  <w:style w:type="paragraph" w:customStyle="1" w:styleId="717">
    <w:name w:val="*SOW 3"/>
    <w:basedOn w:val="715"/>
    <w:next w:val="668"/>
    <w:qFormat/>
    <w:uiPriority w:val="0"/>
    <w:pPr>
      <w:outlineLvl w:val="3"/>
    </w:pPr>
  </w:style>
  <w:style w:type="paragraph" w:customStyle="1" w:styleId="718">
    <w:name w:val="*SOW 4"/>
    <w:basedOn w:val="715"/>
    <w:next w:val="668"/>
    <w:qFormat/>
    <w:uiPriority w:val="0"/>
    <w:pPr>
      <w:outlineLvl w:val="4"/>
    </w:pPr>
  </w:style>
  <w:style w:type="paragraph" w:customStyle="1" w:styleId="719">
    <w:name w:val="*SOW 5"/>
    <w:basedOn w:val="715"/>
    <w:next w:val="668"/>
    <w:qFormat/>
    <w:uiPriority w:val="0"/>
    <w:pPr>
      <w:outlineLvl w:val="5"/>
    </w:pPr>
  </w:style>
  <w:style w:type="paragraph" w:customStyle="1" w:styleId="720">
    <w:name w:val="*Table Text"/>
    <w:qFormat/>
    <w:uiPriority w:val="0"/>
    <w:pPr>
      <w:spacing w:line="240" w:lineRule="atLeast"/>
    </w:pPr>
    <w:rPr>
      <w:rFonts w:ascii="Arial" w:hAnsi="Arial" w:eastAsia="宋体" w:cs="Times New Roman"/>
      <w:sz w:val="18"/>
      <w:szCs w:val="24"/>
      <w:lang w:val="en-US" w:eastAsia="en-US" w:bidi="ar-SA"/>
    </w:rPr>
  </w:style>
  <w:style w:type="paragraph" w:customStyle="1" w:styleId="721">
    <w:name w:val="*Table Text 2"/>
    <w:basedOn w:val="720"/>
    <w:qFormat/>
    <w:uiPriority w:val="0"/>
    <w:pPr>
      <w:spacing w:line="220" w:lineRule="atLeast"/>
    </w:pPr>
    <w:rPr>
      <w:color w:val="000000"/>
      <w:sz w:val="20"/>
      <w:szCs w:val="20"/>
    </w:rPr>
  </w:style>
  <w:style w:type="paragraph" w:customStyle="1" w:styleId="722">
    <w:name w:val="*Table Text Bold"/>
    <w:basedOn w:val="720"/>
    <w:autoRedefine/>
    <w:qFormat/>
    <w:uiPriority w:val="0"/>
    <w:rPr>
      <w:b/>
    </w:rPr>
  </w:style>
  <w:style w:type="paragraph" w:customStyle="1" w:styleId="723">
    <w:name w:val="*Manual # Heading 1"/>
    <w:next w:val="668"/>
    <w:qFormat/>
    <w:uiPriority w:val="0"/>
    <w:pPr>
      <w:keepNext/>
      <w:keepLines/>
      <w:tabs>
        <w:tab w:val="left" w:pos="1440"/>
      </w:tabs>
      <w:spacing w:before="240" w:after="120"/>
      <w:ind w:left="1440" w:hanging="1440"/>
      <w:outlineLvl w:val="1"/>
    </w:pPr>
    <w:rPr>
      <w:rFonts w:ascii="Arial" w:hAnsi="Arial" w:eastAsia="宋体" w:cs="Times New Roman"/>
      <w:b/>
      <w:sz w:val="32"/>
      <w:szCs w:val="32"/>
      <w:lang w:val="en-US" w:eastAsia="en-US" w:bidi="ar-SA"/>
    </w:rPr>
  </w:style>
  <w:style w:type="paragraph" w:customStyle="1" w:styleId="724">
    <w:name w:val="*Table/Graphics Caption"/>
    <w:basedOn w:val="668"/>
    <w:next w:val="668"/>
    <w:qFormat/>
    <w:uiPriority w:val="0"/>
    <w:pPr>
      <w:spacing w:after="120"/>
    </w:pPr>
    <w:rPr>
      <w:color w:val="auto"/>
      <w:sz w:val="18"/>
      <w:szCs w:val="18"/>
    </w:rPr>
  </w:style>
  <w:style w:type="paragraph" w:customStyle="1" w:styleId="725">
    <w:name w:val="*Proprietary Notice"/>
    <w:qFormat/>
    <w:uiPriority w:val="0"/>
    <w:pPr>
      <w:spacing w:line="200" w:lineRule="exact"/>
    </w:pPr>
    <w:rPr>
      <w:rFonts w:ascii="Arial" w:hAnsi="Arial" w:eastAsia="宋体" w:cs="Times New Roman"/>
      <w:color w:val="00637A"/>
      <w:sz w:val="16"/>
      <w:szCs w:val="16"/>
      <w:lang w:val="en-US" w:eastAsia="en-US" w:bidi="ar-SA"/>
    </w:rPr>
  </w:style>
  <w:style w:type="paragraph" w:customStyle="1" w:styleId="726">
    <w:name w:val="*Footer"/>
    <w:autoRedefine/>
    <w:qFormat/>
    <w:uiPriority w:val="0"/>
    <w:pPr>
      <w:tabs>
        <w:tab w:val="right" w:pos="8640"/>
      </w:tabs>
    </w:pPr>
    <w:rPr>
      <w:rFonts w:ascii="Arial" w:hAnsi="Arial" w:eastAsia="宋体" w:cs="Times New Roman"/>
      <w:i/>
      <w:color w:val="00637A"/>
      <w:sz w:val="18"/>
      <w:szCs w:val="18"/>
      <w:lang w:val="en-US" w:eastAsia="en-US" w:bidi="ar-SA"/>
    </w:rPr>
  </w:style>
  <w:style w:type="paragraph" w:customStyle="1" w:styleId="727">
    <w:name w:val="*Quotation"/>
    <w:basedOn w:val="668"/>
    <w:next w:val="728"/>
    <w:qFormat/>
    <w:uiPriority w:val="0"/>
    <w:pPr>
      <w:spacing w:after="200"/>
      <w:ind w:left="720" w:right="720"/>
    </w:pPr>
    <w:rPr>
      <w:i/>
    </w:rPr>
  </w:style>
  <w:style w:type="paragraph" w:customStyle="1" w:styleId="728">
    <w:name w:val="*Quotation Attribute"/>
    <w:basedOn w:val="668"/>
    <w:next w:val="668"/>
    <w:qFormat/>
    <w:uiPriority w:val="0"/>
    <w:pPr>
      <w:tabs>
        <w:tab w:val="left" w:pos="936"/>
      </w:tabs>
      <w:ind w:left="936" w:right="720" w:hanging="216"/>
    </w:pPr>
  </w:style>
  <w:style w:type="paragraph" w:customStyle="1" w:styleId="729">
    <w:name w:val="~Bullet #2 Single"/>
    <w:basedOn w:val="702"/>
    <w:qFormat/>
    <w:uiPriority w:val="0"/>
    <w:rPr>
      <w:color w:val="00637A"/>
    </w:rPr>
  </w:style>
  <w:style w:type="paragraph" w:customStyle="1" w:styleId="730">
    <w:name w:val="*Manual # Heading 2"/>
    <w:next w:val="668"/>
    <w:autoRedefine/>
    <w:qFormat/>
    <w:uiPriority w:val="0"/>
    <w:pPr>
      <w:keepNext/>
      <w:keepLines/>
      <w:tabs>
        <w:tab w:val="left" w:pos="1440"/>
      </w:tabs>
      <w:spacing w:before="240" w:after="120"/>
      <w:ind w:left="1440" w:hanging="1440"/>
      <w:outlineLvl w:val="2"/>
    </w:pPr>
    <w:rPr>
      <w:rFonts w:ascii="Arial" w:hAnsi="Arial" w:eastAsia="宋体" w:cs="Times New Roman"/>
      <w:sz w:val="32"/>
      <w:szCs w:val="32"/>
      <w:lang w:val="en-US" w:eastAsia="en-US" w:bidi="ar-SA"/>
    </w:rPr>
  </w:style>
  <w:style w:type="paragraph" w:customStyle="1" w:styleId="731">
    <w:name w:val="~List Number"/>
    <w:basedOn w:val="711"/>
    <w:autoRedefine/>
    <w:qFormat/>
    <w:uiPriority w:val="0"/>
    <w:rPr>
      <w:color w:val="00637A"/>
    </w:rPr>
  </w:style>
  <w:style w:type="paragraph" w:customStyle="1" w:styleId="732">
    <w:name w:val="~Table Text"/>
    <w:basedOn w:val="720"/>
    <w:qFormat/>
    <w:uiPriority w:val="0"/>
    <w:rPr>
      <w:color w:val="00637A"/>
      <w:szCs w:val="18"/>
    </w:rPr>
  </w:style>
  <w:style w:type="paragraph" w:customStyle="1" w:styleId="733">
    <w:name w:val="~Table/Graphics Caption"/>
    <w:basedOn w:val="724"/>
    <w:next w:val="689"/>
    <w:qFormat/>
    <w:uiPriority w:val="0"/>
    <w:rPr>
      <w:color w:val="00637A"/>
    </w:rPr>
  </w:style>
  <w:style w:type="paragraph" w:customStyle="1" w:styleId="734">
    <w:name w:val="_Style 139"/>
    <w:qFormat/>
    <w:uiPriority w:val="99"/>
    <w:pPr>
      <w:widowControl w:val="0"/>
      <w:jc w:val="both"/>
    </w:pPr>
    <w:rPr>
      <w:rFonts w:ascii="Times New Roman" w:hAnsi="Times New Roman" w:eastAsia="宋体" w:cs="Times New Roman"/>
      <w:kern w:val="2"/>
      <w:sz w:val="24"/>
      <w:szCs w:val="24"/>
      <w:lang w:val="en-US" w:eastAsia="zh-CN" w:bidi="ar-SA"/>
    </w:rPr>
  </w:style>
  <w:style w:type="paragraph" w:customStyle="1" w:styleId="735">
    <w:name w:val="*Full Page"/>
    <w:basedOn w:val="668"/>
    <w:qFormat/>
    <w:uiPriority w:val="0"/>
    <w:pPr>
      <w:spacing w:after="280"/>
    </w:pPr>
    <w:rPr>
      <w:color w:val="auto"/>
    </w:rPr>
  </w:style>
  <w:style w:type="paragraph" w:customStyle="1" w:styleId="736">
    <w:name w:val="Headline"/>
    <w:basedOn w:val="1"/>
    <w:autoRedefine/>
    <w:qFormat/>
    <w:uiPriority w:val="0"/>
    <w:pPr>
      <w:suppressAutoHyphens/>
      <w:spacing w:line="280" w:lineRule="exact"/>
      <w:ind w:firstLine="200" w:firstLineChars="200"/>
    </w:pPr>
    <w:rPr>
      <w:szCs w:val="20"/>
      <w:lang w:eastAsia="en-US"/>
    </w:rPr>
  </w:style>
  <w:style w:type="paragraph" w:customStyle="1" w:styleId="737">
    <w:name w:val="Default Text"/>
    <w:basedOn w:val="1"/>
    <w:autoRedefine/>
    <w:qFormat/>
    <w:uiPriority w:val="0"/>
    <w:pPr>
      <w:suppressAutoHyphens/>
      <w:spacing w:after="200" w:line="240" w:lineRule="exact"/>
      <w:ind w:left="3289" w:firstLine="200" w:firstLineChars="200"/>
    </w:pPr>
    <w:rPr>
      <w:sz w:val="20"/>
      <w:szCs w:val="20"/>
      <w:lang w:eastAsia="en-US"/>
    </w:rPr>
  </w:style>
  <w:style w:type="paragraph" w:customStyle="1" w:styleId="738">
    <w:name w:val="*Header"/>
    <w:basedOn w:val="668"/>
    <w:autoRedefine/>
    <w:qFormat/>
    <w:uiPriority w:val="0"/>
    <w:pPr>
      <w:tabs>
        <w:tab w:val="right" w:pos="8784"/>
      </w:tabs>
      <w:spacing w:after="0"/>
    </w:pPr>
    <w:rPr>
      <w:color w:val="00637A"/>
      <w:sz w:val="18"/>
      <w:szCs w:val="18"/>
    </w:rPr>
  </w:style>
  <w:style w:type="paragraph" w:customStyle="1" w:styleId="739">
    <w:name w:val="Top Line"/>
    <w:basedOn w:val="1"/>
    <w:qFormat/>
    <w:uiPriority w:val="0"/>
    <w:pPr>
      <w:pBdr>
        <w:bottom w:val="single" w:color="auto" w:sz="18" w:space="1"/>
      </w:pBdr>
      <w:spacing w:line="360" w:lineRule="auto"/>
      <w:ind w:firstLine="200" w:firstLineChars="200"/>
    </w:pPr>
    <w:rPr>
      <w:sz w:val="20"/>
      <w:szCs w:val="20"/>
      <w:lang w:eastAsia="en-US"/>
    </w:rPr>
  </w:style>
  <w:style w:type="paragraph" w:customStyle="1" w:styleId="740">
    <w:name w:val="*List Text"/>
    <w:basedOn w:val="668"/>
    <w:qFormat/>
    <w:uiPriority w:val="0"/>
    <w:pPr>
      <w:tabs>
        <w:tab w:val="left" w:pos="360"/>
        <w:tab w:val="left" w:pos="576"/>
        <w:tab w:val="right" w:leader="dot" w:pos="8640"/>
      </w:tabs>
      <w:suppressAutoHyphens/>
      <w:ind w:left="360" w:hanging="360"/>
    </w:pPr>
    <w:rPr>
      <w:color w:val="auto"/>
      <w:sz w:val="18"/>
      <w:szCs w:val="18"/>
    </w:rPr>
  </w:style>
  <w:style w:type="paragraph" w:customStyle="1" w:styleId="741">
    <w:name w:val="*Response"/>
    <w:basedOn w:val="668"/>
    <w:next w:val="668"/>
    <w:qFormat/>
    <w:uiPriority w:val="0"/>
    <w:pPr>
      <w:ind w:left="1440" w:hanging="1440"/>
    </w:pPr>
    <w:rPr>
      <w:color w:val="auto"/>
    </w:rPr>
  </w:style>
  <w:style w:type="paragraph" w:customStyle="1" w:styleId="742">
    <w:name w:val="*Body Text Bold"/>
    <w:basedOn w:val="668"/>
    <w:next w:val="668"/>
    <w:qFormat/>
    <w:uiPriority w:val="0"/>
    <w:rPr>
      <w:b/>
      <w:color w:val="auto"/>
    </w:rPr>
  </w:style>
  <w:style w:type="paragraph" w:customStyle="1" w:styleId="743">
    <w:name w:val="*Table Text Bullet #1"/>
    <w:basedOn w:val="720"/>
    <w:autoRedefine/>
    <w:qFormat/>
    <w:uiPriority w:val="0"/>
    <w:pPr>
      <w:tabs>
        <w:tab w:val="left" w:pos="144"/>
      </w:tabs>
    </w:pPr>
  </w:style>
  <w:style w:type="paragraph" w:customStyle="1" w:styleId="744">
    <w:name w:val="*Bullet #1 Subtext Single"/>
    <w:basedOn w:val="704"/>
    <w:qFormat/>
    <w:uiPriority w:val="0"/>
    <w:pPr>
      <w:numPr>
        <w:numId w:val="0"/>
      </w:numPr>
      <w:spacing w:after="0"/>
      <w:ind w:left="360"/>
    </w:pPr>
  </w:style>
  <w:style w:type="paragraph" w:customStyle="1" w:styleId="745">
    <w:name w:val="*Bullet #2 Subtext Single"/>
    <w:basedOn w:val="703"/>
    <w:qFormat/>
    <w:uiPriority w:val="0"/>
    <w:pPr>
      <w:numPr>
        <w:numId w:val="0"/>
      </w:numPr>
      <w:spacing w:after="0"/>
      <w:ind w:left="720"/>
    </w:pPr>
  </w:style>
  <w:style w:type="paragraph" w:customStyle="1" w:styleId="746">
    <w:name w:val="*Bullet #3 Subtext Single"/>
    <w:basedOn w:val="706"/>
    <w:qFormat/>
    <w:uiPriority w:val="0"/>
    <w:pPr>
      <w:numPr>
        <w:numId w:val="0"/>
      </w:numPr>
      <w:spacing w:after="0"/>
      <w:ind w:left="1080"/>
    </w:pPr>
  </w:style>
  <w:style w:type="paragraph" w:customStyle="1" w:styleId="747">
    <w:name w:val="~Bullet #1 Subtext"/>
    <w:basedOn w:val="692"/>
    <w:autoRedefine/>
    <w:qFormat/>
    <w:uiPriority w:val="0"/>
    <w:pPr>
      <w:tabs>
        <w:tab w:val="clear" w:pos="360"/>
      </w:tabs>
      <w:ind w:firstLine="0"/>
    </w:pPr>
  </w:style>
  <w:style w:type="paragraph" w:customStyle="1" w:styleId="748">
    <w:name w:val="~Bullet #2 Subtext"/>
    <w:basedOn w:val="729"/>
    <w:qFormat/>
    <w:uiPriority w:val="0"/>
    <w:pPr>
      <w:numPr>
        <w:numId w:val="0"/>
      </w:numPr>
      <w:ind w:left="720"/>
    </w:pPr>
  </w:style>
  <w:style w:type="paragraph" w:customStyle="1" w:styleId="749">
    <w:name w:val="~Bullet #1 Double"/>
    <w:basedOn w:val="692"/>
    <w:autoRedefine/>
    <w:qFormat/>
    <w:uiPriority w:val="0"/>
    <w:pPr>
      <w:spacing w:after="220"/>
      <w:ind w:left="230" w:hanging="230"/>
    </w:pPr>
  </w:style>
  <w:style w:type="paragraph" w:customStyle="1" w:styleId="750">
    <w:name w:val="*Info Text"/>
    <w:qFormat/>
    <w:uiPriority w:val="0"/>
    <w:rPr>
      <w:rFonts w:ascii="Arial" w:hAnsi="Arial" w:eastAsia="宋体" w:cs="Times New Roman"/>
      <w:sz w:val="18"/>
      <w:lang w:val="en-US" w:eastAsia="en-US" w:bidi="ar-SA"/>
    </w:rPr>
  </w:style>
  <w:style w:type="paragraph" w:customStyle="1" w:styleId="751">
    <w:name w:val="*Numbers Double"/>
    <w:basedOn w:val="713"/>
    <w:qFormat/>
    <w:uiPriority w:val="0"/>
    <w:pPr>
      <w:spacing w:after="220"/>
    </w:pPr>
  </w:style>
  <w:style w:type="paragraph" w:customStyle="1" w:styleId="752">
    <w:name w:val="~Bullet Subnumber"/>
    <w:basedOn w:val="747"/>
    <w:qFormat/>
    <w:uiPriority w:val="0"/>
    <w:pPr>
      <w:tabs>
        <w:tab w:val="left" w:pos="720"/>
      </w:tabs>
      <w:ind w:left="720" w:hanging="360"/>
    </w:pPr>
  </w:style>
  <w:style w:type="paragraph" w:customStyle="1" w:styleId="753">
    <w:name w:val="*Bullet #1 Subtext Double"/>
    <w:basedOn w:val="744"/>
    <w:qFormat/>
    <w:uiPriority w:val="0"/>
    <w:pPr>
      <w:spacing w:after="220"/>
    </w:pPr>
  </w:style>
  <w:style w:type="paragraph" w:customStyle="1" w:styleId="754">
    <w:name w:val="*Table Text Bullet #2"/>
    <w:basedOn w:val="743"/>
    <w:qFormat/>
    <w:uiPriority w:val="0"/>
    <w:pPr>
      <w:ind w:left="310" w:hanging="166"/>
    </w:pPr>
  </w:style>
  <w:style w:type="paragraph" w:customStyle="1" w:styleId="755">
    <w:name w:val="*Table Heading 1"/>
    <w:basedOn w:val="720"/>
    <w:qFormat/>
    <w:uiPriority w:val="0"/>
    <w:pPr>
      <w:shd w:val="clear" w:color="auto" w:fill="007D9A"/>
      <w:jc w:val="center"/>
    </w:pPr>
    <w:rPr>
      <w:b/>
      <w:color w:val="FFFFFF"/>
      <w:sz w:val="20"/>
      <w:szCs w:val="20"/>
    </w:rPr>
  </w:style>
  <w:style w:type="paragraph" w:customStyle="1" w:styleId="756">
    <w:name w:val="*Table Heading 2"/>
    <w:basedOn w:val="755"/>
    <w:qFormat/>
    <w:uiPriority w:val="0"/>
    <w:pPr>
      <w:shd w:val="clear" w:color="auto" w:fill="A8A8A8"/>
    </w:pPr>
    <w:rPr>
      <w:sz w:val="18"/>
      <w:szCs w:val="18"/>
    </w:rPr>
  </w:style>
  <w:style w:type="paragraph" w:customStyle="1" w:styleId="757">
    <w:name w:val="*Cover Text 1"/>
    <w:basedOn w:val="721"/>
    <w:autoRedefine/>
    <w:qFormat/>
    <w:uiPriority w:val="0"/>
    <w:pPr>
      <w:spacing w:line="280" w:lineRule="atLeast"/>
    </w:pPr>
    <w:rPr>
      <w:color w:val="00637A"/>
      <w:sz w:val="44"/>
      <w:szCs w:val="44"/>
    </w:rPr>
  </w:style>
  <w:style w:type="paragraph" w:customStyle="1" w:styleId="758">
    <w:name w:val="*Confidentiality Notice"/>
    <w:basedOn w:val="668"/>
    <w:autoRedefine/>
    <w:qFormat/>
    <w:uiPriority w:val="0"/>
    <w:pPr>
      <w:spacing w:after="200"/>
    </w:pPr>
    <w:rPr>
      <w:color w:val="auto"/>
      <w:sz w:val="18"/>
    </w:rPr>
  </w:style>
  <w:style w:type="paragraph" w:customStyle="1" w:styleId="759">
    <w:name w:val="*Table of Contents"/>
    <w:basedOn w:val="758"/>
    <w:next w:val="668"/>
    <w:autoRedefine/>
    <w:qFormat/>
    <w:uiPriority w:val="0"/>
    <w:pPr>
      <w:spacing w:before="240" w:after="240" w:line="240" w:lineRule="auto"/>
    </w:pPr>
    <w:rPr>
      <w:color w:val="00637A"/>
      <w:sz w:val="36"/>
      <w:szCs w:val="36"/>
    </w:rPr>
  </w:style>
  <w:style w:type="paragraph" w:customStyle="1" w:styleId="760">
    <w:name w:val="*Cover Text 2"/>
    <w:basedOn w:val="721"/>
    <w:qFormat/>
    <w:uiPriority w:val="0"/>
    <w:pPr>
      <w:spacing w:before="720"/>
    </w:pPr>
    <w:rPr>
      <w:b/>
      <w:color w:val="00637A"/>
      <w:sz w:val="24"/>
      <w:szCs w:val="24"/>
    </w:rPr>
  </w:style>
  <w:style w:type="paragraph" w:customStyle="1" w:styleId="761">
    <w:name w:val="*Table Text 2 Bullet #1"/>
    <w:basedOn w:val="721"/>
    <w:autoRedefine/>
    <w:qFormat/>
    <w:uiPriority w:val="0"/>
    <w:pPr>
      <w:numPr>
        <w:ilvl w:val="0"/>
        <w:numId w:val="22"/>
      </w:numPr>
      <w:spacing w:line="240" w:lineRule="atLeast"/>
    </w:pPr>
    <w:rPr>
      <w:rFonts w:cs="Arial"/>
      <w:color w:val="0000FF"/>
      <w:sz w:val="18"/>
      <w:szCs w:val="18"/>
      <w:lang w:eastAsia="zh-CN"/>
    </w:rPr>
  </w:style>
  <w:style w:type="paragraph" w:customStyle="1" w:styleId="762">
    <w:name w:val="*Table Text 3"/>
    <w:basedOn w:val="720"/>
    <w:qFormat/>
    <w:uiPriority w:val="0"/>
    <w:rPr>
      <w:sz w:val="14"/>
      <w:szCs w:val="14"/>
    </w:rPr>
  </w:style>
  <w:style w:type="paragraph" w:customStyle="1" w:styleId="763">
    <w:name w:val="*Bullet Subnumber"/>
    <w:basedOn w:val="752"/>
    <w:qFormat/>
    <w:uiPriority w:val="0"/>
    <w:rPr>
      <w:color w:val="auto"/>
    </w:rPr>
  </w:style>
  <w:style w:type="paragraph" w:customStyle="1" w:styleId="764">
    <w:name w:val="*Manual # Heading 3"/>
    <w:next w:val="668"/>
    <w:qFormat/>
    <w:uiPriority w:val="0"/>
    <w:pPr>
      <w:keepNext/>
      <w:keepLines/>
      <w:tabs>
        <w:tab w:val="left" w:pos="1440"/>
      </w:tabs>
      <w:spacing w:before="240" w:after="120"/>
      <w:ind w:left="1440" w:hanging="1440"/>
      <w:outlineLvl w:val="3"/>
    </w:pPr>
    <w:rPr>
      <w:rFonts w:ascii="Arial" w:hAnsi="Arial" w:eastAsia="宋体" w:cs="Times New Roman"/>
      <w:b/>
      <w:sz w:val="24"/>
      <w:szCs w:val="24"/>
      <w:lang w:val="en-US" w:eastAsia="en-US" w:bidi="ar-SA"/>
    </w:rPr>
  </w:style>
  <w:style w:type="paragraph" w:customStyle="1" w:styleId="765">
    <w:name w:val="*Manual # Heading 4"/>
    <w:next w:val="668"/>
    <w:qFormat/>
    <w:uiPriority w:val="0"/>
    <w:pPr>
      <w:keepNext/>
      <w:keepLines/>
      <w:tabs>
        <w:tab w:val="left" w:pos="1440"/>
      </w:tabs>
      <w:spacing w:before="240" w:after="120"/>
      <w:ind w:left="1440" w:hanging="1440"/>
      <w:outlineLvl w:val="4"/>
    </w:pPr>
    <w:rPr>
      <w:rFonts w:ascii="Arial" w:hAnsi="Arial" w:eastAsia="宋体" w:cs="Times New Roman"/>
      <w:sz w:val="24"/>
      <w:szCs w:val="24"/>
      <w:lang w:val="en-US" w:eastAsia="en-US" w:bidi="ar-SA"/>
    </w:rPr>
  </w:style>
  <w:style w:type="paragraph" w:customStyle="1" w:styleId="766">
    <w:name w:val="*Manual # Heading 5"/>
    <w:next w:val="668"/>
    <w:autoRedefine/>
    <w:qFormat/>
    <w:uiPriority w:val="0"/>
    <w:pPr>
      <w:keepNext/>
      <w:keepLines/>
      <w:tabs>
        <w:tab w:val="left" w:pos="1440"/>
      </w:tabs>
      <w:spacing w:before="240" w:after="120"/>
      <w:ind w:left="1440" w:hanging="1440"/>
      <w:outlineLvl w:val="5"/>
    </w:pPr>
    <w:rPr>
      <w:rFonts w:ascii="Arial" w:hAnsi="Arial" w:eastAsia="宋体" w:cs="Times New Roman"/>
      <w:i/>
      <w:sz w:val="24"/>
      <w:szCs w:val="24"/>
      <w:lang w:val="en-US" w:eastAsia="en-US" w:bidi="ar-SA"/>
    </w:rPr>
  </w:style>
  <w:style w:type="paragraph" w:customStyle="1" w:styleId="767">
    <w:name w:val="~Manual # Heading 1"/>
    <w:next w:val="689"/>
    <w:autoRedefine/>
    <w:qFormat/>
    <w:uiPriority w:val="0"/>
    <w:pPr>
      <w:keepNext/>
      <w:keepLines/>
      <w:tabs>
        <w:tab w:val="left" w:pos="1440"/>
      </w:tabs>
      <w:spacing w:before="240" w:after="120"/>
      <w:ind w:left="1440" w:hanging="1440"/>
      <w:outlineLvl w:val="1"/>
    </w:pPr>
    <w:rPr>
      <w:rFonts w:ascii="Arial" w:hAnsi="Arial" w:eastAsia="宋体" w:cs="Times New Roman"/>
      <w:b/>
      <w:color w:val="00637A"/>
      <w:sz w:val="32"/>
      <w:szCs w:val="32"/>
      <w:lang w:val="en-US" w:eastAsia="en-US" w:bidi="ar-SA"/>
    </w:rPr>
  </w:style>
  <w:style w:type="paragraph" w:customStyle="1" w:styleId="768">
    <w:name w:val="~Manual # Heading 2"/>
    <w:next w:val="689"/>
    <w:qFormat/>
    <w:uiPriority w:val="0"/>
    <w:pPr>
      <w:keepNext/>
      <w:keepLines/>
      <w:tabs>
        <w:tab w:val="left" w:pos="1440"/>
      </w:tabs>
      <w:spacing w:before="240" w:after="120"/>
      <w:ind w:left="1440" w:hanging="1440"/>
      <w:outlineLvl w:val="2"/>
    </w:pPr>
    <w:rPr>
      <w:rFonts w:ascii="Arial" w:hAnsi="Arial" w:eastAsia="宋体" w:cs="Times New Roman"/>
      <w:color w:val="00637A"/>
      <w:sz w:val="32"/>
      <w:szCs w:val="32"/>
      <w:lang w:val="en-US" w:eastAsia="en-US" w:bidi="ar-SA"/>
    </w:rPr>
  </w:style>
  <w:style w:type="paragraph" w:customStyle="1" w:styleId="769">
    <w:name w:val="~Manual # Heading 3"/>
    <w:next w:val="689"/>
    <w:qFormat/>
    <w:uiPriority w:val="0"/>
    <w:pPr>
      <w:keepNext/>
      <w:keepLines/>
      <w:tabs>
        <w:tab w:val="left" w:pos="1440"/>
      </w:tabs>
      <w:spacing w:before="240" w:after="120"/>
      <w:ind w:left="1440" w:hanging="1440"/>
      <w:outlineLvl w:val="3"/>
    </w:pPr>
    <w:rPr>
      <w:rFonts w:ascii="Arial" w:hAnsi="Arial" w:eastAsia="宋体" w:cs="Times New Roman"/>
      <w:b/>
      <w:color w:val="00637A"/>
      <w:sz w:val="24"/>
      <w:szCs w:val="24"/>
      <w:lang w:val="en-US" w:eastAsia="en-US" w:bidi="ar-SA"/>
    </w:rPr>
  </w:style>
  <w:style w:type="paragraph" w:customStyle="1" w:styleId="770">
    <w:name w:val="~Manual # Heading 4"/>
    <w:next w:val="689"/>
    <w:qFormat/>
    <w:uiPriority w:val="0"/>
    <w:pPr>
      <w:keepNext/>
      <w:keepLines/>
      <w:tabs>
        <w:tab w:val="left" w:pos="1440"/>
      </w:tabs>
      <w:spacing w:before="240" w:after="120"/>
      <w:ind w:left="1440" w:hanging="1440"/>
      <w:outlineLvl w:val="4"/>
    </w:pPr>
    <w:rPr>
      <w:rFonts w:ascii="Arial" w:hAnsi="Arial" w:eastAsia="宋体" w:cs="Times New Roman"/>
      <w:color w:val="00637A"/>
      <w:sz w:val="24"/>
      <w:szCs w:val="24"/>
      <w:lang w:val="en-US" w:eastAsia="en-US" w:bidi="ar-SA"/>
    </w:rPr>
  </w:style>
  <w:style w:type="paragraph" w:customStyle="1" w:styleId="771">
    <w:name w:val="~Manual # Heading 5"/>
    <w:next w:val="689"/>
    <w:qFormat/>
    <w:uiPriority w:val="0"/>
    <w:pPr>
      <w:keepNext/>
      <w:keepLines/>
      <w:tabs>
        <w:tab w:val="left" w:pos="1440"/>
      </w:tabs>
      <w:spacing w:before="240" w:after="120"/>
      <w:ind w:left="1440" w:hanging="1440"/>
      <w:outlineLvl w:val="5"/>
    </w:pPr>
    <w:rPr>
      <w:rFonts w:ascii="Arial" w:hAnsi="Arial" w:eastAsia="宋体" w:cs="Times New Roman"/>
      <w:i/>
      <w:color w:val="00637A"/>
      <w:sz w:val="24"/>
      <w:szCs w:val="24"/>
      <w:lang w:val="en-US" w:eastAsia="en-US" w:bidi="ar-SA"/>
    </w:rPr>
  </w:style>
  <w:style w:type="paragraph" w:customStyle="1" w:styleId="772">
    <w:name w:val="*Notice Heading"/>
    <w:basedOn w:val="694"/>
    <w:next w:val="758"/>
    <w:qFormat/>
    <w:uiPriority w:val="0"/>
    <w:pPr>
      <w:spacing w:after="240" w:line="240" w:lineRule="auto"/>
      <w:outlineLvl w:val="0"/>
    </w:pPr>
    <w:rPr>
      <w:b w:val="0"/>
      <w:color w:val="00637A"/>
      <w:sz w:val="36"/>
      <w:szCs w:val="36"/>
    </w:rPr>
  </w:style>
  <w:style w:type="paragraph" w:customStyle="1" w:styleId="773">
    <w:name w:val="*Section Title"/>
    <w:next w:val="668"/>
    <w:autoRedefine/>
    <w:qFormat/>
    <w:uiPriority w:val="0"/>
    <w:pPr>
      <w:pageBreakBefore/>
      <w:spacing w:before="240" w:after="240"/>
      <w:outlineLvl w:val="0"/>
    </w:pPr>
    <w:rPr>
      <w:rFonts w:ascii="Arial" w:hAnsi="Arial" w:eastAsia="宋体" w:cs="Times New Roman"/>
      <w:color w:val="00637A"/>
      <w:sz w:val="36"/>
      <w:szCs w:val="36"/>
      <w:lang w:val="en-US" w:eastAsia="en-US" w:bidi="ar-SA"/>
    </w:rPr>
  </w:style>
  <w:style w:type="paragraph" w:customStyle="1" w:styleId="774">
    <w:name w:val="Header_FooterText"/>
    <w:qFormat/>
    <w:uiPriority w:val="0"/>
    <w:pPr>
      <w:spacing w:line="170" w:lineRule="exact"/>
    </w:pPr>
    <w:rPr>
      <w:rFonts w:ascii="Arial" w:hAnsi="Arial" w:eastAsia="宋体" w:cs="Times New Roman"/>
      <w:b/>
      <w:color w:val="000000"/>
      <w:sz w:val="14"/>
      <w:szCs w:val="14"/>
      <w:lang w:val="en-US" w:eastAsia="en-US" w:bidi="ar-SA"/>
    </w:rPr>
  </w:style>
  <w:style w:type="paragraph" w:customStyle="1" w:styleId="775">
    <w:name w:val="*Bullet #2 Subtext Double"/>
    <w:basedOn w:val="745"/>
    <w:qFormat/>
    <w:uiPriority w:val="0"/>
    <w:pPr>
      <w:spacing w:after="220"/>
    </w:pPr>
  </w:style>
  <w:style w:type="paragraph" w:customStyle="1" w:styleId="776">
    <w:name w:val="~Number Double"/>
    <w:basedOn w:val="699"/>
    <w:qFormat/>
    <w:uiPriority w:val="0"/>
    <w:pPr>
      <w:spacing w:after="220"/>
    </w:pPr>
  </w:style>
  <w:style w:type="paragraph" w:customStyle="1" w:styleId="777">
    <w:name w:val="*Logo Cover"/>
    <w:basedOn w:val="720"/>
    <w:qFormat/>
    <w:uiPriority w:val="0"/>
    <w:pPr>
      <w:ind w:right="360"/>
      <w:jc w:val="right"/>
    </w:pPr>
  </w:style>
  <w:style w:type="paragraph" w:customStyle="1" w:styleId="778">
    <w:name w:val="*Alt Numbers"/>
    <w:basedOn w:val="713"/>
    <w:qFormat/>
    <w:uiPriority w:val="0"/>
    <w:pPr>
      <w:tabs>
        <w:tab w:val="left" w:pos="1440"/>
        <w:tab w:val="clear" w:pos="360"/>
      </w:tabs>
      <w:ind w:left="1440" w:hanging="1440"/>
    </w:pPr>
  </w:style>
  <w:style w:type="paragraph" w:customStyle="1" w:styleId="779">
    <w:name w:val="*Alt Numbers Double"/>
    <w:basedOn w:val="751"/>
    <w:qFormat/>
    <w:uiPriority w:val="0"/>
    <w:pPr>
      <w:tabs>
        <w:tab w:val="left" w:pos="1440"/>
        <w:tab w:val="clear" w:pos="360"/>
      </w:tabs>
      <w:ind w:left="1440" w:hanging="1440"/>
    </w:pPr>
  </w:style>
  <w:style w:type="paragraph" w:customStyle="1" w:styleId="780">
    <w:name w:val="*Alt Numbers Bold"/>
    <w:basedOn w:val="714"/>
    <w:qFormat/>
    <w:uiPriority w:val="0"/>
    <w:pPr>
      <w:tabs>
        <w:tab w:val="left" w:pos="1440"/>
        <w:tab w:val="clear" w:pos="360"/>
      </w:tabs>
      <w:ind w:left="1440" w:hanging="1440"/>
    </w:pPr>
  </w:style>
  <w:style w:type="paragraph" w:customStyle="1" w:styleId="781">
    <w:name w:val="~Alt Number"/>
    <w:basedOn w:val="699"/>
    <w:qFormat/>
    <w:uiPriority w:val="0"/>
    <w:pPr>
      <w:tabs>
        <w:tab w:val="left" w:pos="1440"/>
        <w:tab w:val="clear" w:pos="360"/>
      </w:tabs>
      <w:ind w:left="1440" w:hanging="1440"/>
    </w:pPr>
  </w:style>
  <w:style w:type="paragraph" w:customStyle="1" w:styleId="782">
    <w:name w:val="~Alt Number Double"/>
    <w:basedOn w:val="776"/>
    <w:qFormat/>
    <w:uiPriority w:val="0"/>
    <w:pPr>
      <w:tabs>
        <w:tab w:val="left" w:pos="1440"/>
        <w:tab w:val="clear" w:pos="360"/>
      </w:tabs>
      <w:ind w:left="1440" w:hanging="1440"/>
    </w:pPr>
  </w:style>
  <w:style w:type="paragraph" w:customStyle="1" w:styleId="783">
    <w:name w:val="Inside Address Name"/>
    <w:basedOn w:val="784"/>
    <w:next w:val="784"/>
    <w:qFormat/>
    <w:uiPriority w:val="0"/>
    <w:pPr>
      <w:spacing w:before="220"/>
    </w:pPr>
  </w:style>
  <w:style w:type="paragraph" w:customStyle="1" w:styleId="784">
    <w:name w:val="Inside Address"/>
    <w:basedOn w:val="1"/>
    <w:autoRedefine/>
    <w:qFormat/>
    <w:uiPriority w:val="0"/>
    <w:pPr>
      <w:spacing w:line="360" w:lineRule="auto"/>
      <w:ind w:left="835" w:right="-360" w:firstLine="200" w:firstLineChars="200"/>
    </w:pPr>
    <w:rPr>
      <w:sz w:val="20"/>
      <w:szCs w:val="20"/>
      <w:lang w:eastAsia="en-US"/>
    </w:rPr>
  </w:style>
  <w:style w:type="paragraph" w:customStyle="1" w:styleId="785">
    <w:name w:val="normal Char"/>
    <w:basedOn w:val="1"/>
    <w:qFormat/>
    <w:uiPriority w:val="0"/>
    <w:pPr>
      <w:spacing w:line="360" w:lineRule="auto"/>
      <w:ind w:firstLine="200" w:firstLineChars="200"/>
    </w:pPr>
    <w:rPr>
      <w:color w:val="000000"/>
      <w:sz w:val="20"/>
      <w:szCs w:val="20"/>
      <w:lang w:eastAsia="en-US"/>
    </w:rPr>
  </w:style>
  <w:style w:type="character" w:customStyle="1" w:styleId="786">
    <w:name w:val="normal Char Char"/>
    <w:qFormat/>
    <w:uiPriority w:val="0"/>
    <w:rPr>
      <w:color w:val="000000"/>
      <w:lang w:val="en-US" w:eastAsia="en-US" w:bidi="ar-SA"/>
    </w:rPr>
  </w:style>
  <w:style w:type="paragraph" w:customStyle="1" w:styleId="787">
    <w:name w:val="Reference Line"/>
    <w:basedOn w:val="4"/>
    <w:qFormat/>
    <w:uiPriority w:val="0"/>
    <w:pPr>
      <w:widowControl/>
      <w:spacing w:line="360" w:lineRule="auto"/>
      <w:jc w:val="left"/>
    </w:pPr>
    <w:rPr>
      <w:kern w:val="0"/>
      <w:sz w:val="20"/>
      <w:szCs w:val="20"/>
      <w:lang w:eastAsia="en-US"/>
    </w:rPr>
  </w:style>
  <w:style w:type="paragraph" w:customStyle="1" w:styleId="788">
    <w:name w:val="Style1"/>
    <w:basedOn w:val="1"/>
    <w:qFormat/>
    <w:uiPriority w:val="0"/>
    <w:pPr>
      <w:spacing w:line="360" w:lineRule="auto"/>
      <w:ind w:firstLine="200" w:firstLineChars="200"/>
    </w:pPr>
    <w:rPr>
      <w:rFonts w:ascii="Arial" w:hAnsi="Arial"/>
      <w:sz w:val="14"/>
      <w:szCs w:val="20"/>
      <w:lang w:eastAsia="en-US"/>
    </w:rPr>
  </w:style>
  <w:style w:type="paragraph" w:customStyle="1" w:styleId="789">
    <w:name w:val="Num Text"/>
    <w:basedOn w:val="4"/>
    <w:autoRedefine/>
    <w:qFormat/>
    <w:uiPriority w:val="0"/>
    <w:pPr>
      <w:keepLines/>
      <w:widowControl/>
      <w:spacing w:before="80" w:after="40" w:line="360" w:lineRule="auto"/>
      <w:ind w:left="360" w:hanging="360"/>
      <w:jc w:val="left"/>
    </w:pPr>
    <w:rPr>
      <w:rFonts w:ascii="Swift-Light" w:hAnsi="Swift-Light"/>
      <w:kern w:val="0"/>
      <w:sz w:val="20"/>
      <w:szCs w:val="20"/>
      <w:lang w:eastAsia="en-US"/>
    </w:rPr>
  </w:style>
  <w:style w:type="paragraph" w:customStyle="1" w:styleId="790">
    <w:name w:val="Space 4pt"/>
    <w:basedOn w:val="1"/>
    <w:qFormat/>
    <w:uiPriority w:val="0"/>
    <w:pPr>
      <w:spacing w:line="360" w:lineRule="auto"/>
      <w:ind w:firstLine="200" w:firstLineChars="200"/>
    </w:pPr>
    <w:rPr>
      <w:rFonts w:ascii="Swift-Light" w:hAnsi="Swift-Light"/>
      <w:sz w:val="8"/>
      <w:szCs w:val="20"/>
      <w:lang w:eastAsia="en-US"/>
    </w:rPr>
  </w:style>
  <w:style w:type="paragraph" w:customStyle="1" w:styleId="791">
    <w:name w:val="Table Text 10"/>
    <w:basedOn w:val="1"/>
    <w:qFormat/>
    <w:uiPriority w:val="0"/>
    <w:pPr>
      <w:keepNext/>
      <w:keepLines/>
      <w:spacing w:before="80" w:after="80" w:line="360" w:lineRule="auto"/>
      <w:ind w:firstLine="200" w:firstLineChars="200"/>
    </w:pPr>
    <w:rPr>
      <w:rFonts w:ascii="Univers 57 Condensed" w:hAnsi="Univers 57 Condensed"/>
      <w:sz w:val="20"/>
      <w:szCs w:val="20"/>
      <w:lang w:eastAsia="en-US"/>
    </w:rPr>
  </w:style>
  <w:style w:type="paragraph" w:customStyle="1" w:styleId="792">
    <w:name w:val="Table Head 10"/>
    <w:basedOn w:val="791"/>
    <w:autoRedefine/>
    <w:qFormat/>
    <w:uiPriority w:val="0"/>
    <w:rPr>
      <w:rFonts w:ascii="Univers 67 CondensedBold" w:hAnsi="Univers 67 CondensedBold"/>
    </w:rPr>
  </w:style>
  <w:style w:type="paragraph" w:customStyle="1" w:styleId="793">
    <w:name w:val="Rule"/>
    <w:basedOn w:val="1"/>
    <w:qFormat/>
    <w:uiPriority w:val="0"/>
    <w:pPr>
      <w:pBdr>
        <w:bottom w:val="single" w:color="auto" w:sz="2" w:space="1"/>
      </w:pBdr>
      <w:spacing w:before="80" w:after="160" w:line="360" w:lineRule="auto"/>
      <w:ind w:firstLine="200" w:firstLineChars="200"/>
    </w:pPr>
    <w:rPr>
      <w:rFonts w:ascii="Swift-Light" w:hAnsi="Swift-Light"/>
      <w:sz w:val="8"/>
      <w:szCs w:val="20"/>
      <w:lang w:eastAsia="en-US"/>
    </w:rPr>
  </w:style>
  <w:style w:type="paragraph" w:customStyle="1" w:styleId="794">
    <w:name w:val="Placeholder"/>
    <w:basedOn w:val="1"/>
    <w:qFormat/>
    <w:uiPriority w:val="0"/>
    <w:pPr>
      <w:keepNext/>
      <w:spacing w:after="120" w:line="360" w:lineRule="auto"/>
      <w:ind w:firstLine="200" w:firstLineChars="200"/>
    </w:pPr>
    <w:rPr>
      <w:rFonts w:ascii="Univers 67 CondensedBold" w:hAnsi="Univers 67 CondensedBold"/>
      <w:sz w:val="36"/>
      <w:szCs w:val="20"/>
      <w:lang w:eastAsia="en-US"/>
    </w:rPr>
  </w:style>
  <w:style w:type="paragraph" w:customStyle="1" w:styleId="795">
    <w:name w:val="Mock Heading 1"/>
    <w:basedOn w:val="3"/>
    <w:next w:val="1"/>
    <w:autoRedefine/>
    <w:qFormat/>
    <w:uiPriority w:val="0"/>
    <w:pPr>
      <w:keepNext/>
      <w:keepLines/>
      <w:widowControl/>
      <w:spacing w:before="160" w:after="0"/>
      <w:ind w:firstLine="0"/>
      <w:contextualSpacing w:val="0"/>
      <w:jc w:val="right"/>
      <w:outlineLvl w:val="9"/>
    </w:pPr>
    <w:rPr>
      <w:rFonts w:ascii="Univers 67 CondensedBold" w:hAnsi="Univers 67 CondensedBold"/>
      <w:caps/>
      <w:color w:val="auto"/>
      <w:spacing w:val="0"/>
      <w:kern w:val="28"/>
      <w:sz w:val="30"/>
      <w:szCs w:val="20"/>
      <w:lang w:eastAsia="en-US"/>
    </w:rPr>
  </w:style>
  <w:style w:type="paragraph" w:customStyle="1" w:styleId="796">
    <w:name w:val="Mock Heading 3"/>
    <w:basedOn w:val="6"/>
    <w:qFormat/>
    <w:uiPriority w:val="0"/>
    <w:pPr>
      <w:keepNext/>
      <w:keepLines/>
      <w:widowControl/>
      <w:spacing w:before="100" w:after="0"/>
      <w:contextualSpacing w:val="0"/>
      <w:jc w:val="right"/>
      <w:outlineLvl w:val="9"/>
    </w:pPr>
    <w:rPr>
      <w:rFonts w:ascii="Univers 67 CondensedBoldOblique" w:hAnsi="Univers 67 CondensedBoldOblique"/>
      <w:color w:val="auto"/>
      <w:spacing w:val="0"/>
      <w:kern w:val="28"/>
      <w:sz w:val="20"/>
      <w:szCs w:val="20"/>
      <w:lang w:eastAsia="en-US"/>
    </w:rPr>
  </w:style>
  <w:style w:type="paragraph" w:customStyle="1" w:styleId="797">
    <w:name w:val="Mock TOC 1"/>
    <w:basedOn w:val="2"/>
    <w:next w:val="2"/>
    <w:qFormat/>
    <w:uiPriority w:val="0"/>
    <w:pPr>
      <w:widowControl/>
      <w:tabs>
        <w:tab w:val="right" w:leader="dot" w:pos="9162"/>
      </w:tabs>
      <w:spacing w:before="80" w:after="360" w:line="240" w:lineRule="auto"/>
      <w:ind w:left="432" w:hanging="450" w:firstLineChars="0"/>
      <w:jc w:val="right"/>
    </w:pPr>
    <w:rPr>
      <w:rFonts w:ascii="Univers 67 CondensedBold" w:hAnsi="Univers 67 CondensedBold" w:cs="Calibri"/>
      <w:iCs/>
      <w:color w:val="000000"/>
      <w:kern w:val="0"/>
      <w:sz w:val="24"/>
      <w:szCs w:val="22"/>
      <w:u w:val="single"/>
      <w:lang w:eastAsia="en-US"/>
    </w:rPr>
  </w:style>
  <w:style w:type="paragraph" w:customStyle="1" w:styleId="798">
    <w:name w:val="Mock Heading 2 Obl"/>
    <w:basedOn w:val="5"/>
    <w:qFormat/>
    <w:uiPriority w:val="0"/>
    <w:pPr>
      <w:keepNext/>
      <w:keepLines/>
      <w:widowControl/>
      <w:spacing w:before="80" w:after="0"/>
      <w:ind w:firstLine="0" w:firstLineChars="0"/>
      <w:contextualSpacing w:val="0"/>
      <w:jc w:val="right"/>
      <w:outlineLvl w:val="9"/>
    </w:pPr>
    <w:rPr>
      <w:rFonts w:ascii="Univers 67 CondensedBoldOblique" w:hAnsi="Univers 67 CondensedBoldOblique"/>
      <w:caps/>
      <w:color w:val="auto"/>
      <w:spacing w:val="0"/>
      <w:kern w:val="28"/>
      <w:sz w:val="24"/>
      <w:szCs w:val="20"/>
      <w:lang w:eastAsia="en-US"/>
    </w:rPr>
  </w:style>
  <w:style w:type="paragraph" w:customStyle="1" w:styleId="799">
    <w:name w:val="题注1"/>
    <w:basedOn w:val="1"/>
    <w:qFormat/>
    <w:uiPriority w:val="0"/>
    <w:pPr>
      <w:jc w:val="center"/>
    </w:pPr>
    <w:rPr>
      <w:rFonts w:hint="default"/>
    </w:rPr>
  </w:style>
  <w:style w:type="paragraph" w:customStyle="1" w:styleId="800">
    <w:name w:val="Mock Heading 2 Rom"/>
    <w:basedOn w:val="798"/>
    <w:qFormat/>
    <w:uiPriority w:val="0"/>
    <w:pPr>
      <w:spacing w:before="120"/>
      <w:jc w:val="left"/>
    </w:pPr>
    <w:rPr>
      <w:rFonts w:ascii="Univers 67 CondensedBold" w:hAnsi="Univers 67 CondensedBold"/>
    </w:rPr>
  </w:style>
  <w:style w:type="paragraph" w:customStyle="1" w:styleId="801">
    <w:name w:val="header even"/>
    <w:basedOn w:val="785"/>
    <w:qFormat/>
    <w:uiPriority w:val="0"/>
    <w:pPr>
      <w:pBdr>
        <w:top w:val="single" w:color="auto" w:sz="6" w:space="0"/>
      </w:pBdr>
      <w:ind w:left="-1800" w:right="7920"/>
    </w:pPr>
  </w:style>
  <w:style w:type="paragraph" w:customStyle="1" w:styleId="802">
    <w:name w:val="header odd"/>
    <w:basedOn w:val="785"/>
    <w:qFormat/>
    <w:uiPriority w:val="0"/>
    <w:pPr>
      <w:pBdr>
        <w:top w:val="single" w:color="auto" w:sz="6" w:space="0"/>
      </w:pBdr>
      <w:tabs>
        <w:tab w:val="left" w:pos="7920"/>
      </w:tabs>
      <w:ind w:left="7920" w:right="-1800"/>
    </w:pPr>
  </w:style>
  <w:style w:type="paragraph" w:customStyle="1" w:styleId="803">
    <w:name w:val="footer even"/>
    <w:basedOn w:val="785"/>
    <w:qFormat/>
    <w:uiPriority w:val="0"/>
    <w:pPr>
      <w:pBdr>
        <w:top w:val="single" w:color="auto" w:sz="6" w:space="0"/>
      </w:pBdr>
      <w:ind w:left="-1800"/>
    </w:pPr>
  </w:style>
  <w:style w:type="paragraph" w:customStyle="1" w:styleId="804">
    <w:name w:val="footer odd"/>
    <w:basedOn w:val="1"/>
    <w:qFormat/>
    <w:uiPriority w:val="0"/>
    <w:pPr>
      <w:pBdr>
        <w:top w:val="single" w:color="auto" w:sz="6" w:space="0"/>
      </w:pBdr>
      <w:tabs>
        <w:tab w:val="left" w:pos="1440"/>
        <w:tab w:val="center" w:pos="4320"/>
        <w:tab w:val="right" w:pos="9360"/>
      </w:tabs>
      <w:spacing w:line="360" w:lineRule="auto"/>
      <w:ind w:right="-1800" w:firstLine="200" w:firstLineChars="200"/>
    </w:pPr>
    <w:rPr>
      <w:color w:val="000000"/>
      <w:sz w:val="20"/>
      <w:szCs w:val="20"/>
      <w:lang w:eastAsia="en-US"/>
    </w:rPr>
  </w:style>
  <w:style w:type="paragraph" w:customStyle="1" w:styleId="805">
    <w:name w:val="Definition List"/>
    <w:basedOn w:val="1"/>
    <w:next w:val="1"/>
    <w:qFormat/>
    <w:uiPriority w:val="0"/>
    <w:pPr>
      <w:spacing w:line="360" w:lineRule="auto"/>
      <w:ind w:left="360" w:firstLine="200" w:firstLineChars="200"/>
    </w:pPr>
    <w:rPr>
      <w:snapToGrid w:val="0"/>
      <w:szCs w:val="20"/>
      <w:lang w:eastAsia="en-US"/>
    </w:rPr>
  </w:style>
  <w:style w:type="paragraph" w:customStyle="1" w:styleId="806">
    <w:name w:val="Blockquote"/>
    <w:basedOn w:val="1"/>
    <w:autoRedefine/>
    <w:qFormat/>
    <w:uiPriority w:val="0"/>
    <w:pPr>
      <w:spacing w:before="100" w:after="100" w:line="360" w:lineRule="auto"/>
      <w:ind w:left="360" w:right="360" w:firstLine="200" w:firstLineChars="200"/>
    </w:pPr>
    <w:rPr>
      <w:snapToGrid w:val="0"/>
      <w:szCs w:val="20"/>
      <w:lang w:eastAsia="en-US"/>
    </w:rPr>
  </w:style>
  <w:style w:type="paragraph" w:customStyle="1" w:styleId="807">
    <w:name w:val="Normal Text"/>
    <w:qFormat/>
    <w:uiPriority w:val="0"/>
    <w:pPr>
      <w:spacing w:after="120"/>
      <w:ind w:left="1701"/>
    </w:pPr>
    <w:rPr>
      <w:rFonts w:ascii="Times New Roman" w:hAnsi="Times New Roman" w:eastAsia="宋体" w:cs="Times New Roman"/>
      <w:lang w:val="en-US" w:eastAsia="en-US" w:bidi="ar-SA"/>
    </w:rPr>
  </w:style>
  <w:style w:type="paragraph" w:customStyle="1" w:styleId="808">
    <w:name w:val="Definition Term"/>
    <w:basedOn w:val="1"/>
    <w:next w:val="805"/>
    <w:qFormat/>
    <w:uiPriority w:val="0"/>
    <w:pPr>
      <w:spacing w:line="360" w:lineRule="auto"/>
      <w:ind w:firstLine="200" w:firstLineChars="200"/>
    </w:pPr>
    <w:rPr>
      <w:snapToGrid w:val="0"/>
      <w:szCs w:val="20"/>
      <w:lang w:eastAsia="en-US"/>
    </w:rPr>
  </w:style>
  <w:style w:type="character" w:customStyle="1" w:styleId="809">
    <w:name w:val="Definition"/>
    <w:qFormat/>
    <w:uiPriority w:val="0"/>
    <w:rPr>
      <w:i/>
    </w:rPr>
  </w:style>
  <w:style w:type="paragraph" w:customStyle="1" w:styleId="810">
    <w:name w:val="Address"/>
    <w:basedOn w:val="1"/>
    <w:next w:val="1"/>
    <w:qFormat/>
    <w:uiPriority w:val="0"/>
    <w:pPr>
      <w:spacing w:line="360" w:lineRule="auto"/>
      <w:ind w:firstLine="200" w:firstLineChars="200"/>
    </w:pPr>
    <w:rPr>
      <w:i/>
      <w:snapToGrid w:val="0"/>
      <w:szCs w:val="20"/>
      <w:lang w:eastAsia="en-US"/>
    </w:rPr>
  </w:style>
  <w:style w:type="character" w:customStyle="1" w:styleId="811">
    <w:name w:val="CITE"/>
    <w:qFormat/>
    <w:uiPriority w:val="0"/>
    <w:rPr>
      <w:i/>
    </w:rPr>
  </w:style>
  <w:style w:type="character" w:customStyle="1" w:styleId="812">
    <w:name w:val="CODE"/>
    <w:qFormat/>
    <w:uiPriority w:val="0"/>
    <w:rPr>
      <w:rFonts w:ascii="Courier New" w:hAnsi="Courier New"/>
      <w:sz w:val="20"/>
    </w:rPr>
  </w:style>
  <w:style w:type="character" w:customStyle="1" w:styleId="813">
    <w:name w:val="Keyboard"/>
    <w:autoRedefine/>
    <w:qFormat/>
    <w:uiPriority w:val="0"/>
    <w:rPr>
      <w:rFonts w:ascii="Courier New" w:hAnsi="Courier New"/>
      <w:b/>
      <w:sz w:val="20"/>
    </w:rPr>
  </w:style>
  <w:style w:type="paragraph" w:customStyle="1" w:styleId="81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ind w:firstLine="200" w:firstLineChars="200"/>
    </w:pPr>
    <w:rPr>
      <w:rFonts w:ascii="Courier New" w:hAnsi="Courier New"/>
      <w:snapToGrid w:val="0"/>
      <w:sz w:val="20"/>
      <w:szCs w:val="20"/>
      <w:lang w:eastAsia="en-US"/>
    </w:rPr>
  </w:style>
  <w:style w:type="paragraph" w:customStyle="1" w:styleId="815">
    <w:name w:val="z-窗体底端1"/>
    <w:next w:val="1"/>
    <w:link w:val="816"/>
    <w:autoRedefine/>
    <w:qFormat/>
    <w:uiPriority w:val="0"/>
    <w:pPr>
      <w:pBdr>
        <w:top w:val="double" w:color="000000" w:sz="2" w:space="0"/>
      </w:pBdr>
      <w:jc w:val="center"/>
    </w:pPr>
    <w:rPr>
      <w:rFonts w:ascii="Arial" w:hAnsi="Arial" w:eastAsia="宋体" w:cs="Times New Roman"/>
      <w:snapToGrid w:val="0"/>
      <w:vanish/>
      <w:sz w:val="16"/>
      <w:lang w:val="en-US" w:eastAsia="en-US" w:bidi="ar-SA"/>
    </w:rPr>
  </w:style>
  <w:style w:type="character" w:customStyle="1" w:styleId="816">
    <w:name w:val="z-窗体底端 字符"/>
    <w:basedOn w:val="71"/>
    <w:link w:val="815"/>
    <w:autoRedefine/>
    <w:qFormat/>
    <w:uiPriority w:val="0"/>
    <w:rPr>
      <w:rFonts w:ascii="Arial" w:hAnsi="Arial"/>
      <w:snapToGrid w:val="0"/>
      <w:vanish/>
      <w:sz w:val="16"/>
      <w:lang w:val="en-US" w:eastAsia="en-US" w:bidi="ar-SA"/>
    </w:rPr>
  </w:style>
  <w:style w:type="paragraph" w:customStyle="1" w:styleId="817">
    <w:name w:val="z-窗体顶端1"/>
    <w:next w:val="1"/>
    <w:link w:val="818"/>
    <w:autoRedefine/>
    <w:qFormat/>
    <w:uiPriority w:val="0"/>
    <w:pPr>
      <w:pBdr>
        <w:bottom w:val="double" w:color="000000" w:sz="2" w:space="0"/>
      </w:pBdr>
      <w:jc w:val="center"/>
    </w:pPr>
    <w:rPr>
      <w:rFonts w:ascii="Arial" w:hAnsi="Arial" w:eastAsia="宋体" w:cs="Times New Roman"/>
      <w:snapToGrid w:val="0"/>
      <w:vanish/>
      <w:sz w:val="16"/>
      <w:lang w:val="en-US" w:eastAsia="en-US" w:bidi="ar-SA"/>
    </w:rPr>
  </w:style>
  <w:style w:type="character" w:customStyle="1" w:styleId="818">
    <w:name w:val="z-窗体顶端 字符"/>
    <w:basedOn w:val="71"/>
    <w:link w:val="817"/>
    <w:qFormat/>
    <w:uiPriority w:val="0"/>
    <w:rPr>
      <w:rFonts w:ascii="Arial" w:hAnsi="Arial"/>
      <w:snapToGrid w:val="0"/>
      <w:vanish/>
      <w:sz w:val="16"/>
      <w:lang w:val="en-US" w:eastAsia="en-US" w:bidi="ar-SA"/>
    </w:rPr>
  </w:style>
  <w:style w:type="character" w:customStyle="1" w:styleId="819">
    <w:name w:val="Sample"/>
    <w:qFormat/>
    <w:uiPriority w:val="0"/>
    <w:rPr>
      <w:rFonts w:ascii="Courier New" w:hAnsi="Courier New"/>
    </w:rPr>
  </w:style>
  <w:style w:type="character" w:customStyle="1" w:styleId="820">
    <w:name w:val="Typewriter"/>
    <w:qFormat/>
    <w:uiPriority w:val="0"/>
    <w:rPr>
      <w:rFonts w:ascii="Courier New" w:hAnsi="Courier New"/>
      <w:sz w:val="20"/>
    </w:rPr>
  </w:style>
  <w:style w:type="character" w:customStyle="1" w:styleId="821">
    <w:name w:val="Variable"/>
    <w:qFormat/>
    <w:uiPriority w:val="0"/>
    <w:rPr>
      <w:i/>
    </w:rPr>
  </w:style>
  <w:style w:type="character" w:customStyle="1" w:styleId="822">
    <w:name w:val="HTML Markup"/>
    <w:qFormat/>
    <w:uiPriority w:val="0"/>
    <w:rPr>
      <w:vanish/>
      <w:color w:val="FF0000"/>
    </w:rPr>
  </w:style>
  <w:style w:type="character" w:customStyle="1" w:styleId="823">
    <w:name w:val="Comment"/>
    <w:qFormat/>
    <w:uiPriority w:val="0"/>
    <w:rPr>
      <w:vanish/>
    </w:rPr>
  </w:style>
  <w:style w:type="paragraph" w:customStyle="1" w:styleId="824">
    <w:name w:val="bodytext"/>
    <w:basedOn w:val="1"/>
    <w:qFormat/>
    <w:uiPriority w:val="0"/>
    <w:pPr>
      <w:spacing w:before="100" w:beforeAutospacing="1" w:after="100" w:afterAutospacing="1" w:line="360" w:lineRule="auto"/>
      <w:ind w:firstLine="200" w:firstLineChars="200"/>
    </w:pPr>
    <w:rPr>
      <w:rFonts w:ascii="Verdana" w:hAnsi="Verdana"/>
      <w:sz w:val="20"/>
      <w:szCs w:val="20"/>
      <w:lang w:eastAsia="en-US"/>
    </w:rPr>
  </w:style>
  <w:style w:type="character" w:customStyle="1" w:styleId="825">
    <w:name w:val="bold1"/>
    <w:qFormat/>
    <w:uiPriority w:val="0"/>
    <w:rPr>
      <w:b/>
      <w:bCs/>
    </w:rPr>
  </w:style>
  <w:style w:type="character" w:customStyle="1" w:styleId="826">
    <w:name w:val="header1"/>
    <w:qFormat/>
    <w:uiPriority w:val="0"/>
    <w:rPr>
      <w:rFonts w:hint="default" w:ascii="Arial" w:hAnsi="Arial" w:cs="Arial"/>
      <w:sz w:val="33"/>
      <w:szCs w:val="33"/>
    </w:rPr>
  </w:style>
  <w:style w:type="paragraph" w:customStyle="1" w:styleId="827">
    <w:name w:val="Bottom Line"/>
    <w:basedOn w:val="1"/>
    <w:next w:val="41"/>
    <w:autoRedefine/>
    <w:qFormat/>
    <w:uiPriority w:val="0"/>
    <w:pPr>
      <w:pBdr>
        <w:top w:val="single" w:color="auto" w:sz="6" w:space="3"/>
      </w:pBdr>
      <w:suppressAutoHyphens/>
      <w:spacing w:line="180" w:lineRule="exact"/>
      <w:ind w:left="6350" w:firstLine="230" w:firstLineChars="200"/>
    </w:pPr>
    <w:rPr>
      <w:rFonts w:ascii="ITCCenturyBookT" w:hAnsi="ITCCenturyBookT"/>
      <w:sz w:val="18"/>
      <w:szCs w:val="20"/>
      <w:lang w:eastAsia="en-US"/>
    </w:rPr>
  </w:style>
  <w:style w:type="paragraph" w:customStyle="1" w:styleId="828">
    <w:name w:val="Body Single"/>
    <w:basedOn w:val="4"/>
    <w:qFormat/>
    <w:uiPriority w:val="0"/>
    <w:pPr>
      <w:widowControl/>
      <w:tabs>
        <w:tab w:val="left" w:pos="4140"/>
      </w:tabs>
      <w:suppressAutoHyphens/>
      <w:spacing w:after="0" w:line="360" w:lineRule="auto"/>
      <w:ind w:left="1440" w:right="-187"/>
      <w:jc w:val="left"/>
    </w:pPr>
    <w:rPr>
      <w:rFonts w:ascii="Futura Bk" w:hAnsi="Futura Bk"/>
      <w:snapToGrid w:val="0"/>
      <w:color w:val="000000"/>
      <w:kern w:val="0"/>
      <w:sz w:val="20"/>
      <w:szCs w:val="20"/>
      <w:lang w:eastAsia="en-US"/>
    </w:rPr>
  </w:style>
  <w:style w:type="paragraph" w:customStyle="1" w:styleId="829">
    <w:name w:val="bullet last"/>
    <w:basedOn w:val="7"/>
    <w:qFormat/>
    <w:uiPriority w:val="0"/>
    <w:pPr>
      <w:widowControl/>
      <w:pBdr>
        <w:bottom w:val="none" w:color="auto" w:sz="0" w:space="0"/>
      </w:pBdr>
      <w:tabs>
        <w:tab w:val="left" w:pos="216"/>
        <w:tab w:val="left" w:pos="360"/>
        <w:tab w:val="clear" w:pos="0"/>
      </w:tabs>
      <w:spacing w:before="0" w:after="300" w:line="220" w:lineRule="exact"/>
      <w:ind w:left="216" w:hanging="216"/>
      <w:contextualSpacing w:val="0"/>
      <w:jc w:val="left"/>
      <w:outlineLvl w:val="9"/>
    </w:pPr>
    <w:rPr>
      <w:rFonts w:ascii="Futura Bk" w:hAnsi="Futura Bk"/>
      <w:b w:val="0"/>
      <w:color w:val="auto"/>
      <w:spacing w:val="0"/>
      <w:kern w:val="0"/>
      <w:sz w:val="20"/>
      <w:szCs w:val="20"/>
      <w:lang w:eastAsia="en-US"/>
    </w:rPr>
  </w:style>
  <w:style w:type="paragraph" w:customStyle="1" w:styleId="830">
    <w:name w:val="box"/>
    <w:basedOn w:val="4"/>
    <w:qFormat/>
    <w:uiPriority w:val="0"/>
    <w:pPr>
      <w:widowControl/>
      <w:shd w:val="clear" w:color="auto" w:fill="C0C0C0"/>
      <w:tabs>
        <w:tab w:val="left" w:pos="4140"/>
      </w:tabs>
      <w:suppressAutoHyphens/>
      <w:spacing w:before="100" w:after="100" w:line="360" w:lineRule="auto"/>
      <w:ind w:left="1440" w:right="-187"/>
      <w:jc w:val="left"/>
    </w:pPr>
    <w:rPr>
      <w:rFonts w:ascii="Futura Bk" w:hAnsi="Futura Bk"/>
      <w:b/>
      <w:snapToGrid w:val="0"/>
      <w:color w:val="0000FF"/>
      <w:kern w:val="0"/>
      <w:sz w:val="28"/>
      <w:szCs w:val="20"/>
      <w:lang w:eastAsia="en-US"/>
    </w:rPr>
  </w:style>
  <w:style w:type="paragraph" w:customStyle="1" w:styleId="831">
    <w:name w:val="table bullet"/>
    <w:autoRedefine/>
    <w:qFormat/>
    <w:uiPriority w:val="0"/>
    <w:pPr>
      <w:numPr>
        <w:ilvl w:val="0"/>
        <w:numId w:val="23"/>
      </w:numPr>
      <w:spacing w:line="200" w:lineRule="exact"/>
    </w:pPr>
    <w:rPr>
      <w:rFonts w:ascii="Futura Bk" w:hAnsi="Futura Bk" w:eastAsia="宋体" w:cs="Arial"/>
      <w:b/>
      <w:bCs/>
      <w:color w:val="999999"/>
      <w:sz w:val="16"/>
      <w:szCs w:val="24"/>
      <w:lang w:val="en-US" w:eastAsia="en-US" w:bidi="ar-SA"/>
    </w:rPr>
  </w:style>
  <w:style w:type="paragraph" w:customStyle="1" w:styleId="832">
    <w:name w:val="HP Basic Text"/>
    <w:basedOn w:val="1"/>
    <w:qFormat/>
    <w:uiPriority w:val="0"/>
    <w:pPr>
      <w:spacing w:line="230" w:lineRule="exact"/>
      <w:ind w:firstLine="200" w:firstLineChars="200"/>
    </w:pPr>
    <w:rPr>
      <w:rFonts w:ascii="Futura Bk" w:hAnsi="Futura Bk" w:eastAsia="Times"/>
      <w:sz w:val="18"/>
      <w:szCs w:val="20"/>
      <w:lang w:eastAsia="en-US"/>
    </w:rPr>
  </w:style>
  <w:style w:type="character" w:customStyle="1" w:styleId="833">
    <w:name w:val="body1"/>
    <w:qFormat/>
    <w:uiPriority w:val="0"/>
    <w:rPr>
      <w:rFonts w:hint="default" w:ascii="Helvetica" w:hAnsi="Helvetica"/>
      <w:color w:val="000000"/>
      <w:sz w:val="22"/>
      <w:szCs w:val="22"/>
    </w:rPr>
  </w:style>
  <w:style w:type="paragraph" w:customStyle="1" w:styleId="834">
    <w:name w:val="Tip"/>
    <w:basedOn w:val="4"/>
    <w:autoRedefine/>
    <w:qFormat/>
    <w:uiPriority w:val="0"/>
    <w:pPr>
      <w:widowControl/>
      <w:tabs>
        <w:tab w:val="left" w:pos="4140"/>
      </w:tabs>
      <w:suppressAutoHyphens/>
      <w:spacing w:after="100" w:line="360" w:lineRule="auto"/>
      <w:ind w:left="1440" w:right="-187"/>
      <w:jc w:val="left"/>
    </w:pPr>
    <w:rPr>
      <w:rFonts w:ascii="Futura Bk" w:hAnsi="Futura Bk"/>
      <w:b/>
      <w:bCs/>
      <w:i/>
      <w:iCs/>
      <w:snapToGrid w:val="0"/>
      <w:color w:val="FF0000"/>
      <w:kern w:val="0"/>
      <w:sz w:val="20"/>
      <w:szCs w:val="20"/>
      <w:lang w:eastAsia="en-US"/>
    </w:rPr>
  </w:style>
  <w:style w:type="paragraph" w:customStyle="1" w:styleId="835">
    <w:name w:val="Document Label"/>
    <w:basedOn w:val="1"/>
    <w:next w:val="63"/>
    <w:qFormat/>
    <w:uiPriority w:val="0"/>
    <w:pPr>
      <w:keepNext/>
      <w:keepLines/>
      <w:spacing w:before="600" w:after="400" w:line="1040" w:lineRule="exact"/>
      <w:ind w:firstLine="200" w:firstLineChars="200"/>
    </w:pPr>
    <w:rPr>
      <w:rFonts w:ascii="Arial" w:hAnsi="Arial"/>
      <w:spacing w:val="-96"/>
      <w:kern w:val="28"/>
      <w:sz w:val="108"/>
      <w:szCs w:val="20"/>
      <w:lang w:eastAsia="en-US"/>
    </w:rPr>
  </w:style>
  <w:style w:type="character" w:customStyle="1" w:styleId="836">
    <w:name w:val="Lead-in Emphasis"/>
    <w:qFormat/>
    <w:uiPriority w:val="0"/>
    <w:rPr>
      <w:rFonts w:hint="default" w:ascii="Arial Black" w:hAnsi="Arial Black"/>
      <w:spacing w:val="-15"/>
    </w:rPr>
  </w:style>
  <w:style w:type="character" w:customStyle="1" w:styleId="837">
    <w:name w:val="insetheader1"/>
    <w:qFormat/>
    <w:uiPriority w:val="0"/>
    <w:rPr>
      <w:rFonts w:hint="default" w:ascii="Tahoma" w:hAnsi="Tahoma" w:cs="Tahoma"/>
      <w:b/>
      <w:bCs/>
      <w:color w:val="FFFFFF"/>
    </w:rPr>
  </w:style>
  <w:style w:type="character" w:customStyle="1" w:styleId="838">
    <w:name w:val="insetbody1"/>
    <w:autoRedefine/>
    <w:qFormat/>
    <w:uiPriority w:val="0"/>
    <w:rPr>
      <w:rFonts w:hint="default" w:ascii="Tahoma" w:hAnsi="Tahoma" w:cs="Tahoma"/>
      <w:color w:val="FFFFFF"/>
    </w:rPr>
  </w:style>
  <w:style w:type="character" w:customStyle="1" w:styleId="839">
    <w:name w:val="copy11"/>
    <w:qFormat/>
    <w:uiPriority w:val="0"/>
    <w:rPr>
      <w:rFonts w:hint="default" w:ascii="Verdana" w:hAnsi="Verdana"/>
      <w:color w:val="000000"/>
      <w:sz w:val="17"/>
      <w:szCs w:val="17"/>
    </w:rPr>
  </w:style>
  <w:style w:type="paragraph" w:customStyle="1" w:styleId="840">
    <w:name w:val="textarial"/>
    <w:basedOn w:val="1"/>
    <w:qFormat/>
    <w:uiPriority w:val="0"/>
    <w:pPr>
      <w:spacing w:before="100" w:beforeAutospacing="1" w:after="100" w:afterAutospacing="1" w:line="360" w:lineRule="auto"/>
      <w:ind w:firstLine="200" w:firstLineChars="200"/>
    </w:pPr>
    <w:rPr>
      <w:rFonts w:ascii="Arial" w:hAnsi="Arial" w:cs="Arial"/>
      <w:color w:val="000000"/>
      <w:sz w:val="22"/>
      <w:szCs w:val="22"/>
      <w:lang w:eastAsia="en-US"/>
    </w:rPr>
  </w:style>
  <w:style w:type="paragraph" w:customStyle="1" w:styleId="841">
    <w:name w:val="subheadblue"/>
    <w:basedOn w:val="1"/>
    <w:qFormat/>
    <w:uiPriority w:val="0"/>
    <w:pPr>
      <w:spacing w:before="100" w:beforeAutospacing="1" w:after="100" w:afterAutospacing="1" w:line="360" w:lineRule="auto"/>
      <w:ind w:firstLine="200" w:firstLineChars="200"/>
    </w:pPr>
    <w:rPr>
      <w:rFonts w:ascii="Arial" w:hAnsi="Arial" w:cs="Arial"/>
      <w:b/>
      <w:bCs/>
      <w:color w:val="CC5C00"/>
      <w:lang w:eastAsia="en-US"/>
    </w:rPr>
  </w:style>
  <w:style w:type="character" w:customStyle="1" w:styleId="842">
    <w:name w:val="bluesubhead1"/>
    <w:qFormat/>
    <w:uiPriority w:val="0"/>
    <w:rPr>
      <w:rFonts w:hint="default" w:ascii="Verdana" w:hAnsi="Verdana"/>
      <w:b/>
      <w:bCs/>
      <w:color w:val="001858"/>
      <w:sz w:val="2"/>
      <w:szCs w:val="2"/>
    </w:rPr>
  </w:style>
  <w:style w:type="character" w:customStyle="1" w:styleId="843">
    <w:name w:val="carrot1"/>
    <w:qFormat/>
    <w:uiPriority w:val="0"/>
    <w:rPr>
      <w:rFonts w:hint="default" w:ascii="Verdana" w:hAnsi="Verdana"/>
      <w:color w:val="FD8500"/>
      <w:sz w:val="18"/>
      <w:szCs w:val="18"/>
    </w:rPr>
  </w:style>
  <w:style w:type="paragraph" w:customStyle="1" w:styleId="844">
    <w:name w:val="modulecontent"/>
    <w:basedOn w:val="1"/>
    <w:qFormat/>
    <w:uiPriority w:val="0"/>
    <w:pPr>
      <w:spacing w:before="100" w:beforeAutospacing="1" w:after="100" w:afterAutospacing="1" w:line="360" w:lineRule="auto"/>
      <w:ind w:firstLine="200" w:firstLineChars="200"/>
    </w:pPr>
    <w:rPr>
      <w:rFonts w:ascii="Verdana" w:hAnsi="Verdana"/>
      <w:sz w:val="20"/>
      <w:szCs w:val="20"/>
      <w:lang w:eastAsia="en-US"/>
    </w:rPr>
  </w:style>
  <w:style w:type="character" w:customStyle="1" w:styleId="845">
    <w:name w:val="contentheader1"/>
    <w:qFormat/>
    <w:uiPriority w:val="0"/>
    <w:rPr>
      <w:rFonts w:hint="default" w:ascii="Verdana" w:hAnsi="Verdana"/>
      <w:b/>
      <w:bCs/>
      <w:color w:val="006699"/>
      <w:sz w:val="24"/>
      <w:szCs w:val="24"/>
    </w:rPr>
  </w:style>
  <w:style w:type="paragraph" w:customStyle="1" w:styleId="846">
    <w:name w:val="正文文本1"/>
    <w:basedOn w:val="1"/>
    <w:autoRedefine/>
    <w:qFormat/>
    <w:uiPriority w:val="0"/>
    <w:pPr>
      <w:spacing w:after="120" w:line="220" w:lineRule="exact"/>
      <w:ind w:firstLine="200" w:firstLineChars="200"/>
    </w:pPr>
    <w:rPr>
      <w:rFonts w:ascii="Futura Bk" w:hAnsi="Futura Bk"/>
      <w:sz w:val="18"/>
      <w:szCs w:val="20"/>
      <w:lang w:eastAsia="en-US"/>
    </w:rPr>
  </w:style>
  <w:style w:type="character" w:customStyle="1" w:styleId="847">
    <w:name w:val="alltext1"/>
    <w:qFormat/>
    <w:uiPriority w:val="0"/>
    <w:rPr>
      <w:rFonts w:hint="default" w:ascii="Verdana" w:hAnsi="Verdana"/>
      <w:color w:val="000000"/>
      <w:sz w:val="16"/>
      <w:szCs w:val="16"/>
    </w:rPr>
  </w:style>
  <w:style w:type="paragraph" w:customStyle="1" w:styleId="848">
    <w:name w:val="Subject Line"/>
    <w:basedOn w:val="1"/>
    <w:next w:val="4"/>
    <w:autoRedefine/>
    <w:qFormat/>
    <w:uiPriority w:val="0"/>
    <w:pPr>
      <w:spacing w:after="220" w:line="220" w:lineRule="atLeast"/>
      <w:ind w:firstLine="200" w:firstLineChars="200"/>
    </w:pPr>
    <w:rPr>
      <w:rFonts w:ascii="Arial Black" w:hAnsi="Arial Black"/>
      <w:spacing w:val="-10"/>
      <w:sz w:val="20"/>
      <w:szCs w:val="20"/>
      <w:lang w:eastAsia="en-US"/>
    </w:rPr>
  </w:style>
  <w:style w:type="paragraph" w:customStyle="1" w:styleId="849">
    <w:name w:val="Return Address"/>
    <w:basedOn w:val="1"/>
    <w:qFormat/>
    <w:uiPriority w:val="0"/>
    <w:pPr>
      <w:spacing w:line="360" w:lineRule="auto"/>
      <w:ind w:firstLine="200" w:firstLineChars="200"/>
      <w:jc w:val="center"/>
    </w:pPr>
    <w:rPr>
      <w:rFonts w:ascii="Arial" w:hAnsi="Arial"/>
      <w:spacing w:val="-3"/>
      <w:sz w:val="20"/>
      <w:szCs w:val="20"/>
      <w:lang w:eastAsia="en-US"/>
    </w:rPr>
  </w:style>
  <w:style w:type="paragraph" w:customStyle="1" w:styleId="850">
    <w:name w:val="Style0"/>
    <w:qFormat/>
    <w:uiPriority w:val="0"/>
    <w:pPr>
      <w:autoSpaceDE w:val="0"/>
      <w:autoSpaceDN w:val="0"/>
      <w:adjustRightInd w:val="0"/>
    </w:pPr>
    <w:rPr>
      <w:rFonts w:ascii="Arial" w:hAnsi="Arial" w:eastAsia="宋体" w:cs="Times New Roman"/>
      <w:sz w:val="24"/>
      <w:szCs w:val="24"/>
      <w:lang w:val="en-US" w:eastAsia="en-US" w:bidi="ar-SA"/>
    </w:rPr>
  </w:style>
  <w:style w:type="paragraph" w:customStyle="1" w:styleId="851">
    <w:name w:val="Numbered list 3.1"/>
    <w:basedOn w:val="3"/>
    <w:next w:val="1"/>
    <w:autoRedefine/>
    <w:qFormat/>
    <w:uiPriority w:val="0"/>
    <w:pPr>
      <w:keepNext/>
      <w:widowControl/>
      <w:numPr>
        <w:ilvl w:val="0"/>
        <w:numId w:val="24"/>
      </w:numPr>
      <w:tabs>
        <w:tab w:val="clear" w:pos="0"/>
      </w:tabs>
      <w:spacing w:before="240"/>
      <w:contextualSpacing w:val="0"/>
      <w:jc w:val="left"/>
    </w:pPr>
    <w:rPr>
      <w:rFonts w:ascii="Arial" w:hAnsi="Arial"/>
      <w:color w:val="auto"/>
      <w:spacing w:val="0"/>
      <w:kern w:val="28"/>
      <w:sz w:val="28"/>
      <w:szCs w:val="20"/>
      <w:lang w:val="en-GB" w:eastAsia="en-US"/>
    </w:rPr>
  </w:style>
  <w:style w:type="character" w:customStyle="1" w:styleId="852">
    <w:name w:val="*Heading 2 Char"/>
    <w:qFormat/>
    <w:uiPriority w:val="0"/>
    <w:rPr>
      <w:rFonts w:ascii="Arial" w:hAnsi="Arial"/>
      <w:sz w:val="32"/>
      <w:szCs w:val="32"/>
      <w:lang w:val="en-US" w:eastAsia="en-US" w:bidi="ar-SA"/>
    </w:rPr>
  </w:style>
  <w:style w:type="character" w:customStyle="1" w:styleId="853">
    <w:name w:val="*Body Text Char"/>
    <w:autoRedefine/>
    <w:qFormat/>
    <w:uiPriority w:val="0"/>
    <w:rPr>
      <w:rFonts w:ascii="Arial" w:hAnsi="Arial"/>
      <w:color w:val="000000"/>
      <w:lang w:val="en-US" w:eastAsia="en-US" w:bidi="ar-SA"/>
    </w:rPr>
  </w:style>
  <w:style w:type="character" w:customStyle="1" w:styleId="854">
    <w:name w:val="*Heading 1 Char"/>
    <w:qFormat/>
    <w:uiPriority w:val="0"/>
    <w:rPr>
      <w:rFonts w:ascii="Arial" w:hAnsi="Arial"/>
      <w:b/>
      <w:color w:val="000000"/>
      <w:sz w:val="32"/>
      <w:szCs w:val="32"/>
      <w:lang w:val="en-US" w:eastAsia="en-US" w:bidi="ar-SA"/>
    </w:rPr>
  </w:style>
  <w:style w:type="character" w:customStyle="1" w:styleId="855">
    <w:name w:val="*Full Page Char"/>
    <w:basedOn w:val="853"/>
    <w:qFormat/>
    <w:uiPriority w:val="0"/>
    <w:rPr>
      <w:rFonts w:ascii="Arial" w:hAnsi="Arial"/>
      <w:color w:val="000000"/>
      <w:lang w:val="en-US" w:eastAsia="en-US" w:bidi="ar-SA"/>
    </w:rPr>
  </w:style>
  <w:style w:type="paragraph" w:customStyle="1" w:styleId="856">
    <w:name w:val="Numbered list 3.2"/>
    <w:basedOn w:val="5"/>
    <w:next w:val="1"/>
    <w:qFormat/>
    <w:uiPriority w:val="0"/>
    <w:pPr>
      <w:keepNext/>
      <w:widowControl/>
      <w:numPr>
        <w:ilvl w:val="1"/>
        <w:numId w:val="24"/>
      </w:numPr>
      <w:tabs>
        <w:tab w:val="clear" w:pos="0"/>
      </w:tabs>
      <w:spacing w:before="240"/>
      <w:ind w:firstLine="0" w:firstLineChars="0"/>
      <w:contextualSpacing w:val="0"/>
      <w:jc w:val="left"/>
    </w:pPr>
    <w:rPr>
      <w:rFonts w:ascii="Arial" w:hAnsi="Arial"/>
      <w:color w:val="auto"/>
      <w:spacing w:val="0"/>
      <w:kern w:val="0"/>
      <w:sz w:val="24"/>
      <w:szCs w:val="20"/>
      <w:lang w:val="en-GB" w:eastAsia="en-US"/>
    </w:rPr>
  </w:style>
  <w:style w:type="paragraph" w:customStyle="1" w:styleId="857">
    <w:name w:val="Numbered list 3.3"/>
    <w:basedOn w:val="6"/>
    <w:next w:val="1"/>
    <w:qFormat/>
    <w:uiPriority w:val="0"/>
    <w:pPr>
      <w:keepNext/>
      <w:widowControl/>
      <w:numPr>
        <w:ilvl w:val="2"/>
        <w:numId w:val="24"/>
      </w:numPr>
      <w:tabs>
        <w:tab w:val="clear" w:pos="312"/>
      </w:tabs>
      <w:spacing w:before="240"/>
      <w:contextualSpacing w:val="0"/>
      <w:jc w:val="left"/>
    </w:pPr>
    <w:rPr>
      <w:rFonts w:ascii="Arial" w:hAnsi="Arial"/>
      <w:color w:val="auto"/>
      <w:spacing w:val="0"/>
      <w:kern w:val="0"/>
      <w:sz w:val="22"/>
      <w:szCs w:val="20"/>
      <w:lang w:val="en-GB" w:eastAsia="en-US"/>
    </w:rPr>
  </w:style>
  <w:style w:type="paragraph" w:customStyle="1" w:styleId="858">
    <w:name w:val="Table_Medium"/>
    <w:basedOn w:val="1"/>
    <w:qFormat/>
    <w:uiPriority w:val="0"/>
    <w:pPr>
      <w:spacing w:before="40" w:after="40" w:line="360" w:lineRule="auto"/>
      <w:ind w:firstLine="200" w:firstLineChars="200"/>
    </w:pPr>
    <w:rPr>
      <w:rFonts w:ascii="Arial" w:hAnsi="Arial"/>
      <w:sz w:val="18"/>
      <w:szCs w:val="20"/>
      <w:lang w:val="en-GB" w:eastAsia="en-US"/>
    </w:rPr>
  </w:style>
  <w:style w:type="paragraph" w:customStyle="1" w:styleId="859">
    <w:name w:val="公文正文"/>
    <w:basedOn w:val="1"/>
    <w:qFormat/>
    <w:uiPriority w:val="0"/>
    <w:pPr>
      <w:widowControl w:val="0"/>
      <w:adjustRightInd w:val="0"/>
      <w:spacing w:line="560" w:lineRule="atLeast"/>
      <w:ind w:firstLine="200" w:firstLineChars="200"/>
      <w:textAlignment w:val="baseline"/>
    </w:pPr>
    <w:rPr>
      <w:rFonts w:eastAsia="仿宋_GB2312"/>
      <w:sz w:val="32"/>
      <w:szCs w:val="20"/>
    </w:rPr>
  </w:style>
  <w:style w:type="paragraph" w:customStyle="1" w:styleId="860">
    <w:name w:val="默认段落字体 Para Char Char Char Char Char Char Char Char Char Char"/>
    <w:basedOn w:val="1"/>
    <w:qFormat/>
    <w:uiPriority w:val="0"/>
    <w:pPr>
      <w:widowControl w:val="0"/>
      <w:spacing w:line="360" w:lineRule="auto"/>
      <w:ind w:firstLine="200" w:firstLineChars="200"/>
    </w:pPr>
    <w:rPr>
      <w:rFonts w:ascii="Tahoma" w:hAnsi="Tahoma"/>
      <w:kern w:val="2"/>
      <w:szCs w:val="20"/>
    </w:rPr>
  </w:style>
  <w:style w:type="character" w:customStyle="1" w:styleId="861">
    <w:name w:val="标题1 Char"/>
    <w:qFormat/>
    <w:uiPriority w:val="0"/>
    <w:rPr>
      <w:rFonts w:ascii="Times New Roman" w:hAnsi="Times New Roman" w:eastAsia="宋体" w:cs="Times New Roman"/>
      <w:b/>
      <w:bCs/>
      <w:kern w:val="44"/>
      <w:sz w:val="32"/>
      <w:szCs w:val="44"/>
    </w:rPr>
  </w:style>
  <w:style w:type="character" w:customStyle="1" w:styleId="862">
    <w:name w:val="标题2 Char"/>
    <w:link w:val="324"/>
    <w:autoRedefine/>
    <w:qFormat/>
    <w:uiPriority w:val="0"/>
    <w:rPr>
      <w:rFonts w:ascii="Times New Roman" w:hAnsi="Times New Roman" w:eastAsia="黑体"/>
      <w:spacing w:val="6"/>
      <w:kern w:val="2"/>
      <w:sz w:val="32"/>
      <w:szCs w:val="24"/>
    </w:rPr>
  </w:style>
  <w:style w:type="character" w:customStyle="1" w:styleId="863">
    <w:name w:val="标题3 Char"/>
    <w:link w:val="483"/>
    <w:qFormat/>
    <w:uiPriority w:val="0"/>
    <w:rPr>
      <w:rFonts w:ascii="Arial" w:hAnsi="Times New Roman" w:eastAsia="黑体"/>
      <w:spacing w:val="6"/>
      <w:kern w:val="2"/>
      <w:sz w:val="24"/>
      <w:szCs w:val="24"/>
      <w:lang w:val="ru-RU"/>
    </w:rPr>
  </w:style>
  <w:style w:type="paragraph" w:customStyle="1" w:styleId="864">
    <w:name w:val="text"/>
    <w:basedOn w:val="1"/>
    <w:qFormat/>
    <w:uiPriority w:val="0"/>
    <w:pPr>
      <w:spacing w:before="100" w:beforeAutospacing="1" w:after="100" w:afterAutospacing="1" w:line="360" w:lineRule="auto"/>
      <w:ind w:firstLine="200" w:firstLineChars="200"/>
    </w:pPr>
    <w:rPr>
      <w:rFonts w:ascii="宋体" w:hAnsi="宋体" w:cs="宋体"/>
    </w:rPr>
  </w:style>
  <w:style w:type="paragraph" w:customStyle="1" w:styleId="865">
    <w:name w:val="Bullet with text 4"/>
    <w:basedOn w:val="1"/>
    <w:qFormat/>
    <w:uiPriority w:val="0"/>
    <w:pPr>
      <w:numPr>
        <w:ilvl w:val="0"/>
        <w:numId w:val="25"/>
      </w:numPr>
      <w:spacing w:line="360" w:lineRule="auto"/>
      <w:ind w:firstLine="200" w:firstLineChars="200"/>
    </w:pPr>
    <w:rPr>
      <w:rFonts w:ascii="Arial" w:hAnsi="Arial"/>
      <w:sz w:val="20"/>
      <w:szCs w:val="20"/>
      <w:lang w:val="en-GB" w:eastAsia="en-US"/>
    </w:rPr>
  </w:style>
  <w:style w:type="paragraph" w:customStyle="1" w:styleId="866">
    <w:name w:val="Title_Center"/>
    <w:basedOn w:val="63"/>
    <w:qFormat/>
    <w:uiPriority w:val="0"/>
    <w:pPr>
      <w:keepNext/>
      <w:spacing w:before="240" w:after="60"/>
      <w:contextualSpacing w:val="0"/>
      <w:jc w:val="center"/>
    </w:pPr>
    <w:rPr>
      <w:rFonts w:ascii="Arial" w:hAnsi="Arial"/>
      <w:color w:val="auto"/>
      <w:spacing w:val="0"/>
      <w:kern w:val="28"/>
      <w:sz w:val="24"/>
      <w:szCs w:val="20"/>
      <w:lang w:val="en-GB"/>
    </w:rPr>
  </w:style>
  <w:style w:type="paragraph" w:customStyle="1" w:styleId="867">
    <w:name w:val="样式45"/>
    <w:basedOn w:val="683"/>
    <w:link w:val="868"/>
    <w:qFormat/>
    <w:uiPriority w:val="0"/>
    <w:pPr>
      <w:numPr>
        <w:ilvl w:val="4"/>
      </w:numPr>
      <w:spacing w:line="360" w:lineRule="auto"/>
      <w:ind w:left="1021" w:firstLine="0"/>
      <w:outlineLvl w:val="4"/>
    </w:pPr>
    <w:rPr>
      <w:sz w:val="24"/>
    </w:rPr>
  </w:style>
  <w:style w:type="character" w:customStyle="1" w:styleId="868">
    <w:name w:val="样式45 字符"/>
    <w:basedOn w:val="684"/>
    <w:link w:val="867"/>
    <w:autoRedefine/>
    <w:qFormat/>
    <w:uiPriority w:val="0"/>
    <w:rPr>
      <w:rFonts w:ascii="Cambria" w:hAnsi="Cambria" w:eastAsia="宋体" w:cs="Times New Roman"/>
      <w:color w:val="3071C3"/>
      <w:spacing w:val="20"/>
      <w:kern w:val="2"/>
      <w:sz w:val="24"/>
      <w:szCs w:val="28"/>
    </w:rPr>
  </w:style>
  <w:style w:type="paragraph" w:customStyle="1" w:styleId="869">
    <w:name w:val="正文首行缩进（绿盟科技）"/>
    <w:basedOn w:val="1"/>
    <w:link w:val="870"/>
    <w:qFormat/>
    <w:uiPriority w:val="0"/>
    <w:pPr>
      <w:widowControl w:val="0"/>
      <w:spacing w:line="360" w:lineRule="auto"/>
      <w:ind w:firstLine="480" w:firstLineChars="200"/>
    </w:pPr>
    <w:rPr>
      <w:kern w:val="2"/>
    </w:rPr>
  </w:style>
  <w:style w:type="character" w:customStyle="1" w:styleId="870">
    <w:name w:val="正文首行缩进（绿盟科技） Char"/>
    <w:basedOn w:val="71"/>
    <w:link w:val="869"/>
    <w:qFormat/>
    <w:uiPriority w:val="0"/>
    <w:rPr>
      <w:rFonts w:ascii="Times New Roman" w:hAnsi="Times New Roman"/>
      <w:kern w:val="2"/>
      <w:sz w:val="24"/>
      <w:szCs w:val="24"/>
    </w:rPr>
  </w:style>
  <w:style w:type="paragraph" w:customStyle="1" w:styleId="871">
    <w:name w:val="列表段落1"/>
    <w:basedOn w:val="1"/>
    <w:autoRedefine/>
    <w:qFormat/>
    <w:uiPriority w:val="99"/>
    <w:pPr>
      <w:widowControl w:val="0"/>
      <w:spacing w:line="400" w:lineRule="exact"/>
      <w:ind w:firstLine="420" w:firstLineChars="200"/>
      <w:jc w:val="both"/>
    </w:pPr>
    <w:rPr>
      <w:rFonts w:ascii="宋体" w:hAnsi="宋体" w:cs="宋体"/>
      <w:kern w:val="2"/>
      <w:sz w:val="21"/>
      <w:szCs w:val="21"/>
    </w:rPr>
  </w:style>
  <w:style w:type="paragraph" w:customStyle="1" w:styleId="872">
    <w:name w:val="_正文段落"/>
    <w:basedOn w:val="1"/>
    <w:qFormat/>
    <w:uiPriority w:val="0"/>
    <w:pPr>
      <w:widowControl w:val="0"/>
      <w:spacing w:beforeLines="15" w:line="360" w:lineRule="auto"/>
      <w:ind w:firstLine="200" w:firstLineChars="200"/>
    </w:pPr>
    <w:rPr>
      <w:rFonts w:ascii="宋体" w:hAnsi="宋体" w:cs="宋体"/>
      <w:kern w:val="2"/>
      <w:sz w:val="21"/>
      <w:szCs w:val="21"/>
    </w:rPr>
  </w:style>
  <w:style w:type="paragraph" w:customStyle="1" w:styleId="873">
    <w:name w:val="列出段落-1"/>
    <w:basedOn w:val="120"/>
    <w:autoRedefine/>
    <w:qFormat/>
    <w:uiPriority w:val="0"/>
    <w:pPr>
      <w:spacing w:beforeLines="50" w:afterLines="50" w:line="320" w:lineRule="exact"/>
      <w:ind w:left="0" w:firstLine="482"/>
      <w:jc w:val="left"/>
    </w:pPr>
    <w:rPr>
      <w:rFonts w:ascii="宋体" w:hAnsi="宋体" w:eastAsia="楷体" w:cs="宋体"/>
      <w:b/>
      <w:bCs/>
      <w:color w:val="auto"/>
      <w:sz w:val="24"/>
      <w:szCs w:val="24"/>
    </w:rPr>
  </w:style>
  <w:style w:type="paragraph" w:customStyle="1" w:styleId="874">
    <w:name w:val="普通标题-2"/>
    <w:basedOn w:val="5"/>
    <w:next w:val="873"/>
    <w:qFormat/>
    <w:uiPriority w:val="0"/>
    <w:pPr>
      <w:spacing w:beforeLines="50" w:afterLines="50"/>
      <w:ind w:left="576" w:hanging="576" w:firstLineChars="0"/>
      <w:contextualSpacing w:val="0"/>
      <w:jc w:val="left"/>
    </w:pPr>
    <w:rPr>
      <w:rFonts w:ascii="微软雅黑" w:hAnsi="微软雅黑" w:eastAsia="楷体" w:cs="宋体"/>
      <w:bCs/>
      <w:color w:val="auto"/>
      <w:spacing w:val="0"/>
      <w:sz w:val="24"/>
      <w:szCs w:val="24"/>
    </w:rPr>
  </w:style>
  <w:style w:type="paragraph" w:customStyle="1" w:styleId="875">
    <w:name w:val="普通标题-3"/>
    <w:basedOn w:val="6"/>
    <w:next w:val="873"/>
    <w:autoRedefine/>
    <w:qFormat/>
    <w:uiPriority w:val="0"/>
    <w:pPr>
      <w:keepNext/>
      <w:keepLines/>
      <w:spacing w:before="156" w:after="156" w:line="412" w:lineRule="auto"/>
      <w:ind w:firstLine="0" w:firstLineChars="0"/>
      <w:jc w:val="left"/>
    </w:pPr>
    <w:rPr>
      <w:rFonts w:ascii="楷体" w:hAnsi="楷体" w:eastAsia="楷体" w:cs="Calibri"/>
      <w:bCs/>
      <w:color w:val="auto"/>
      <w:spacing w:val="0"/>
      <w:kern w:val="0"/>
    </w:rPr>
  </w:style>
  <w:style w:type="paragraph" w:customStyle="1" w:styleId="876">
    <w:name w:val="表格的正文"/>
    <w:basedOn w:val="1"/>
    <w:qFormat/>
    <w:uiPriority w:val="0"/>
    <w:pPr>
      <w:widowControl w:val="0"/>
      <w:spacing w:line="288" w:lineRule="auto"/>
      <w:contextualSpacing/>
      <w:jc w:val="center"/>
    </w:pPr>
    <w:rPr>
      <w:rFonts w:ascii="宋体" w:hAnsi="宋体" w:eastAsia="楷体" w:cs="宋体"/>
      <w:kern w:val="2"/>
      <w:sz w:val="21"/>
      <w:szCs w:val="21"/>
    </w:rPr>
  </w:style>
  <w:style w:type="paragraph" w:customStyle="1" w:styleId="877">
    <w:name w:val="普通标题-1"/>
    <w:basedOn w:val="3"/>
    <w:next w:val="873"/>
    <w:qFormat/>
    <w:uiPriority w:val="0"/>
    <w:pPr>
      <w:keepNext/>
      <w:keepLines/>
      <w:spacing w:before="156" w:after="156" w:line="576" w:lineRule="auto"/>
      <w:ind w:left="420" w:firstLine="0" w:firstLineChars="0"/>
      <w:contextualSpacing w:val="0"/>
      <w:jc w:val="left"/>
    </w:pPr>
    <w:rPr>
      <w:rFonts w:ascii="Courier New" w:hAnsi="Courier New" w:eastAsia="楷体" w:cs="Courier New"/>
      <w:color w:val="auto"/>
      <w:spacing w:val="0"/>
      <w:kern w:val="44"/>
      <w:sz w:val="28"/>
      <w:szCs w:val="28"/>
    </w:rPr>
  </w:style>
  <w:style w:type="paragraph" w:customStyle="1" w:styleId="878">
    <w:name w:val="图样式"/>
    <w:basedOn w:val="873"/>
    <w:autoRedefine/>
    <w:qFormat/>
    <w:uiPriority w:val="0"/>
    <w:pPr>
      <w:spacing w:line="360" w:lineRule="auto"/>
      <w:ind w:firstLine="0" w:firstLineChars="0"/>
      <w:jc w:val="center"/>
    </w:pPr>
    <w:rPr>
      <w:rFonts w:ascii="楷体" w:hAnsi="楷体"/>
    </w:rPr>
  </w:style>
  <w:style w:type="character" w:customStyle="1" w:styleId="879">
    <w:name w:val="未处理的提及1"/>
    <w:basedOn w:val="71"/>
    <w:semiHidden/>
    <w:unhideWhenUsed/>
    <w:qFormat/>
    <w:uiPriority w:val="99"/>
    <w:rPr>
      <w:color w:val="605E5C"/>
      <w:shd w:val="clear" w:color="auto" w:fill="E1DFDD"/>
    </w:rPr>
  </w:style>
  <w:style w:type="character" w:customStyle="1" w:styleId="880">
    <w:name w:val="未处理的提及2"/>
    <w:basedOn w:val="71"/>
    <w:autoRedefine/>
    <w:semiHidden/>
    <w:unhideWhenUsed/>
    <w:qFormat/>
    <w:uiPriority w:val="99"/>
    <w:rPr>
      <w:color w:val="605E5C"/>
      <w:shd w:val="clear" w:color="auto" w:fill="E1DFDD"/>
    </w:rPr>
  </w:style>
  <w:style w:type="paragraph" w:customStyle="1" w:styleId="881">
    <w:name w:val="TOC 标题2"/>
    <w:basedOn w:val="3"/>
    <w:next w:val="1"/>
    <w:unhideWhenUsed/>
    <w:qFormat/>
    <w:uiPriority w:val="39"/>
    <w:pPr>
      <w:keepNext/>
      <w:keepLines/>
      <w:widowControl/>
      <w:spacing w:before="240" w:after="0" w:line="259" w:lineRule="auto"/>
      <w:ind w:firstLine="0" w:firstLineChars="0"/>
      <w:contextualSpacing w:val="0"/>
      <w:jc w:val="left"/>
      <w:outlineLvl w:val="9"/>
    </w:pPr>
    <w:rPr>
      <w:color w:val="365F91"/>
      <w:spacing w:val="0"/>
      <w:kern w:val="0"/>
    </w:rPr>
  </w:style>
  <w:style w:type="paragraph" w:customStyle="1" w:styleId="882">
    <w:name w:val="TOC 标题3"/>
    <w:basedOn w:val="3"/>
    <w:next w:val="1"/>
    <w:unhideWhenUsed/>
    <w:qFormat/>
    <w:uiPriority w:val="39"/>
    <w:pPr>
      <w:keepNext/>
      <w:keepLines/>
      <w:widowControl/>
      <w:spacing w:before="240" w:after="0" w:line="259" w:lineRule="auto"/>
      <w:ind w:firstLine="0" w:firstLineChars="0"/>
      <w:contextualSpacing w:val="0"/>
      <w:jc w:val="left"/>
      <w:outlineLvl w:val="9"/>
    </w:pPr>
    <w:rPr>
      <w:color w:val="365F91"/>
      <w:spacing w:val="0"/>
      <w:kern w:val="0"/>
    </w:rPr>
  </w:style>
  <w:style w:type="paragraph" w:customStyle="1" w:styleId="883">
    <w:name w:val="表格文字"/>
    <w:basedOn w:val="1"/>
    <w:autoRedefine/>
    <w:qFormat/>
    <w:uiPriority w:val="0"/>
    <w:pPr>
      <w:widowControl w:val="0"/>
      <w:spacing w:before="25" w:after="25"/>
      <w:jc w:val="both"/>
    </w:pPr>
    <w:rPr>
      <w:bCs/>
      <w:spacing w:val="10"/>
      <w:kern w:val="2"/>
      <w:sz w:val="21"/>
      <w:szCs w:val="20"/>
    </w:rPr>
  </w:style>
  <w:style w:type="character" w:customStyle="1" w:styleId="884">
    <w:name w:val="a-size-large1"/>
    <w:autoRedefine/>
    <w:qFormat/>
    <w:uiPriority w:val="0"/>
    <w:rPr>
      <w:rFonts w:hint="default" w:ascii="微软雅黑" w:hAnsi="微软雅黑"/>
    </w:rPr>
  </w:style>
  <w:style w:type="paragraph" w:customStyle="1" w:styleId="885">
    <w:name w:val="_Style 11"/>
    <w:basedOn w:val="1"/>
    <w:qFormat/>
    <w:uiPriority w:val="0"/>
    <w:pPr>
      <w:widowControl w:val="0"/>
      <w:jc w:val="both"/>
    </w:pPr>
    <w:rPr>
      <w:rFonts w:ascii="Tahoma" w:hAnsi="Tahoma"/>
      <w:kern w:val="2"/>
      <w:szCs w:val="20"/>
    </w:rPr>
  </w:style>
  <w:style w:type="paragraph" w:customStyle="1" w:styleId="886">
    <w:name w:val="_Style 15"/>
    <w:basedOn w:val="1"/>
    <w:autoRedefine/>
    <w:qFormat/>
    <w:uiPriority w:val="0"/>
    <w:pPr>
      <w:widowControl w:val="0"/>
      <w:tabs>
        <w:tab w:val="left" w:pos="360"/>
      </w:tabs>
      <w:jc w:val="both"/>
    </w:pPr>
    <w:rPr>
      <w:kern w:val="2"/>
    </w:rPr>
  </w:style>
  <w:style w:type="character" w:customStyle="1" w:styleId="887">
    <w:name w:val="未处理的提及3"/>
    <w:basedOn w:val="71"/>
    <w:autoRedefine/>
    <w:semiHidden/>
    <w:unhideWhenUsed/>
    <w:qFormat/>
    <w:uiPriority w:val="99"/>
    <w:rPr>
      <w:color w:val="605E5C"/>
      <w:shd w:val="clear" w:color="auto" w:fill="E1DFDD"/>
    </w:rPr>
  </w:style>
  <w:style w:type="paragraph" w:customStyle="1" w:styleId="888">
    <w:name w:val="列出段落2"/>
    <w:basedOn w:val="1"/>
    <w:unhideWhenUsed/>
    <w:qFormat/>
    <w:uiPriority w:val="99"/>
    <w:pPr>
      <w:widowControl w:val="0"/>
      <w:ind w:firstLine="420" w:firstLineChars="200"/>
      <w:jc w:val="both"/>
    </w:pPr>
    <w:rPr>
      <w:kern w:val="2"/>
      <w:sz w:val="21"/>
      <w:szCs w:val="21"/>
    </w:rPr>
  </w:style>
  <w:style w:type="paragraph" w:customStyle="1" w:styleId="889">
    <w:name w:val="正文（首行缩进2字符）"/>
    <w:basedOn w:val="1"/>
    <w:link w:val="890"/>
    <w:qFormat/>
    <w:uiPriority w:val="0"/>
    <w:pPr>
      <w:widowControl w:val="0"/>
      <w:spacing w:line="360" w:lineRule="auto"/>
      <w:ind w:firstLine="461" w:firstLineChars="192"/>
      <w:jc w:val="both"/>
    </w:pPr>
    <w:rPr>
      <w:rFonts w:ascii="Arial" w:hAnsi="Arial"/>
      <w:szCs w:val="28"/>
    </w:rPr>
  </w:style>
  <w:style w:type="character" w:customStyle="1" w:styleId="890">
    <w:name w:val="正文（首行缩进2字符） Char"/>
    <w:link w:val="889"/>
    <w:qFormat/>
    <w:uiPriority w:val="0"/>
    <w:rPr>
      <w:rFonts w:ascii="Arial" w:hAnsi="Arial"/>
      <w:sz w:val="24"/>
      <w:szCs w:val="28"/>
    </w:rPr>
  </w:style>
  <w:style w:type="paragraph" w:customStyle="1" w:styleId="891">
    <w:name w:val="四级标题-zxf"/>
    <w:basedOn w:val="1"/>
    <w:qFormat/>
    <w:uiPriority w:val="0"/>
    <w:pPr>
      <w:numPr>
        <w:ilvl w:val="2"/>
        <w:numId w:val="26"/>
      </w:numPr>
      <w:snapToGrid w:val="0"/>
      <w:spacing w:before="60" w:after="60" w:line="360" w:lineRule="auto"/>
      <w:outlineLvl w:val="3"/>
    </w:pPr>
    <w:rPr>
      <w:b/>
    </w:rPr>
  </w:style>
  <w:style w:type="paragraph" w:customStyle="1" w:styleId="892">
    <w:name w:val="三级标题-zxf"/>
    <w:basedOn w:val="1"/>
    <w:autoRedefine/>
    <w:qFormat/>
    <w:uiPriority w:val="0"/>
    <w:pPr>
      <w:numPr>
        <w:ilvl w:val="1"/>
        <w:numId w:val="26"/>
      </w:numPr>
      <w:adjustRightInd w:val="0"/>
      <w:snapToGrid w:val="0"/>
      <w:spacing w:before="260" w:after="260" w:line="415" w:lineRule="auto"/>
      <w:outlineLvl w:val="2"/>
    </w:pPr>
    <w:rPr>
      <w:b/>
      <w:sz w:val="28"/>
    </w:rPr>
  </w:style>
  <w:style w:type="paragraph" w:customStyle="1" w:styleId="893">
    <w:name w:val="二级标题-zxf"/>
    <w:basedOn w:val="1"/>
    <w:next w:val="892"/>
    <w:qFormat/>
    <w:uiPriority w:val="0"/>
    <w:pPr>
      <w:numPr>
        <w:ilvl w:val="0"/>
        <w:numId w:val="26"/>
      </w:numPr>
      <w:adjustRightInd w:val="0"/>
      <w:snapToGrid w:val="0"/>
      <w:spacing w:beforeLines="100" w:after="60" w:line="360" w:lineRule="auto"/>
      <w:outlineLvl w:val="1"/>
    </w:pPr>
    <w:rPr>
      <w:b/>
      <w:sz w:val="30"/>
    </w:rPr>
  </w:style>
  <w:style w:type="paragraph" w:customStyle="1" w:styleId="894">
    <w:name w:val="表格列标题"/>
    <w:basedOn w:val="1"/>
    <w:qFormat/>
    <w:uiPriority w:val="0"/>
    <w:pPr>
      <w:widowControl w:val="0"/>
      <w:spacing w:line="360" w:lineRule="auto"/>
      <w:jc w:val="center"/>
    </w:pPr>
    <w:rPr>
      <w:rFonts w:ascii="Arial" w:hAnsi="Arial" w:cs="Arial"/>
      <w:b/>
      <w:kern w:val="2"/>
      <w:sz w:val="21"/>
      <w:szCs w:val="22"/>
    </w:rPr>
  </w:style>
  <w:style w:type="character" w:customStyle="1" w:styleId="895">
    <w:name w:val="题注 Char"/>
    <w:link w:val="19"/>
    <w:qFormat/>
    <w:uiPriority w:val="35"/>
    <w:rPr>
      <w:rFonts w:ascii="Arial" w:hAnsi="Arial" w:eastAsia="宋体"/>
      <w:sz w:val="20"/>
    </w:rPr>
  </w:style>
  <w:style w:type="paragraph" w:customStyle="1" w:styleId="896">
    <w:name w:val="设计正文"/>
    <w:basedOn w:val="1"/>
    <w:qFormat/>
    <w:uiPriority w:val="0"/>
    <w:pPr>
      <w:ind w:firstLine="420"/>
    </w:pPr>
  </w:style>
  <w:style w:type="paragraph" w:customStyle="1" w:styleId="897">
    <w:name w:val="修订1"/>
    <w:autoRedefine/>
    <w:hidden/>
    <w:semiHidden/>
    <w:unhideWhenUsed/>
    <w:qFormat/>
    <w:uiPriority w:val="99"/>
    <w:rPr>
      <w:rFonts w:ascii="Times New Roman" w:hAnsi="Times New Roman" w:eastAsia="宋体" w:cs="Times New Roman"/>
      <w:sz w:val="24"/>
      <w:szCs w:val="24"/>
      <w:lang w:val="en-US" w:eastAsia="zh-CN" w:bidi="ar-SA"/>
    </w:rPr>
  </w:style>
  <w:style w:type="character" w:customStyle="1" w:styleId="898">
    <w:name w:val="font61"/>
    <w:basedOn w:val="71"/>
    <w:qFormat/>
    <w:uiPriority w:val="0"/>
    <w:rPr>
      <w:rFonts w:hint="eastAsia" w:ascii="微软雅黑" w:hAnsi="微软雅黑" w:eastAsia="微软雅黑" w:cs="微软雅黑"/>
      <w:color w:val="FF0000"/>
      <w:sz w:val="28"/>
      <w:szCs w:val="28"/>
      <w:u w:val="none"/>
    </w:rPr>
  </w:style>
  <w:style w:type="character" w:customStyle="1" w:styleId="899">
    <w:name w:val="font31"/>
    <w:basedOn w:val="71"/>
    <w:qFormat/>
    <w:uiPriority w:val="0"/>
    <w:rPr>
      <w:rFonts w:hint="eastAsia" w:ascii="微软雅黑" w:hAnsi="微软雅黑" w:eastAsia="微软雅黑" w:cs="微软雅黑"/>
      <w:color w:val="000000"/>
      <w:sz w:val="28"/>
      <w:szCs w:val="28"/>
      <w:u w:val="none"/>
    </w:rPr>
  </w:style>
  <w:style w:type="paragraph" w:customStyle="1" w:styleId="900">
    <w:name w:val="Table Paragraph"/>
    <w:basedOn w:val="1"/>
    <w:qFormat/>
    <w:uiPriority w:val="1"/>
  </w:style>
  <w:style w:type="character" w:customStyle="1" w:styleId="901">
    <w:name w:val="font41"/>
    <w:basedOn w:val="71"/>
    <w:qFormat/>
    <w:uiPriority w:val="0"/>
    <w:rPr>
      <w:rFonts w:hint="eastAsia" w:ascii="宋体" w:hAnsi="宋体" w:eastAsia="宋体" w:cs="宋体"/>
      <w:b/>
      <w:bCs/>
      <w:color w:val="000000"/>
      <w:sz w:val="20"/>
      <w:szCs w:val="20"/>
      <w:u w:val="none"/>
    </w:rPr>
  </w:style>
  <w:style w:type="character" w:customStyle="1" w:styleId="902">
    <w:name w:val="font21"/>
    <w:basedOn w:val="71"/>
    <w:qFormat/>
    <w:uiPriority w:val="0"/>
    <w:rPr>
      <w:rFonts w:hint="eastAsia" w:ascii="宋体" w:hAnsi="宋体" w:eastAsia="宋体" w:cs="宋体"/>
      <w:color w:val="000000"/>
      <w:sz w:val="20"/>
      <w:szCs w:val="20"/>
      <w:u w:val="none"/>
    </w:rPr>
  </w:style>
  <w:style w:type="paragraph" w:customStyle="1" w:styleId="903">
    <w:name w:val="00.正文"/>
    <w:basedOn w:val="1"/>
    <w:qFormat/>
    <w:uiPriority w:val="0"/>
    <w:pPr>
      <w:adjustRightInd w:val="0"/>
      <w:snapToGrid w:val="0"/>
      <w:jc w:val="both"/>
    </w:pPr>
    <w:rPr>
      <w:rFonts w:ascii="仿宋_GB2312" w:hAnsi="仿宋_GB2312" w:cs="仿宋_GB2312"/>
      <w:color w:val="auto"/>
      <w:szCs w:val="28"/>
    </w:rPr>
  </w:style>
  <w:style w:type="paragraph" w:customStyle="1" w:styleId="904">
    <w:name w:val="首行缩进"/>
    <w:basedOn w:val="1"/>
    <w:qFormat/>
    <w:uiPriority w:val="0"/>
    <w:pPr>
      <w:widowControl/>
      <w:ind w:firstLine="480"/>
    </w:pPr>
    <w:rPr>
      <w:rFonts w:ascii="宋体" w:hAnsi="宋体"/>
      <w:color w:val="auto"/>
      <w:kern w:val="0"/>
      <w:szCs w:val="24"/>
      <w:lang w:val="zh-CN"/>
    </w:rPr>
  </w:style>
  <w:style w:type="table" w:customStyle="1" w:styleId="905">
    <w:name w:val="Table Normal"/>
    <w:semiHidden/>
    <w:unhideWhenUsed/>
    <w:qFormat/>
    <w:uiPriority w:val="0"/>
    <w:tblPr>
      <w:tblCellMar>
        <w:top w:w="0" w:type="dxa"/>
        <w:left w:w="0" w:type="dxa"/>
        <w:bottom w:w="0" w:type="dxa"/>
        <w:right w:w="0" w:type="dxa"/>
      </w:tblCellMar>
    </w:tblPr>
  </w:style>
  <w:style w:type="paragraph" w:customStyle="1" w:styleId="906">
    <w:name w:val="表格内容"/>
    <w:basedOn w:val="1"/>
    <w:qFormat/>
    <w:uiPriority w:val="0"/>
    <w:pPr>
      <w:wordWrap w:val="0"/>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C6D89E-4B5B-439A-8C5E-794E9ADE5BA1}">
  <ds:schemaRefs/>
</ds:datastoreItem>
</file>

<file path=docProps/app.xml><?xml version="1.0" encoding="utf-8"?>
<Properties xmlns="http://schemas.openxmlformats.org/officeDocument/2006/extended-properties" xmlns:vt="http://schemas.openxmlformats.org/officeDocument/2006/docPropsVTypes">
  <Template>Normal</Template>
  <Pages>63</Pages>
  <Words>11353</Words>
  <Characters>12184</Characters>
  <Lines>219</Lines>
  <Paragraphs>61</Paragraphs>
  <TotalTime>22</TotalTime>
  <ScaleCrop>false</ScaleCrop>
  <LinksUpToDate>false</LinksUpToDate>
  <CharactersWithSpaces>12397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2023-06-03T01:18:00Z</dcterms:created>
  <cp:lastPrinted>2018-10-30T02:38:00Z</cp:lastPrinted>
  <dcterms:modified xsi:type="dcterms:W3CDTF">2026-06-16T10:23:54Z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E056B2D32CE74FDEA8E8ABEA48D90E15_13</vt:lpwstr>
  </property>
  <property fmtid="{D5CDD505-2E9C-101B-9397-08002B2CF9AE}" pid="4" name="KSOTemplateDocerSaveRecord">
    <vt:lpwstr>eyJoZGlkIjoiMDY5ZDgzOGU4Y2U2ZmNkMDkyYmFhYjhlZGVjMDkxMDUiLCJ1c2VySWQiOiIxMTQ2NjIyNTcxIn0=</vt:lpwstr>
  </property>
</Properties>
</file>